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4C027E" w:rsidRPr="004C027E" w14:paraId="729F6B2F" w14:textId="77777777" w:rsidTr="007322D3">
        <w:tc>
          <w:tcPr>
            <w:tcW w:w="8363" w:type="dxa"/>
          </w:tcPr>
          <w:p w14:paraId="4F58F383" w14:textId="0C0A5C8E" w:rsidR="004C027E" w:rsidRPr="004C027E" w:rsidRDefault="004C027E" w:rsidP="004C027E">
            <w:pPr>
              <w:suppressAutoHyphens/>
              <w:rPr>
                <w:rFonts w:eastAsia="Times New Roman"/>
                <w:sz w:val="22"/>
                <w:szCs w:val="22"/>
              </w:rPr>
            </w:pPr>
            <w:r w:rsidRPr="004C027E">
              <w:rPr>
                <w:rFonts w:eastAsia="Times New Roman"/>
                <w:sz w:val="22"/>
                <w:szCs w:val="22"/>
              </w:rPr>
              <w:t xml:space="preserve">Ce document constitue les informations sur le produit approuvées pour </w:t>
            </w:r>
            <w:proofErr w:type="spellStart"/>
            <w:r w:rsidR="002504E3" w:rsidRPr="00651F95">
              <w:rPr>
                <w:rFonts w:eastAsia="Times New Roman"/>
                <w:sz w:val="22"/>
                <w:szCs w:val="22"/>
                <w:lang w:val="fr-FR"/>
                <w:rPrChange w:id="0" w:author="Anonymous - Viatris" w:date="2026-04-15T13:58:00Z" w16du:dateUtc="2026-04-15T11:58:00Z">
                  <w:rPr>
                    <w:rFonts w:eastAsia="Times New Roman"/>
                    <w:sz w:val="22"/>
                    <w:szCs w:val="22"/>
                    <w:lang w:val="en-GB"/>
                  </w:rPr>
                </w:rPrChange>
              </w:rPr>
              <w:t>Fingolimod</w:t>
            </w:r>
            <w:proofErr w:type="spellEnd"/>
            <w:r w:rsidR="002504E3" w:rsidRPr="00651F95">
              <w:rPr>
                <w:rFonts w:eastAsia="Times New Roman"/>
                <w:sz w:val="22"/>
                <w:szCs w:val="22"/>
                <w:lang w:val="fr-FR"/>
                <w:rPrChange w:id="1" w:author="Anonymous - Viatris" w:date="2026-04-15T13:58:00Z" w16du:dateUtc="2026-04-15T11:58:00Z">
                  <w:rPr>
                    <w:rFonts w:eastAsia="Times New Roman"/>
                    <w:sz w:val="22"/>
                    <w:szCs w:val="22"/>
                    <w:lang w:val="en-GB"/>
                  </w:rPr>
                </w:rPrChange>
              </w:rPr>
              <w:t xml:space="preserve"> Mylan</w:t>
            </w:r>
            <w:r w:rsidRPr="004C027E">
              <w:rPr>
                <w:rFonts w:eastAsia="Times New Roman"/>
                <w:sz w:val="22"/>
                <w:szCs w:val="22"/>
              </w:rPr>
              <w:t xml:space="preserve">, les modifications apportées depuis la procédure précédente qui ont une incidence sur les informations sur le produit </w:t>
            </w:r>
            <w:r w:rsidR="00EC6BB0" w:rsidRPr="00651F95">
              <w:rPr>
                <w:rFonts w:eastAsia="Times New Roman"/>
                <w:sz w:val="22"/>
                <w:szCs w:val="22"/>
                <w:lang w:val="fr-FR"/>
                <w:rPrChange w:id="2" w:author="Anonymous - Viatris" w:date="2026-04-15T13:58:00Z" w16du:dateUtc="2026-04-15T11:58:00Z">
                  <w:rPr>
                    <w:rFonts w:eastAsia="Times New Roman"/>
                    <w:sz w:val="22"/>
                    <w:szCs w:val="22"/>
                    <w:lang w:val="en-GB"/>
                  </w:rPr>
                </w:rPrChange>
              </w:rPr>
              <w:t>(EMA/H/0000303376)</w:t>
            </w:r>
            <w:r w:rsidRPr="004C027E">
              <w:rPr>
                <w:rFonts w:eastAsia="Times New Roman"/>
                <w:sz w:val="22"/>
                <w:szCs w:val="22"/>
              </w:rPr>
              <w:t xml:space="preserve"> étant mises en évidence.</w:t>
            </w:r>
          </w:p>
          <w:p w14:paraId="2282D2EA" w14:textId="77777777" w:rsidR="004C027E" w:rsidRPr="004C027E" w:rsidRDefault="004C027E" w:rsidP="004C027E">
            <w:pPr>
              <w:suppressAutoHyphens/>
              <w:rPr>
                <w:rFonts w:eastAsia="Times New Roman"/>
                <w:sz w:val="22"/>
                <w:szCs w:val="22"/>
              </w:rPr>
            </w:pPr>
          </w:p>
          <w:p w14:paraId="0FE22B2F" w14:textId="6F623935" w:rsidR="004C027E" w:rsidRPr="004C027E" w:rsidRDefault="004C027E" w:rsidP="004C027E">
            <w:pPr>
              <w:suppressAutoHyphens/>
              <w:rPr>
                <w:rFonts w:eastAsia="Times New Roman"/>
                <w:szCs w:val="24"/>
              </w:rPr>
            </w:pPr>
            <w:r w:rsidRPr="004C027E">
              <w:rPr>
                <w:rFonts w:eastAsia="Times New Roman"/>
                <w:sz w:val="22"/>
                <w:szCs w:val="22"/>
              </w:rPr>
              <w:t xml:space="preserve">Pour plus d’informations, voir le site web de l’Agence européenne des médicaments: </w:t>
            </w:r>
            <w:hyperlink r:id="rId8" w:history="1">
              <w:r w:rsidR="00035802" w:rsidRPr="00035802">
                <w:rPr>
                  <w:rStyle w:val="Lienhypertexte"/>
                  <w:rFonts w:eastAsia="Times New Roman"/>
                  <w:sz w:val="22"/>
                  <w:szCs w:val="22"/>
                  <w:lang w:val="fr-FR"/>
                </w:rPr>
                <w:t>https://www.ema.europa.eu/en/medicines/human/epar/</w:t>
              </w:r>
              <w:r w:rsidR="00035802" w:rsidRPr="00651F95">
                <w:rPr>
                  <w:rStyle w:val="Lienhypertexte"/>
                  <w:rFonts w:eastAsia="Times New Roman"/>
                  <w:sz w:val="22"/>
                  <w:szCs w:val="22"/>
                  <w:lang w:val="fr-FR"/>
                </w:rPr>
                <w:t>fingolimod-mylan</w:t>
              </w:r>
            </w:hyperlink>
          </w:p>
        </w:tc>
      </w:tr>
    </w:tbl>
    <w:p w14:paraId="56E22F46" w14:textId="3E3C7762" w:rsidR="00393898" w:rsidRPr="00B469F3" w:rsidRDefault="00393898" w:rsidP="00CB615C">
      <w:pPr>
        <w:widowControl/>
        <w:spacing w:after="0" w:line="240" w:lineRule="auto"/>
        <w:rPr>
          <w:rFonts w:ascii="Times New Roman" w:hAnsi="Times New Roman" w:cs="Times New Roman"/>
          <w:b/>
          <w:bCs/>
          <w:lang w:val="bg-BG"/>
        </w:rPr>
      </w:pPr>
    </w:p>
    <w:p w14:paraId="30BCB41C" w14:textId="525650EA" w:rsidR="00393898" w:rsidRPr="00B469F3" w:rsidRDefault="00393898" w:rsidP="00CB615C">
      <w:pPr>
        <w:widowControl/>
        <w:spacing w:after="0" w:line="240" w:lineRule="auto"/>
        <w:ind w:left="1" w:hanging="1"/>
        <w:jc w:val="center"/>
        <w:rPr>
          <w:rFonts w:ascii="Times New Roman" w:hAnsi="Times New Roman" w:cs="Times New Roman"/>
          <w:b/>
          <w:bCs/>
          <w:lang w:val="bg-BG"/>
        </w:rPr>
      </w:pPr>
    </w:p>
    <w:p w14:paraId="546B0A6E" w14:textId="297C0D9B" w:rsidR="00393898" w:rsidRDefault="00393898" w:rsidP="00CB615C">
      <w:pPr>
        <w:widowControl/>
        <w:spacing w:after="0" w:line="240" w:lineRule="auto"/>
        <w:ind w:left="1" w:hanging="1"/>
        <w:jc w:val="center"/>
        <w:rPr>
          <w:rFonts w:ascii="Times New Roman" w:hAnsi="Times New Roman" w:cs="Times New Roman"/>
          <w:b/>
          <w:bCs/>
        </w:rPr>
      </w:pPr>
    </w:p>
    <w:p w14:paraId="1722BF83" w14:textId="2B19D404" w:rsidR="00393898" w:rsidRDefault="00393898" w:rsidP="00CB615C">
      <w:pPr>
        <w:widowControl/>
        <w:spacing w:after="0" w:line="240" w:lineRule="auto"/>
        <w:ind w:left="1" w:hanging="1"/>
        <w:jc w:val="center"/>
        <w:rPr>
          <w:rFonts w:ascii="Times New Roman" w:hAnsi="Times New Roman" w:cs="Times New Roman"/>
          <w:b/>
          <w:bCs/>
        </w:rPr>
      </w:pPr>
    </w:p>
    <w:p w14:paraId="18E7659D" w14:textId="0031E871" w:rsidR="00393898" w:rsidRDefault="00393898" w:rsidP="00CB615C">
      <w:pPr>
        <w:widowControl/>
        <w:spacing w:after="0" w:line="240" w:lineRule="auto"/>
        <w:ind w:left="1" w:hanging="1"/>
        <w:jc w:val="center"/>
        <w:rPr>
          <w:rFonts w:ascii="Times New Roman" w:hAnsi="Times New Roman" w:cs="Times New Roman"/>
          <w:b/>
          <w:bCs/>
        </w:rPr>
      </w:pPr>
    </w:p>
    <w:p w14:paraId="15AEF791" w14:textId="745C3836" w:rsidR="00393898" w:rsidRDefault="00393898" w:rsidP="00CB615C">
      <w:pPr>
        <w:widowControl/>
        <w:spacing w:after="0" w:line="240" w:lineRule="auto"/>
        <w:ind w:left="1" w:hanging="1"/>
        <w:jc w:val="center"/>
        <w:rPr>
          <w:rFonts w:ascii="Times New Roman" w:hAnsi="Times New Roman" w:cs="Times New Roman"/>
          <w:b/>
          <w:bCs/>
        </w:rPr>
      </w:pPr>
    </w:p>
    <w:p w14:paraId="10E56337" w14:textId="4B1BFABD" w:rsidR="00393898" w:rsidRDefault="00393898" w:rsidP="00CB615C">
      <w:pPr>
        <w:widowControl/>
        <w:spacing w:after="0" w:line="240" w:lineRule="auto"/>
        <w:ind w:left="1" w:hanging="1"/>
        <w:jc w:val="center"/>
        <w:rPr>
          <w:rFonts w:ascii="Times New Roman" w:hAnsi="Times New Roman" w:cs="Times New Roman"/>
          <w:b/>
          <w:bCs/>
        </w:rPr>
      </w:pPr>
    </w:p>
    <w:p w14:paraId="0B6F02A0" w14:textId="3CC45F0F" w:rsidR="00393898" w:rsidRDefault="00393898" w:rsidP="00CB615C">
      <w:pPr>
        <w:widowControl/>
        <w:spacing w:after="0" w:line="240" w:lineRule="auto"/>
        <w:ind w:left="1" w:hanging="1"/>
        <w:jc w:val="center"/>
        <w:rPr>
          <w:rFonts w:ascii="Times New Roman" w:hAnsi="Times New Roman" w:cs="Times New Roman"/>
          <w:b/>
          <w:bCs/>
        </w:rPr>
      </w:pPr>
    </w:p>
    <w:p w14:paraId="547F9F5C" w14:textId="3F116F41" w:rsidR="00393898" w:rsidRDefault="00393898" w:rsidP="00CB615C">
      <w:pPr>
        <w:widowControl/>
        <w:spacing w:after="0" w:line="240" w:lineRule="auto"/>
        <w:ind w:left="1" w:hanging="1"/>
        <w:jc w:val="center"/>
        <w:rPr>
          <w:rFonts w:ascii="Times New Roman" w:hAnsi="Times New Roman" w:cs="Times New Roman"/>
          <w:b/>
          <w:bCs/>
        </w:rPr>
      </w:pPr>
    </w:p>
    <w:p w14:paraId="1AE5DA7F" w14:textId="7EFBF15B" w:rsidR="00393898" w:rsidRDefault="00393898" w:rsidP="00CB615C">
      <w:pPr>
        <w:widowControl/>
        <w:spacing w:after="0" w:line="240" w:lineRule="auto"/>
        <w:ind w:left="1" w:hanging="1"/>
        <w:jc w:val="center"/>
        <w:rPr>
          <w:rFonts w:ascii="Times New Roman" w:hAnsi="Times New Roman" w:cs="Times New Roman"/>
          <w:b/>
          <w:bCs/>
        </w:rPr>
      </w:pPr>
    </w:p>
    <w:p w14:paraId="22672B3E" w14:textId="6AF2B4AD" w:rsidR="00393898" w:rsidRDefault="00393898" w:rsidP="00CB615C">
      <w:pPr>
        <w:widowControl/>
        <w:spacing w:after="0" w:line="240" w:lineRule="auto"/>
        <w:ind w:left="1" w:hanging="1"/>
        <w:jc w:val="center"/>
        <w:rPr>
          <w:rFonts w:ascii="Times New Roman" w:hAnsi="Times New Roman" w:cs="Times New Roman"/>
          <w:b/>
          <w:bCs/>
        </w:rPr>
      </w:pPr>
    </w:p>
    <w:p w14:paraId="70CB0C7D" w14:textId="38AB07F4" w:rsidR="00393898" w:rsidRDefault="00393898" w:rsidP="00CB615C">
      <w:pPr>
        <w:widowControl/>
        <w:spacing w:after="0" w:line="240" w:lineRule="auto"/>
        <w:ind w:left="1" w:hanging="1"/>
        <w:jc w:val="center"/>
        <w:rPr>
          <w:rFonts w:ascii="Times New Roman" w:hAnsi="Times New Roman" w:cs="Times New Roman"/>
          <w:b/>
          <w:bCs/>
        </w:rPr>
      </w:pPr>
    </w:p>
    <w:p w14:paraId="145CEEE4" w14:textId="4C454CBC" w:rsidR="00393898" w:rsidRDefault="00393898" w:rsidP="00CB615C">
      <w:pPr>
        <w:widowControl/>
        <w:spacing w:after="0" w:line="240" w:lineRule="auto"/>
        <w:ind w:left="1" w:hanging="1"/>
        <w:jc w:val="center"/>
        <w:rPr>
          <w:rFonts w:ascii="Times New Roman" w:hAnsi="Times New Roman" w:cs="Times New Roman"/>
          <w:b/>
          <w:bCs/>
        </w:rPr>
      </w:pPr>
    </w:p>
    <w:p w14:paraId="199DB313" w14:textId="51EB8D29" w:rsidR="00393898" w:rsidRDefault="00393898" w:rsidP="00CB615C">
      <w:pPr>
        <w:widowControl/>
        <w:spacing w:after="0" w:line="240" w:lineRule="auto"/>
        <w:ind w:left="1" w:hanging="1"/>
        <w:jc w:val="center"/>
        <w:rPr>
          <w:rFonts w:ascii="Times New Roman" w:hAnsi="Times New Roman" w:cs="Times New Roman"/>
          <w:b/>
          <w:bCs/>
        </w:rPr>
      </w:pPr>
    </w:p>
    <w:p w14:paraId="54932CA5" w14:textId="2D248C1C" w:rsidR="00393898" w:rsidRDefault="00393898" w:rsidP="00CB615C">
      <w:pPr>
        <w:widowControl/>
        <w:spacing w:after="0" w:line="240" w:lineRule="auto"/>
        <w:ind w:left="1" w:hanging="1"/>
        <w:jc w:val="center"/>
        <w:rPr>
          <w:rFonts w:ascii="Times New Roman" w:hAnsi="Times New Roman" w:cs="Times New Roman"/>
          <w:b/>
          <w:bCs/>
        </w:rPr>
      </w:pPr>
    </w:p>
    <w:p w14:paraId="6E1FE3AA" w14:textId="586DD443" w:rsidR="00393898" w:rsidRDefault="00393898" w:rsidP="00CB615C">
      <w:pPr>
        <w:widowControl/>
        <w:spacing w:after="0" w:line="240" w:lineRule="auto"/>
        <w:ind w:left="1" w:hanging="1"/>
        <w:jc w:val="center"/>
        <w:rPr>
          <w:rFonts w:ascii="Times New Roman" w:hAnsi="Times New Roman" w:cs="Times New Roman"/>
          <w:b/>
          <w:bCs/>
        </w:rPr>
      </w:pPr>
    </w:p>
    <w:p w14:paraId="0874F093" w14:textId="093DEFE7" w:rsidR="00393898" w:rsidRDefault="00393898" w:rsidP="00CB615C">
      <w:pPr>
        <w:widowControl/>
        <w:spacing w:after="0" w:line="240" w:lineRule="auto"/>
        <w:ind w:left="1" w:hanging="1"/>
        <w:jc w:val="center"/>
        <w:rPr>
          <w:rFonts w:ascii="Times New Roman" w:hAnsi="Times New Roman" w:cs="Times New Roman"/>
          <w:b/>
          <w:bCs/>
        </w:rPr>
      </w:pPr>
    </w:p>
    <w:p w14:paraId="282922BF" w14:textId="4D26CB35" w:rsidR="00393898" w:rsidRDefault="00393898" w:rsidP="00CB615C">
      <w:pPr>
        <w:widowControl/>
        <w:spacing w:after="0" w:line="240" w:lineRule="auto"/>
        <w:ind w:left="1" w:hanging="1"/>
        <w:jc w:val="center"/>
        <w:rPr>
          <w:rFonts w:ascii="Times New Roman" w:hAnsi="Times New Roman" w:cs="Times New Roman"/>
          <w:b/>
          <w:bCs/>
        </w:rPr>
      </w:pPr>
    </w:p>
    <w:p w14:paraId="644E9794" w14:textId="391F1022" w:rsidR="00393898" w:rsidRDefault="00393898" w:rsidP="00CB615C">
      <w:pPr>
        <w:widowControl/>
        <w:spacing w:after="0" w:line="240" w:lineRule="auto"/>
        <w:ind w:left="1" w:hanging="1"/>
        <w:jc w:val="center"/>
        <w:rPr>
          <w:rFonts w:ascii="Times New Roman" w:hAnsi="Times New Roman" w:cs="Times New Roman"/>
          <w:b/>
          <w:bCs/>
        </w:rPr>
      </w:pPr>
    </w:p>
    <w:p w14:paraId="77BAAAE3" w14:textId="77777777" w:rsidR="00DB5491" w:rsidRPr="005E3BF6" w:rsidRDefault="00DB5491" w:rsidP="00CB615C">
      <w:pPr>
        <w:widowControl/>
        <w:spacing w:after="0" w:line="240" w:lineRule="auto"/>
        <w:ind w:left="1" w:hanging="1"/>
        <w:jc w:val="center"/>
        <w:rPr>
          <w:rFonts w:ascii="Times New Roman" w:hAnsi="Times New Roman" w:cs="Times New Roman"/>
          <w:b/>
          <w:bCs/>
        </w:rPr>
      </w:pPr>
    </w:p>
    <w:p w14:paraId="28AC5934" w14:textId="77777777" w:rsidR="00D168D6" w:rsidRDefault="00D168D6" w:rsidP="00CB615C">
      <w:pPr>
        <w:widowControl/>
        <w:spacing w:after="0" w:line="240" w:lineRule="auto"/>
        <w:ind w:left="1" w:hanging="1"/>
        <w:jc w:val="center"/>
        <w:rPr>
          <w:rFonts w:ascii="Times New Roman" w:hAnsi="Times New Roman" w:cs="Times New Roman"/>
          <w:b/>
          <w:bCs/>
        </w:rPr>
      </w:pPr>
    </w:p>
    <w:p w14:paraId="11FC7B2A" w14:textId="047A0F9C" w:rsidR="00D168D6" w:rsidRDefault="00D168D6" w:rsidP="00CB615C">
      <w:pPr>
        <w:widowControl/>
        <w:spacing w:after="0" w:line="240" w:lineRule="auto"/>
        <w:ind w:left="1" w:hanging="1"/>
        <w:jc w:val="center"/>
        <w:rPr>
          <w:rFonts w:ascii="Times New Roman" w:hAnsi="Times New Roman" w:cs="Times New Roman"/>
          <w:b/>
          <w:bCs/>
        </w:rPr>
      </w:pPr>
    </w:p>
    <w:p w14:paraId="59B581C0" w14:textId="77777777" w:rsidR="00D658ED" w:rsidRDefault="00D658ED" w:rsidP="00CB615C">
      <w:pPr>
        <w:widowControl/>
        <w:spacing w:after="0" w:line="240" w:lineRule="auto"/>
        <w:ind w:left="1" w:hanging="1"/>
        <w:jc w:val="center"/>
        <w:rPr>
          <w:rFonts w:ascii="Times New Roman" w:hAnsi="Times New Roman" w:cs="Times New Roman"/>
          <w:b/>
          <w:bCs/>
        </w:rPr>
      </w:pPr>
    </w:p>
    <w:p w14:paraId="76E04CFE" w14:textId="76E6DEC1" w:rsidR="00447BCF" w:rsidRPr="005E3BF6" w:rsidRDefault="00080994" w:rsidP="00CB615C">
      <w:pPr>
        <w:widowControl/>
        <w:spacing w:after="0" w:line="240" w:lineRule="auto"/>
        <w:ind w:left="1" w:hanging="1"/>
        <w:jc w:val="center"/>
        <w:rPr>
          <w:rFonts w:ascii="Times New Roman" w:hAnsi="Times New Roman" w:cs="Times New Roman"/>
          <w:b/>
          <w:bCs/>
        </w:rPr>
      </w:pPr>
      <w:r>
        <w:rPr>
          <w:rFonts w:ascii="Times New Roman" w:hAnsi="Times New Roman"/>
          <w:b/>
        </w:rPr>
        <w:t>ANNEXE I</w:t>
      </w:r>
    </w:p>
    <w:p w14:paraId="33C7D01F" w14:textId="23F88286" w:rsidR="00447BCF" w:rsidRPr="005E3BF6" w:rsidRDefault="00447BCF" w:rsidP="00CB615C">
      <w:pPr>
        <w:widowControl/>
        <w:spacing w:after="0" w:line="240" w:lineRule="auto"/>
        <w:ind w:left="1" w:hanging="1"/>
        <w:jc w:val="center"/>
        <w:rPr>
          <w:rFonts w:ascii="Times New Roman" w:hAnsi="Times New Roman" w:cs="Times New Roman"/>
          <w:b/>
          <w:bCs/>
        </w:rPr>
      </w:pPr>
    </w:p>
    <w:p w14:paraId="6148BD33" w14:textId="272A00BF" w:rsidR="00D658ED" w:rsidRPr="003E0C02" w:rsidRDefault="00080994" w:rsidP="00CB615C">
      <w:pPr>
        <w:pStyle w:val="Titre1"/>
        <w:widowControl/>
      </w:pPr>
      <w:r w:rsidRPr="003E0C02">
        <w:t>RÉSUMÉ DES CARACTÉRISTIQUES DU PRODUIT</w:t>
      </w:r>
    </w:p>
    <w:p w14:paraId="131E4E24" w14:textId="77777777" w:rsidR="00F7456E" w:rsidRDefault="00F7456E" w:rsidP="00CB615C">
      <w:pPr>
        <w:widowControl/>
        <w:tabs>
          <w:tab w:val="left" w:pos="567"/>
        </w:tabs>
        <w:spacing w:after="0" w:line="240" w:lineRule="auto"/>
        <w:rPr>
          <w:rFonts w:ascii="Times New Roman" w:hAnsi="Times New Roman"/>
          <w:b/>
        </w:rPr>
      </w:pPr>
      <w:r>
        <w:rPr>
          <w:rFonts w:ascii="Times New Roman" w:hAnsi="Times New Roman"/>
          <w:b/>
        </w:rPr>
        <w:br w:type="page"/>
      </w:r>
    </w:p>
    <w:p w14:paraId="6A0784A4" w14:textId="3FD61632" w:rsidR="00FE665E" w:rsidRPr="005E3BF6" w:rsidRDefault="00080994" w:rsidP="00CB615C">
      <w:pPr>
        <w:widowControl/>
        <w:tabs>
          <w:tab w:val="left" w:pos="567"/>
        </w:tabs>
        <w:spacing w:after="0" w:line="240" w:lineRule="auto"/>
        <w:rPr>
          <w:rFonts w:ascii="Times New Roman" w:eastAsia="Times New Roman" w:hAnsi="Times New Roman" w:cs="Times New Roman"/>
        </w:rPr>
      </w:pPr>
      <w:r>
        <w:rPr>
          <w:rFonts w:ascii="Times New Roman" w:hAnsi="Times New Roman"/>
          <w:b/>
        </w:rPr>
        <w:lastRenderedPageBreak/>
        <w:t>1.</w:t>
      </w:r>
      <w:r>
        <w:rPr>
          <w:rFonts w:ascii="Times New Roman" w:hAnsi="Times New Roman"/>
          <w:b/>
        </w:rPr>
        <w:tab/>
        <w:t>DÉNOMINATION DU MÉDICAMENT</w:t>
      </w:r>
      <w:r>
        <w:rPr>
          <w:rFonts w:ascii="Times New Roman" w:hAnsi="Times New Roman"/>
        </w:rPr>
        <w:t xml:space="preserve"> </w:t>
      </w:r>
    </w:p>
    <w:p w14:paraId="3D788A67" w14:textId="77777777" w:rsidR="00FE665E" w:rsidRPr="005E3BF6" w:rsidRDefault="00FE665E" w:rsidP="00CB615C">
      <w:pPr>
        <w:widowControl/>
        <w:spacing w:after="0" w:line="240" w:lineRule="auto"/>
        <w:ind w:left="1"/>
        <w:rPr>
          <w:rFonts w:ascii="Times New Roman" w:eastAsia="Times New Roman" w:hAnsi="Times New Roman" w:cs="Times New Roman"/>
        </w:rPr>
      </w:pPr>
    </w:p>
    <w:p w14:paraId="546270CD" w14:textId="7EFC95BD" w:rsidR="001C7C0E" w:rsidRPr="005E3BF6" w:rsidRDefault="00080994" w:rsidP="00CB615C">
      <w:pPr>
        <w:widowControl/>
        <w:spacing w:after="0" w:line="240" w:lineRule="auto"/>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0,5 mg, gélule</w:t>
      </w:r>
    </w:p>
    <w:p w14:paraId="5F8E4B14" w14:textId="4E2394B7" w:rsidR="001C7C0E" w:rsidRPr="005E3BF6" w:rsidRDefault="001C7C0E" w:rsidP="00CB615C">
      <w:pPr>
        <w:widowControl/>
        <w:spacing w:after="0" w:line="240" w:lineRule="auto"/>
        <w:rPr>
          <w:rFonts w:ascii="Times New Roman" w:hAnsi="Times New Roman" w:cs="Times New Roman"/>
        </w:rPr>
      </w:pPr>
    </w:p>
    <w:p w14:paraId="460D1B2E" w14:textId="77777777" w:rsidR="00BD30B3" w:rsidRPr="005E3BF6" w:rsidRDefault="00BD30B3" w:rsidP="00CB615C">
      <w:pPr>
        <w:widowControl/>
        <w:spacing w:after="0" w:line="240" w:lineRule="auto"/>
        <w:rPr>
          <w:rFonts w:ascii="Times New Roman" w:hAnsi="Times New Roman" w:cs="Times New Roman"/>
        </w:rPr>
      </w:pPr>
    </w:p>
    <w:p w14:paraId="70E3199A"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2.</w:t>
      </w:r>
      <w:r>
        <w:rPr>
          <w:rFonts w:ascii="Times New Roman" w:hAnsi="Times New Roman"/>
          <w:b/>
        </w:rPr>
        <w:tab/>
        <w:t>COMPOSITION QUALITATIVE ET QUANTITATIVE</w:t>
      </w:r>
    </w:p>
    <w:p w14:paraId="535A12E5" w14:textId="77777777" w:rsidR="001C7C0E" w:rsidRPr="005E3BF6" w:rsidRDefault="001C7C0E" w:rsidP="00CB615C">
      <w:pPr>
        <w:widowControl/>
        <w:spacing w:after="0" w:line="240" w:lineRule="auto"/>
        <w:rPr>
          <w:rFonts w:ascii="Times New Roman" w:hAnsi="Times New Roman" w:cs="Times New Roman"/>
        </w:rPr>
      </w:pPr>
    </w:p>
    <w:p w14:paraId="4193AF09" w14:textId="34236CF3" w:rsidR="00C81BAA"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Chaque gélule contient 0,5 mg de </w:t>
      </w:r>
      <w:proofErr w:type="spellStart"/>
      <w:r>
        <w:rPr>
          <w:rFonts w:ascii="Times New Roman" w:hAnsi="Times New Roman"/>
        </w:rPr>
        <w:t>fingolimod</w:t>
      </w:r>
      <w:proofErr w:type="spellEnd"/>
      <w:r>
        <w:rPr>
          <w:rFonts w:ascii="Times New Roman" w:hAnsi="Times New Roman"/>
        </w:rPr>
        <w:t xml:space="preserve"> (sous forme de chlorhydrate). </w:t>
      </w:r>
    </w:p>
    <w:p w14:paraId="59AECFEC" w14:textId="77777777" w:rsidR="00C81BAA" w:rsidRPr="005E3BF6" w:rsidRDefault="00C81BAA" w:rsidP="00CB615C">
      <w:pPr>
        <w:widowControl/>
        <w:spacing w:after="0" w:line="240" w:lineRule="auto"/>
        <w:ind w:left="1"/>
        <w:rPr>
          <w:rFonts w:ascii="Times New Roman" w:eastAsia="Times New Roman" w:hAnsi="Times New Roman" w:cs="Times New Roman"/>
        </w:rPr>
      </w:pPr>
    </w:p>
    <w:p w14:paraId="226B80E7"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Pour la liste complète des excipients, voir rubrique 6.1.</w:t>
      </w:r>
    </w:p>
    <w:p w14:paraId="113CF48A" w14:textId="7FD8805C" w:rsidR="001C7C0E" w:rsidRPr="005E3BF6" w:rsidRDefault="001C7C0E" w:rsidP="00CB615C">
      <w:pPr>
        <w:widowControl/>
        <w:spacing w:after="0" w:line="240" w:lineRule="auto"/>
        <w:rPr>
          <w:rFonts w:ascii="Times New Roman" w:hAnsi="Times New Roman" w:cs="Times New Roman"/>
        </w:rPr>
      </w:pPr>
    </w:p>
    <w:p w14:paraId="2FC142A8" w14:textId="77777777" w:rsidR="00BD30B3" w:rsidRPr="005E3BF6" w:rsidRDefault="00BD30B3" w:rsidP="00CB615C">
      <w:pPr>
        <w:widowControl/>
        <w:spacing w:after="0" w:line="240" w:lineRule="auto"/>
        <w:rPr>
          <w:rFonts w:ascii="Times New Roman" w:hAnsi="Times New Roman" w:cs="Times New Roman"/>
        </w:rPr>
      </w:pPr>
    </w:p>
    <w:p w14:paraId="6A7E04B5"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3.</w:t>
      </w:r>
      <w:r>
        <w:rPr>
          <w:rFonts w:ascii="Times New Roman" w:hAnsi="Times New Roman"/>
          <w:b/>
        </w:rPr>
        <w:tab/>
        <w:t>FORME PHARMACEUTIQUE</w:t>
      </w:r>
    </w:p>
    <w:p w14:paraId="7F8784E4" w14:textId="77777777" w:rsidR="001C7C0E" w:rsidRPr="005E3BF6" w:rsidRDefault="001C7C0E" w:rsidP="00CB615C">
      <w:pPr>
        <w:widowControl/>
        <w:spacing w:after="0" w:line="240" w:lineRule="auto"/>
        <w:rPr>
          <w:rFonts w:ascii="Times New Roman" w:hAnsi="Times New Roman" w:cs="Times New Roman"/>
        </w:rPr>
      </w:pPr>
    </w:p>
    <w:p w14:paraId="0D0229AC" w14:textId="3A46B12B"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Gélule (enveloppe dure)</w:t>
      </w:r>
    </w:p>
    <w:p w14:paraId="2705754A" w14:textId="77777777" w:rsidR="001C7C0E" w:rsidRPr="005E3BF6" w:rsidRDefault="001C7C0E" w:rsidP="00CB615C">
      <w:pPr>
        <w:widowControl/>
        <w:spacing w:after="0" w:line="240" w:lineRule="auto"/>
        <w:rPr>
          <w:rFonts w:ascii="Times New Roman" w:hAnsi="Times New Roman" w:cs="Times New Roman"/>
        </w:rPr>
      </w:pPr>
    </w:p>
    <w:p w14:paraId="17716E81" w14:textId="4E490703" w:rsidR="00EA2697" w:rsidRPr="005E3BF6" w:rsidRDefault="00080994" w:rsidP="00CB615C">
      <w:pPr>
        <w:widowControl/>
        <w:tabs>
          <w:tab w:val="left" w:pos="680"/>
        </w:tabs>
        <w:spacing w:after="0" w:line="240" w:lineRule="auto"/>
        <w:ind w:left="1"/>
        <w:rPr>
          <w:rFonts w:ascii="Times New Roman" w:eastAsia="Times New Roman" w:hAnsi="Times New Roman" w:cs="Times New Roman"/>
          <w:spacing w:val="-1"/>
        </w:rPr>
      </w:pPr>
      <w:bookmarkStart w:id="3" w:name="_Hlk2594024"/>
      <w:r>
        <w:rPr>
          <w:rFonts w:ascii="Times New Roman" w:hAnsi="Times New Roman"/>
        </w:rPr>
        <w:t>Coiffe opaque de couleur brun-orangé et corps opaque blanc, avec l’inscription « MYLAN » imprimée au-dessus de « FD 0.5 » à l’encre noire sur la coiffe et le corps. Dimension : environ 16 mm de long.</w:t>
      </w:r>
    </w:p>
    <w:bookmarkEnd w:id="3"/>
    <w:p w14:paraId="75A8FD70" w14:textId="54A014FE" w:rsidR="00E53C97" w:rsidRPr="005E3BF6" w:rsidRDefault="00E53C97" w:rsidP="00CB615C">
      <w:pPr>
        <w:widowControl/>
        <w:tabs>
          <w:tab w:val="left" w:pos="680"/>
        </w:tabs>
        <w:spacing w:after="0" w:line="240" w:lineRule="auto"/>
        <w:ind w:left="1"/>
        <w:rPr>
          <w:rFonts w:ascii="Times New Roman" w:eastAsia="Times New Roman" w:hAnsi="Times New Roman" w:cs="Times New Roman"/>
          <w:b/>
          <w:bCs/>
        </w:rPr>
      </w:pPr>
    </w:p>
    <w:p w14:paraId="1C524618" w14:textId="77777777" w:rsidR="00AA7D33" w:rsidRPr="005E3BF6" w:rsidRDefault="00AA7D33" w:rsidP="00CB615C">
      <w:pPr>
        <w:widowControl/>
        <w:tabs>
          <w:tab w:val="left" w:pos="680"/>
        </w:tabs>
        <w:spacing w:after="0" w:line="240" w:lineRule="auto"/>
        <w:ind w:left="1"/>
        <w:rPr>
          <w:rFonts w:ascii="Times New Roman" w:eastAsia="Times New Roman" w:hAnsi="Times New Roman" w:cs="Times New Roman"/>
          <w:b/>
          <w:bCs/>
        </w:rPr>
      </w:pPr>
    </w:p>
    <w:p w14:paraId="6F0FA2D4"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4.</w:t>
      </w:r>
      <w:r>
        <w:rPr>
          <w:rFonts w:ascii="Times New Roman" w:hAnsi="Times New Roman"/>
          <w:b/>
        </w:rPr>
        <w:tab/>
        <w:t>INFORMATIONS CLINIQUES</w:t>
      </w:r>
    </w:p>
    <w:p w14:paraId="45E683A5" w14:textId="77777777" w:rsidR="001C7C0E" w:rsidRPr="005E3BF6" w:rsidRDefault="001C7C0E" w:rsidP="00CB615C">
      <w:pPr>
        <w:widowControl/>
        <w:tabs>
          <w:tab w:val="left" w:pos="567"/>
        </w:tabs>
        <w:spacing w:after="0" w:line="240" w:lineRule="auto"/>
        <w:rPr>
          <w:rFonts w:ascii="Times New Roman" w:hAnsi="Times New Roman" w:cs="Times New Roman"/>
        </w:rPr>
      </w:pPr>
    </w:p>
    <w:p w14:paraId="375528AF"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4.1</w:t>
      </w:r>
      <w:r>
        <w:rPr>
          <w:rFonts w:ascii="Times New Roman" w:hAnsi="Times New Roman"/>
          <w:b/>
        </w:rPr>
        <w:tab/>
        <w:t>Indications thérapeutiques</w:t>
      </w:r>
    </w:p>
    <w:p w14:paraId="59068FF3" w14:textId="77777777" w:rsidR="001C7C0E" w:rsidRPr="005E3BF6" w:rsidRDefault="001C7C0E" w:rsidP="00CB615C">
      <w:pPr>
        <w:widowControl/>
        <w:spacing w:after="0" w:line="240" w:lineRule="auto"/>
        <w:rPr>
          <w:rFonts w:ascii="Times New Roman" w:hAnsi="Times New Roman" w:cs="Times New Roman"/>
        </w:rPr>
      </w:pPr>
    </w:p>
    <w:p w14:paraId="6BCD36F7" w14:textId="18F18D5B" w:rsidR="001C7C0E" w:rsidRPr="005E3BF6"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est indiqué en monothérapie comme traitement de fond des formes très actives de sclérose en plaques (SEP) rémittente-récurrente pour les groupes de patients adultes et pédiatriques âgés de 10 ans et plus suivants :</w:t>
      </w:r>
    </w:p>
    <w:p w14:paraId="3AC28BD4" w14:textId="77777777" w:rsidR="001C7C0E" w:rsidRPr="005E3BF6" w:rsidRDefault="001C7C0E" w:rsidP="00CB615C">
      <w:pPr>
        <w:widowControl/>
        <w:spacing w:after="0" w:line="240" w:lineRule="auto"/>
        <w:rPr>
          <w:rFonts w:ascii="Times New Roman" w:hAnsi="Times New Roman" w:cs="Times New Roman"/>
        </w:rPr>
      </w:pPr>
    </w:p>
    <w:p w14:paraId="547B25A5" w14:textId="179758A9" w:rsidR="001C7C0E" w:rsidRPr="006B0BFE" w:rsidRDefault="00080994" w:rsidP="00CB615C">
      <w:pPr>
        <w:pStyle w:val="Paragraphedeliste"/>
        <w:widowControl/>
        <w:numPr>
          <w:ilvl w:val="0"/>
          <w:numId w:val="21"/>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Patients présentant une forme très active de la maladie malgré un traitement complet et bien conduit par au moins un traitement de fond de la sclérose en plaques (pour les exceptions et les informations sur les périodes de relais de traitement </w:t>
      </w:r>
      <w:proofErr w:type="gramStart"/>
      <w:r>
        <w:rPr>
          <w:rFonts w:ascii="Times New Roman" w:hAnsi="Times New Roman"/>
        </w:rPr>
        <w:t>voir</w:t>
      </w:r>
      <w:proofErr w:type="gramEnd"/>
      <w:r>
        <w:rPr>
          <w:rFonts w:ascii="Times New Roman" w:hAnsi="Times New Roman"/>
        </w:rPr>
        <w:t xml:space="preserve"> rubriques 4.4 et 5.1).</w:t>
      </w:r>
    </w:p>
    <w:p w14:paraId="23D0F785" w14:textId="77777777" w:rsidR="00B9376B" w:rsidRDefault="00B9376B" w:rsidP="00CB615C">
      <w:pPr>
        <w:widowControl/>
        <w:tabs>
          <w:tab w:val="left" w:pos="567"/>
        </w:tabs>
        <w:spacing w:after="0" w:line="240" w:lineRule="auto"/>
        <w:ind w:left="567" w:hanging="567"/>
        <w:rPr>
          <w:rFonts w:ascii="Times New Roman" w:eastAsia="Times New Roman" w:hAnsi="Times New Roman" w:cs="Times New Roman"/>
        </w:rPr>
      </w:pPr>
    </w:p>
    <w:p w14:paraId="13601EC9" w14:textId="470A8FF1" w:rsidR="001C7C0E" w:rsidRDefault="00080994" w:rsidP="00CB615C">
      <w:pPr>
        <w:widowControl/>
        <w:tabs>
          <w:tab w:val="left" w:pos="567"/>
        </w:tabs>
        <w:spacing w:after="0" w:line="240" w:lineRule="auto"/>
        <w:ind w:left="567" w:hanging="567"/>
        <w:rPr>
          <w:rFonts w:ascii="Times New Roman" w:eastAsia="Times New Roman" w:hAnsi="Times New Roman" w:cs="Times New Roman"/>
        </w:rPr>
      </w:pPr>
      <w:proofErr w:type="gramStart"/>
      <w:r>
        <w:rPr>
          <w:rFonts w:ascii="Times New Roman" w:hAnsi="Times New Roman"/>
        </w:rPr>
        <w:t>ou</w:t>
      </w:r>
      <w:proofErr w:type="gramEnd"/>
    </w:p>
    <w:p w14:paraId="7B40DC13" w14:textId="77777777" w:rsidR="00B9376B" w:rsidRPr="005E3BF6" w:rsidRDefault="00B9376B" w:rsidP="00CB615C">
      <w:pPr>
        <w:widowControl/>
        <w:tabs>
          <w:tab w:val="left" w:pos="567"/>
        </w:tabs>
        <w:spacing w:after="0" w:line="240" w:lineRule="auto"/>
        <w:ind w:left="567" w:hanging="567"/>
        <w:rPr>
          <w:rFonts w:ascii="Times New Roman" w:eastAsia="Times New Roman" w:hAnsi="Times New Roman" w:cs="Times New Roman"/>
        </w:rPr>
      </w:pPr>
    </w:p>
    <w:p w14:paraId="6989B173" w14:textId="05C8899E" w:rsidR="001C7C0E" w:rsidRPr="006B0BFE" w:rsidRDefault="00080994" w:rsidP="00CB615C">
      <w:pPr>
        <w:pStyle w:val="Paragraphedeliste"/>
        <w:widowControl/>
        <w:numPr>
          <w:ilvl w:val="0"/>
          <w:numId w:val="21"/>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Patients présentant une sclérose en plaques rémittente-récurrente sévère et d’évolution rapide, définie par 2 poussées invalidantes ou plus au cours d’une année associées à 1 ou plusieurs lésion(s) rehaussée(s) après injection de Gadolinium sur l’IRM (imagerie par résonance magnétique) cérébrale ou une augmentation significative de la charge lésionnelle en T2 par rapport à une IRM antérieure récente.</w:t>
      </w:r>
    </w:p>
    <w:p w14:paraId="62697DF7" w14:textId="77777777" w:rsidR="00EA2697" w:rsidRPr="005E3BF6" w:rsidRDefault="00EA2697" w:rsidP="00CB615C">
      <w:pPr>
        <w:widowControl/>
        <w:tabs>
          <w:tab w:val="left" w:pos="680"/>
        </w:tabs>
        <w:spacing w:after="0" w:line="240" w:lineRule="auto"/>
        <w:ind w:left="1"/>
        <w:rPr>
          <w:rFonts w:ascii="Times New Roman" w:eastAsia="Times New Roman" w:hAnsi="Times New Roman" w:cs="Times New Roman"/>
          <w:b/>
          <w:bCs/>
        </w:rPr>
      </w:pPr>
    </w:p>
    <w:p w14:paraId="041249DF"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b/>
          <w:bCs/>
        </w:rPr>
      </w:pPr>
      <w:r>
        <w:rPr>
          <w:rFonts w:ascii="Times New Roman" w:hAnsi="Times New Roman"/>
          <w:b/>
        </w:rPr>
        <w:t>4.2</w:t>
      </w:r>
      <w:r>
        <w:rPr>
          <w:rFonts w:ascii="Times New Roman" w:hAnsi="Times New Roman"/>
          <w:b/>
        </w:rPr>
        <w:tab/>
        <w:t>Posologie et mode d’administration</w:t>
      </w:r>
    </w:p>
    <w:p w14:paraId="4CA89B05" w14:textId="77777777" w:rsidR="00EA2697" w:rsidRPr="005E3BF6" w:rsidRDefault="00EA2697" w:rsidP="00CB615C">
      <w:pPr>
        <w:widowControl/>
        <w:tabs>
          <w:tab w:val="left" w:pos="680"/>
        </w:tabs>
        <w:spacing w:after="0" w:line="240" w:lineRule="auto"/>
        <w:ind w:left="1"/>
        <w:rPr>
          <w:rFonts w:ascii="Times New Roman" w:eastAsia="Times New Roman" w:hAnsi="Times New Roman" w:cs="Times New Roman"/>
        </w:rPr>
      </w:pPr>
    </w:p>
    <w:p w14:paraId="7B4FF2B1" w14:textId="77777777" w:rsidR="00EA2697"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Le traitement doit être instauré et supervisé par un médecin expérimenté dans la prise en charge de la sclérose en plaques.</w:t>
      </w:r>
    </w:p>
    <w:p w14:paraId="451E7560" w14:textId="77777777" w:rsidR="00EA2697" w:rsidRPr="005E3BF6" w:rsidRDefault="00EA2697" w:rsidP="00CB615C">
      <w:pPr>
        <w:widowControl/>
        <w:spacing w:after="0" w:line="240" w:lineRule="auto"/>
        <w:ind w:left="1"/>
        <w:rPr>
          <w:rFonts w:ascii="Times New Roman" w:eastAsia="Times New Roman" w:hAnsi="Times New Roman" w:cs="Times New Roman"/>
        </w:rPr>
      </w:pPr>
    </w:p>
    <w:p w14:paraId="3C89AE21"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Posologie</w:t>
      </w:r>
    </w:p>
    <w:p w14:paraId="08EA020E" w14:textId="77777777" w:rsidR="00EA2697" w:rsidRPr="005E3BF6" w:rsidRDefault="00EA2697" w:rsidP="00CB615C">
      <w:pPr>
        <w:widowControl/>
        <w:spacing w:after="0" w:line="240" w:lineRule="auto"/>
        <w:ind w:left="1"/>
        <w:rPr>
          <w:rFonts w:ascii="Times New Roman" w:eastAsia="Times New Roman" w:hAnsi="Times New Roman" w:cs="Times New Roman"/>
          <w:spacing w:val="-4"/>
        </w:rPr>
      </w:pPr>
    </w:p>
    <w:p w14:paraId="145D934D" w14:textId="0E26CA8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posologie recommandée de </w:t>
      </w:r>
      <w:proofErr w:type="spellStart"/>
      <w:r>
        <w:rPr>
          <w:rFonts w:ascii="Times New Roman" w:hAnsi="Times New Roman"/>
        </w:rPr>
        <w:t>fingolimod</w:t>
      </w:r>
      <w:proofErr w:type="spellEnd"/>
      <w:r>
        <w:rPr>
          <w:rFonts w:ascii="Times New Roman" w:hAnsi="Times New Roman"/>
        </w:rPr>
        <w:t xml:space="preserve"> chez l’adulte est d’une gélule de 0,5 mg par voie orale une fois par jour.</w:t>
      </w:r>
    </w:p>
    <w:p w14:paraId="64E8BDFF" w14:textId="77777777" w:rsidR="001C7C0E" w:rsidRPr="005E3BF6" w:rsidRDefault="001C7C0E" w:rsidP="00CB615C">
      <w:pPr>
        <w:widowControl/>
        <w:spacing w:after="0" w:line="240" w:lineRule="auto"/>
        <w:rPr>
          <w:rFonts w:ascii="Times New Roman" w:hAnsi="Times New Roman" w:cs="Times New Roman"/>
        </w:rPr>
      </w:pPr>
    </w:p>
    <w:p w14:paraId="3673AFEB" w14:textId="795436A8" w:rsidR="005E6B12" w:rsidRDefault="00080994" w:rsidP="00CB615C">
      <w:pPr>
        <w:widowControl/>
        <w:tabs>
          <w:tab w:val="left" w:pos="680"/>
        </w:tabs>
        <w:spacing w:after="0" w:line="240" w:lineRule="auto"/>
        <w:ind w:left="1"/>
        <w:rPr>
          <w:rFonts w:ascii="Times New Roman" w:eastAsia="Times New Roman" w:hAnsi="Times New Roman" w:cs="Times New Roman"/>
          <w:spacing w:val="1"/>
        </w:rPr>
      </w:pPr>
      <w:r>
        <w:rPr>
          <w:rFonts w:ascii="Times New Roman" w:hAnsi="Times New Roman"/>
        </w:rPr>
        <w:t>La posologie recommandée chez les patients pédiatriques (âgés de 10 ans et plus) dépend du poids corporel :</w:t>
      </w:r>
    </w:p>
    <w:p w14:paraId="2C17247E" w14:textId="58995168" w:rsidR="004B1792" w:rsidRPr="00E124D4" w:rsidRDefault="00080994" w:rsidP="00F7456E">
      <w:pPr>
        <w:widowControl/>
        <w:tabs>
          <w:tab w:val="left" w:pos="567"/>
        </w:tabs>
        <w:spacing w:after="0" w:line="240" w:lineRule="auto"/>
        <w:ind w:left="1"/>
        <w:rPr>
          <w:rFonts w:ascii="Times New Roman" w:eastAsia="Times New Roman" w:hAnsi="Times New Roman" w:cs="Times New Roman"/>
        </w:rPr>
      </w:pPr>
      <w:r>
        <w:rPr>
          <w:rFonts w:ascii="Times New Roman" w:hAnsi="Times New Roman"/>
        </w:rPr>
        <w:t>-</w:t>
      </w:r>
      <w:r>
        <w:rPr>
          <w:rFonts w:ascii="Times New Roman" w:hAnsi="Times New Roman"/>
        </w:rPr>
        <w:tab/>
        <w:t xml:space="preserve">Patients pédiatriques ayant un poids corporel ≤ 40 kg : une gélule de 0,25 mg par voie orale une fois par jour. </w:t>
      </w:r>
    </w:p>
    <w:p w14:paraId="62A21EFD" w14:textId="0CD4E624" w:rsidR="001C7C0E" w:rsidRPr="00E124D4" w:rsidRDefault="00080994" w:rsidP="00F7456E">
      <w:pPr>
        <w:widowControl/>
        <w:tabs>
          <w:tab w:val="left" w:pos="567"/>
        </w:tabs>
        <w:spacing w:after="0" w:line="240" w:lineRule="auto"/>
        <w:ind w:left="1"/>
        <w:rPr>
          <w:rFonts w:ascii="Times New Roman" w:eastAsia="Times New Roman" w:hAnsi="Times New Roman" w:cs="Times New Roman"/>
        </w:rPr>
      </w:pPr>
      <w:r>
        <w:rPr>
          <w:rFonts w:ascii="Times New Roman" w:hAnsi="Times New Roman"/>
        </w:rPr>
        <w:t>-</w:t>
      </w:r>
      <w:r>
        <w:rPr>
          <w:rFonts w:ascii="Times New Roman" w:hAnsi="Times New Roman"/>
        </w:rPr>
        <w:tab/>
        <w:t>Patients pédiatriques ayant un poids corporel &gt; 40 kg : une gélule de 0,5 mg par voie orale une fois par jour.</w:t>
      </w:r>
    </w:p>
    <w:p w14:paraId="69366331" w14:textId="7619A704" w:rsidR="005E6B12" w:rsidRDefault="005E6B12" w:rsidP="00CB615C">
      <w:pPr>
        <w:widowControl/>
        <w:spacing w:after="0" w:line="240" w:lineRule="auto"/>
        <w:rPr>
          <w:rFonts w:ascii="Times New Roman" w:hAnsi="Times New Roman" w:cs="Times New Roman"/>
        </w:rPr>
      </w:pPr>
    </w:p>
    <w:p w14:paraId="42F49458" w14:textId="344CE4E4" w:rsidR="00E124D4" w:rsidRPr="005E6B12" w:rsidRDefault="00080994" w:rsidP="00CB615C">
      <w:pPr>
        <w:widowControl/>
        <w:spacing w:after="0" w:line="240" w:lineRule="auto"/>
        <w:rPr>
          <w:rFonts w:ascii="Times New Roman" w:hAnsi="Times New Roman" w:cs="Times New Roman"/>
        </w:rPr>
      </w:pPr>
      <w:r>
        <w:rPr>
          <w:rFonts w:ascii="Times New Roman" w:hAnsi="Times New Roman"/>
        </w:rPr>
        <w:lastRenderedPageBreak/>
        <w:t>Les patients pédiatriques qui débutent leur traitement avec des gélules de 0,25 mg et qui atteignent ensuite un poids stable supérieur à</w:t>
      </w:r>
      <w:r w:rsidR="005523D3">
        <w:rPr>
          <w:rFonts w:ascii="Times New Roman" w:hAnsi="Times New Roman"/>
        </w:rPr>
        <w:t xml:space="preserve"> </w:t>
      </w:r>
      <w:r>
        <w:rPr>
          <w:rFonts w:ascii="Times New Roman" w:hAnsi="Times New Roman"/>
        </w:rPr>
        <w:t>40 kg doivent poursuivre leur traitement avec des gélules de 0,5 mg.</w:t>
      </w:r>
    </w:p>
    <w:p w14:paraId="3BEBD6A6" w14:textId="77777777" w:rsidR="00E124D4" w:rsidRPr="005E6B12" w:rsidRDefault="00E124D4" w:rsidP="00CB615C">
      <w:pPr>
        <w:widowControl/>
        <w:spacing w:after="0" w:line="240" w:lineRule="auto"/>
        <w:rPr>
          <w:rFonts w:ascii="Times New Roman" w:hAnsi="Times New Roman" w:cs="Times New Roman"/>
        </w:rPr>
      </w:pPr>
    </w:p>
    <w:p w14:paraId="65D0C67F" w14:textId="654C97E3" w:rsidR="00E124D4" w:rsidRDefault="00080994" w:rsidP="00CB615C">
      <w:pPr>
        <w:widowControl/>
        <w:spacing w:after="0" w:line="240" w:lineRule="auto"/>
        <w:rPr>
          <w:rFonts w:ascii="Times New Roman" w:hAnsi="Times New Roman" w:cs="Times New Roman"/>
        </w:rPr>
      </w:pPr>
      <w:r>
        <w:rPr>
          <w:rFonts w:ascii="Times New Roman" w:hAnsi="Times New Roman"/>
        </w:rPr>
        <w:t>Lors du passage d’une dose quotidienne de 0,25 mg à 0,5 mg, il est recommandé de répéter les mêmes</w:t>
      </w:r>
      <w:r w:rsidR="005523D3">
        <w:rPr>
          <w:rFonts w:ascii="Times New Roman" w:hAnsi="Times New Roman"/>
        </w:rPr>
        <w:t xml:space="preserve"> </w:t>
      </w:r>
      <w:r>
        <w:rPr>
          <w:rFonts w:ascii="Times New Roman" w:hAnsi="Times New Roman"/>
        </w:rPr>
        <w:t>mesures de surveillance que celles de l’administration de la première dose.</w:t>
      </w:r>
    </w:p>
    <w:p w14:paraId="37EDD922" w14:textId="77777777" w:rsidR="00053910" w:rsidRDefault="00053910" w:rsidP="00CB615C">
      <w:pPr>
        <w:widowControl/>
        <w:spacing w:after="0" w:line="240" w:lineRule="auto"/>
        <w:rPr>
          <w:rFonts w:ascii="Times New Roman" w:hAnsi="Times New Roman" w:cs="Times New Roman"/>
        </w:rPr>
      </w:pPr>
    </w:p>
    <w:p w14:paraId="43FA9DDC" w14:textId="300A8148" w:rsidR="00F17E8A" w:rsidRPr="005E3BF6" w:rsidRDefault="00080994" w:rsidP="00CB615C">
      <w:pPr>
        <w:widowControl/>
        <w:spacing w:after="0" w:line="240" w:lineRule="auto"/>
        <w:rPr>
          <w:rFonts w:ascii="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n’est pas disponible en dosage de 0,25 mg. Pour ce dosage, il convient d’utiliser d’autres médicaments contenant du </w:t>
      </w:r>
      <w:proofErr w:type="spellStart"/>
      <w:r>
        <w:rPr>
          <w:rFonts w:ascii="Times New Roman" w:hAnsi="Times New Roman"/>
        </w:rPr>
        <w:t>fingolimod</w:t>
      </w:r>
      <w:proofErr w:type="spellEnd"/>
      <w:r>
        <w:rPr>
          <w:rFonts w:ascii="Times New Roman" w:hAnsi="Times New Roman"/>
        </w:rPr>
        <w:t xml:space="preserve"> disponibles sur le marché.</w:t>
      </w:r>
    </w:p>
    <w:p w14:paraId="008881DF" w14:textId="77777777" w:rsidR="00053910" w:rsidRDefault="00053910" w:rsidP="00CB615C">
      <w:pPr>
        <w:widowControl/>
        <w:spacing w:after="0" w:line="240" w:lineRule="auto"/>
        <w:ind w:left="1"/>
        <w:rPr>
          <w:rFonts w:ascii="Times New Roman" w:eastAsia="Times New Roman" w:hAnsi="Times New Roman" w:cs="Times New Roman"/>
          <w:spacing w:val="-1"/>
        </w:rPr>
      </w:pPr>
    </w:p>
    <w:p w14:paraId="5198675C"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Des mesures de surveillance identiques à celles de l’administration de la première dose sont recommandées lorsque le traitement est interrompu pendant :</w:t>
      </w:r>
    </w:p>
    <w:p w14:paraId="5EC22869" w14:textId="40922999" w:rsidR="001C7C0E" w:rsidRPr="006B0BFE" w:rsidRDefault="00080994" w:rsidP="00CB615C">
      <w:pPr>
        <w:pStyle w:val="Paragraphedeliste"/>
        <w:widowControl/>
        <w:numPr>
          <w:ilvl w:val="0"/>
          <w:numId w:val="22"/>
        </w:numPr>
        <w:spacing w:after="0" w:line="240" w:lineRule="auto"/>
        <w:ind w:left="567" w:hanging="567"/>
        <w:rPr>
          <w:rFonts w:ascii="Times New Roman" w:eastAsia="Times New Roman" w:hAnsi="Times New Roman" w:cs="Times New Roman"/>
        </w:rPr>
      </w:pPr>
      <w:proofErr w:type="gramStart"/>
      <w:r>
        <w:rPr>
          <w:rFonts w:ascii="Times New Roman" w:hAnsi="Times New Roman"/>
        </w:rPr>
        <w:t>un</w:t>
      </w:r>
      <w:proofErr w:type="gramEnd"/>
      <w:r>
        <w:rPr>
          <w:rFonts w:ascii="Times New Roman" w:hAnsi="Times New Roman"/>
        </w:rPr>
        <w:t xml:space="preserve"> jour ou plus au cours des 2 premières semaines de traitement.</w:t>
      </w:r>
    </w:p>
    <w:p w14:paraId="599524E0" w14:textId="33176D54" w:rsidR="001C7C0E" w:rsidRPr="006B0BFE" w:rsidRDefault="00080994" w:rsidP="00CB615C">
      <w:pPr>
        <w:pStyle w:val="Paragraphedeliste"/>
        <w:widowControl/>
        <w:numPr>
          <w:ilvl w:val="0"/>
          <w:numId w:val="22"/>
        </w:numPr>
        <w:spacing w:after="0" w:line="240" w:lineRule="auto"/>
        <w:ind w:left="567" w:hanging="567"/>
        <w:rPr>
          <w:rFonts w:ascii="Times New Roman" w:eastAsia="Times New Roman" w:hAnsi="Times New Roman" w:cs="Times New Roman"/>
        </w:rPr>
      </w:pPr>
      <w:proofErr w:type="gramStart"/>
      <w:r>
        <w:rPr>
          <w:rFonts w:ascii="Times New Roman" w:hAnsi="Times New Roman"/>
        </w:rPr>
        <w:t>plus</w:t>
      </w:r>
      <w:proofErr w:type="gramEnd"/>
      <w:r>
        <w:rPr>
          <w:rFonts w:ascii="Times New Roman" w:hAnsi="Times New Roman"/>
        </w:rPr>
        <w:t xml:space="preserve"> de 7 jours au cours des 3</w:t>
      </w:r>
      <w:r>
        <w:rPr>
          <w:rFonts w:ascii="Times New Roman" w:hAnsi="Times New Roman"/>
          <w:vertAlign w:val="superscript"/>
        </w:rPr>
        <w:t>e</w:t>
      </w:r>
      <w:r>
        <w:rPr>
          <w:rFonts w:ascii="Times New Roman" w:hAnsi="Times New Roman"/>
        </w:rPr>
        <w:t xml:space="preserve"> et 4</w:t>
      </w:r>
      <w:r>
        <w:rPr>
          <w:rFonts w:ascii="Times New Roman" w:hAnsi="Times New Roman"/>
          <w:vertAlign w:val="superscript"/>
        </w:rPr>
        <w:t>e</w:t>
      </w:r>
      <w:r>
        <w:rPr>
          <w:rFonts w:ascii="Times New Roman" w:hAnsi="Times New Roman"/>
        </w:rPr>
        <w:t> semaines de traitement.</w:t>
      </w:r>
    </w:p>
    <w:p w14:paraId="49B49252" w14:textId="174818CE" w:rsidR="001C7C0E" w:rsidRPr="006B0BFE" w:rsidRDefault="00080994" w:rsidP="00CB615C">
      <w:pPr>
        <w:pStyle w:val="Paragraphedeliste"/>
        <w:widowControl/>
        <w:numPr>
          <w:ilvl w:val="0"/>
          <w:numId w:val="22"/>
        </w:numPr>
        <w:spacing w:after="0" w:line="240" w:lineRule="auto"/>
        <w:ind w:left="567" w:hanging="567"/>
        <w:rPr>
          <w:rFonts w:ascii="Times New Roman" w:eastAsia="Times New Roman" w:hAnsi="Times New Roman" w:cs="Times New Roman"/>
        </w:rPr>
      </w:pPr>
      <w:proofErr w:type="gramStart"/>
      <w:r>
        <w:rPr>
          <w:rFonts w:ascii="Times New Roman" w:hAnsi="Times New Roman"/>
        </w:rPr>
        <w:t>plus</w:t>
      </w:r>
      <w:proofErr w:type="gramEnd"/>
      <w:r>
        <w:rPr>
          <w:rFonts w:ascii="Times New Roman" w:hAnsi="Times New Roman"/>
        </w:rPr>
        <w:t xml:space="preserve"> de 2 semaines après un mois de traitement.</w:t>
      </w:r>
    </w:p>
    <w:p w14:paraId="79C579D3" w14:textId="77777777" w:rsidR="00764794" w:rsidRDefault="00764794" w:rsidP="00CB615C">
      <w:pPr>
        <w:widowControl/>
        <w:spacing w:after="0" w:line="240" w:lineRule="auto"/>
        <w:ind w:left="1"/>
        <w:rPr>
          <w:rFonts w:ascii="Times New Roman" w:eastAsia="Times New Roman" w:hAnsi="Times New Roman" w:cs="Times New Roman"/>
          <w:spacing w:val="-4"/>
        </w:rPr>
      </w:pPr>
    </w:p>
    <w:p w14:paraId="2F5E31AD" w14:textId="1AE90DD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Si l’arrêt du traitement est d’une durée inférieure à ce qui est mentionné ci-dessus, le traitement doit être poursuivi en prenant la dose suivante comme prévu (voir rubrique 4.4).</w:t>
      </w:r>
    </w:p>
    <w:p w14:paraId="4BA4842D" w14:textId="77777777" w:rsidR="001C7C0E" w:rsidRPr="005E3BF6" w:rsidRDefault="001C7C0E" w:rsidP="00CB615C">
      <w:pPr>
        <w:widowControl/>
        <w:spacing w:after="0" w:line="240" w:lineRule="auto"/>
        <w:rPr>
          <w:rFonts w:ascii="Times New Roman" w:hAnsi="Times New Roman" w:cs="Times New Roman"/>
        </w:rPr>
      </w:pPr>
    </w:p>
    <w:p w14:paraId="016F9362"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Populations particulières</w:t>
      </w:r>
    </w:p>
    <w:p w14:paraId="3075D2B2" w14:textId="77777777" w:rsidR="001C7C0E" w:rsidRPr="005E3BF6" w:rsidRDefault="001C7C0E" w:rsidP="00CB615C">
      <w:pPr>
        <w:widowControl/>
        <w:spacing w:after="0" w:line="240" w:lineRule="auto"/>
        <w:rPr>
          <w:rFonts w:ascii="Times New Roman" w:hAnsi="Times New Roman" w:cs="Times New Roman"/>
        </w:rPr>
      </w:pPr>
    </w:p>
    <w:p w14:paraId="3320C411" w14:textId="551D1E9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u w:color="000000"/>
        </w:rPr>
        <w:t xml:space="preserve">Patients âgés </w:t>
      </w:r>
    </w:p>
    <w:p w14:paraId="0B0E9782" w14:textId="592C34D1" w:rsidR="001C7C0E" w:rsidRPr="005E3BF6"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doit être administré avec prudence chez les patients âgés de 65 ans ou plus en raison de l’insuffisance de données concernant la sécurité et l’efficacité (voir rubrique 5.2).</w:t>
      </w:r>
    </w:p>
    <w:p w14:paraId="49D71175" w14:textId="77777777" w:rsidR="001C7C0E" w:rsidRPr="005E3BF6" w:rsidRDefault="001C7C0E" w:rsidP="00CB615C">
      <w:pPr>
        <w:widowControl/>
        <w:spacing w:after="0" w:line="240" w:lineRule="auto"/>
        <w:rPr>
          <w:rFonts w:ascii="Times New Roman" w:hAnsi="Times New Roman" w:cs="Times New Roman"/>
        </w:rPr>
      </w:pPr>
    </w:p>
    <w:p w14:paraId="5AC592AD"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u w:color="000000"/>
        </w:rPr>
        <w:t>Insuffisance rénale</w:t>
      </w:r>
    </w:p>
    <w:p w14:paraId="6898DED9" w14:textId="1D5A1E8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n’a pas été étudié chez les patients atteints d’insuffisance rénale dans les études pivots sur la sclérose en plaques. Sur la base des études de pharmacologie clinique, aucune adaptation posologique n’est nécessaire chez les patients présentant une insuffisance rénale légère à sévère.</w:t>
      </w:r>
    </w:p>
    <w:p w14:paraId="4BAA092B" w14:textId="77777777" w:rsidR="001C7C0E" w:rsidRPr="005E3BF6" w:rsidRDefault="001C7C0E" w:rsidP="00CB615C">
      <w:pPr>
        <w:widowControl/>
        <w:spacing w:after="0" w:line="240" w:lineRule="auto"/>
        <w:rPr>
          <w:rFonts w:ascii="Times New Roman" w:hAnsi="Times New Roman" w:cs="Times New Roman"/>
        </w:rPr>
      </w:pPr>
    </w:p>
    <w:p w14:paraId="552E8465"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u w:color="000000"/>
        </w:rPr>
        <w:t>Insuffisance hépatique</w:t>
      </w:r>
    </w:p>
    <w:p w14:paraId="749A055C" w14:textId="7B7A6F0C" w:rsidR="001C7C0E" w:rsidRPr="005E3BF6"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ne doit pas être administré chez les patients atteints d’insuffisance hépatique sévère (classe C de Child-</w:t>
      </w:r>
      <w:proofErr w:type="spellStart"/>
      <w:r>
        <w:rPr>
          <w:rFonts w:ascii="Times New Roman" w:hAnsi="Times New Roman"/>
        </w:rPr>
        <w:t>Pugh</w:t>
      </w:r>
      <w:proofErr w:type="spellEnd"/>
      <w:r>
        <w:rPr>
          <w:rFonts w:ascii="Times New Roman" w:hAnsi="Times New Roman"/>
        </w:rPr>
        <w:t>) (voir rubrique 4.3). Bien qu’aucune adaptation posologique ne soit nécessaire chez les patients présentant une insuffisance hépatique légère ou modérée, le traitement doit être instauré avec prudence chez ces patients (voir rubriques 4.4 et 5.2).</w:t>
      </w:r>
    </w:p>
    <w:p w14:paraId="53CC7F20" w14:textId="77777777" w:rsidR="001C7C0E" w:rsidRPr="005E3BF6" w:rsidRDefault="001C7C0E" w:rsidP="00CB615C">
      <w:pPr>
        <w:widowControl/>
        <w:spacing w:after="0" w:line="240" w:lineRule="auto"/>
        <w:rPr>
          <w:rFonts w:ascii="Times New Roman" w:hAnsi="Times New Roman" w:cs="Times New Roman"/>
        </w:rPr>
      </w:pPr>
    </w:p>
    <w:p w14:paraId="00002AE8"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u w:color="000000"/>
        </w:rPr>
        <w:t>Population pédiatrique</w:t>
      </w:r>
    </w:p>
    <w:p w14:paraId="3B5F52AF" w14:textId="0F2A9EBA" w:rsidR="00573462" w:rsidRDefault="00080994" w:rsidP="007641E1">
      <w:pPr>
        <w:widowControl/>
        <w:spacing w:after="0" w:line="240" w:lineRule="auto"/>
        <w:ind w:left="1"/>
        <w:rPr>
          <w:rFonts w:ascii="Times New Roman" w:eastAsia="Times New Roman" w:hAnsi="Times New Roman" w:cs="Times New Roman"/>
        </w:rPr>
      </w:pPr>
      <w:r>
        <w:rPr>
          <w:rFonts w:ascii="Times New Roman" w:hAnsi="Times New Roman"/>
        </w:rPr>
        <w:t>Les données disponibles chez les enfants âgés de 10 à 12 ans sont très limitées (voir rubriques 4.4, 4.8 et</w:t>
      </w:r>
      <w:r w:rsidR="007641E1">
        <w:rPr>
          <w:rFonts w:ascii="Times New Roman" w:hAnsi="Times New Roman"/>
        </w:rPr>
        <w:t xml:space="preserve"> </w:t>
      </w:r>
      <w:r>
        <w:rPr>
          <w:rFonts w:ascii="Times New Roman" w:hAnsi="Times New Roman"/>
        </w:rPr>
        <w:t>5.1).</w:t>
      </w:r>
    </w:p>
    <w:p w14:paraId="06710ED4" w14:textId="77777777" w:rsidR="00573462" w:rsidRDefault="00573462" w:rsidP="00CB615C">
      <w:pPr>
        <w:widowControl/>
        <w:spacing w:after="0" w:line="240" w:lineRule="auto"/>
        <w:ind w:left="1"/>
        <w:rPr>
          <w:rFonts w:ascii="Times New Roman" w:eastAsia="Times New Roman" w:hAnsi="Times New Roman" w:cs="Times New Roman"/>
        </w:rPr>
      </w:pPr>
    </w:p>
    <w:p w14:paraId="217AB078" w14:textId="7B321D1B"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sécurité et l’efficacité du </w:t>
      </w:r>
      <w:proofErr w:type="spellStart"/>
      <w:r>
        <w:rPr>
          <w:rFonts w:ascii="Times New Roman" w:hAnsi="Times New Roman"/>
        </w:rPr>
        <w:t>fingolimod</w:t>
      </w:r>
      <w:proofErr w:type="spellEnd"/>
      <w:r>
        <w:rPr>
          <w:rFonts w:ascii="Times New Roman" w:hAnsi="Times New Roman"/>
        </w:rPr>
        <w:t xml:space="preserve"> chez les enfants âgés de moins de 10 ans n’ont pas encore été établies. Aucune donnée n’est disponible.</w:t>
      </w:r>
    </w:p>
    <w:p w14:paraId="7AD0A92F" w14:textId="77777777" w:rsidR="001C7C0E" w:rsidRPr="005E3BF6" w:rsidRDefault="001C7C0E" w:rsidP="00CB615C">
      <w:pPr>
        <w:widowControl/>
        <w:spacing w:after="0" w:line="240" w:lineRule="auto"/>
        <w:rPr>
          <w:rFonts w:ascii="Times New Roman" w:hAnsi="Times New Roman" w:cs="Times New Roman"/>
        </w:rPr>
      </w:pPr>
    </w:p>
    <w:p w14:paraId="3BD80C68"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Mode d’administration</w:t>
      </w:r>
    </w:p>
    <w:p w14:paraId="6A60D522" w14:textId="77777777" w:rsidR="001C7C0E" w:rsidRPr="005E3BF6" w:rsidRDefault="001C7C0E" w:rsidP="00CB615C">
      <w:pPr>
        <w:widowControl/>
        <w:spacing w:after="0" w:line="240" w:lineRule="auto"/>
        <w:rPr>
          <w:rFonts w:ascii="Times New Roman" w:hAnsi="Times New Roman" w:cs="Times New Roman"/>
        </w:rPr>
      </w:pPr>
    </w:p>
    <w:p w14:paraId="1FDD7403" w14:textId="248C157E" w:rsidR="001C7C0E"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Ce médicament est destiné à la voie orale.</w:t>
      </w:r>
    </w:p>
    <w:p w14:paraId="54FE4610" w14:textId="77777777" w:rsidR="003D43AB" w:rsidRDefault="003D43AB" w:rsidP="00CB615C">
      <w:pPr>
        <w:widowControl/>
        <w:spacing w:after="0" w:line="240" w:lineRule="auto"/>
        <w:ind w:left="1"/>
        <w:rPr>
          <w:rFonts w:ascii="Times New Roman" w:eastAsia="Times New Roman" w:hAnsi="Times New Roman" w:cs="Times New Roman"/>
          <w:spacing w:val="-1"/>
        </w:rPr>
      </w:pPr>
    </w:p>
    <w:p w14:paraId="70D16866" w14:textId="598EC3E6" w:rsidR="003D43AB" w:rsidRPr="005E3BF6"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peut être pris au cours ou en dehors des repas (voir rubrique 5.2).</w:t>
      </w:r>
    </w:p>
    <w:p w14:paraId="2C9F0352" w14:textId="476D62D3" w:rsidR="003D43AB" w:rsidRPr="005E3BF6" w:rsidRDefault="003D43AB" w:rsidP="00CB615C">
      <w:pPr>
        <w:widowControl/>
        <w:spacing w:after="0" w:line="240" w:lineRule="auto"/>
        <w:rPr>
          <w:rFonts w:ascii="Times New Roman" w:hAnsi="Times New Roman" w:cs="Times New Roman"/>
        </w:rPr>
      </w:pPr>
    </w:p>
    <w:p w14:paraId="2D2147EF" w14:textId="6B4F3AC7" w:rsidR="003D43AB"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Les gélules doivent toujours être avalées entières, sans les ouvrir.</w:t>
      </w:r>
    </w:p>
    <w:p w14:paraId="0DB857D5" w14:textId="77777777" w:rsidR="001C7C0E" w:rsidRPr="005E3BF6" w:rsidRDefault="001C7C0E" w:rsidP="00CB615C">
      <w:pPr>
        <w:widowControl/>
        <w:spacing w:after="0" w:line="240" w:lineRule="auto"/>
        <w:rPr>
          <w:rFonts w:ascii="Times New Roman" w:hAnsi="Times New Roman" w:cs="Times New Roman"/>
        </w:rPr>
      </w:pPr>
    </w:p>
    <w:p w14:paraId="740E3774"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4.3</w:t>
      </w:r>
      <w:r>
        <w:rPr>
          <w:rFonts w:ascii="Times New Roman" w:hAnsi="Times New Roman"/>
          <w:b/>
        </w:rPr>
        <w:tab/>
        <w:t>Contre-indications</w:t>
      </w:r>
    </w:p>
    <w:p w14:paraId="60725C5E" w14:textId="77777777" w:rsidR="001C7C0E" w:rsidRPr="005E3BF6" w:rsidRDefault="001C7C0E" w:rsidP="00CB615C">
      <w:pPr>
        <w:widowControl/>
        <w:spacing w:after="0" w:line="240" w:lineRule="auto"/>
        <w:rPr>
          <w:rFonts w:ascii="Times New Roman" w:hAnsi="Times New Roman" w:cs="Times New Roman"/>
        </w:rPr>
      </w:pPr>
    </w:p>
    <w:p w14:paraId="25FFE9BA" w14:textId="77777777" w:rsidR="00562A4B" w:rsidRPr="005E3BF6" w:rsidRDefault="00080994" w:rsidP="00CB615C">
      <w:pPr>
        <w:pStyle w:val="Paragraphedeliste"/>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Hypersensibilité à la substance active ou à l’un des excipients mentionnés à la rubrique 6.1.</w:t>
      </w:r>
    </w:p>
    <w:p w14:paraId="1E4E6C79" w14:textId="2A8DA8A1" w:rsidR="001C7C0E" w:rsidRPr="00FB2C50" w:rsidRDefault="00080994" w:rsidP="00CB615C">
      <w:pPr>
        <w:pStyle w:val="Paragraphedeliste"/>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Syndrome d’immunodéficience.</w:t>
      </w:r>
    </w:p>
    <w:p w14:paraId="41A42E21" w14:textId="77777777" w:rsidR="001C7C0E" w:rsidRPr="00107057" w:rsidRDefault="00080994" w:rsidP="00CB615C">
      <w:pPr>
        <w:pStyle w:val="Paragraphedeliste"/>
        <w:widowControl/>
        <w:numPr>
          <w:ilvl w:val="0"/>
          <w:numId w:val="20"/>
        </w:numPr>
        <w:spacing w:after="0" w:line="240" w:lineRule="auto"/>
        <w:ind w:left="567" w:hanging="567"/>
        <w:rPr>
          <w:rFonts w:ascii="Times New Roman" w:hAnsi="Times New Roman" w:cs="Times New Roman"/>
        </w:rPr>
      </w:pPr>
      <w:r>
        <w:rPr>
          <w:rFonts w:ascii="Times New Roman" w:hAnsi="Times New Roman"/>
        </w:rPr>
        <w:lastRenderedPageBreak/>
        <w:t xml:space="preserve">Patients ayant un risque accru d’infections opportunistes, en particulier les patients présentant </w:t>
      </w:r>
      <w:r w:rsidRPr="00107057">
        <w:rPr>
          <w:rFonts w:ascii="Times New Roman" w:hAnsi="Times New Roman" w:cs="Times New Roman"/>
        </w:rPr>
        <w:t>une immunodéficience (incluant les patients recevant un traitement immunosuppresseur ou les patients immunodéprimés par un traitement antérieur).</w:t>
      </w:r>
    </w:p>
    <w:p w14:paraId="6C4684FD" w14:textId="70CBD517" w:rsidR="00923002" w:rsidRPr="00107057" w:rsidRDefault="00923002" w:rsidP="00CB615C">
      <w:pPr>
        <w:pStyle w:val="Paragraphedeliste"/>
        <w:widowControl/>
        <w:numPr>
          <w:ilvl w:val="0"/>
          <w:numId w:val="20"/>
        </w:numPr>
        <w:spacing w:after="0" w:line="240" w:lineRule="auto"/>
        <w:ind w:left="567" w:hanging="567"/>
        <w:rPr>
          <w:rFonts w:ascii="Times New Roman" w:hAnsi="Times New Roman" w:cs="Times New Roman"/>
        </w:rPr>
      </w:pPr>
      <w:proofErr w:type="spellStart"/>
      <w:r w:rsidRPr="00107057">
        <w:rPr>
          <w:rFonts w:ascii="Times New Roman" w:hAnsi="Times New Roman" w:cs="Times New Roman"/>
        </w:rPr>
        <w:t>Leucoencéphalopathie</w:t>
      </w:r>
      <w:proofErr w:type="spellEnd"/>
      <w:r w:rsidRPr="00107057">
        <w:rPr>
          <w:rFonts w:ascii="Times New Roman" w:hAnsi="Times New Roman" w:cs="Times New Roman"/>
        </w:rPr>
        <w:t xml:space="preserve"> multifocale progressive (LEMP) suspectée ou confirmée (voir rubrique 4.4).</w:t>
      </w:r>
    </w:p>
    <w:p w14:paraId="12A7A2C5" w14:textId="77777777" w:rsidR="0099143D" w:rsidRPr="00107057" w:rsidRDefault="00080994" w:rsidP="00CB615C">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07057">
        <w:rPr>
          <w:rFonts w:ascii="Times New Roman" w:hAnsi="Times New Roman" w:cs="Times New Roman"/>
        </w:rPr>
        <w:t xml:space="preserve">Infections actives sévères, infections chroniques actives (hépatite, tuberculose). </w:t>
      </w:r>
    </w:p>
    <w:p w14:paraId="528A8F77" w14:textId="3F3C782E" w:rsidR="001C7C0E" w:rsidRPr="00107057" w:rsidRDefault="00080994" w:rsidP="00CB615C">
      <w:pPr>
        <w:pStyle w:val="Paragraphedeliste"/>
        <w:widowControl/>
        <w:numPr>
          <w:ilvl w:val="0"/>
          <w:numId w:val="20"/>
        </w:numPr>
        <w:spacing w:after="0" w:line="240" w:lineRule="auto"/>
        <w:ind w:left="567" w:hanging="567"/>
        <w:rPr>
          <w:rFonts w:ascii="Times New Roman" w:eastAsia="Times New Roman" w:hAnsi="Times New Roman" w:cs="Times New Roman"/>
        </w:rPr>
      </w:pPr>
      <w:r w:rsidRPr="00107057">
        <w:rPr>
          <w:rFonts w:ascii="Times New Roman" w:hAnsi="Times New Roman" w:cs="Times New Roman"/>
        </w:rPr>
        <w:t>Cancers en évolution.</w:t>
      </w:r>
    </w:p>
    <w:p w14:paraId="28AE9C27" w14:textId="77777777" w:rsidR="001C7C0E" w:rsidRPr="00FB2C50" w:rsidRDefault="00080994" w:rsidP="00CB615C">
      <w:pPr>
        <w:pStyle w:val="Paragraphedeliste"/>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Insuffisance hépatique sévère (classe C de Child-</w:t>
      </w:r>
      <w:proofErr w:type="spellStart"/>
      <w:r>
        <w:rPr>
          <w:rFonts w:ascii="Times New Roman" w:hAnsi="Times New Roman"/>
        </w:rPr>
        <w:t>Pugh</w:t>
      </w:r>
      <w:proofErr w:type="spellEnd"/>
      <w:r>
        <w:rPr>
          <w:rFonts w:ascii="Times New Roman" w:hAnsi="Times New Roman"/>
        </w:rPr>
        <w:t>).</w:t>
      </w:r>
    </w:p>
    <w:p w14:paraId="4DA9486D" w14:textId="6C420D67" w:rsidR="001C7C0E" w:rsidRPr="00FB2C50" w:rsidRDefault="00080994" w:rsidP="00CB615C">
      <w:pPr>
        <w:pStyle w:val="Paragraphedeliste"/>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 xml:space="preserve">Patients ayant présenté dans les 6 derniers mois un infarctus du myocarde (IM), un angor instable, un accident vasculaire cérébral (AVC)/accident ischémique transitoire (AIT), une insuffisance cardiaque décompensée (nécessitant une hospitalisation), ou une insuffisance cardiaque de classe III/IV selon la New York </w:t>
      </w:r>
      <w:proofErr w:type="spellStart"/>
      <w:r>
        <w:rPr>
          <w:rFonts w:ascii="Times New Roman" w:hAnsi="Times New Roman"/>
        </w:rPr>
        <w:t>Heart</w:t>
      </w:r>
      <w:proofErr w:type="spellEnd"/>
      <w:r>
        <w:rPr>
          <w:rFonts w:ascii="Times New Roman" w:hAnsi="Times New Roman"/>
        </w:rPr>
        <w:t xml:space="preserve"> Association (NYHA) (voir rubrique 4.4).</w:t>
      </w:r>
    </w:p>
    <w:p w14:paraId="787DB5EE" w14:textId="68C6F020" w:rsidR="001C7C0E" w:rsidRPr="00FB2C50" w:rsidRDefault="00080994" w:rsidP="00CB615C">
      <w:pPr>
        <w:pStyle w:val="Paragraphedeliste"/>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 xml:space="preserve">Patients présentant des arythmies cardiaques sévères nécessitant un traitement par des médicaments </w:t>
      </w:r>
      <w:proofErr w:type="spellStart"/>
      <w:r>
        <w:rPr>
          <w:rFonts w:ascii="Times New Roman" w:hAnsi="Times New Roman"/>
        </w:rPr>
        <w:t>anti-arythmiques</w:t>
      </w:r>
      <w:proofErr w:type="spellEnd"/>
      <w:r>
        <w:rPr>
          <w:rFonts w:ascii="Times New Roman" w:hAnsi="Times New Roman"/>
        </w:rPr>
        <w:t xml:space="preserve"> de classe Ia ou de classe III (voir rubrique 4.4).</w:t>
      </w:r>
    </w:p>
    <w:p w14:paraId="09B96752" w14:textId="77777777" w:rsidR="001C7C0E" w:rsidRPr="00FB2C50" w:rsidRDefault="00080994" w:rsidP="00CB615C">
      <w:pPr>
        <w:pStyle w:val="Paragraphedeliste"/>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 xml:space="preserve">Patients présentant un bloc auriculo-ventriculaire (AV) du second degré de type </w:t>
      </w:r>
      <w:proofErr w:type="spellStart"/>
      <w:r>
        <w:rPr>
          <w:rFonts w:ascii="Times New Roman" w:hAnsi="Times New Roman"/>
        </w:rPr>
        <w:t>Mobitz</w:t>
      </w:r>
      <w:proofErr w:type="spellEnd"/>
      <w:r>
        <w:rPr>
          <w:rFonts w:ascii="Times New Roman" w:hAnsi="Times New Roman"/>
        </w:rPr>
        <w:t> II ou un bloc auriculo-ventriculaire de troisième degré ou une maladie du sinus, en l’absence de port d’un pacemaker (voir rubrique 4.4).</w:t>
      </w:r>
    </w:p>
    <w:p w14:paraId="28BD7202" w14:textId="238D8BC1" w:rsidR="001C7C0E" w:rsidRDefault="00080994" w:rsidP="00CB615C">
      <w:pPr>
        <w:pStyle w:val="Paragraphedeliste"/>
        <w:widowControl/>
        <w:numPr>
          <w:ilvl w:val="0"/>
          <w:numId w:val="20"/>
        </w:numPr>
        <w:spacing w:after="0" w:line="240" w:lineRule="auto"/>
        <w:ind w:left="567" w:hanging="567"/>
        <w:rPr>
          <w:rFonts w:ascii="Times New Roman" w:eastAsia="Times New Roman" w:hAnsi="Times New Roman" w:cs="Times New Roman"/>
        </w:rPr>
      </w:pPr>
      <w:r>
        <w:rPr>
          <w:rFonts w:ascii="Times New Roman" w:hAnsi="Times New Roman"/>
        </w:rPr>
        <w:t xml:space="preserve">Patients présentant un intervalle </w:t>
      </w:r>
      <w:proofErr w:type="spellStart"/>
      <w:r>
        <w:rPr>
          <w:rFonts w:ascii="Times New Roman" w:hAnsi="Times New Roman"/>
        </w:rPr>
        <w:t>QTc</w:t>
      </w:r>
      <w:proofErr w:type="spellEnd"/>
      <w:r>
        <w:rPr>
          <w:rFonts w:ascii="Times New Roman" w:hAnsi="Times New Roman"/>
        </w:rPr>
        <w:t xml:space="preserve"> initial ≥ 500 ms (voir rubrique 4.4).</w:t>
      </w:r>
    </w:p>
    <w:p w14:paraId="1DDA4F81" w14:textId="7040D5CD" w:rsidR="00FF32A9" w:rsidRPr="005E3FEB" w:rsidRDefault="00080994" w:rsidP="00CB615C">
      <w:pPr>
        <w:pStyle w:val="Paragraphedeliste"/>
        <w:widowControl/>
        <w:numPr>
          <w:ilvl w:val="0"/>
          <w:numId w:val="26"/>
        </w:numPr>
        <w:spacing w:after="0" w:line="240" w:lineRule="auto"/>
        <w:ind w:left="567" w:hanging="567"/>
        <w:rPr>
          <w:rFonts w:ascii="Times New Roman" w:eastAsia="Times New Roman" w:hAnsi="Times New Roman" w:cs="Times New Roman"/>
        </w:rPr>
      </w:pPr>
      <w:r>
        <w:rPr>
          <w:rFonts w:ascii="Times New Roman" w:hAnsi="Times New Roman"/>
        </w:rPr>
        <w:t>Pendant la grossesse et chez les femmes en âge de procréer n’utilisant pas une contraception efficace (voir rubriques 4.4 et 4.6).</w:t>
      </w:r>
    </w:p>
    <w:p w14:paraId="4703640D" w14:textId="77777777" w:rsidR="001C7C0E" w:rsidRPr="005E3BF6" w:rsidRDefault="001C7C0E" w:rsidP="00CB615C">
      <w:pPr>
        <w:widowControl/>
        <w:spacing w:after="0" w:line="240" w:lineRule="auto"/>
        <w:rPr>
          <w:rFonts w:ascii="Times New Roman" w:hAnsi="Times New Roman" w:cs="Times New Roman"/>
        </w:rPr>
      </w:pPr>
    </w:p>
    <w:p w14:paraId="68221F49"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4.4</w:t>
      </w:r>
      <w:r>
        <w:rPr>
          <w:rFonts w:ascii="Times New Roman" w:hAnsi="Times New Roman"/>
          <w:b/>
        </w:rPr>
        <w:tab/>
        <w:t>Mises en garde spéciales et précautions d’emploi</w:t>
      </w:r>
    </w:p>
    <w:p w14:paraId="00172830" w14:textId="77777777" w:rsidR="001C7C0E" w:rsidRPr="005E3BF6" w:rsidRDefault="001C7C0E" w:rsidP="00CB615C">
      <w:pPr>
        <w:widowControl/>
        <w:spacing w:after="0" w:line="240" w:lineRule="auto"/>
        <w:rPr>
          <w:rFonts w:ascii="Times New Roman" w:hAnsi="Times New Roman" w:cs="Times New Roman"/>
        </w:rPr>
      </w:pPr>
    </w:p>
    <w:p w14:paraId="136D65CC" w14:textId="55F5DC36" w:rsidR="001C7C0E" w:rsidRDefault="00080994" w:rsidP="00CB615C">
      <w:pPr>
        <w:widowControl/>
        <w:spacing w:after="0" w:line="240" w:lineRule="auto"/>
        <w:ind w:left="1"/>
        <w:rPr>
          <w:rFonts w:ascii="Times New Roman" w:eastAsia="Times New Roman" w:hAnsi="Times New Roman" w:cs="Times New Roman"/>
          <w:position w:val="-1"/>
          <w:u w:val="single" w:color="000000"/>
        </w:rPr>
      </w:pPr>
      <w:proofErr w:type="spellStart"/>
      <w:r>
        <w:rPr>
          <w:rFonts w:ascii="Times New Roman" w:hAnsi="Times New Roman"/>
          <w:u w:val="single" w:color="000000"/>
        </w:rPr>
        <w:t>Bradyarythmie</w:t>
      </w:r>
      <w:proofErr w:type="spellEnd"/>
    </w:p>
    <w:p w14:paraId="540DF103" w14:textId="77777777" w:rsidR="00D658ED" w:rsidRPr="005E3BF6" w:rsidRDefault="00D658ED" w:rsidP="00CB615C">
      <w:pPr>
        <w:widowControl/>
        <w:spacing w:after="0" w:line="240" w:lineRule="auto"/>
        <w:ind w:left="1"/>
        <w:rPr>
          <w:rFonts w:ascii="Times New Roman" w:eastAsia="Times New Roman" w:hAnsi="Times New Roman" w:cs="Times New Roman"/>
        </w:rPr>
      </w:pPr>
    </w:p>
    <w:p w14:paraId="489C94A5" w14:textId="042E8DAB"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L’instauration du traitement entraîne une diminution transitoire de la fréquence cardiaque et peut également être associée à des retards de conduction auriculo-ventriculaire, incluant la survenue de cas isolés de blocs auriculo-ventriculaires complets, transitoires et spontanément résolutifs (voir rubriques 4.8 et 5.1).</w:t>
      </w:r>
    </w:p>
    <w:p w14:paraId="39FF4952" w14:textId="77777777" w:rsidR="001C7C0E" w:rsidRPr="005E3BF6" w:rsidRDefault="001C7C0E" w:rsidP="00CB615C">
      <w:pPr>
        <w:widowControl/>
        <w:spacing w:after="0" w:line="240" w:lineRule="auto"/>
        <w:rPr>
          <w:rFonts w:ascii="Times New Roman" w:hAnsi="Times New Roman" w:cs="Times New Roman"/>
        </w:rPr>
      </w:pPr>
    </w:p>
    <w:p w14:paraId="11AC9E4B" w14:textId="2161F1C8"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diminution de la fréquence cardiaque apparaît dans l’heure suivant l’administration de la première dose et est maximale dans les 6 premières heures. Cet effet post-dose persiste au cours des jours suivants, bien qu’habituellement avec une intensité moindre, et diminue habituellement au cours des semaines suivantes. Avec la poursuite du traitement, la fréquence cardiaque moyenne retourne vers sa valeur initiale en un mois. Cependant chez certains patients, la fréquence cardiaque peut ne pas revenir à sa valeur initiale à la fin du premier mois. En général, les troubles de la conduction ont été transitoires et asymptomatiques. Ils n’ont généralement pas nécessité de traitement et se sont résolus dans les 24 premières heures de traitement. Si cela s’avère nécessaire, la diminution de la fréquence cardiaque induite par le </w:t>
      </w:r>
      <w:proofErr w:type="spellStart"/>
      <w:r>
        <w:rPr>
          <w:rFonts w:ascii="Times New Roman" w:hAnsi="Times New Roman"/>
        </w:rPr>
        <w:t>fingolimod</w:t>
      </w:r>
      <w:proofErr w:type="spellEnd"/>
      <w:r>
        <w:rPr>
          <w:rFonts w:ascii="Times New Roman" w:hAnsi="Times New Roman"/>
        </w:rPr>
        <w:t xml:space="preserve"> peut être corrigée par l’administration parentérale d’atropine ou d’isoprénaline.</w:t>
      </w:r>
    </w:p>
    <w:p w14:paraId="26414C02" w14:textId="77777777" w:rsidR="001C7C0E" w:rsidRPr="005E3BF6" w:rsidRDefault="001C7C0E" w:rsidP="00CB615C">
      <w:pPr>
        <w:widowControl/>
        <w:spacing w:after="0" w:line="240" w:lineRule="auto"/>
        <w:rPr>
          <w:rFonts w:ascii="Times New Roman" w:hAnsi="Times New Roman" w:cs="Times New Roman"/>
        </w:rPr>
      </w:pPr>
    </w:p>
    <w:p w14:paraId="320DBB60" w14:textId="281223CB"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Un électrocardiogramme (ECG) et une mesure de la pression artérielle doivent être réalisés chez tous les patients avant l’administration de la première dose de </w:t>
      </w:r>
      <w:proofErr w:type="spellStart"/>
      <w:r>
        <w:rPr>
          <w:rFonts w:ascii="Times New Roman" w:hAnsi="Times New Roman"/>
        </w:rPr>
        <w:t>Fingolimod</w:t>
      </w:r>
      <w:proofErr w:type="spellEnd"/>
      <w:r>
        <w:rPr>
          <w:rFonts w:ascii="Times New Roman" w:hAnsi="Times New Roman"/>
        </w:rPr>
        <w:t xml:space="preserve"> Mylan et 6 heures après. Tous les patients doivent être surveillés pendant une période de 6 heures afin d’évaluer les signes et symptômes de bradycardie, avec une mesure de la fréquence cardiaque et de la pression artérielle toutes les heures. Pendant cette période de 6 heures, une surveillance électrocardiographique continue (en temps réel) est recommandée.</w:t>
      </w:r>
    </w:p>
    <w:p w14:paraId="53DA12C3" w14:textId="77777777" w:rsidR="001C7C0E" w:rsidRPr="005E3BF6" w:rsidRDefault="001C7C0E" w:rsidP="00CB615C">
      <w:pPr>
        <w:widowControl/>
        <w:spacing w:after="0" w:line="240" w:lineRule="auto"/>
        <w:rPr>
          <w:rFonts w:ascii="Times New Roman" w:hAnsi="Times New Roman" w:cs="Times New Roman"/>
        </w:rPr>
      </w:pPr>
    </w:p>
    <w:p w14:paraId="7D583CF7" w14:textId="2FFBCB75" w:rsidR="00EA2697"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Il est recommandé de prendre les mêmes précautions que celles de l’administration de la première dose lors du passage d’une dose quotidienne de 0,25 mg à 0,5 mg.</w:t>
      </w:r>
    </w:p>
    <w:p w14:paraId="3D27BAA7" w14:textId="77777777" w:rsidR="00EA2697" w:rsidRPr="005E3BF6" w:rsidRDefault="00EA2697" w:rsidP="00CB615C">
      <w:pPr>
        <w:widowControl/>
        <w:spacing w:after="0" w:line="240" w:lineRule="auto"/>
        <w:ind w:left="1"/>
        <w:rPr>
          <w:rFonts w:ascii="Times New Roman" w:eastAsia="Times New Roman" w:hAnsi="Times New Roman" w:cs="Times New Roman"/>
        </w:rPr>
      </w:pPr>
    </w:p>
    <w:p w14:paraId="38307A4D" w14:textId="0151B70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En cas de survenue de symptômes de </w:t>
      </w:r>
      <w:proofErr w:type="spellStart"/>
      <w:r>
        <w:rPr>
          <w:rFonts w:ascii="Times New Roman" w:hAnsi="Times New Roman"/>
        </w:rPr>
        <w:t>bradyarythmie</w:t>
      </w:r>
      <w:proofErr w:type="spellEnd"/>
      <w:r>
        <w:rPr>
          <w:rFonts w:ascii="Times New Roman" w:hAnsi="Times New Roman"/>
        </w:rPr>
        <w:t xml:space="preserve"> après l’administration, des mesures appropriées doivent être mises en place et le patient doit être surveillé jusqu’à disparition des symptômes. En cas de nécessité d’un traitement pharmacologique chez un patient au cours de la période de surveillance suivant la première prise, une surveillance en milieu hospitalier jusqu’au lendemain doit être instaurée </w:t>
      </w:r>
      <w:r>
        <w:rPr>
          <w:rFonts w:ascii="Times New Roman" w:hAnsi="Times New Roman"/>
        </w:rPr>
        <w:lastRenderedPageBreak/>
        <w:t xml:space="preserve">et les mesures de surveillance de la première dose doivent être réitérées après l’administration de la deuxième dose de </w:t>
      </w:r>
      <w:proofErr w:type="spellStart"/>
      <w:r>
        <w:rPr>
          <w:rFonts w:ascii="Times New Roman" w:hAnsi="Times New Roman"/>
        </w:rPr>
        <w:t>Fingolimod</w:t>
      </w:r>
      <w:proofErr w:type="spellEnd"/>
      <w:r>
        <w:rPr>
          <w:rFonts w:ascii="Times New Roman" w:hAnsi="Times New Roman"/>
        </w:rPr>
        <w:t xml:space="preserve"> Mylan.</w:t>
      </w:r>
    </w:p>
    <w:p w14:paraId="36D0A973" w14:textId="77777777" w:rsidR="001C7C0E" w:rsidRPr="005E3BF6" w:rsidRDefault="001C7C0E" w:rsidP="00CB615C">
      <w:pPr>
        <w:widowControl/>
        <w:spacing w:after="0" w:line="240" w:lineRule="auto"/>
        <w:rPr>
          <w:rFonts w:ascii="Times New Roman" w:hAnsi="Times New Roman" w:cs="Times New Roman"/>
        </w:rPr>
      </w:pPr>
    </w:p>
    <w:p w14:paraId="7E017392" w14:textId="31931C77" w:rsidR="001C7C0E"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la fréquence cardiaque à la fin de la période des 6 heures suivant l’administration de la première dose est à sa valeur la plus basse (suggérant que l’effet pharmacodynamique maximal sur le cœur n’est pas encore atteint), la surveillance doit être prolongée d’au moins 2 heures, et ce, jusqu’à ré-augmentation de la fréquence cardiaque. De plus, si à la fin de la période des 6 heures, la fréquence cardiaque est &lt; 45 bpm chez les adultes, &lt; 55 bpm chez les patients pédiatriques âgés de 12 ans et plus, ou &lt; 60 bpm chez les patients pédiatriques âgés de 10 à moins de 12 ans, ou si l’on observe sur l’ECG l’apparition d’un bloc auriculo-ventriculaire du second degré ou de degré supérieur ou si l’intervalle </w:t>
      </w:r>
      <w:proofErr w:type="spellStart"/>
      <w:r>
        <w:rPr>
          <w:rFonts w:ascii="Times New Roman" w:hAnsi="Times New Roman"/>
        </w:rPr>
        <w:t>QTc</w:t>
      </w:r>
      <w:proofErr w:type="spellEnd"/>
      <w:r>
        <w:rPr>
          <w:rFonts w:ascii="Times New Roman" w:hAnsi="Times New Roman"/>
        </w:rPr>
        <w:t xml:space="preserve"> est ≥ 500 ms, la période de surveillance doit être prolongée (au moins jusqu’au lendemain) et jusqu’à résolution des troubles. L’apparition à tout moment d’un bloc auriculo-ventriculaire du troisième degré doit également conduire à une prolongation de la surveillance (au moins jusqu’au lendemain).</w:t>
      </w:r>
    </w:p>
    <w:p w14:paraId="00C5D572" w14:textId="77777777" w:rsidR="0099143D" w:rsidRPr="005E3BF6" w:rsidRDefault="0099143D" w:rsidP="00CB615C">
      <w:pPr>
        <w:widowControl/>
        <w:spacing w:after="0" w:line="240" w:lineRule="auto"/>
        <w:ind w:left="1"/>
        <w:rPr>
          <w:rFonts w:ascii="Times New Roman" w:eastAsia="Times New Roman" w:hAnsi="Times New Roman" w:cs="Times New Roman"/>
        </w:rPr>
      </w:pPr>
    </w:p>
    <w:p w14:paraId="220DB8B3" w14:textId="679EAC9C" w:rsidR="0099143D"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Les effets sur la fréquence cardiaque et sur la conduction auriculo-ventriculaire peuvent survenir à nouveau lors de la réintroduction du traitement par </w:t>
      </w:r>
      <w:proofErr w:type="spellStart"/>
      <w:r>
        <w:rPr>
          <w:rFonts w:ascii="Times New Roman" w:hAnsi="Times New Roman"/>
        </w:rPr>
        <w:t>fingolimod</w:t>
      </w:r>
      <w:proofErr w:type="spellEnd"/>
      <w:r>
        <w:rPr>
          <w:rFonts w:ascii="Times New Roman" w:hAnsi="Times New Roman"/>
        </w:rPr>
        <w:t xml:space="preserve"> en fonction de la durée de l’interruption et de la durée de traitement depuis l’instauration du traitement. Des mesures de surveillance identiques à celles de l’administration de la première dose sont recommandées lorsque le traitement est interrompu (voir rubrique 4.2).</w:t>
      </w:r>
    </w:p>
    <w:p w14:paraId="18BB9D3B" w14:textId="77777777" w:rsidR="001C7C0E" w:rsidRPr="005E3BF6" w:rsidRDefault="001C7C0E" w:rsidP="00CB615C">
      <w:pPr>
        <w:widowControl/>
        <w:spacing w:after="0" w:line="240" w:lineRule="auto"/>
        <w:rPr>
          <w:rFonts w:ascii="Times New Roman" w:hAnsi="Times New Roman" w:cs="Times New Roman"/>
        </w:rPr>
      </w:pPr>
    </w:p>
    <w:p w14:paraId="708B9734"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 très rares cas d’inversion de l’onde T ont été rapportés chez des patients adultes traités par </w:t>
      </w:r>
      <w:proofErr w:type="spellStart"/>
      <w:r>
        <w:rPr>
          <w:rFonts w:ascii="Times New Roman" w:hAnsi="Times New Roman"/>
        </w:rPr>
        <w:t>fingolimod</w:t>
      </w:r>
      <w:proofErr w:type="spellEnd"/>
      <w:r>
        <w:rPr>
          <w:rFonts w:ascii="Times New Roman" w:hAnsi="Times New Roman"/>
        </w:rPr>
        <w:t>. En cas d’inversion de l’onde T, le prescripteur devra s’assurer qu’il n’existe pas de signes ou symptômes d’ischémie myocardique associés. En cas de suspicion d’ischémie myocardique, il est recommandé de prendre l’avis d’un cardiologue.</w:t>
      </w:r>
    </w:p>
    <w:p w14:paraId="36349DA1" w14:textId="77777777" w:rsidR="001C7C0E" w:rsidRPr="005E3BF6" w:rsidRDefault="001C7C0E" w:rsidP="00CB615C">
      <w:pPr>
        <w:widowControl/>
        <w:spacing w:after="0" w:line="240" w:lineRule="auto"/>
        <w:rPr>
          <w:rFonts w:ascii="Times New Roman" w:hAnsi="Times New Roman" w:cs="Times New Roman"/>
        </w:rPr>
      </w:pPr>
    </w:p>
    <w:p w14:paraId="7AA3AFD0" w14:textId="5D88108B"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En raison du risque de troubles du rythme graves ou de bradycardie importante, </w:t>
      </w:r>
      <w:proofErr w:type="spellStart"/>
      <w:r>
        <w:rPr>
          <w:rFonts w:ascii="Times New Roman" w:hAnsi="Times New Roman"/>
        </w:rPr>
        <w:t>Fingolimod</w:t>
      </w:r>
      <w:proofErr w:type="spellEnd"/>
      <w:r>
        <w:rPr>
          <w:rFonts w:ascii="Times New Roman" w:hAnsi="Times New Roman"/>
        </w:rPr>
        <w:t xml:space="preserve"> Mylan est déconseillé chez les patients présentant un bloc sino-auriculaire, des antécédents de bradycardie symptomatique, de syncopes à répétition ou d’arrêt cardiaque, ou chez les patients ayant un allongement significatif de l’intervalle QT (</w:t>
      </w:r>
      <w:proofErr w:type="spellStart"/>
      <w:r>
        <w:rPr>
          <w:rFonts w:ascii="Times New Roman" w:hAnsi="Times New Roman"/>
        </w:rPr>
        <w:t>QTc</w:t>
      </w:r>
      <w:proofErr w:type="spellEnd"/>
      <w:r>
        <w:rPr>
          <w:rFonts w:ascii="Times New Roman" w:hAnsi="Times New Roman"/>
        </w:rPr>
        <w:t xml:space="preserve"> &gt; 470 ms [femme adulte], </w:t>
      </w:r>
      <w:proofErr w:type="spellStart"/>
      <w:r>
        <w:rPr>
          <w:rFonts w:ascii="Times New Roman" w:hAnsi="Times New Roman"/>
        </w:rPr>
        <w:t>QTc</w:t>
      </w:r>
      <w:proofErr w:type="spellEnd"/>
      <w:r>
        <w:rPr>
          <w:rFonts w:ascii="Times New Roman" w:hAnsi="Times New Roman"/>
        </w:rPr>
        <w:t xml:space="preserve"> &gt; 460 ms [enfant de sexe féminin] ou &gt; 450 ms [homme adulte et enfant de sexe masculin]), une hypertension artérielle non contrôlée ou une apnée du sommeil sévère (voir également rubrique 4.3). Chez ces patients, un traitement avec ce médicament ne doit être envisagé que si les bénéfices attendus sont supérieurs aux </w:t>
      </w:r>
      <w:proofErr w:type="gramStart"/>
      <w:r>
        <w:rPr>
          <w:rFonts w:ascii="Times New Roman" w:hAnsi="Times New Roman"/>
        </w:rPr>
        <w:t>risques potentiels</w:t>
      </w:r>
      <w:proofErr w:type="gramEnd"/>
      <w:r>
        <w:rPr>
          <w:rFonts w:ascii="Times New Roman" w:hAnsi="Times New Roman"/>
        </w:rPr>
        <w:t xml:space="preserve"> et il convient de demander l’avis d’un cardiologue avant l’instauration du traitement afin de déterminer les mesures de surveillance les plus appropriées à mettre en place lors de l’administration de la première dose. Une surveillance prolongée, au moins jusqu’au lendemain, est recommandée (voir également rubrique 4.5).</w:t>
      </w:r>
    </w:p>
    <w:p w14:paraId="749CA6EF" w14:textId="77777777" w:rsidR="001C7C0E" w:rsidRPr="005E3BF6" w:rsidRDefault="001C7C0E" w:rsidP="00CB615C">
      <w:pPr>
        <w:widowControl/>
        <w:spacing w:after="0" w:line="240" w:lineRule="auto"/>
        <w:rPr>
          <w:rFonts w:ascii="Times New Roman" w:hAnsi="Times New Roman" w:cs="Times New Roman"/>
        </w:rPr>
      </w:pPr>
    </w:p>
    <w:p w14:paraId="38BD2014" w14:textId="465BDA61"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n’a pas été étudié chez les patients présentant des arythmies nécessitant un traitement par des antiarythmiques de classe Ia (par exemple quinidine, </w:t>
      </w:r>
      <w:proofErr w:type="spellStart"/>
      <w:r>
        <w:rPr>
          <w:rFonts w:ascii="Times New Roman" w:hAnsi="Times New Roman"/>
        </w:rPr>
        <w:t>disopyramide</w:t>
      </w:r>
      <w:proofErr w:type="spellEnd"/>
      <w:r>
        <w:rPr>
          <w:rFonts w:ascii="Times New Roman" w:hAnsi="Times New Roman"/>
        </w:rPr>
        <w:t xml:space="preserve">) ou de classe III (par exemple amiodarone, </w:t>
      </w:r>
      <w:proofErr w:type="spellStart"/>
      <w:r>
        <w:rPr>
          <w:rFonts w:ascii="Times New Roman" w:hAnsi="Times New Roman"/>
        </w:rPr>
        <w:t>sotalol</w:t>
      </w:r>
      <w:proofErr w:type="spellEnd"/>
      <w:r>
        <w:rPr>
          <w:rFonts w:ascii="Times New Roman" w:hAnsi="Times New Roman"/>
        </w:rPr>
        <w:t>). Les antiarythmiques de classe Ia et de classe III ont été associés à des cas de torsades de pointes chez des patients présentant une bradycardie (voir rubrique 4.3).</w:t>
      </w:r>
    </w:p>
    <w:p w14:paraId="4A845F7B" w14:textId="77777777" w:rsidR="001C7C0E" w:rsidRPr="005E3BF6" w:rsidRDefault="001C7C0E" w:rsidP="00CB615C">
      <w:pPr>
        <w:widowControl/>
        <w:spacing w:after="0" w:line="240" w:lineRule="auto"/>
        <w:rPr>
          <w:rFonts w:ascii="Times New Roman" w:hAnsi="Times New Roman" w:cs="Times New Roman"/>
        </w:rPr>
      </w:pPr>
    </w:p>
    <w:p w14:paraId="534FBEB6" w14:textId="51C097E5" w:rsidR="001425C1"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L’expérience est limitée chez les patients recevant du </w:t>
      </w:r>
      <w:proofErr w:type="spellStart"/>
      <w:r>
        <w:rPr>
          <w:rFonts w:ascii="Times New Roman" w:hAnsi="Times New Roman"/>
        </w:rPr>
        <w:t>fingolimod</w:t>
      </w:r>
      <w:proofErr w:type="spellEnd"/>
      <w:r>
        <w:rPr>
          <w:rFonts w:ascii="Times New Roman" w:hAnsi="Times New Roman"/>
        </w:rPr>
        <w:t xml:space="preserve"> en association avec des bêta-bloquants, des inhibiteurs calciques bradycardisants (comme le vérapamil ou le diltiazem), ou d’autres médicaments susceptibles de diminuer la fréquence cardiaque (par exemple l’</w:t>
      </w:r>
      <w:proofErr w:type="spellStart"/>
      <w:r>
        <w:rPr>
          <w:rFonts w:ascii="Times New Roman" w:hAnsi="Times New Roman"/>
        </w:rPr>
        <w:t>ivabradine</w:t>
      </w:r>
      <w:proofErr w:type="spellEnd"/>
      <w:r>
        <w:rPr>
          <w:rFonts w:ascii="Times New Roman" w:hAnsi="Times New Roman"/>
        </w:rPr>
        <w:t xml:space="preserve">, la </w:t>
      </w:r>
      <w:proofErr w:type="spellStart"/>
      <w:r>
        <w:rPr>
          <w:rFonts w:ascii="Times New Roman" w:hAnsi="Times New Roman"/>
        </w:rPr>
        <w:t>digoxine</w:t>
      </w:r>
      <w:proofErr w:type="spellEnd"/>
      <w:r>
        <w:rPr>
          <w:rFonts w:ascii="Times New Roman" w:hAnsi="Times New Roman"/>
        </w:rPr>
        <w:t xml:space="preserve">, les anticholinestérasiques ou la pilocarpine). L’initiation d’un traitement par </w:t>
      </w:r>
      <w:proofErr w:type="spellStart"/>
      <w:r>
        <w:rPr>
          <w:rFonts w:ascii="Times New Roman" w:hAnsi="Times New Roman"/>
        </w:rPr>
        <w:t>fingolimod</w:t>
      </w:r>
      <w:proofErr w:type="spellEnd"/>
      <w:r>
        <w:rPr>
          <w:rFonts w:ascii="Times New Roman" w:hAnsi="Times New Roman"/>
        </w:rPr>
        <w:t xml:space="preserve"> étant également associée à un ralentissement de la fréquence cardiaque (voir également rubrique 4.8, </w:t>
      </w:r>
      <w:proofErr w:type="spellStart"/>
      <w:r>
        <w:rPr>
          <w:rFonts w:ascii="Times New Roman" w:hAnsi="Times New Roman"/>
        </w:rPr>
        <w:t>Bradyarythmie</w:t>
      </w:r>
      <w:proofErr w:type="spellEnd"/>
      <w:r>
        <w:rPr>
          <w:rFonts w:ascii="Times New Roman" w:hAnsi="Times New Roman"/>
        </w:rPr>
        <w:t xml:space="preserve">), l’utilisation concomitante de ces médicaments au moment de l’initiation du traitement peut être associée à une bradycardie sévère et à un bloc cardiaque. En raison des effets additifs potentiels sur la fréquence cardiaque, un traitement par </w:t>
      </w:r>
      <w:proofErr w:type="spellStart"/>
      <w:r>
        <w:rPr>
          <w:rFonts w:ascii="Times New Roman" w:hAnsi="Times New Roman"/>
        </w:rPr>
        <w:t>Fingolimod</w:t>
      </w:r>
      <w:proofErr w:type="spellEnd"/>
      <w:r>
        <w:rPr>
          <w:rFonts w:ascii="Times New Roman" w:hAnsi="Times New Roman"/>
        </w:rPr>
        <w:t xml:space="preserve"> Mylan est déconseillé chez les patients recevant ces médicaments de façon concomitante (voir également rubrique 4.5). Chez ces patients, un traitement par </w:t>
      </w:r>
      <w:proofErr w:type="spellStart"/>
      <w:r>
        <w:rPr>
          <w:rFonts w:ascii="Times New Roman" w:hAnsi="Times New Roman"/>
        </w:rPr>
        <w:t>fingolimod</w:t>
      </w:r>
      <w:proofErr w:type="spellEnd"/>
      <w:r>
        <w:rPr>
          <w:rFonts w:ascii="Times New Roman" w:hAnsi="Times New Roman"/>
        </w:rPr>
        <w:t xml:space="preserve"> ne doit être envisagé que si les bénéfices attendus sont supérieurs aux </w:t>
      </w:r>
      <w:proofErr w:type="gramStart"/>
      <w:r>
        <w:rPr>
          <w:rFonts w:ascii="Times New Roman" w:hAnsi="Times New Roman"/>
        </w:rPr>
        <w:t>risques potentiels</w:t>
      </w:r>
      <w:proofErr w:type="gramEnd"/>
      <w:r>
        <w:rPr>
          <w:rFonts w:ascii="Times New Roman" w:hAnsi="Times New Roman"/>
        </w:rPr>
        <w:t xml:space="preserve">. Si un traitement est envisagé, l’avis d’un cardiologue doit être sollicité afin d’évaluer la possibilité d’une alternative par un traitement non bradycardisant avant l’instauration du traitement. Si le traitement bradycardisant ne peut être arrêté, l’avis d’un cardiologue doit être sollicité afin de définir les mesures de surveillance les plus appropriées à mettre en place pour </w:t>
      </w:r>
      <w:r>
        <w:rPr>
          <w:rFonts w:ascii="Times New Roman" w:hAnsi="Times New Roman"/>
        </w:rPr>
        <w:lastRenderedPageBreak/>
        <w:t>initier le traitement et une surveillance prolongée au moins jusqu’au lendemain est recommandée (voir également rubrique 4.5).</w:t>
      </w:r>
    </w:p>
    <w:p w14:paraId="681E07BF" w14:textId="77777777" w:rsidR="001C7C0E" w:rsidRPr="005E3BF6" w:rsidRDefault="001C7C0E" w:rsidP="00CB615C">
      <w:pPr>
        <w:widowControl/>
        <w:spacing w:after="0" w:line="240" w:lineRule="auto"/>
        <w:rPr>
          <w:rFonts w:ascii="Times New Roman" w:hAnsi="Times New Roman" w:cs="Times New Roman"/>
        </w:rPr>
      </w:pPr>
    </w:p>
    <w:p w14:paraId="631C2BA3" w14:textId="35E3E16C" w:rsidR="001C7C0E" w:rsidRDefault="00080994" w:rsidP="00CB615C">
      <w:pPr>
        <w:keepNext/>
        <w:widowControl/>
        <w:spacing w:after="0" w:line="240" w:lineRule="auto"/>
        <w:rPr>
          <w:rFonts w:ascii="Times New Roman" w:eastAsia="Times New Roman" w:hAnsi="Times New Roman" w:cs="Times New Roman"/>
          <w:position w:val="-1"/>
          <w:u w:val="single" w:color="000000"/>
        </w:rPr>
      </w:pPr>
      <w:r>
        <w:rPr>
          <w:rFonts w:ascii="Times New Roman" w:hAnsi="Times New Roman"/>
          <w:u w:val="single" w:color="000000"/>
        </w:rPr>
        <w:t>Intervalle QT</w:t>
      </w:r>
    </w:p>
    <w:p w14:paraId="024BC434" w14:textId="77777777" w:rsidR="00D658ED" w:rsidRPr="005E3BF6" w:rsidRDefault="00D658ED" w:rsidP="00CB615C">
      <w:pPr>
        <w:keepNext/>
        <w:widowControl/>
        <w:spacing w:after="0" w:line="240" w:lineRule="auto"/>
        <w:rPr>
          <w:rFonts w:ascii="Times New Roman" w:eastAsia="Times New Roman" w:hAnsi="Times New Roman" w:cs="Times New Roman"/>
        </w:rPr>
      </w:pPr>
    </w:p>
    <w:p w14:paraId="33E642E7" w14:textId="4B1EDB4E"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Dans une étude spécifique de l’intervalle QT conduite aux doses de 1,25 mg ou 2,5 mg de </w:t>
      </w:r>
      <w:proofErr w:type="spellStart"/>
      <w:r>
        <w:rPr>
          <w:rFonts w:ascii="Times New Roman" w:hAnsi="Times New Roman"/>
        </w:rPr>
        <w:t>fingolimod</w:t>
      </w:r>
      <w:proofErr w:type="spellEnd"/>
      <w:r>
        <w:rPr>
          <w:rFonts w:ascii="Times New Roman" w:hAnsi="Times New Roman"/>
        </w:rPr>
        <w:t xml:space="preserve"> à l’état d’équilibre, le traitement par </w:t>
      </w:r>
      <w:proofErr w:type="spellStart"/>
      <w:r>
        <w:rPr>
          <w:rFonts w:ascii="Times New Roman" w:hAnsi="Times New Roman"/>
        </w:rPr>
        <w:t>fingolimod</w:t>
      </w:r>
      <w:proofErr w:type="spellEnd"/>
      <w:r>
        <w:rPr>
          <w:rFonts w:ascii="Times New Roman" w:hAnsi="Times New Roman"/>
        </w:rPr>
        <w:t xml:space="preserve"> a induit un allongement de l’intervalle </w:t>
      </w:r>
      <w:proofErr w:type="spellStart"/>
      <w:r>
        <w:rPr>
          <w:rFonts w:ascii="Times New Roman" w:hAnsi="Times New Roman"/>
        </w:rPr>
        <w:t>QTc</w:t>
      </w:r>
      <w:proofErr w:type="spellEnd"/>
      <w:r>
        <w:rPr>
          <w:rFonts w:ascii="Times New Roman" w:hAnsi="Times New Roman"/>
        </w:rPr>
        <w:t xml:space="preserve"> lorsqu’un effet chronotrope négatif du </w:t>
      </w:r>
      <w:proofErr w:type="spellStart"/>
      <w:r>
        <w:rPr>
          <w:rFonts w:ascii="Times New Roman" w:hAnsi="Times New Roman"/>
        </w:rPr>
        <w:t>fingolimod</w:t>
      </w:r>
      <w:proofErr w:type="spellEnd"/>
      <w:r>
        <w:rPr>
          <w:rFonts w:ascii="Times New Roman" w:hAnsi="Times New Roman"/>
        </w:rPr>
        <w:t xml:space="preserve"> était encore présent, la limite supérieure de l’IC à 90 % étant ≤ 13,0 ms. Il n’y a pas de relation dose-réponse ou exposition-réponse entre le </w:t>
      </w:r>
      <w:proofErr w:type="spellStart"/>
      <w:r>
        <w:rPr>
          <w:rFonts w:ascii="Times New Roman" w:hAnsi="Times New Roman"/>
        </w:rPr>
        <w:t>fingolimod</w:t>
      </w:r>
      <w:proofErr w:type="spellEnd"/>
      <w:r>
        <w:rPr>
          <w:rFonts w:ascii="Times New Roman" w:hAnsi="Times New Roman"/>
        </w:rPr>
        <w:t xml:space="preserve"> et l’allongement de l’intervalle </w:t>
      </w:r>
      <w:proofErr w:type="spellStart"/>
      <w:r>
        <w:rPr>
          <w:rFonts w:ascii="Times New Roman" w:hAnsi="Times New Roman"/>
        </w:rPr>
        <w:t>QTc</w:t>
      </w:r>
      <w:proofErr w:type="spellEnd"/>
      <w:r>
        <w:rPr>
          <w:rFonts w:ascii="Times New Roman" w:hAnsi="Times New Roman"/>
        </w:rPr>
        <w:t xml:space="preserve">. Il n’existe pas de signal uniforme d’une incidence accrue de valeurs en dehors des normes de l’intervalle </w:t>
      </w:r>
      <w:proofErr w:type="spellStart"/>
      <w:r>
        <w:rPr>
          <w:rFonts w:ascii="Times New Roman" w:hAnsi="Times New Roman"/>
        </w:rPr>
        <w:t>QTc</w:t>
      </w:r>
      <w:proofErr w:type="spellEnd"/>
      <w:r>
        <w:rPr>
          <w:rFonts w:ascii="Times New Roman" w:hAnsi="Times New Roman"/>
        </w:rPr>
        <w:t xml:space="preserve"> associée au traitement, soit absolues soit par rapport aux valeurs initiales.</w:t>
      </w:r>
    </w:p>
    <w:p w14:paraId="23A16B64" w14:textId="77777777" w:rsidR="001C7C0E" w:rsidRPr="005E3BF6" w:rsidRDefault="001C7C0E" w:rsidP="00CB615C">
      <w:pPr>
        <w:widowControl/>
        <w:spacing w:after="0" w:line="240" w:lineRule="auto"/>
        <w:rPr>
          <w:rFonts w:ascii="Times New Roman" w:hAnsi="Times New Roman" w:cs="Times New Roman"/>
        </w:rPr>
      </w:pPr>
    </w:p>
    <w:p w14:paraId="02A19C25"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pertinence clinique de cette observation n’est pas connue. Dans les études sur la sclérose en plaques, il n’a pas été observé d’effet cliniquement pertinent sur l’allongement de l’intervalle </w:t>
      </w:r>
      <w:proofErr w:type="spellStart"/>
      <w:r>
        <w:rPr>
          <w:rFonts w:ascii="Times New Roman" w:hAnsi="Times New Roman"/>
        </w:rPr>
        <w:t>QTc</w:t>
      </w:r>
      <w:proofErr w:type="spellEnd"/>
      <w:r>
        <w:rPr>
          <w:rFonts w:ascii="Times New Roman" w:hAnsi="Times New Roman"/>
        </w:rPr>
        <w:t xml:space="preserve"> mais les patients à risque d’allongement de l’intervalle QT n’ont pas été inclus dans les essais cliniques.</w:t>
      </w:r>
    </w:p>
    <w:p w14:paraId="0CEFEF7E" w14:textId="77777777" w:rsidR="001C7C0E" w:rsidRPr="005E3BF6" w:rsidRDefault="001C7C0E" w:rsidP="00CB615C">
      <w:pPr>
        <w:widowControl/>
        <w:spacing w:after="0" w:line="240" w:lineRule="auto"/>
        <w:rPr>
          <w:rFonts w:ascii="Times New Roman" w:hAnsi="Times New Roman" w:cs="Times New Roman"/>
        </w:rPr>
      </w:pPr>
    </w:p>
    <w:p w14:paraId="6BC36327"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Les médicaments susceptibles d’allonger l’intervalle QT doivent être évités chez les patients présentant des facteurs de risque pertinents </w:t>
      </w:r>
      <w:proofErr w:type="gramStart"/>
      <w:r>
        <w:rPr>
          <w:rFonts w:ascii="Times New Roman" w:hAnsi="Times New Roman"/>
        </w:rPr>
        <w:t>comme par exemple</w:t>
      </w:r>
      <w:proofErr w:type="gramEnd"/>
      <w:r>
        <w:rPr>
          <w:rFonts w:ascii="Times New Roman" w:hAnsi="Times New Roman"/>
        </w:rPr>
        <w:t xml:space="preserve"> une hypokaliémie ou un allongement congénital de l’intervalle QT.</w:t>
      </w:r>
    </w:p>
    <w:p w14:paraId="41BFD0B6" w14:textId="77777777" w:rsidR="001C7C0E" w:rsidRPr="005E3BF6" w:rsidRDefault="001C7C0E" w:rsidP="00CB615C">
      <w:pPr>
        <w:widowControl/>
        <w:spacing w:after="0" w:line="240" w:lineRule="auto"/>
        <w:rPr>
          <w:rFonts w:ascii="Times New Roman" w:hAnsi="Times New Roman" w:cs="Times New Roman"/>
        </w:rPr>
      </w:pPr>
    </w:p>
    <w:p w14:paraId="76B6A2EA"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Effets immunosuppresseurs</w:t>
      </w:r>
    </w:p>
    <w:p w14:paraId="76DBC186" w14:textId="77777777" w:rsidR="00D658ED" w:rsidRDefault="00D658ED" w:rsidP="00CB615C">
      <w:pPr>
        <w:widowControl/>
        <w:spacing w:after="0" w:line="240" w:lineRule="auto"/>
        <w:ind w:left="1"/>
        <w:rPr>
          <w:rFonts w:ascii="Times New Roman" w:eastAsia="Times New Roman" w:hAnsi="Times New Roman" w:cs="Times New Roman"/>
        </w:rPr>
      </w:pPr>
    </w:p>
    <w:p w14:paraId="081B9C44" w14:textId="31CF8B2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possède un effet immunosuppresseur qui prédispose les patients à un risque infectieux, incluant des infections opportunistes pouvant être d’issue fatale, et augmente le risque de développer des lymphomes et autres cancers, particulièrement ceux de la peau. Les médecins doivent surveiller étroitement les patients, particulièrement ceux présentant des maladies concomitantes ou des facteurs de risque connus tels qu’un traitement immunosuppresseur antérieur. En cas de risque suspecté, l’arrêt du traitement doit être envisagé au cas par cas par le médecin (voir également </w:t>
      </w:r>
      <w:r w:rsidR="00EE66B7">
        <w:rPr>
          <w:rFonts w:ascii="Times New Roman" w:hAnsi="Times New Roman"/>
        </w:rPr>
        <w:t>rubriques </w:t>
      </w:r>
      <w:r>
        <w:rPr>
          <w:rFonts w:ascii="Times New Roman" w:hAnsi="Times New Roman"/>
        </w:rPr>
        <w:t>4.4 « Infections » et « </w:t>
      </w:r>
      <w:r w:rsidR="00923002">
        <w:rPr>
          <w:rFonts w:ascii="Times New Roman" w:hAnsi="Times New Roman"/>
        </w:rPr>
        <w:t xml:space="preserve">Cancers </w:t>
      </w:r>
      <w:r>
        <w:rPr>
          <w:rFonts w:ascii="Times New Roman" w:hAnsi="Times New Roman"/>
        </w:rPr>
        <w:t xml:space="preserve">cutanés » et </w:t>
      </w:r>
      <w:r w:rsidR="00EE66B7">
        <w:rPr>
          <w:rFonts w:ascii="Times New Roman" w:hAnsi="Times New Roman"/>
        </w:rPr>
        <w:t>rubrique </w:t>
      </w:r>
      <w:r>
        <w:rPr>
          <w:rFonts w:ascii="Times New Roman" w:hAnsi="Times New Roman"/>
        </w:rPr>
        <w:t>4.8 « Lymphomes »).</w:t>
      </w:r>
    </w:p>
    <w:p w14:paraId="2646901B" w14:textId="77777777" w:rsidR="001C7C0E" w:rsidRPr="005E3BF6" w:rsidRDefault="001C7C0E" w:rsidP="00CB615C">
      <w:pPr>
        <w:widowControl/>
        <w:spacing w:after="0" w:line="240" w:lineRule="auto"/>
        <w:rPr>
          <w:rFonts w:ascii="Times New Roman" w:hAnsi="Times New Roman" w:cs="Times New Roman"/>
        </w:rPr>
      </w:pPr>
    </w:p>
    <w:p w14:paraId="7C132682"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Infections</w:t>
      </w:r>
    </w:p>
    <w:p w14:paraId="6E80196E" w14:textId="77777777" w:rsidR="00D658ED" w:rsidRDefault="00D658ED" w:rsidP="00CB615C">
      <w:pPr>
        <w:widowControl/>
        <w:spacing w:after="0" w:line="240" w:lineRule="auto"/>
        <w:ind w:left="1"/>
        <w:rPr>
          <w:rFonts w:ascii="Times New Roman" w:eastAsia="Times New Roman" w:hAnsi="Times New Roman" w:cs="Times New Roman"/>
        </w:rPr>
      </w:pPr>
    </w:p>
    <w:p w14:paraId="30CFAC4C" w14:textId="7EA9D732"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Un effet pharmacodynamique majeur du </w:t>
      </w:r>
      <w:proofErr w:type="spellStart"/>
      <w:r>
        <w:rPr>
          <w:rFonts w:ascii="Times New Roman" w:hAnsi="Times New Roman"/>
        </w:rPr>
        <w:t>fingolimod</w:t>
      </w:r>
      <w:proofErr w:type="spellEnd"/>
      <w:r>
        <w:rPr>
          <w:rFonts w:ascii="Times New Roman" w:hAnsi="Times New Roman"/>
        </w:rPr>
        <w:t xml:space="preserve"> est la réduction dose-dépendante du taux de lymphocytes périphériques pouvant aller jusqu’à 20 à 30 % de sa valeur initiale. Cela est dû à une séquestration réversible des lymphocytes dans les tissus lymphoïdes (voir rubrique 5.1).</w:t>
      </w:r>
    </w:p>
    <w:p w14:paraId="2A11AEE3" w14:textId="77777777" w:rsidR="001C7C0E" w:rsidRPr="005E3BF6" w:rsidRDefault="001C7C0E" w:rsidP="00CB615C">
      <w:pPr>
        <w:widowControl/>
        <w:spacing w:after="0" w:line="240" w:lineRule="auto"/>
        <w:rPr>
          <w:rFonts w:ascii="Times New Roman" w:hAnsi="Times New Roman" w:cs="Times New Roman"/>
        </w:rPr>
      </w:pPr>
    </w:p>
    <w:p w14:paraId="036EF4B0" w14:textId="412310D8"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Avant d’instaurer le traitement par </w:t>
      </w:r>
      <w:proofErr w:type="spellStart"/>
      <w:r>
        <w:rPr>
          <w:rFonts w:ascii="Times New Roman" w:hAnsi="Times New Roman"/>
        </w:rPr>
        <w:t>Fingolimod</w:t>
      </w:r>
      <w:proofErr w:type="spellEnd"/>
      <w:r>
        <w:rPr>
          <w:rFonts w:ascii="Times New Roman" w:hAnsi="Times New Roman"/>
        </w:rPr>
        <w:t xml:space="preserve"> Mylan, une numération formule sanguine (NFS) récente (réalisée au cours des 6 derniers mois ou après l’arrêt d’un traitement antérieur) doit être disponible. Des contrôles de la NFS sont également recommandés régulièrement sous traitement, à 3 mois de traitement puis au moins une fois par an ainsi qu’en présence de signes d’infection. Un taux de lymphocytes &lt; 0,2 x 10</w:t>
      </w:r>
      <w:r>
        <w:rPr>
          <w:rFonts w:ascii="Times New Roman" w:hAnsi="Times New Roman"/>
          <w:vertAlign w:val="superscript"/>
        </w:rPr>
        <w:t>9</w:t>
      </w:r>
      <w:r>
        <w:rPr>
          <w:rFonts w:ascii="Times New Roman" w:hAnsi="Times New Roman"/>
        </w:rPr>
        <w:t xml:space="preserve">/L, s’il est confirmé, doit entraîner une interruption du traitement jusqu’à normalisation, étant donné qu’au cours des études cliniques, le traitement par </w:t>
      </w:r>
      <w:proofErr w:type="spellStart"/>
      <w:r>
        <w:rPr>
          <w:rFonts w:ascii="Times New Roman" w:hAnsi="Times New Roman"/>
        </w:rPr>
        <w:t>fingolimod</w:t>
      </w:r>
      <w:proofErr w:type="spellEnd"/>
      <w:r>
        <w:rPr>
          <w:rFonts w:ascii="Times New Roman" w:hAnsi="Times New Roman"/>
        </w:rPr>
        <w:t xml:space="preserve"> était interrompu chez les patients présentant un taux de lymphocytes &lt; 0,2 x 10</w:t>
      </w:r>
      <w:r>
        <w:rPr>
          <w:rFonts w:ascii="Times New Roman" w:hAnsi="Times New Roman"/>
          <w:vertAlign w:val="superscript"/>
        </w:rPr>
        <w:t>9</w:t>
      </w:r>
      <w:r>
        <w:rPr>
          <w:rFonts w:ascii="Times New Roman" w:hAnsi="Times New Roman"/>
        </w:rPr>
        <w:t>/L.</w:t>
      </w:r>
    </w:p>
    <w:p w14:paraId="52ADBC95" w14:textId="77777777" w:rsidR="001C7C0E" w:rsidRPr="005E3BF6" w:rsidRDefault="001C7C0E" w:rsidP="00CB615C">
      <w:pPr>
        <w:widowControl/>
        <w:spacing w:after="0" w:line="240" w:lineRule="auto"/>
        <w:rPr>
          <w:rFonts w:ascii="Times New Roman" w:hAnsi="Times New Roman" w:cs="Times New Roman"/>
        </w:rPr>
      </w:pPr>
    </w:p>
    <w:p w14:paraId="6E288641" w14:textId="05093F53" w:rsidR="001425C1"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Chez les patients présentant une infection active sévère, l’instauration du traitement par </w:t>
      </w:r>
      <w:proofErr w:type="spellStart"/>
      <w:r>
        <w:rPr>
          <w:rFonts w:ascii="Times New Roman" w:hAnsi="Times New Roman"/>
        </w:rPr>
        <w:t>Fingolimod</w:t>
      </w:r>
      <w:proofErr w:type="spellEnd"/>
      <w:r>
        <w:rPr>
          <w:rFonts w:ascii="Times New Roman" w:hAnsi="Times New Roman"/>
        </w:rPr>
        <w:t xml:space="preserve"> Mylan doit être différée jusqu’à la résolution de l’infection.</w:t>
      </w:r>
    </w:p>
    <w:p w14:paraId="377E999A" w14:textId="77777777" w:rsidR="000E5A8D" w:rsidRPr="005E3BF6" w:rsidRDefault="000E5A8D" w:rsidP="00CB615C">
      <w:pPr>
        <w:widowControl/>
        <w:spacing w:after="0" w:line="240" w:lineRule="auto"/>
        <w:ind w:left="1"/>
        <w:rPr>
          <w:rFonts w:ascii="Times New Roman" w:eastAsia="Times New Roman" w:hAnsi="Times New Roman" w:cs="Times New Roman"/>
        </w:rPr>
      </w:pPr>
    </w:p>
    <w:p w14:paraId="60927E70" w14:textId="359B17D4"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Les effets de </w:t>
      </w:r>
      <w:proofErr w:type="spellStart"/>
      <w:r>
        <w:rPr>
          <w:rFonts w:ascii="Times New Roman" w:hAnsi="Times New Roman"/>
        </w:rPr>
        <w:t>Fingolimod</w:t>
      </w:r>
      <w:proofErr w:type="spellEnd"/>
      <w:r>
        <w:rPr>
          <w:rFonts w:ascii="Times New Roman" w:hAnsi="Times New Roman"/>
        </w:rPr>
        <w:t xml:space="preserve"> Mylan sur le système immunitaire peuvent augmenter le risque d’infections, y compris les infections opportunistes (voir rubrique 4.8). Un diagnostic et des stratégies thérapeutiques efficaces doivent par conséquent être mis en place chez les patients présentant des symptômes d’infection durant le traitement. Lors d’une suspicion d’infection grave chez un patient, l’avis d’un médecin spécialisé dans le traitement des infections doit être envisagé. Durant le traitement, les patients doivent être informés de la nécessité de signaler rapidement à leur médecin tout symptôme d’infection survenant sous traitement.</w:t>
      </w:r>
    </w:p>
    <w:p w14:paraId="6F097676" w14:textId="77777777" w:rsidR="001C7C0E" w:rsidRPr="005E3BF6" w:rsidRDefault="001C7C0E" w:rsidP="00CB615C">
      <w:pPr>
        <w:widowControl/>
        <w:spacing w:after="0" w:line="240" w:lineRule="auto"/>
        <w:rPr>
          <w:rFonts w:ascii="Times New Roman" w:hAnsi="Times New Roman" w:cs="Times New Roman"/>
        </w:rPr>
      </w:pPr>
    </w:p>
    <w:p w14:paraId="59127CA9" w14:textId="2BCDC24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lastRenderedPageBreak/>
        <w:t xml:space="preserve">L’arrêt temporaire du traitement par </w:t>
      </w:r>
      <w:proofErr w:type="spellStart"/>
      <w:r>
        <w:rPr>
          <w:rFonts w:ascii="Times New Roman" w:hAnsi="Times New Roman"/>
        </w:rPr>
        <w:t>Fingolimod</w:t>
      </w:r>
      <w:proofErr w:type="spellEnd"/>
      <w:r>
        <w:rPr>
          <w:rFonts w:ascii="Times New Roman" w:hAnsi="Times New Roman"/>
        </w:rPr>
        <w:t xml:space="preserve"> Mylan doit être envisagé chez un patient qui développe une infection grave et le rapport bénéfice-risque doit être évalué avant la reprise du traitement.</w:t>
      </w:r>
    </w:p>
    <w:p w14:paraId="35453989" w14:textId="77777777" w:rsidR="001425C1" w:rsidRPr="005E3BF6" w:rsidRDefault="001425C1" w:rsidP="00CB615C">
      <w:pPr>
        <w:widowControl/>
        <w:spacing w:after="0" w:line="240" w:lineRule="auto"/>
        <w:ind w:left="1"/>
        <w:rPr>
          <w:rFonts w:ascii="Times New Roman" w:hAnsi="Times New Roman" w:cs="Times New Roman"/>
        </w:rPr>
      </w:pPr>
    </w:p>
    <w:p w14:paraId="2A530D47" w14:textId="280A08EF" w:rsidR="00F74663" w:rsidRPr="00F74663" w:rsidRDefault="00080994" w:rsidP="00CB615C">
      <w:pPr>
        <w:widowControl/>
        <w:spacing w:after="0" w:line="240" w:lineRule="auto"/>
        <w:ind w:left="1"/>
        <w:rPr>
          <w:rFonts w:ascii="Times New Roman" w:eastAsia="Times New Roman" w:hAnsi="Times New Roman" w:cs="Times New Roman"/>
          <w:spacing w:val="-1"/>
        </w:rPr>
      </w:pPr>
      <w:r>
        <w:rPr>
          <w:rFonts w:ascii="Times New Roman" w:hAnsi="Times New Roman"/>
        </w:rPr>
        <w:t xml:space="preserve">Après l’arrêt du traitement, l’élimination du </w:t>
      </w:r>
      <w:proofErr w:type="spellStart"/>
      <w:r>
        <w:rPr>
          <w:rFonts w:ascii="Times New Roman" w:hAnsi="Times New Roman"/>
        </w:rPr>
        <w:t>fingolimod</w:t>
      </w:r>
      <w:proofErr w:type="spellEnd"/>
      <w:r>
        <w:rPr>
          <w:rFonts w:ascii="Times New Roman" w:hAnsi="Times New Roman"/>
        </w:rPr>
        <w:t xml:space="preserve"> peut prendre jusqu’à deux mois et il convient de rester vigilant quant à l’apparition d’éventuelles infections pendant cette période. Les patients doivent être informés de la nécessité de signaler à leur médecin tout symptôme d’infection jusqu’à deux mois après l’arrêt du traitement. </w:t>
      </w:r>
    </w:p>
    <w:p w14:paraId="73786A7A" w14:textId="77777777" w:rsidR="00F74663" w:rsidRDefault="00F74663" w:rsidP="00CB615C">
      <w:pPr>
        <w:widowControl/>
        <w:spacing w:after="0" w:line="240" w:lineRule="auto"/>
        <w:ind w:left="1"/>
        <w:rPr>
          <w:rFonts w:ascii="Times New Roman" w:eastAsia="Times New Roman" w:hAnsi="Times New Roman" w:cs="Times New Roman"/>
          <w:spacing w:val="-1"/>
        </w:rPr>
      </w:pPr>
    </w:p>
    <w:p w14:paraId="3E7FDEC5" w14:textId="77777777" w:rsidR="00F74663" w:rsidRPr="00F74663" w:rsidRDefault="00080994" w:rsidP="00CB615C">
      <w:pPr>
        <w:widowControl/>
        <w:spacing w:after="0" w:line="240" w:lineRule="auto"/>
        <w:ind w:left="1"/>
        <w:rPr>
          <w:rFonts w:ascii="Times New Roman" w:eastAsia="Times New Roman" w:hAnsi="Times New Roman" w:cs="Times New Roman"/>
          <w:i/>
          <w:spacing w:val="-1"/>
          <w:u w:val="single"/>
        </w:rPr>
      </w:pPr>
      <w:r>
        <w:rPr>
          <w:rFonts w:ascii="Times New Roman" w:hAnsi="Times New Roman"/>
          <w:i/>
          <w:u w:val="single"/>
        </w:rPr>
        <w:t>Infection par le virus de l’herpès</w:t>
      </w:r>
      <w:r>
        <w:rPr>
          <w:rFonts w:ascii="Times New Roman" w:hAnsi="Times New Roman"/>
          <w:i/>
        </w:rPr>
        <w:t xml:space="preserve"> </w:t>
      </w:r>
    </w:p>
    <w:p w14:paraId="4A920F4C" w14:textId="24057538" w:rsidR="00F74663" w:rsidRPr="00F74663" w:rsidRDefault="00080994" w:rsidP="00CB615C">
      <w:pPr>
        <w:widowControl/>
        <w:spacing w:after="0" w:line="240" w:lineRule="auto"/>
        <w:ind w:left="1"/>
        <w:rPr>
          <w:rFonts w:ascii="Times New Roman" w:eastAsia="Times New Roman" w:hAnsi="Times New Roman" w:cs="Times New Roman"/>
          <w:spacing w:val="-1"/>
        </w:rPr>
      </w:pPr>
      <w:r>
        <w:rPr>
          <w:rFonts w:ascii="Times New Roman" w:hAnsi="Times New Roman"/>
        </w:rPr>
        <w:t xml:space="preserve">Des cas graves, engageant le pronostic vital, et parfois avec une issue fatale d’encéphalite, de méningite ou de méningo-encéphalite causés par les virus herpès simplex et varicelle-zona ont été rapportés avec le </w:t>
      </w:r>
      <w:proofErr w:type="spellStart"/>
      <w:r>
        <w:rPr>
          <w:rFonts w:ascii="Times New Roman" w:hAnsi="Times New Roman"/>
        </w:rPr>
        <w:t>fingolimod</w:t>
      </w:r>
      <w:proofErr w:type="spellEnd"/>
      <w:r>
        <w:rPr>
          <w:rFonts w:ascii="Times New Roman" w:hAnsi="Times New Roman"/>
        </w:rPr>
        <w:t xml:space="preserve"> à n’importe quel moment du traitement. Si une encéphalite, une méningite ou une méningo-encéphalite herpétique survient, le traitement doit être arrêté et un traitement approprié de l’infection doit être administré. </w:t>
      </w:r>
    </w:p>
    <w:p w14:paraId="6061A761" w14:textId="77777777" w:rsidR="00F74663" w:rsidRPr="00F74663" w:rsidRDefault="00080994" w:rsidP="00CB615C">
      <w:pPr>
        <w:widowControl/>
        <w:spacing w:after="0" w:line="240" w:lineRule="auto"/>
        <w:ind w:left="1"/>
        <w:rPr>
          <w:rFonts w:ascii="Times New Roman" w:eastAsia="Times New Roman" w:hAnsi="Times New Roman" w:cs="Times New Roman"/>
          <w:spacing w:val="-1"/>
        </w:rPr>
      </w:pPr>
      <w:r>
        <w:rPr>
          <w:rFonts w:ascii="Times New Roman" w:hAnsi="Times New Roman"/>
        </w:rPr>
        <w:t xml:space="preserve"> </w:t>
      </w:r>
    </w:p>
    <w:p w14:paraId="1D5F2D1A" w14:textId="2ED4C93C" w:rsidR="00F74663" w:rsidRPr="00F74663" w:rsidRDefault="00080994" w:rsidP="00CB615C">
      <w:pPr>
        <w:widowControl/>
        <w:spacing w:after="0" w:line="240" w:lineRule="auto"/>
        <w:ind w:left="1"/>
        <w:rPr>
          <w:rFonts w:ascii="Times New Roman" w:eastAsia="Times New Roman" w:hAnsi="Times New Roman" w:cs="Times New Roman"/>
          <w:spacing w:val="-1"/>
        </w:rPr>
      </w:pPr>
      <w:r>
        <w:rPr>
          <w:rFonts w:ascii="Times New Roman" w:hAnsi="Times New Roman"/>
        </w:rPr>
        <w:t xml:space="preserve">L’immunité des patients vis-à-vis de la varicelle doit être évaluée avant l’instauration du traitement par </w:t>
      </w:r>
      <w:proofErr w:type="spellStart"/>
      <w:r>
        <w:rPr>
          <w:rFonts w:ascii="Times New Roman" w:hAnsi="Times New Roman"/>
        </w:rPr>
        <w:t>Fingolimod</w:t>
      </w:r>
      <w:proofErr w:type="spellEnd"/>
      <w:r>
        <w:rPr>
          <w:rFonts w:ascii="Times New Roman" w:hAnsi="Times New Roman"/>
        </w:rPr>
        <w:t xml:space="preserve"> Mylan. Il est recommandé que les patients sans antécédent de varicelle confirmé par un professionnel de santé ou sans documentation d’une vaccination complète contre le virus de la varicelle réalisent une sérologie vis-à-vis du virus varicelle-zona (VZV) avant l’instauration du traitement par </w:t>
      </w:r>
      <w:proofErr w:type="spellStart"/>
      <w:r>
        <w:rPr>
          <w:rFonts w:ascii="Times New Roman" w:hAnsi="Times New Roman"/>
        </w:rPr>
        <w:t>fingolimod</w:t>
      </w:r>
      <w:proofErr w:type="spellEnd"/>
      <w:r>
        <w:rPr>
          <w:rFonts w:ascii="Times New Roman" w:hAnsi="Times New Roman"/>
        </w:rPr>
        <w:t xml:space="preserve">. Chez les patients ayant une sérologie négative, le respect du calendrier vaccinal est recommandé avant le début du traitement avec ce médicament (voir rubrique 4.8). L’instauration du traitement par </w:t>
      </w:r>
      <w:proofErr w:type="spellStart"/>
      <w:r>
        <w:rPr>
          <w:rFonts w:ascii="Times New Roman" w:hAnsi="Times New Roman"/>
        </w:rPr>
        <w:t>fingolimod</w:t>
      </w:r>
      <w:proofErr w:type="spellEnd"/>
      <w:r>
        <w:rPr>
          <w:rFonts w:ascii="Times New Roman" w:hAnsi="Times New Roman"/>
        </w:rPr>
        <w:t xml:space="preserve"> doit être différée d’un mois afin d’obtenir une efficacité totale de la vaccination. </w:t>
      </w:r>
    </w:p>
    <w:p w14:paraId="3EBC423F" w14:textId="77777777" w:rsidR="00F74663" w:rsidRDefault="00F74663" w:rsidP="00CB615C">
      <w:pPr>
        <w:widowControl/>
        <w:spacing w:after="0" w:line="240" w:lineRule="auto"/>
        <w:ind w:left="1"/>
        <w:rPr>
          <w:rFonts w:ascii="Times New Roman" w:eastAsia="Times New Roman" w:hAnsi="Times New Roman" w:cs="Times New Roman"/>
          <w:spacing w:val="-1"/>
        </w:rPr>
      </w:pPr>
    </w:p>
    <w:p w14:paraId="0B4FCE03" w14:textId="77777777" w:rsidR="00F74663" w:rsidRPr="003D2334" w:rsidRDefault="00080994" w:rsidP="00CB615C">
      <w:pPr>
        <w:widowControl/>
        <w:spacing w:after="0" w:line="240" w:lineRule="auto"/>
        <w:ind w:left="1"/>
        <w:rPr>
          <w:rFonts w:ascii="Times New Roman" w:eastAsia="Times New Roman" w:hAnsi="Times New Roman" w:cs="Times New Roman"/>
          <w:i/>
          <w:iCs/>
          <w:spacing w:val="-1"/>
          <w:u w:val="single"/>
        </w:rPr>
      </w:pPr>
      <w:r>
        <w:rPr>
          <w:rFonts w:ascii="Times New Roman" w:hAnsi="Times New Roman"/>
          <w:i/>
          <w:u w:val="single"/>
        </w:rPr>
        <w:t>Méningite à cryptocoques</w:t>
      </w:r>
    </w:p>
    <w:p w14:paraId="3BBD03F4" w14:textId="76F1F7B5"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cas de méningite à cryptocoques (infection fongique), parfois avec une issue fatale, ont été rapportés depuis la commercialisation après approximativement 2-3 ans de traitement, il est à noter cependant que la relation exacte avec la durée du traitement demeure inconnue (voir rubrique 4.8). Les patients présentant des symptômes et signes compatibles avec une méningite à cryptocoques (par exemple céphalées accompagnées de troubles neuropsychiatriques tels que confusion, hallucinations, et/ou trouble de la personnalité) doivent faire l’objet d’une recherche </w:t>
      </w:r>
      <w:proofErr w:type="spellStart"/>
      <w:r>
        <w:rPr>
          <w:rFonts w:ascii="Times New Roman" w:hAnsi="Times New Roman"/>
        </w:rPr>
        <w:t>diagnostique</w:t>
      </w:r>
      <w:proofErr w:type="spellEnd"/>
      <w:r>
        <w:rPr>
          <w:rFonts w:ascii="Times New Roman" w:hAnsi="Times New Roman"/>
        </w:rPr>
        <w:t xml:space="preserve"> rapide. En cas de diagnostic de méningite à cryptocoques, le traitement par </w:t>
      </w:r>
      <w:proofErr w:type="spellStart"/>
      <w:r>
        <w:rPr>
          <w:rFonts w:ascii="Times New Roman" w:hAnsi="Times New Roman"/>
        </w:rPr>
        <w:t>fingolimod</w:t>
      </w:r>
      <w:proofErr w:type="spellEnd"/>
      <w:r>
        <w:rPr>
          <w:rFonts w:ascii="Times New Roman" w:hAnsi="Times New Roman"/>
        </w:rPr>
        <w:t xml:space="preserve"> doit être interrompu et un traitement approprié doit être initié. L’avis d’un spécialiste en infectiologie devra être recherché si la réintroduction du traitement par </w:t>
      </w:r>
      <w:proofErr w:type="spellStart"/>
      <w:r>
        <w:rPr>
          <w:rFonts w:ascii="Times New Roman" w:hAnsi="Times New Roman"/>
        </w:rPr>
        <w:t>fingolimod</w:t>
      </w:r>
      <w:proofErr w:type="spellEnd"/>
      <w:r>
        <w:rPr>
          <w:rFonts w:ascii="Times New Roman" w:hAnsi="Times New Roman"/>
        </w:rPr>
        <w:t xml:space="preserve"> est jugée nécessaire.</w:t>
      </w:r>
    </w:p>
    <w:p w14:paraId="5D4D708B" w14:textId="77777777" w:rsidR="001C7C0E" w:rsidRPr="005E3BF6" w:rsidRDefault="001C7C0E" w:rsidP="00CB615C">
      <w:pPr>
        <w:widowControl/>
        <w:spacing w:after="0" w:line="240" w:lineRule="auto"/>
        <w:rPr>
          <w:rFonts w:ascii="Times New Roman" w:hAnsi="Times New Roman" w:cs="Times New Roman"/>
        </w:rPr>
      </w:pPr>
    </w:p>
    <w:p w14:paraId="06639DDF" w14:textId="46243723" w:rsidR="00226EFE" w:rsidRDefault="00080994" w:rsidP="00CB615C">
      <w:pPr>
        <w:widowControl/>
        <w:spacing w:after="0" w:line="240" w:lineRule="auto"/>
        <w:rPr>
          <w:rFonts w:ascii="Times New Roman" w:hAnsi="Times New Roman" w:cs="Times New Roman"/>
        </w:rPr>
      </w:pPr>
      <w:proofErr w:type="spellStart"/>
      <w:r>
        <w:rPr>
          <w:rFonts w:ascii="Times New Roman" w:hAnsi="Times New Roman"/>
          <w:i/>
          <w:u w:val="single"/>
        </w:rPr>
        <w:t>Leucoencéphalopathie</w:t>
      </w:r>
      <w:proofErr w:type="spellEnd"/>
      <w:r>
        <w:rPr>
          <w:rFonts w:ascii="Times New Roman" w:hAnsi="Times New Roman"/>
          <w:i/>
          <w:u w:val="single"/>
        </w:rPr>
        <w:t xml:space="preserve"> multifocale progressive (LEMP)</w:t>
      </w:r>
      <w:r>
        <w:rPr>
          <w:rFonts w:ascii="Times New Roman" w:hAnsi="Times New Roman"/>
        </w:rPr>
        <w:t xml:space="preserve"> </w:t>
      </w:r>
    </w:p>
    <w:p w14:paraId="77E28A28" w14:textId="4FBB26EF" w:rsidR="001C7C0E" w:rsidRDefault="00080994" w:rsidP="00CB615C">
      <w:pPr>
        <w:widowControl/>
        <w:spacing w:after="0" w:line="240" w:lineRule="auto"/>
        <w:rPr>
          <w:rFonts w:ascii="Times New Roman" w:hAnsi="Times New Roman"/>
        </w:rPr>
      </w:pPr>
      <w:r>
        <w:rPr>
          <w:rFonts w:ascii="Times New Roman" w:hAnsi="Times New Roman"/>
        </w:rPr>
        <w:t xml:space="preserve">Depuis l’obtention de l’autorisation de mise sur le marché, des cas de LEMP sont survenus avec </w:t>
      </w:r>
      <w:proofErr w:type="spellStart"/>
      <w:r>
        <w:rPr>
          <w:rFonts w:ascii="Times New Roman" w:hAnsi="Times New Roman"/>
        </w:rPr>
        <w:t>fingolimod</w:t>
      </w:r>
      <w:proofErr w:type="spellEnd"/>
      <w:r>
        <w:rPr>
          <w:rFonts w:ascii="Times New Roman" w:hAnsi="Times New Roman"/>
        </w:rPr>
        <w:t xml:space="preserve"> (voir rubrique 4.8). Il s’agit d’une infection opportuniste causée par le virus de John-Cunningham (JCV), qui peut avoir une issue fatale ou entraîner un handicap sévère. </w:t>
      </w:r>
      <w:r w:rsidR="00B07B52">
        <w:rPr>
          <w:rFonts w:ascii="Times New Roman" w:hAnsi="Times New Roman"/>
        </w:rPr>
        <w:t>La majorité des cas</w:t>
      </w:r>
      <w:r>
        <w:rPr>
          <w:rFonts w:ascii="Times New Roman" w:hAnsi="Times New Roman"/>
        </w:rPr>
        <w:t xml:space="preserve"> de LEMP ont été rapportés après 2 ans </w:t>
      </w:r>
      <w:r w:rsidR="00B07B52">
        <w:rPr>
          <w:rFonts w:ascii="Times New Roman" w:hAnsi="Times New Roman"/>
        </w:rPr>
        <w:t xml:space="preserve">ou plus </w:t>
      </w:r>
      <w:r>
        <w:rPr>
          <w:rFonts w:ascii="Times New Roman" w:hAnsi="Times New Roman"/>
        </w:rPr>
        <w:t xml:space="preserve">de traitement </w:t>
      </w:r>
      <w:r w:rsidR="00B07B52">
        <w:rPr>
          <w:rFonts w:ascii="Times New Roman" w:hAnsi="Times New Roman"/>
        </w:rPr>
        <w:t xml:space="preserve">par </w:t>
      </w:r>
      <w:proofErr w:type="spellStart"/>
      <w:r w:rsidR="00B07B52">
        <w:rPr>
          <w:rFonts w:ascii="Times New Roman" w:hAnsi="Times New Roman"/>
        </w:rPr>
        <w:t>fingolimod</w:t>
      </w:r>
      <w:proofErr w:type="spellEnd"/>
      <w:r w:rsidR="00B07B52">
        <w:rPr>
          <w:rFonts w:ascii="Times New Roman" w:hAnsi="Times New Roman"/>
        </w:rPr>
        <w:t xml:space="preserve">. En plus de la durée d’exposition au </w:t>
      </w:r>
      <w:proofErr w:type="spellStart"/>
      <w:r w:rsidR="00B07B52">
        <w:rPr>
          <w:rFonts w:ascii="Times New Roman" w:hAnsi="Times New Roman"/>
        </w:rPr>
        <w:t>fingolimod</w:t>
      </w:r>
      <w:proofErr w:type="spellEnd"/>
      <w:r w:rsidR="00B07B52">
        <w:rPr>
          <w:rFonts w:ascii="Times New Roman" w:hAnsi="Times New Roman"/>
        </w:rPr>
        <w:t xml:space="preserve">, les autres facteurs de risque de LEMP incluent un traitement immunosuppresseur ou immunomodulateur antérieur, et/ou une lymphopénie sévère </w:t>
      </w:r>
      <w:r w:rsidR="00B07B52" w:rsidRPr="00B07B52">
        <w:rPr>
          <w:rFonts w:ascii="Times New Roman" w:hAnsi="Times New Roman"/>
        </w:rPr>
        <w:t>(&lt;</w:t>
      </w:r>
      <w:r w:rsidR="005E21B5">
        <w:rPr>
          <w:rFonts w:ascii="Times New Roman" w:hAnsi="Times New Roman"/>
        </w:rPr>
        <w:t> </w:t>
      </w:r>
      <w:r w:rsidR="00B07B52" w:rsidRPr="00B07B52">
        <w:rPr>
          <w:rFonts w:ascii="Times New Roman" w:hAnsi="Times New Roman"/>
        </w:rPr>
        <w:t>0,5x10</w:t>
      </w:r>
      <w:r w:rsidR="00B07B52" w:rsidRPr="00B07B52">
        <w:rPr>
          <w:rFonts w:ascii="Times New Roman" w:hAnsi="Times New Roman"/>
          <w:vertAlign w:val="superscript"/>
        </w:rPr>
        <w:t>9</w:t>
      </w:r>
      <w:r w:rsidR="00B07B52" w:rsidRPr="00B07B52">
        <w:rPr>
          <w:rFonts w:ascii="Times New Roman" w:hAnsi="Times New Roman"/>
        </w:rPr>
        <w:t>/</w:t>
      </w:r>
      <w:r w:rsidR="005E21B5">
        <w:rPr>
          <w:rFonts w:ascii="Times New Roman" w:hAnsi="Times New Roman"/>
        </w:rPr>
        <w:t>L</w:t>
      </w:r>
      <w:r w:rsidR="00B07B52" w:rsidRPr="00B07B52">
        <w:rPr>
          <w:rFonts w:ascii="Times New Roman" w:hAnsi="Times New Roman"/>
        </w:rPr>
        <w:t>). Les patients les plus à risque doivent être surveillés pour tout signe ou symptôme de LEMP</w:t>
      </w:r>
      <w:r w:rsidR="00B07B52">
        <w:rPr>
          <w:rFonts w:ascii="Times New Roman" w:hAnsi="Times New Roman"/>
        </w:rPr>
        <w:t>.</w:t>
      </w:r>
      <w:r w:rsidR="00B07B52" w:rsidRPr="00B07B52">
        <w:rPr>
          <w:rFonts w:ascii="Times New Roman" w:hAnsi="Times New Roman"/>
        </w:rPr>
        <w:t xml:space="preserve"> </w:t>
      </w:r>
      <w:r>
        <w:rPr>
          <w:rFonts w:ascii="Times New Roman" w:hAnsi="Times New Roman"/>
        </w:rPr>
        <w:t xml:space="preserve">Bien que le risque estimé semble augmenter avec une exposition cumulée dans le temps, la relation exacte avec la durée du traitement demeure inconnue. D’autres cas de LEMP ont été rapportés chez des patients ayant été préalablement traités par natalizumab, traitement connu pour être associé à un risque accru de LEMP. La LEMP ne peut survenir qu’en présence d’une infection JCV. Si une sérologie JCV est réalisée, il faut tenir compte du fait que l’influence de la lymphopénie sur la précision du test de détection des anticorps anti-JCV n’a pas été étudiée chez les patients traités par </w:t>
      </w:r>
      <w:proofErr w:type="spellStart"/>
      <w:r>
        <w:rPr>
          <w:rFonts w:ascii="Times New Roman" w:hAnsi="Times New Roman"/>
        </w:rPr>
        <w:t>fingolimod</w:t>
      </w:r>
      <w:proofErr w:type="spellEnd"/>
      <w:r>
        <w:rPr>
          <w:rFonts w:ascii="Times New Roman" w:hAnsi="Times New Roman"/>
        </w:rPr>
        <w:t xml:space="preserve">. </w:t>
      </w:r>
      <w:r w:rsidR="00B07B52">
        <w:rPr>
          <w:rFonts w:ascii="Times New Roman" w:hAnsi="Times New Roman"/>
        </w:rPr>
        <w:t>U</w:t>
      </w:r>
      <w:r>
        <w:rPr>
          <w:rFonts w:ascii="Times New Roman" w:hAnsi="Times New Roman"/>
        </w:rPr>
        <w:t xml:space="preserve">n test de détection des anticorps anti-JCV négatif n’exclut pas la possibilité d’une infection ultérieure par le JCV. Avant l’initiation du traitement par </w:t>
      </w:r>
      <w:proofErr w:type="spellStart"/>
      <w:r>
        <w:rPr>
          <w:rFonts w:ascii="Times New Roman" w:hAnsi="Times New Roman"/>
        </w:rPr>
        <w:t>fingolimod</w:t>
      </w:r>
      <w:proofErr w:type="spellEnd"/>
      <w:r>
        <w:rPr>
          <w:rFonts w:ascii="Times New Roman" w:hAnsi="Times New Roman"/>
        </w:rPr>
        <w:t xml:space="preserve">, une IRM initiale de référence (habituellement de moins de 3 mois) doit être disponible. Lors des IRM de routine (en accord avec les recommandations nationales et locales), une attention doit être portée sur toute lésion évocatrice de LEMP. </w:t>
      </w:r>
      <w:r w:rsidR="00B07B52" w:rsidRPr="00B07B52">
        <w:rPr>
          <w:rFonts w:ascii="Times New Roman" w:hAnsi="Times New Roman"/>
        </w:rPr>
        <w:t xml:space="preserve">La mise en évidence à l’IRM peut précéder les symptômes et les signes cliniques. </w:t>
      </w:r>
      <w:r>
        <w:rPr>
          <w:rFonts w:ascii="Times New Roman" w:hAnsi="Times New Roman"/>
        </w:rPr>
        <w:t xml:space="preserve">La réalisation d’une IRM </w:t>
      </w:r>
      <w:r w:rsidR="00B07B52">
        <w:rPr>
          <w:rFonts w:ascii="Times New Roman" w:hAnsi="Times New Roman"/>
        </w:rPr>
        <w:t>annuelle</w:t>
      </w:r>
      <w:r>
        <w:rPr>
          <w:rFonts w:ascii="Times New Roman" w:hAnsi="Times New Roman"/>
        </w:rPr>
        <w:t xml:space="preserve"> peut être envisagée dans le contexte d’un suivi renforcé </w:t>
      </w:r>
      <w:r w:rsidR="00B07B52">
        <w:rPr>
          <w:rFonts w:ascii="Times New Roman" w:hAnsi="Times New Roman"/>
        </w:rPr>
        <w:t xml:space="preserve">en particulier </w:t>
      </w:r>
      <w:r>
        <w:rPr>
          <w:rFonts w:ascii="Times New Roman" w:hAnsi="Times New Roman"/>
        </w:rPr>
        <w:t xml:space="preserve">chez les patients à risque plus élevé de LEMP. Des cas de LEMP asymptomatiques reposant sur les résultats de l’IRM et </w:t>
      </w:r>
      <w:r>
        <w:rPr>
          <w:rFonts w:ascii="Times New Roman" w:hAnsi="Times New Roman"/>
        </w:rPr>
        <w:lastRenderedPageBreak/>
        <w:t xml:space="preserve">la présence d’ADN du JCV dans le liquide céphalorachidien ont été rapportés chez des patients traités par </w:t>
      </w:r>
      <w:proofErr w:type="spellStart"/>
      <w:r>
        <w:rPr>
          <w:rFonts w:ascii="Times New Roman" w:hAnsi="Times New Roman"/>
        </w:rPr>
        <w:t>fingolimod</w:t>
      </w:r>
      <w:proofErr w:type="spellEnd"/>
      <w:r>
        <w:rPr>
          <w:rFonts w:ascii="Times New Roman" w:hAnsi="Times New Roman"/>
        </w:rPr>
        <w:t>. En cas de suspicion clinique de LEMP, une IRM devra être réalisée immédiatement à des fins diagnostiques et le traitement doit être interrompu jusqu’à ce que le diagnostic de LEMP soit écarté.</w:t>
      </w:r>
      <w:r w:rsidR="00B07B52" w:rsidRPr="00B07B52">
        <w:rPr>
          <w:color w:val="000000"/>
        </w:rPr>
        <w:t xml:space="preserve"> </w:t>
      </w:r>
      <w:r w:rsidR="00B07B52" w:rsidRPr="00B07B52">
        <w:rPr>
          <w:rFonts w:ascii="Times New Roman" w:hAnsi="Times New Roman"/>
        </w:rPr>
        <w:t xml:space="preserve">En cas de LEMP confirmé, le traitement par </w:t>
      </w:r>
      <w:proofErr w:type="spellStart"/>
      <w:r w:rsidR="00B07B52" w:rsidRPr="00B07B52">
        <w:rPr>
          <w:rFonts w:ascii="Times New Roman" w:hAnsi="Times New Roman"/>
        </w:rPr>
        <w:t>fingolimod</w:t>
      </w:r>
      <w:proofErr w:type="spellEnd"/>
      <w:r w:rsidR="00B07B52" w:rsidRPr="00B07B52">
        <w:rPr>
          <w:rFonts w:ascii="Times New Roman" w:hAnsi="Times New Roman"/>
        </w:rPr>
        <w:t xml:space="preserve"> doit être définitivement arrêté (voir également rubrique 4.3).</w:t>
      </w:r>
    </w:p>
    <w:p w14:paraId="2D6837AE" w14:textId="77777777" w:rsidR="00B07B52" w:rsidRDefault="00B07B52" w:rsidP="00CB615C">
      <w:pPr>
        <w:widowControl/>
        <w:spacing w:after="0" w:line="240" w:lineRule="auto"/>
        <w:rPr>
          <w:rFonts w:ascii="Times New Roman" w:hAnsi="Times New Roman"/>
        </w:rPr>
      </w:pPr>
    </w:p>
    <w:p w14:paraId="77CC9CBA" w14:textId="53FC5DE6" w:rsidR="00B07B52" w:rsidRDefault="00B07B52" w:rsidP="00CB615C">
      <w:pPr>
        <w:widowControl/>
        <w:spacing w:after="0" w:line="240" w:lineRule="auto"/>
        <w:rPr>
          <w:rFonts w:ascii="Times New Roman" w:hAnsi="Times New Roman" w:cs="Times New Roman"/>
        </w:rPr>
      </w:pPr>
      <w:r w:rsidRPr="00B07B52">
        <w:rPr>
          <w:rFonts w:ascii="Times New Roman" w:hAnsi="Times New Roman" w:cs="Times New Roman"/>
        </w:rPr>
        <w:t xml:space="preserve">Un syndrome inflammatoire de reconstitution immune (IRIS) a été rapporté chez des patients traités par des modulateurs des récepteurs à la sphingosine 1-phosphate (S1P), y compris le </w:t>
      </w:r>
      <w:proofErr w:type="spellStart"/>
      <w:r w:rsidRPr="00B07B52">
        <w:rPr>
          <w:rFonts w:ascii="Times New Roman" w:hAnsi="Times New Roman" w:cs="Times New Roman"/>
        </w:rPr>
        <w:t>fingolimod</w:t>
      </w:r>
      <w:proofErr w:type="spellEnd"/>
      <w:r w:rsidRPr="00B07B52">
        <w:rPr>
          <w:rFonts w:ascii="Times New Roman" w:hAnsi="Times New Roman" w:cs="Times New Roman"/>
        </w:rPr>
        <w:t>, qui avaient développé une LEMP et avaient par la suite arrêté le traitement. L’IRIS se présente sous la forme d’un déclin clinique de l’état du patient qui peut être rapide, peut entraîner de graves complications neurologiques ou le décès, et est souvent associé à des changements caractéristiques à l’IRM. Le délai d’apparition de l’IRIS chez les patients atteints de LEMP était généralement de quelques semaines à quelques mois après l’arrêt du traitement par le modulateur du récepteur à la S1P. Une surveillance du développement de l’IRIS et un traitement approprié de l’inflammation associée doivent être entrepris.</w:t>
      </w:r>
    </w:p>
    <w:p w14:paraId="356B43BF" w14:textId="77777777" w:rsidR="00D31AAC" w:rsidRPr="005E3BF6" w:rsidRDefault="00D31AAC" w:rsidP="00CB615C">
      <w:pPr>
        <w:widowControl/>
        <w:spacing w:after="0" w:line="240" w:lineRule="auto"/>
        <w:rPr>
          <w:rFonts w:ascii="Times New Roman" w:hAnsi="Times New Roman" w:cs="Times New Roman"/>
        </w:rPr>
      </w:pPr>
    </w:p>
    <w:p w14:paraId="4183744F" w14:textId="112F0223" w:rsidR="00226EFE" w:rsidRPr="00226EFE" w:rsidRDefault="00080994" w:rsidP="00CB615C">
      <w:pPr>
        <w:keepNext/>
        <w:widowControl/>
        <w:spacing w:after="0" w:line="240" w:lineRule="auto"/>
        <w:rPr>
          <w:rFonts w:ascii="Times New Roman" w:eastAsia="Times New Roman" w:hAnsi="Times New Roman" w:cs="Times New Roman"/>
          <w:i/>
          <w:spacing w:val="-1"/>
          <w:u w:val="single"/>
        </w:rPr>
      </w:pPr>
      <w:r>
        <w:rPr>
          <w:rFonts w:ascii="Times New Roman" w:hAnsi="Times New Roman"/>
          <w:i/>
          <w:u w:val="single"/>
        </w:rPr>
        <w:t xml:space="preserve">Infection par le papillomavirus humain (HPV) </w:t>
      </w:r>
    </w:p>
    <w:p w14:paraId="16983FAC" w14:textId="597FC8EA" w:rsidR="001C7C0E" w:rsidRPr="005E3BF6" w:rsidRDefault="00080994" w:rsidP="00CB615C">
      <w:pPr>
        <w:keepNext/>
        <w:widowControl/>
        <w:spacing w:after="0" w:line="240" w:lineRule="auto"/>
        <w:rPr>
          <w:rFonts w:ascii="Times New Roman" w:hAnsi="Times New Roman" w:cs="Times New Roman"/>
        </w:rPr>
      </w:pPr>
      <w:r>
        <w:rPr>
          <w:rFonts w:ascii="Times New Roman" w:hAnsi="Times New Roman"/>
        </w:rPr>
        <w:t xml:space="preserve">Des cas d’infection par le HPV, comprenant des papillomes, des dysplasies, des verrues et des cancers liés au HPV, ont été rapportés sous traitement par </w:t>
      </w:r>
      <w:proofErr w:type="spellStart"/>
      <w:r>
        <w:rPr>
          <w:rFonts w:ascii="Times New Roman" w:hAnsi="Times New Roman"/>
        </w:rPr>
        <w:t>fingolimod</w:t>
      </w:r>
      <w:proofErr w:type="spellEnd"/>
      <w:r>
        <w:rPr>
          <w:rFonts w:ascii="Times New Roman" w:hAnsi="Times New Roman"/>
        </w:rPr>
        <w:t xml:space="preserve"> depuis la commercialisation</w:t>
      </w:r>
      <w:r w:rsidR="00AD26CF">
        <w:rPr>
          <w:rFonts w:ascii="Times New Roman" w:hAnsi="Times New Roman"/>
        </w:rPr>
        <w:t xml:space="preserve"> (voir rubrique 4.8)</w:t>
      </w:r>
      <w:r>
        <w:rPr>
          <w:rFonts w:ascii="Times New Roman" w:hAnsi="Times New Roman"/>
        </w:rPr>
        <w:t xml:space="preserve">. En raison des propriétés immunosuppressives du </w:t>
      </w:r>
      <w:proofErr w:type="spellStart"/>
      <w:r>
        <w:rPr>
          <w:rFonts w:ascii="Times New Roman" w:hAnsi="Times New Roman"/>
        </w:rPr>
        <w:t>fingolimod</w:t>
      </w:r>
      <w:proofErr w:type="spellEnd"/>
      <w:r>
        <w:rPr>
          <w:rFonts w:ascii="Times New Roman" w:hAnsi="Times New Roman"/>
        </w:rPr>
        <w:t>, la vaccination contre le HPV doit être envisagée avant l’instauration du traitement en tenant compte des recommandations vaccinales. Le dépistage du cancer, incluant le test Pap, est recommandé conformément à la prise en charge standard.</w:t>
      </w:r>
    </w:p>
    <w:p w14:paraId="53C0B471" w14:textId="77777777" w:rsidR="001425C1" w:rsidRPr="005E3BF6" w:rsidRDefault="001425C1" w:rsidP="00CB615C">
      <w:pPr>
        <w:widowControl/>
        <w:spacing w:after="0" w:line="240" w:lineRule="auto"/>
        <w:ind w:left="1"/>
        <w:rPr>
          <w:rFonts w:ascii="Times New Roman" w:eastAsia="Times New Roman" w:hAnsi="Times New Roman" w:cs="Times New Roman"/>
        </w:rPr>
      </w:pPr>
    </w:p>
    <w:p w14:paraId="22D74073"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Œdème maculaire</w:t>
      </w:r>
    </w:p>
    <w:p w14:paraId="4E120E6B" w14:textId="77777777" w:rsidR="00D658ED" w:rsidRDefault="00D658ED" w:rsidP="00CB615C">
      <w:pPr>
        <w:widowControl/>
        <w:spacing w:after="0" w:line="240" w:lineRule="auto"/>
        <w:ind w:left="1"/>
        <w:rPr>
          <w:rFonts w:ascii="Times New Roman" w:eastAsia="Times New Roman" w:hAnsi="Times New Roman" w:cs="Times New Roman"/>
        </w:rPr>
      </w:pPr>
    </w:p>
    <w:p w14:paraId="6CD1155A" w14:textId="38F3776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cas d’œdème maculaire avec ou sans symptômes visuels, apparaissant généralement au cours des 3 à 4 premiers mois de traitement, ont été rapportés chez 0,5 % des patients traités par </w:t>
      </w:r>
      <w:proofErr w:type="spellStart"/>
      <w:r>
        <w:rPr>
          <w:rFonts w:ascii="Times New Roman" w:hAnsi="Times New Roman"/>
        </w:rPr>
        <w:t>fingolimod</w:t>
      </w:r>
      <w:proofErr w:type="spellEnd"/>
      <w:r>
        <w:rPr>
          <w:rFonts w:ascii="Times New Roman" w:hAnsi="Times New Roman"/>
        </w:rPr>
        <w:t xml:space="preserve"> 0,5 mg (voir rubrique 4.8). Il est par conséquent recommandé de réaliser un bilan ophtalmologique 3 à 4 mois après l’instauration du traitement. Si un patient présente des troubles visuels pendant le traitement, un examen du fond d’œil, incluant la macula, doit être réalisé.</w:t>
      </w:r>
    </w:p>
    <w:p w14:paraId="2C2D00FA" w14:textId="77777777" w:rsidR="001C7C0E" w:rsidRPr="005E3BF6" w:rsidRDefault="001C7C0E" w:rsidP="00CB615C">
      <w:pPr>
        <w:widowControl/>
        <w:spacing w:after="0" w:line="240" w:lineRule="auto"/>
        <w:rPr>
          <w:rFonts w:ascii="Times New Roman" w:hAnsi="Times New Roman" w:cs="Times New Roman"/>
        </w:rPr>
      </w:pPr>
    </w:p>
    <w:p w14:paraId="558B4438" w14:textId="68C5616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risque d’œdème maculaire est majoré chez les patients ayant des antécédents d’uvéite et chez les patients diabétiques (voir rubrique 4.8). Le </w:t>
      </w:r>
      <w:proofErr w:type="spellStart"/>
      <w:r>
        <w:rPr>
          <w:rFonts w:ascii="Times New Roman" w:hAnsi="Times New Roman"/>
        </w:rPr>
        <w:t>fingolimod</w:t>
      </w:r>
      <w:proofErr w:type="spellEnd"/>
      <w:r>
        <w:rPr>
          <w:rFonts w:ascii="Times New Roman" w:hAnsi="Times New Roman"/>
        </w:rPr>
        <w:t xml:space="preserve"> n’a pas été étudié chez les patients diabétiques atteints de sclérose en plaques. Chez les patients diabétiques ou ayant des antécédents d’uvéite et atteints de sclérose en plaques, il est recommandé de réaliser un bilan ophtalmologique avant l’instauration du traitement, avec des évaluations de contrôle durant le traitement.</w:t>
      </w:r>
    </w:p>
    <w:p w14:paraId="5AC50A88" w14:textId="77777777" w:rsidR="001C7C0E" w:rsidRPr="005E3BF6" w:rsidRDefault="001C7C0E" w:rsidP="00CB615C">
      <w:pPr>
        <w:widowControl/>
        <w:spacing w:after="0" w:line="240" w:lineRule="auto"/>
        <w:rPr>
          <w:rFonts w:ascii="Times New Roman" w:hAnsi="Times New Roman" w:cs="Times New Roman"/>
        </w:rPr>
      </w:pPr>
    </w:p>
    <w:p w14:paraId="5431FCB7" w14:textId="2BB435CE"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poursuite du traitement chez les patients présentant un œdème maculaire n’a pas été évaluée. Il est recommandé d’interrompre le traitement par </w:t>
      </w:r>
      <w:proofErr w:type="spellStart"/>
      <w:r>
        <w:rPr>
          <w:rFonts w:ascii="Times New Roman" w:hAnsi="Times New Roman"/>
        </w:rPr>
        <w:t>Fingolimod</w:t>
      </w:r>
      <w:proofErr w:type="spellEnd"/>
      <w:r>
        <w:rPr>
          <w:rFonts w:ascii="Times New Roman" w:hAnsi="Times New Roman"/>
        </w:rPr>
        <w:t xml:space="preserve"> Mylan si un patient développe un œdème maculaire. La décision de reprendre ou non le traitement après la résolution de l’œdème maculaire doit prendre en compte les bénéfices et les </w:t>
      </w:r>
      <w:proofErr w:type="gramStart"/>
      <w:r>
        <w:rPr>
          <w:rFonts w:ascii="Times New Roman" w:hAnsi="Times New Roman"/>
        </w:rPr>
        <w:t>risques potentiels</w:t>
      </w:r>
      <w:proofErr w:type="gramEnd"/>
      <w:r>
        <w:rPr>
          <w:rFonts w:ascii="Times New Roman" w:hAnsi="Times New Roman"/>
        </w:rPr>
        <w:t xml:space="preserve"> pour le patient.</w:t>
      </w:r>
    </w:p>
    <w:p w14:paraId="1CB8D53F" w14:textId="77777777" w:rsidR="001C7C0E" w:rsidRPr="005E3BF6" w:rsidRDefault="001C7C0E" w:rsidP="00CB615C">
      <w:pPr>
        <w:widowControl/>
        <w:spacing w:after="0" w:line="240" w:lineRule="auto"/>
        <w:rPr>
          <w:rFonts w:ascii="Times New Roman" w:hAnsi="Times New Roman" w:cs="Times New Roman"/>
        </w:rPr>
      </w:pPr>
    </w:p>
    <w:p w14:paraId="79D9806A" w14:textId="3AE1B561"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Atteinte hépatique</w:t>
      </w:r>
    </w:p>
    <w:p w14:paraId="53CBAC39" w14:textId="77777777" w:rsidR="00D658ED" w:rsidRDefault="00D658ED" w:rsidP="00CB615C">
      <w:pPr>
        <w:widowControl/>
        <w:spacing w:after="0" w:line="240" w:lineRule="auto"/>
        <w:ind w:left="1"/>
        <w:rPr>
          <w:rFonts w:ascii="Times New Roman" w:eastAsia="Times New Roman" w:hAnsi="Times New Roman" w:cs="Times New Roman"/>
          <w:spacing w:val="-4"/>
        </w:rPr>
      </w:pPr>
    </w:p>
    <w:p w14:paraId="7C4F9F1B" w14:textId="271DE65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élévations des enzymes hépatiques, notamment l’alanine aminotransférase (ALAT) mais également la gamma </w:t>
      </w:r>
      <w:proofErr w:type="spellStart"/>
      <w:r>
        <w:rPr>
          <w:rFonts w:ascii="Times New Roman" w:hAnsi="Times New Roman"/>
        </w:rPr>
        <w:t>glutamyltransférase</w:t>
      </w:r>
      <w:proofErr w:type="spellEnd"/>
      <w:r>
        <w:rPr>
          <w:rFonts w:ascii="Times New Roman" w:hAnsi="Times New Roman"/>
        </w:rPr>
        <w:t xml:space="preserve"> (GGT) et l’aspartate </w:t>
      </w:r>
      <w:proofErr w:type="spellStart"/>
      <w:r>
        <w:rPr>
          <w:rFonts w:ascii="Times New Roman" w:hAnsi="Times New Roman"/>
        </w:rPr>
        <w:t>aminotransaminase</w:t>
      </w:r>
      <w:proofErr w:type="spellEnd"/>
      <w:r>
        <w:rPr>
          <w:rFonts w:ascii="Times New Roman" w:hAnsi="Times New Roman"/>
        </w:rPr>
        <w:t xml:space="preserve"> (ASAT), ont été rapportées chez les patients atteints de sclérose en plaques et traités par </w:t>
      </w:r>
      <w:proofErr w:type="spellStart"/>
      <w:r>
        <w:rPr>
          <w:rFonts w:ascii="Times New Roman" w:hAnsi="Times New Roman"/>
        </w:rPr>
        <w:t>fingolimod</w:t>
      </w:r>
      <w:proofErr w:type="spellEnd"/>
      <w:r>
        <w:rPr>
          <w:rFonts w:ascii="Times New Roman" w:hAnsi="Times New Roman"/>
        </w:rPr>
        <w:t xml:space="preserve">. Des cas d’insuffisance hépatique aiguë nécessitant une transplantation hépatique et d’atteintes hépatiques cliniquement significatives ont également été rapportés. Des signes d’atteinte hépatique, comprenant une élévation marquée des enzymes hépatiques sériques et une élévation de la bilirubine totale, sont survenus dès le dixième jour après la première dose et ont également été rapportés après une utilisation prolongée. Dans les essais cliniques, 8,0 % des patients adultes traités par </w:t>
      </w:r>
      <w:proofErr w:type="spellStart"/>
      <w:r>
        <w:rPr>
          <w:rFonts w:ascii="Times New Roman" w:hAnsi="Times New Roman"/>
        </w:rPr>
        <w:t>fingolimod</w:t>
      </w:r>
      <w:proofErr w:type="spellEnd"/>
      <w:r>
        <w:rPr>
          <w:rFonts w:ascii="Times New Roman" w:hAnsi="Times New Roman"/>
        </w:rPr>
        <w:t xml:space="preserve"> 0,5 mg versus 1,9 % des patients recevant le placebo ont présenté une élévation des ALAT au moins égale à 3 fois la limite supérieure de la normale (LSN). Des élévations à 5 fois la LSN ont été observées chez 1,8 % des patients traités par </w:t>
      </w:r>
      <w:proofErr w:type="spellStart"/>
      <w:r>
        <w:rPr>
          <w:rFonts w:ascii="Times New Roman" w:hAnsi="Times New Roman"/>
        </w:rPr>
        <w:t>fingolimod</w:t>
      </w:r>
      <w:proofErr w:type="spellEnd"/>
      <w:r>
        <w:rPr>
          <w:rFonts w:ascii="Times New Roman" w:hAnsi="Times New Roman"/>
        </w:rPr>
        <w:t xml:space="preserve"> et 0,9 % des patients sous placebo. Dans les essais cliniques, le traitement était arrêté en cas d’élévation supérieure à 5 fois la LSN. Chez certains patients, l’élévation </w:t>
      </w:r>
      <w:r>
        <w:rPr>
          <w:rFonts w:ascii="Times New Roman" w:hAnsi="Times New Roman"/>
        </w:rPr>
        <w:lastRenderedPageBreak/>
        <w:t xml:space="preserve">des transaminases hépatiques est réapparue à la reprise du traitement ce qui corrobore une relation avec le </w:t>
      </w:r>
      <w:proofErr w:type="spellStart"/>
      <w:r>
        <w:rPr>
          <w:rFonts w:ascii="Times New Roman" w:hAnsi="Times New Roman"/>
        </w:rPr>
        <w:t>fingolimod</w:t>
      </w:r>
      <w:proofErr w:type="spellEnd"/>
      <w:r>
        <w:rPr>
          <w:rFonts w:ascii="Times New Roman" w:hAnsi="Times New Roman"/>
        </w:rPr>
        <w:t>. Dans les études cliniques, les élévations des transaminases sont survenues à n’importe quel moment au cours du traitement, bien que la majorité d’entre elles soit survenue au cours des 12 premiers mois. Les taux sériques de transaminases sont revenus à la normale dans les deux mois environ suivant l’arrêt du traitement.</w:t>
      </w:r>
    </w:p>
    <w:p w14:paraId="1597D109" w14:textId="77777777" w:rsidR="001C7C0E" w:rsidRPr="005E3BF6" w:rsidRDefault="001C7C0E" w:rsidP="00CB615C">
      <w:pPr>
        <w:widowControl/>
        <w:spacing w:after="0" w:line="240" w:lineRule="auto"/>
        <w:rPr>
          <w:rFonts w:ascii="Times New Roman" w:hAnsi="Times New Roman" w:cs="Times New Roman"/>
        </w:rPr>
      </w:pPr>
    </w:p>
    <w:p w14:paraId="7C3B146B" w14:textId="4D060D95"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n’a pas été étudié chez les patients présentant une atteinte hépatique préexistante sévère (classe C de Child-</w:t>
      </w:r>
      <w:proofErr w:type="spellStart"/>
      <w:r>
        <w:rPr>
          <w:rFonts w:ascii="Times New Roman" w:hAnsi="Times New Roman"/>
        </w:rPr>
        <w:t>Pugh</w:t>
      </w:r>
      <w:proofErr w:type="spellEnd"/>
      <w:r>
        <w:rPr>
          <w:rFonts w:ascii="Times New Roman" w:hAnsi="Times New Roman"/>
        </w:rPr>
        <w:t>) et ne doit pas être utilisé chez ces patients (voir rubrique 4.3).</w:t>
      </w:r>
    </w:p>
    <w:p w14:paraId="018B3806" w14:textId="77777777" w:rsidR="001C7C0E" w:rsidRPr="005E3BF6" w:rsidRDefault="001C7C0E" w:rsidP="00CB615C">
      <w:pPr>
        <w:widowControl/>
        <w:spacing w:after="0" w:line="240" w:lineRule="auto"/>
        <w:rPr>
          <w:rFonts w:ascii="Times New Roman" w:hAnsi="Times New Roman" w:cs="Times New Roman"/>
        </w:rPr>
      </w:pPr>
    </w:p>
    <w:p w14:paraId="54F0E810"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Chez les patients présentant une hépatite virale active, l’instauration du traitement doit être différée jusqu’à la résolution de l’infection, en raison des effets immunosuppresseurs du </w:t>
      </w:r>
      <w:proofErr w:type="spellStart"/>
      <w:r>
        <w:rPr>
          <w:rFonts w:ascii="Times New Roman" w:hAnsi="Times New Roman"/>
        </w:rPr>
        <w:t>fingolimod</w:t>
      </w:r>
      <w:proofErr w:type="spellEnd"/>
      <w:r>
        <w:rPr>
          <w:rFonts w:ascii="Times New Roman" w:hAnsi="Times New Roman"/>
        </w:rPr>
        <w:t>.</w:t>
      </w:r>
    </w:p>
    <w:p w14:paraId="39039C42" w14:textId="77777777" w:rsidR="001C7C0E" w:rsidRPr="005E3BF6" w:rsidRDefault="001C7C0E" w:rsidP="00CB615C">
      <w:pPr>
        <w:widowControl/>
        <w:spacing w:after="0" w:line="240" w:lineRule="auto"/>
        <w:rPr>
          <w:rFonts w:ascii="Times New Roman" w:hAnsi="Times New Roman" w:cs="Times New Roman"/>
        </w:rPr>
      </w:pPr>
    </w:p>
    <w:p w14:paraId="06226B28" w14:textId="132203A7" w:rsidR="00CB58B6" w:rsidRPr="00CB58B6" w:rsidRDefault="00080994" w:rsidP="00CB615C">
      <w:pPr>
        <w:widowControl/>
        <w:spacing w:after="0" w:line="240" w:lineRule="auto"/>
        <w:ind w:left="1"/>
        <w:rPr>
          <w:rFonts w:ascii="Times New Roman" w:eastAsia="Times New Roman" w:hAnsi="Times New Roman" w:cs="Times New Roman"/>
          <w:spacing w:val="1"/>
        </w:rPr>
      </w:pPr>
      <w:r>
        <w:rPr>
          <w:rFonts w:ascii="Times New Roman" w:hAnsi="Times New Roman"/>
        </w:rPr>
        <w:t xml:space="preserve">Des valeurs récentes (obtenues au cours des 6 derniers mois) des transaminases et de la bilirubine doivent être disponibles avant d’instaurer le traitement. En l’absence de symptômes cliniques, les transaminases hépatiques et la bilirubine sérique doivent être surveillées à 1, 3, 6, 9 et 12 mois de traitement et régulièrement ensuite jusqu’à deux mois après l’arrêt du </w:t>
      </w:r>
      <w:proofErr w:type="spellStart"/>
      <w:r>
        <w:rPr>
          <w:rFonts w:ascii="Times New Roman" w:hAnsi="Times New Roman"/>
        </w:rPr>
        <w:t>fingolimod</w:t>
      </w:r>
      <w:proofErr w:type="spellEnd"/>
      <w:r>
        <w:rPr>
          <w:rFonts w:ascii="Times New Roman" w:hAnsi="Times New Roman"/>
        </w:rPr>
        <w:t xml:space="preserve">. En l’absence de symptômes cliniques, si les transaminases hépatiques sont supérieures à 3 mais inférieures à 5 fois la LSN sans augmentation de la bilirubine sérique, une surveillance plus fréquente incluant un dosage de la bilirubine sérique et de la phosphatase alcaline (PAL) doit être instaurée pour déceler toute nouvelle augmentation et chercher une étiologie alternative du dysfonctionnement hépatique. Si les transaminases hépatiques atteignent au moins 5 fois la LSN ou au moins 3 fois la LSN associée à une augmentation de la bilirubine sérique, le traitement doit être arrêté. La surveillance hépatique doit être poursuivie. Si les taux sériques reviennent à la normale (y compris si une autre cause du dysfonctionnement hépatique est découverte), le </w:t>
      </w:r>
      <w:proofErr w:type="spellStart"/>
      <w:r>
        <w:rPr>
          <w:rFonts w:ascii="Times New Roman" w:hAnsi="Times New Roman"/>
        </w:rPr>
        <w:t>fingolimod</w:t>
      </w:r>
      <w:proofErr w:type="spellEnd"/>
      <w:r>
        <w:rPr>
          <w:rFonts w:ascii="Times New Roman" w:hAnsi="Times New Roman"/>
        </w:rPr>
        <w:t xml:space="preserve"> peut être réintroduit sur la base d’une évaluation approfondie du rapport bénéfice-risque pour le patient.</w:t>
      </w:r>
    </w:p>
    <w:p w14:paraId="0C00714D" w14:textId="77777777" w:rsidR="00CB58B6" w:rsidRPr="005E3BF6" w:rsidRDefault="00CB58B6" w:rsidP="00CB615C">
      <w:pPr>
        <w:widowControl/>
        <w:spacing w:after="0" w:line="240" w:lineRule="auto"/>
        <w:ind w:left="1"/>
        <w:rPr>
          <w:rFonts w:ascii="Times New Roman" w:eastAsia="Times New Roman" w:hAnsi="Times New Roman" w:cs="Times New Roman"/>
        </w:rPr>
      </w:pPr>
    </w:p>
    <w:p w14:paraId="1F8D8889" w14:textId="0DBD02F4" w:rsidR="001425C1"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Chez les patients développant des symptômes évoquant un dysfonctionnement hépatique, </w:t>
      </w:r>
      <w:proofErr w:type="gramStart"/>
      <w:r>
        <w:rPr>
          <w:rFonts w:ascii="Times New Roman" w:hAnsi="Times New Roman"/>
        </w:rPr>
        <w:t>comme par exemple</w:t>
      </w:r>
      <w:proofErr w:type="gramEnd"/>
      <w:r>
        <w:rPr>
          <w:rFonts w:ascii="Times New Roman" w:hAnsi="Times New Roman"/>
        </w:rPr>
        <w:t xml:space="preserve"> des nausées inexpliquées, des vomissements, des douleurs abdominales, une fatigue, une anorexie ou un ictère et/ou une coloration foncée des urines, les taux d’enzymes hépatiques et de bilirubine doivent être contrôlés rapidement et le traitement arrêté si une atteinte hépatique sévère est confirmée. </w:t>
      </w:r>
    </w:p>
    <w:p w14:paraId="09D41E98" w14:textId="3BC937BA" w:rsidR="002927BA" w:rsidRPr="002927BA" w:rsidRDefault="00080994" w:rsidP="00CB615C">
      <w:pPr>
        <w:widowControl/>
        <w:spacing w:after="0" w:line="240" w:lineRule="auto"/>
        <w:ind w:left="1"/>
        <w:rPr>
          <w:rFonts w:ascii="Times New Roman" w:eastAsia="Times New Roman" w:hAnsi="Times New Roman" w:cs="Times New Roman"/>
          <w:spacing w:val="-1"/>
        </w:rPr>
      </w:pPr>
      <w:r>
        <w:rPr>
          <w:rFonts w:ascii="Times New Roman" w:hAnsi="Times New Roman"/>
        </w:rPr>
        <w:t>Le traitement ne doit pas être repris à moins qu’une étiologie alternative plausible des signes et symptômes d’atteinte hépatique ne puisse être établie.</w:t>
      </w:r>
    </w:p>
    <w:p w14:paraId="169AE7A0" w14:textId="77777777" w:rsidR="002927BA" w:rsidRDefault="002927BA" w:rsidP="00CB615C">
      <w:pPr>
        <w:widowControl/>
        <w:spacing w:after="0" w:line="240" w:lineRule="auto"/>
        <w:ind w:left="1"/>
        <w:rPr>
          <w:rFonts w:ascii="Times New Roman" w:eastAsia="Times New Roman" w:hAnsi="Times New Roman" w:cs="Times New Roman"/>
          <w:spacing w:val="-1"/>
        </w:rPr>
      </w:pPr>
    </w:p>
    <w:p w14:paraId="13BBC557" w14:textId="0DF8E1D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Bien qu’il n’existe pas de données permettant d’établir que les patients présentant une hépatopathie préexistante aient un risque accru de développer une élévation des paramètres hépatiques pendant le traitement par </w:t>
      </w:r>
      <w:proofErr w:type="spellStart"/>
      <w:r>
        <w:rPr>
          <w:rFonts w:ascii="Times New Roman" w:hAnsi="Times New Roman"/>
        </w:rPr>
        <w:t>fingolimod</w:t>
      </w:r>
      <w:proofErr w:type="spellEnd"/>
      <w:r>
        <w:rPr>
          <w:rFonts w:ascii="Times New Roman" w:hAnsi="Times New Roman"/>
        </w:rPr>
        <w:t>, la prudence s’impose chez les patients ayant des antécédents de maladie hépatique significative.</w:t>
      </w:r>
    </w:p>
    <w:p w14:paraId="0F8744C3" w14:textId="77777777" w:rsidR="001C7C0E" w:rsidRPr="005E3BF6" w:rsidRDefault="001C7C0E" w:rsidP="00CB615C">
      <w:pPr>
        <w:widowControl/>
        <w:spacing w:after="0" w:line="240" w:lineRule="auto"/>
        <w:rPr>
          <w:rFonts w:ascii="Times New Roman" w:hAnsi="Times New Roman" w:cs="Times New Roman"/>
        </w:rPr>
      </w:pPr>
    </w:p>
    <w:p w14:paraId="5365AFC0"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Effets sur la pression artérielle</w:t>
      </w:r>
    </w:p>
    <w:p w14:paraId="5248BCC4" w14:textId="77777777" w:rsidR="00D658ED" w:rsidRDefault="00D658ED" w:rsidP="00CB615C">
      <w:pPr>
        <w:widowControl/>
        <w:spacing w:after="0" w:line="240" w:lineRule="auto"/>
        <w:ind w:left="1"/>
        <w:rPr>
          <w:rFonts w:ascii="Times New Roman" w:eastAsia="Times New Roman" w:hAnsi="Times New Roman" w:cs="Times New Roman"/>
        </w:rPr>
      </w:pPr>
    </w:p>
    <w:p w14:paraId="46136EF3" w14:textId="4FA6EFC2"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Les patients présentant une hypertension non contrôlée par un traitement ont été exclus des essais cliniques menés avant la commercialisation et une prudence particulière est recommandée en cas d’administration de </w:t>
      </w:r>
      <w:proofErr w:type="spellStart"/>
      <w:r>
        <w:rPr>
          <w:rFonts w:ascii="Times New Roman" w:hAnsi="Times New Roman"/>
        </w:rPr>
        <w:t>Fingolimod</w:t>
      </w:r>
      <w:proofErr w:type="spellEnd"/>
      <w:r>
        <w:rPr>
          <w:rFonts w:ascii="Times New Roman" w:hAnsi="Times New Roman"/>
        </w:rPr>
        <w:t xml:space="preserve"> Mylan chez des patients présentant une hypertension non contrôlée.</w:t>
      </w:r>
    </w:p>
    <w:p w14:paraId="72942F06" w14:textId="77777777" w:rsidR="001C7C0E" w:rsidRPr="005E3BF6" w:rsidRDefault="001C7C0E" w:rsidP="00CB615C">
      <w:pPr>
        <w:widowControl/>
        <w:spacing w:after="0" w:line="240" w:lineRule="auto"/>
        <w:rPr>
          <w:rFonts w:ascii="Times New Roman" w:hAnsi="Times New Roman" w:cs="Times New Roman"/>
        </w:rPr>
      </w:pPr>
    </w:p>
    <w:p w14:paraId="39DCF5B6" w14:textId="288D9235"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Au cours des études cliniques dans la sclérose en plaques (SEP), les patients traités par le </w:t>
      </w:r>
      <w:proofErr w:type="spellStart"/>
      <w:r>
        <w:rPr>
          <w:rFonts w:ascii="Times New Roman" w:hAnsi="Times New Roman"/>
        </w:rPr>
        <w:t>fingolimod</w:t>
      </w:r>
      <w:proofErr w:type="spellEnd"/>
      <w:r>
        <w:rPr>
          <w:rFonts w:ascii="Times New Roman" w:hAnsi="Times New Roman"/>
        </w:rPr>
        <w:t xml:space="preserve"> 0,5 mg ont présenté une augmentation moyenne de la pression artérielle systolique d’environ 3 mm Hg et de la pression diastolique d’environ 1 mm Hg, détectée pour la première fois un mois environ après le début du traitement et persistant avec la poursuite du traitement. Dans l’étude contrôlée contre placebo de 2 ans, une hypertension a été rapportée comme événement indésirable chez 6,5 % des patients sous </w:t>
      </w:r>
      <w:proofErr w:type="spellStart"/>
      <w:r>
        <w:rPr>
          <w:rFonts w:ascii="Times New Roman" w:hAnsi="Times New Roman"/>
        </w:rPr>
        <w:t>fingolimod</w:t>
      </w:r>
      <w:proofErr w:type="spellEnd"/>
      <w:r>
        <w:rPr>
          <w:rFonts w:ascii="Times New Roman" w:hAnsi="Times New Roman"/>
        </w:rPr>
        <w:t xml:space="preserve"> 0,5 mg et 3,3 % des patients sous placebo. En conséquence, la pression artérielle doit être surveillée régulièrement pendant le traitement.</w:t>
      </w:r>
    </w:p>
    <w:p w14:paraId="6CCB1CC2" w14:textId="77777777" w:rsidR="001C7C0E" w:rsidRPr="005E3BF6" w:rsidRDefault="001C7C0E" w:rsidP="00CB615C">
      <w:pPr>
        <w:widowControl/>
        <w:spacing w:after="0" w:line="240" w:lineRule="auto"/>
        <w:rPr>
          <w:rFonts w:ascii="Times New Roman" w:hAnsi="Times New Roman" w:cs="Times New Roman"/>
        </w:rPr>
      </w:pPr>
    </w:p>
    <w:p w14:paraId="471B2FEB"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Effets sur l’appareil respiratoire</w:t>
      </w:r>
    </w:p>
    <w:p w14:paraId="53468030" w14:textId="77777777" w:rsidR="00D658ED" w:rsidRDefault="00D658ED" w:rsidP="00CB615C">
      <w:pPr>
        <w:widowControl/>
        <w:spacing w:after="0" w:line="240" w:lineRule="auto"/>
        <w:ind w:left="1"/>
        <w:rPr>
          <w:rFonts w:ascii="Times New Roman" w:eastAsia="Times New Roman" w:hAnsi="Times New Roman" w:cs="Times New Roman"/>
          <w:position w:val="2"/>
        </w:rPr>
      </w:pPr>
    </w:p>
    <w:p w14:paraId="15277CC6" w14:textId="36E73260"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diminutions dose-dépendantes mineures des valeurs du volume expiratoire maximal par seconde (VEMS) et de la capacité de diffusion du monoxyde de carbone (DLCO) ont été observées un mois </w:t>
      </w:r>
      <w:r>
        <w:rPr>
          <w:rFonts w:ascii="Times New Roman" w:hAnsi="Times New Roman"/>
        </w:rPr>
        <w:lastRenderedPageBreak/>
        <w:t xml:space="preserve">après le début du traitement par </w:t>
      </w:r>
      <w:proofErr w:type="spellStart"/>
      <w:r>
        <w:rPr>
          <w:rFonts w:ascii="Times New Roman" w:hAnsi="Times New Roman"/>
        </w:rPr>
        <w:t>fingolimod</w:t>
      </w:r>
      <w:proofErr w:type="spellEnd"/>
      <w:r>
        <w:rPr>
          <w:rFonts w:ascii="Times New Roman" w:hAnsi="Times New Roman"/>
        </w:rPr>
        <w:t xml:space="preserve"> avec stabilisation ultérieure. Il doit être utilisé avec prudence chez les patients présentant une maladie respiratoire sévère, une fibrose pulmonaire ou une broncho-pneumopathie chronique obstructive (voir rubrique 4.8).</w:t>
      </w:r>
    </w:p>
    <w:p w14:paraId="26EA80FD" w14:textId="77777777" w:rsidR="001C7C0E" w:rsidRPr="005E3BF6" w:rsidRDefault="001C7C0E" w:rsidP="00CB615C">
      <w:pPr>
        <w:widowControl/>
        <w:spacing w:after="0" w:line="240" w:lineRule="auto"/>
        <w:rPr>
          <w:rFonts w:ascii="Times New Roman" w:hAnsi="Times New Roman" w:cs="Times New Roman"/>
        </w:rPr>
      </w:pPr>
    </w:p>
    <w:p w14:paraId="0D632136" w14:textId="06BD021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Syndrome d’encéphalopathie postérieure réversible (SEPR)</w:t>
      </w:r>
    </w:p>
    <w:p w14:paraId="5BF57C48" w14:textId="77777777" w:rsidR="00D658ED" w:rsidRDefault="00D658ED" w:rsidP="00CB615C">
      <w:pPr>
        <w:widowControl/>
        <w:spacing w:after="0" w:line="240" w:lineRule="auto"/>
        <w:ind w:left="1"/>
        <w:rPr>
          <w:rFonts w:ascii="Times New Roman" w:eastAsia="Times New Roman" w:hAnsi="Times New Roman" w:cs="Times New Roman"/>
          <w:spacing w:val="-1"/>
        </w:rPr>
      </w:pPr>
    </w:p>
    <w:p w14:paraId="593CCF07" w14:textId="61AD07D6"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 rares cas de syndrome de SEPR ont été rapportés à la dose de 0,5 mg dans les essais cliniques et lors du suivi après commercialisation (voir rubrique 4.8). Les symptômes rapportés incluaient apparition soudaine de céphalées sévères, nausées, vomissements, altération de l’état mental, troubles de la vision et crises épileptiques. Les symptômes de SEPR sont habituellement réversibles mais peuvent évoluer vers un infarctus cérébral ou une hémorragie cérébrale. Un retard dans le diagnostic ainsi que le traitement peuvent entraîner des séquelles neurologiques permanentes. Si un SEPR est suspecté, le traitement par </w:t>
      </w:r>
      <w:proofErr w:type="spellStart"/>
      <w:r>
        <w:rPr>
          <w:rFonts w:ascii="Times New Roman" w:hAnsi="Times New Roman"/>
        </w:rPr>
        <w:t>Fingolimod</w:t>
      </w:r>
      <w:proofErr w:type="spellEnd"/>
      <w:r>
        <w:rPr>
          <w:rFonts w:ascii="Times New Roman" w:hAnsi="Times New Roman"/>
        </w:rPr>
        <w:t xml:space="preserve"> Mylan doit être arrêté.</w:t>
      </w:r>
    </w:p>
    <w:p w14:paraId="0CDF20E1" w14:textId="77777777" w:rsidR="001C7C0E" w:rsidRPr="005E3BF6" w:rsidRDefault="001C7C0E" w:rsidP="00CB615C">
      <w:pPr>
        <w:widowControl/>
        <w:spacing w:after="0" w:line="240" w:lineRule="auto"/>
        <w:rPr>
          <w:rFonts w:ascii="Times New Roman" w:hAnsi="Times New Roman" w:cs="Times New Roman"/>
        </w:rPr>
      </w:pPr>
    </w:p>
    <w:p w14:paraId="66FD0957"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Traitement antérieur par des immunosuppresseurs ou des immunomodulateurs</w:t>
      </w:r>
    </w:p>
    <w:p w14:paraId="68B301E7" w14:textId="77777777" w:rsidR="00D658ED" w:rsidRDefault="00D658ED" w:rsidP="00CB615C">
      <w:pPr>
        <w:widowControl/>
        <w:spacing w:after="0" w:line="240" w:lineRule="auto"/>
        <w:ind w:left="1"/>
        <w:rPr>
          <w:rFonts w:ascii="Times New Roman" w:eastAsia="Times New Roman" w:hAnsi="Times New Roman" w:cs="Times New Roman"/>
          <w:spacing w:val="2"/>
        </w:rPr>
      </w:pPr>
    </w:p>
    <w:p w14:paraId="2FF29ECB" w14:textId="353DE5FA"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Il n’a pas été réalisé d’études évaluant l’efficacité et la tolérance du </w:t>
      </w:r>
      <w:proofErr w:type="spellStart"/>
      <w:r>
        <w:rPr>
          <w:rFonts w:ascii="Times New Roman" w:hAnsi="Times New Roman"/>
        </w:rPr>
        <w:t>fingolimod</w:t>
      </w:r>
      <w:proofErr w:type="spellEnd"/>
      <w:r>
        <w:rPr>
          <w:rFonts w:ascii="Times New Roman" w:hAnsi="Times New Roman"/>
        </w:rPr>
        <w:t xml:space="preserve"> en relais du </w:t>
      </w:r>
      <w:proofErr w:type="spellStart"/>
      <w:r>
        <w:rPr>
          <w:rFonts w:ascii="Times New Roman" w:hAnsi="Times New Roman"/>
        </w:rPr>
        <w:t>tériflunomide</w:t>
      </w:r>
      <w:proofErr w:type="spellEnd"/>
      <w:r>
        <w:rPr>
          <w:rFonts w:ascii="Times New Roman" w:hAnsi="Times New Roman"/>
        </w:rPr>
        <w:t>, du diméthylfumarate ou de l’</w:t>
      </w:r>
      <w:proofErr w:type="spellStart"/>
      <w:r>
        <w:rPr>
          <w:rFonts w:ascii="Times New Roman" w:hAnsi="Times New Roman"/>
        </w:rPr>
        <w:t>alemtuzumab</w:t>
      </w:r>
      <w:proofErr w:type="spellEnd"/>
      <w:r>
        <w:rPr>
          <w:rFonts w:ascii="Times New Roman" w:hAnsi="Times New Roman"/>
        </w:rPr>
        <w:t xml:space="preserve">. En cas de relais d’un autre traitement de fond de la sclérose en plaques par </w:t>
      </w:r>
      <w:proofErr w:type="spellStart"/>
      <w:r>
        <w:rPr>
          <w:rFonts w:ascii="Times New Roman" w:hAnsi="Times New Roman"/>
        </w:rPr>
        <w:t>fingolimod</w:t>
      </w:r>
      <w:proofErr w:type="spellEnd"/>
      <w:r>
        <w:rPr>
          <w:rFonts w:ascii="Times New Roman" w:hAnsi="Times New Roman"/>
        </w:rPr>
        <w:t xml:space="preserve">, la demi-vie </w:t>
      </w:r>
      <w:r w:rsidR="00AD26CF">
        <w:rPr>
          <w:rFonts w:ascii="Times New Roman" w:hAnsi="Times New Roman"/>
        </w:rPr>
        <w:t xml:space="preserve">d’élimination </w:t>
      </w:r>
      <w:r>
        <w:rPr>
          <w:rFonts w:ascii="Times New Roman" w:hAnsi="Times New Roman"/>
        </w:rPr>
        <w:t xml:space="preserve">et le mode d’action de ces autres traitements doivent être pris en compte afin d’éviter un effet additif sur le système immunitaire et pour minimiser le risque de réactivation de la maladie. Une NFS est recommandée avant l’initiation de </w:t>
      </w:r>
      <w:proofErr w:type="spellStart"/>
      <w:r>
        <w:rPr>
          <w:rFonts w:ascii="Times New Roman" w:hAnsi="Times New Roman"/>
        </w:rPr>
        <w:t>Fingolimod</w:t>
      </w:r>
      <w:proofErr w:type="spellEnd"/>
      <w:r>
        <w:rPr>
          <w:rFonts w:ascii="Times New Roman" w:hAnsi="Times New Roman"/>
        </w:rPr>
        <w:t xml:space="preserve"> Mylan afin de s’assurer de la résolution des effets immunitaires du traitement antérieur (cytopénie).</w:t>
      </w:r>
    </w:p>
    <w:p w14:paraId="09C2969C" w14:textId="77777777" w:rsidR="00CA3B70" w:rsidRPr="005E3BF6" w:rsidRDefault="00CA3B70" w:rsidP="00CB615C">
      <w:pPr>
        <w:widowControl/>
        <w:spacing w:after="0" w:line="240" w:lineRule="auto"/>
        <w:ind w:left="1"/>
        <w:rPr>
          <w:rFonts w:ascii="Times New Roman" w:eastAsia="Times New Roman" w:hAnsi="Times New Roman" w:cs="Times New Roman"/>
        </w:rPr>
      </w:pPr>
    </w:p>
    <w:p w14:paraId="1E03DBE1" w14:textId="77777777" w:rsidR="00836F07"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peut généralement être initié immédiatement après l’arrêt de l’interféron ou de l’acétate de </w:t>
      </w:r>
      <w:proofErr w:type="spellStart"/>
      <w:r>
        <w:rPr>
          <w:rFonts w:ascii="Times New Roman" w:hAnsi="Times New Roman"/>
        </w:rPr>
        <w:t>glatiramère</w:t>
      </w:r>
      <w:proofErr w:type="spellEnd"/>
      <w:r>
        <w:rPr>
          <w:rFonts w:ascii="Times New Roman" w:hAnsi="Times New Roman"/>
        </w:rPr>
        <w:t xml:space="preserve">. </w:t>
      </w:r>
    </w:p>
    <w:p w14:paraId="08BFE40E" w14:textId="77777777" w:rsidR="00836F07" w:rsidRDefault="00836F07" w:rsidP="00CB615C">
      <w:pPr>
        <w:widowControl/>
        <w:spacing w:after="0" w:line="240" w:lineRule="auto"/>
        <w:ind w:left="1"/>
        <w:rPr>
          <w:rFonts w:ascii="Times New Roman" w:eastAsia="Times New Roman" w:hAnsi="Times New Roman" w:cs="Times New Roman"/>
        </w:rPr>
      </w:pPr>
    </w:p>
    <w:p w14:paraId="09188F61" w14:textId="0B416262"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En relais du diméthylfumarate, la fenêtre thérapeutique doit être suffisante pour que la NFS retrouve sa valeur normale avant l’initiation du traitement.</w:t>
      </w:r>
    </w:p>
    <w:p w14:paraId="0E413244" w14:textId="77777777" w:rsidR="001425C1" w:rsidRPr="005E3BF6" w:rsidRDefault="001425C1" w:rsidP="00CB615C">
      <w:pPr>
        <w:widowControl/>
        <w:spacing w:after="0" w:line="240" w:lineRule="auto"/>
        <w:ind w:left="1"/>
        <w:rPr>
          <w:rFonts w:ascii="Times New Roman" w:eastAsia="Times New Roman" w:hAnsi="Times New Roman" w:cs="Times New Roman"/>
          <w:spacing w:val="-1"/>
        </w:rPr>
      </w:pPr>
    </w:p>
    <w:p w14:paraId="76320CC1" w14:textId="42BF3CE9"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Du fait de sa longue demi-vie</w:t>
      </w:r>
      <w:r w:rsidR="00AD26CF">
        <w:rPr>
          <w:rFonts w:ascii="Times New Roman" w:hAnsi="Times New Roman"/>
        </w:rPr>
        <w:t xml:space="preserve"> d’élimination</w:t>
      </w:r>
      <w:r>
        <w:rPr>
          <w:rFonts w:ascii="Times New Roman" w:hAnsi="Times New Roman"/>
        </w:rPr>
        <w:t xml:space="preserve">, l’élimination du natalizumab dure généralement jusqu’à 2 à 3 mois après son arrêt. Le </w:t>
      </w:r>
      <w:proofErr w:type="spellStart"/>
      <w:r>
        <w:rPr>
          <w:rFonts w:ascii="Times New Roman" w:hAnsi="Times New Roman"/>
        </w:rPr>
        <w:t>tériflunomide</w:t>
      </w:r>
      <w:proofErr w:type="spellEnd"/>
      <w:r>
        <w:rPr>
          <w:rFonts w:ascii="Times New Roman" w:hAnsi="Times New Roman"/>
        </w:rPr>
        <w:t xml:space="preserve"> a également une élimination plasmatique lente. Sans une procédure d’élimination accélérée, la clairance plasmatique du </w:t>
      </w:r>
      <w:proofErr w:type="spellStart"/>
      <w:r>
        <w:rPr>
          <w:rFonts w:ascii="Times New Roman" w:hAnsi="Times New Roman"/>
        </w:rPr>
        <w:t>tériflunomide</w:t>
      </w:r>
      <w:proofErr w:type="spellEnd"/>
      <w:r>
        <w:rPr>
          <w:rFonts w:ascii="Times New Roman" w:hAnsi="Times New Roman"/>
        </w:rPr>
        <w:t xml:space="preserve"> peut durer de quelques mois à 2 ans. Il est recommandé soit de procéder à une élimination accélérée de </w:t>
      </w:r>
      <w:proofErr w:type="spellStart"/>
      <w:r>
        <w:rPr>
          <w:rFonts w:ascii="Times New Roman" w:hAnsi="Times New Roman"/>
        </w:rPr>
        <w:t>tériflunomide</w:t>
      </w:r>
      <w:proofErr w:type="spellEnd"/>
      <w:r>
        <w:rPr>
          <w:rFonts w:ascii="Times New Roman" w:hAnsi="Times New Roman"/>
        </w:rPr>
        <w:t xml:space="preserve">, conformément à ce qui est précisé dans le résumé des caractéristiques du produit, soit de respecter une fenêtre thérapeutique d’au moins 3,5 mois. Il convient d’être prudent lors du passage d’un traitement par natalizumab ou </w:t>
      </w:r>
      <w:proofErr w:type="spellStart"/>
      <w:r>
        <w:rPr>
          <w:rFonts w:ascii="Times New Roman" w:hAnsi="Times New Roman"/>
        </w:rPr>
        <w:t>tériflunomide</w:t>
      </w:r>
      <w:proofErr w:type="spellEnd"/>
      <w:r>
        <w:rPr>
          <w:rFonts w:ascii="Times New Roman" w:hAnsi="Times New Roman"/>
        </w:rPr>
        <w:t xml:space="preserve"> à un traitement par </w:t>
      </w:r>
      <w:proofErr w:type="spellStart"/>
      <w:r>
        <w:rPr>
          <w:rFonts w:ascii="Times New Roman" w:hAnsi="Times New Roman"/>
        </w:rPr>
        <w:t>fingolimod</w:t>
      </w:r>
      <w:proofErr w:type="spellEnd"/>
      <w:r>
        <w:rPr>
          <w:rFonts w:ascii="Times New Roman" w:hAnsi="Times New Roman"/>
        </w:rPr>
        <w:t xml:space="preserve"> compte tenu des effets cumulatifs potentiels sur le système immunitaire.</w:t>
      </w:r>
    </w:p>
    <w:p w14:paraId="79202ED6" w14:textId="77777777" w:rsidR="001C7C0E" w:rsidRPr="005E3BF6" w:rsidRDefault="001C7C0E" w:rsidP="00CB615C">
      <w:pPr>
        <w:widowControl/>
        <w:spacing w:after="0" w:line="240" w:lineRule="auto"/>
        <w:rPr>
          <w:rFonts w:ascii="Times New Roman" w:hAnsi="Times New Roman" w:cs="Times New Roman"/>
        </w:rPr>
      </w:pPr>
    </w:p>
    <w:p w14:paraId="62B1C924" w14:textId="4987FDA5"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w:t>
      </w:r>
      <w:proofErr w:type="spellStart"/>
      <w:r>
        <w:rPr>
          <w:rFonts w:ascii="Times New Roman" w:hAnsi="Times New Roman"/>
        </w:rPr>
        <w:t>alemtuzumab</w:t>
      </w:r>
      <w:proofErr w:type="spellEnd"/>
      <w:r>
        <w:rPr>
          <w:rFonts w:ascii="Times New Roman" w:hAnsi="Times New Roman"/>
        </w:rPr>
        <w:t xml:space="preserve"> possède des effets immunosuppresseurs importants et prolongés. Compte tenu du fait que la durée réelle de ces effets est inconnue, il n’est pas recommandé d’initier un traitement par </w:t>
      </w:r>
      <w:proofErr w:type="spellStart"/>
      <w:r>
        <w:rPr>
          <w:rFonts w:ascii="Times New Roman" w:hAnsi="Times New Roman"/>
        </w:rPr>
        <w:t>fingolimod</w:t>
      </w:r>
      <w:proofErr w:type="spellEnd"/>
      <w:r>
        <w:rPr>
          <w:rFonts w:ascii="Times New Roman" w:hAnsi="Times New Roman"/>
        </w:rPr>
        <w:t xml:space="preserve"> après administration d’</w:t>
      </w:r>
      <w:proofErr w:type="spellStart"/>
      <w:r>
        <w:rPr>
          <w:rFonts w:ascii="Times New Roman" w:hAnsi="Times New Roman"/>
        </w:rPr>
        <w:t>alemtuzumab</w:t>
      </w:r>
      <w:proofErr w:type="spellEnd"/>
      <w:r>
        <w:rPr>
          <w:rFonts w:ascii="Times New Roman" w:hAnsi="Times New Roman"/>
        </w:rPr>
        <w:t>, sauf si les bénéfices escomptés de ce schéma thérapeutique l’emportent clairement sur les risques encourus par le patient.</w:t>
      </w:r>
    </w:p>
    <w:p w14:paraId="597E5E97" w14:textId="77777777" w:rsidR="001C7C0E" w:rsidRPr="005E3BF6" w:rsidRDefault="001C7C0E" w:rsidP="00CB615C">
      <w:pPr>
        <w:widowControl/>
        <w:spacing w:after="0" w:line="240" w:lineRule="auto"/>
        <w:rPr>
          <w:rFonts w:ascii="Times New Roman" w:hAnsi="Times New Roman" w:cs="Times New Roman"/>
        </w:rPr>
      </w:pPr>
    </w:p>
    <w:p w14:paraId="5FFFB200"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La décision d’utiliser de façon prolongée un traitement concomitant par corticoïdes doit être étudiée attentivement.</w:t>
      </w:r>
    </w:p>
    <w:p w14:paraId="6F5CA076" w14:textId="77777777" w:rsidR="001C7C0E" w:rsidRPr="005E3BF6" w:rsidRDefault="001C7C0E" w:rsidP="00CB615C">
      <w:pPr>
        <w:widowControl/>
        <w:spacing w:after="0" w:line="240" w:lineRule="auto"/>
        <w:rPr>
          <w:rFonts w:ascii="Times New Roman" w:hAnsi="Times New Roman" w:cs="Times New Roman"/>
        </w:rPr>
      </w:pPr>
    </w:p>
    <w:p w14:paraId="4F84AF60"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Administration concomitante avec des inducteurs puissants du CYP450</w:t>
      </w:r>
    </w:p>
    <w:p w14:paraId="250CC91D" w14:textId="77777777" w:rsidR="00D658ED" w:rsidRDefault="00D658ED" w:rsidP="00CB615C">
      <w:pPr>
        <w:widowControl/>
        <w:spacing w:after="0" w:line="240" w:lineRule="auto"/>
        <w:ind w:left="1"/>
        <w:rPr>
          <w:rFonts w:ascii="Times New Roman" w:eastAsia="Times New Roman" w:hAnsi="Times New Roman" w:cs="Times New Roman"/>
          <w:spacing w:val="2"/>
        </w:rPr>
      </w:pPr>
    </w:p>
    <w:p w14:paraId="74107441" w14:textId="365CE6BE"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L’association du </w:t>
      </w:r>
      <w:proofErr w:type="spellStart"/>
      <w:r>
        <w:rPr>
          <w:rFonts w:ascii="Times New Roman" w:hAnsi="Times New Roman"/>
        </w:rPr>
        <w:t>fingolimod</w:t>
      </w:r>
      <w:proofErr w:type="spellEnd"/>
      <w:r>
        <w:rPr>
          <w:rFonts w:ascii="Times New Roman" w:hAnsi="Times New Roman"/>
        </w:rPr>
        <w:t xml:space="preserve"> avec des inducteurs puissants du CYP450 doit être réalisée avec précaution.</w:t>
      </w:r>
    </w:p>
    <w:p w14:paraId="3648D12F" w14:textId="009FAA72"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L’administration concomitante avec le millepertuis (</w:t>
      </w:r>
      <w:proofErr w:type="spellStart"/>
      <w:r>
        <w:rPr>
          <w:rFonts w:ascii="Times New Roman" w:hAnsi="Times New Roman"/>
          <w:i/>
        </w:rPr>
        <w:t>Hypericum</w:t>
      </w:r>
      <w:proofErr w:type="spellEnd"/>
      <w:r>
        <w:rPr>
          <w:rFonts w:ascii="Times New Roman" w:hAnsi="Times New Roman"/>
          <w:i/>
        </w:rPr>
        <w:t xml:space="preserve"> </w:t>
      </w:r>
      <w:proofErr w:type="spellStart"/>
      <w:r>
        <w:rPr>
          <w:rFonts w:ascii="Times New Roman" w:hAnsi="Times New Roman"/>
          <w:i/>
        </w:rPr>
        <w:t>perforatum</w:t>
      </w:r>
      <w:proofErr w:type="spellEnd"/>
      <w:r>
        <w:rPr>
          <w:rFonts w:ascii="Times New Roman" w:hAnsi="Times New Roman"/>
        </w:rPr>
        <w:t>) n’est pas recommandée (voir rubrique 4.5).</w:t>
      </w:r>
    </w:p>
    <w:p w14:paraId="228DBD63" w14:textId="1291CED7" w:rsidR="001C7C0E" w:rsidRDefault="001C7C0E" w:rsidP="00CB615C">
      <w:pPr>
        <w:widowControl/>
        <w:spacing w:after="0" w:line="240" w:lineRule="auto"/>
        <w:rPr>
          <w:rFonts w:ascii="Times New Roman" w:hAnsi="Times New Roman" w:cs="Times New Roman"/>
        </w:rPr>
      </w:pPr>
    </w:p>
    <w:p w14:paraId="7EB8CCF8" w14:textId="4D203385" w:rsidR="002F03D6" w:rsidRPr="005E3FEB" w:rsidRDefault="00080994" w:rsidP="00373A92">
      <w:pPr>
        <w:keepNext/>
        <w:widowControl/>
        <w:spacing w:after="0" w:line="240" w:lineRule="auto"/>
        <w:rPr>
          <w:rFonts w:ascii="Times New Roman" w:hAnsi="Times New Roman" w:cs="Times New Roman"/>
          <w:u w:val="single"/>
        </w:rPr>
      </w:pPr>
      <w:r>
        <w:rPr>
          <w:rFonts w:ascii="Times New Roman" w:hAnsi="Times New Roman"/>
          <w:u w:val="single"/>
        </w:rPr>
        <w:lastRenderedPageBreak/>
        <w:t>Cancers</w:t>
      </w:r>
    </w:p>
    <w:p w14:paraId="0CC96B65" w14:textId="77777777" w:rsidR="002F03D6" w:rsidRPr="005E3BF6" w:rsidRDefault="002F03D6" w:rsidP="00373A92">
      <w:pPr>
        <w:keepNext/>
        <w:widowControl/>
        <w:spacing w:after="0" w:line="240" w:lineRule="auto"/>
        <w:rPr>
          <w:rFonts w:ascii="Times New Roman" w:hAnsi="Times New Roman" w:cs="Times New Roman"/>
        </w:rPr>
      </w:pPr>
    </w:p>
    <w:p w14:paraId="77A6240D" w14:textId="012C8CC0" w:rsidR="00D658ED" w:rsidRDefault="00080994" w:rsidP="00373A92">
      <w:pPr>
        <w:keepNext/>
        <w:widowControl/>
        <w:spacing w:after="0" w:line="240" w:lineRule="auto"/>
        <w:ind w:left="1"/>
        <w:rPr>
          <w:rFonts w:ascii="Times New Roman" w:eastAsia="Times New Roman" w:hAnsi="Times New Roman" w:cs="Times New Roman"/>
          <w:spacing w:val="-1"/>
        </w:rPr>
      </w:pPr>
      <w:r>
        <w:rPr>
          <w:rFonts w:ascii="Times New Roman" w:hAnsi="Times New Roman"/>
          <w:i/>
          <w:u w:val="single" w:color="000000"/>
        </w:rPr>
        <w:t>Cancers cutanés</w:t>
      </w:r>
    </w:p>
    <w:p w14:paraId="43214D9D" w14:textId="4D0CB8B2"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cas de carcinome basocellulaire et autres néoplasmes cutanés, incluant mélanome malin, carcinome </w:t>
      </w:r>
      <w:proofErr w:type="spellStart"/>
      <w:r>
        <w:rPr>
          <w:rFonts w:ascii="Times New Roman" w:hAnsi="Times New Roman"/>
        </w:rPr>
        <w:t>spino-cellulaire</w:t>
      </w:r>
      <w:proofErr w:type="spellEnd"/>
      <w:r>
        <w:rPr>
          <w:rFonts w:ascii="Times New Roman" w:hAnsi="Times New Roman"/>
        </w:rPr>
        <w:t xml:space="preserve">, sarcome de Kaposi et carcinome à cellules de Merkel, ont été rapportés chez des patients traités par </w:t>
      </w:r>
      <w:proofErr w:type="spellStart"/>
      <w:r>
        <w:rPr>
          <w:rFonts w:ascii="Times New Roman" w:hAnsi="Times New Roman"/>
        </w:rPr>
        <w:t>fingolimod</w:t>
      </w:r>
      <w:proofErr w:type="spellEnd"/>
      <w:r>
        <w:rPr>
          <w:rFonts w:ascii="Times New Roman" w:hAnsi="Times New Roman"/>
        </w:rPr>
        <w:t xml:space="preserve"> (voir rubrique 4.8). Il est nécessaire de surveiller l’apparition des lésions cutanées et il est recommandé de réaliser un examen dermatologique à l’initiation, puis tous les 6 à 12 mois en fonction de l’avis clinique. Si des lésions suspectes sont détectées, le patient devra être orienté vers un dermatologue.</w:t>
      </w:r>
    </w:p>
    <w:p w14:paraId="6FAB51A1" w14:textId="77777777" w:rsidR="001C7C0E" w:rsidRPr="005E3BF6" w:rsidRDefault="001C7C0E" w:rsidP="00CB615C">
      <w:pPr>
        <w:widowControl/>
        <w:spacing w:after="0" w:line="240" w:lineRule="auto"/>
        <w:rPr>
          <w:rFonts w:ascii="Times New Roman" w:hAnsi="Times New Roman" w:cs="Times New Roman"/>
        </w:rPr>
      </w:pPr>
    </w:p>
    <w:p w14:paraId="1A678646" w14:textId="011A6E19" w:rsidR="001C7C0E"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En raison du </w:t>
      </w:r>
      <w:proofErr w:type="gramStart"/>
      <w:r>
        <w:rPr>
          <w:rFonts w:ascii="Times New Roman" w:hAnsi="Times New Roman"/>
        </w:rPr>
        <w:t>risque potentiel</w:t>
      </w:r>
      <w:proofErr w:type="gramEnd"/>
      <w:r>
        <w:rPr>
          <w:rFonts w:ascii="Times New Roman" w:hAnsi="Times New Roman"/>
        </w:rPr>
        <w:t xml:space="preserve"> de développement d’un cancer cutané, les patients traités par </w:t>
      </w:r>
      <w:proofErr w:type="spellStart"/>
      <w:r>
        <w:rPr>
          <w:rFonts w:ascii="Times New Roman" w:hAnsi="Times New Roman"/>
        </w:rPr>
        <w:t>fingolimod</w:t>
      </w:r>
      <w:proofErr w:type="spellEnd"/>
      <w:r>
        <w:rPr>
          <w:rFonts w:ascii="Times New Roman" w:hAnsi="Times New Roman"/>
        </w:rPr>
        <w:t xml:space="preserve"> doivent être avertis du risque encouru d’une exposition solaire sans protection. Ces patients ne doivent pas recevoir de photothérapie concomitante par UVB ou de photo-chimiothérapie par UVA (PUVA).</w:t>
      </w:r>
    </w:p>
    <w:p w14:paraId="6DFE707F" w14:textId="552EB9EA" w:rsidR="002F03D6" w:rsidRDefault="002F03D6" w:rsidP="00CB615C">
      <w:pPr>
        <w:widowControl/>
        <w:spacing w:after="0" w:line="240" w:lineRule="auto"/>
        <w:ind w:left="1"/>
        <w:rPr>
          <w:rFonts w:ascii="Times New Roman" w:eastAsia="Times New Roman" w:hAnsi="Times New Roman" w:cs="Times New Roman"/>
        </w:rPr>
      </w:pPr>
    </w:p>
    <w:p w14:paraId="2E33C4C9" w14:textId="77777777" w:rsidR="002F03D6" w:rsidRPr="005E3FEB" w:rsidRDefault="00080994" w:rsidP="00CB615C">
      <w:pPr>
        <w:widowControl/>
        <w:spacing w:after="0" w:line="240" w:lineRule="auto"/>
        <w:ind w:left="1"/>
        <w:rPr>
          <w:rFonts w:ascii="Times New Roman" w:eastAsia="Times New Roman" w:hAnsi="Times New Roman" w:cs="Times New Roman"/>
          <w:i/>
          <w:iCs/>
          <w:u w:val="single"/>
        </w:rPr>
      </w:pPr>
      <w:r>
        <w:rPr>
          <w:rFonts w:ascii="Times New Roman" w:hAnsi="Times New Roman"/>
          <w:i/>
          <w:u w:val="single"/>
        </w:rPr>
        <w:t>Lymphomes</w:t>
      </w:r>
    </w:p>
    <w:p w14:paraId="7C9F1C19" w14:textId="5479C8EA" w:rsidR="002F03D6" w:rsidRPr="005E3BF6" w:rsidRDefault="00080994" w:rsidP="008B211C">
      <w:pPr>
        <w:widowControl/>
        <w:spacing w:after="0" w:line="240" w:lineRule="auto"/>
        <w:ind w:left="1"/>
        <w:rPr>
          <w:rFonts w:ascii="Times New Roman" w:eastAsia="Times New Roman" w:hAnsi="Times New Roman" w:cs="Times New Roman"/>
        </w:rPr>
      </w:pPr>
      <w:r>
        <w:rPr>
          <w:rFonts w:ascii="Times New Roman" w:hAnsi="Times New Roman"/>
        </w:rPr>
        <w:t>Des cas de lymphomes ont été rapportés dans les études cliniques et après commercialisation (voir</w:t>
      </w:r>
      <w:r w:rsidR="004E4E12">
        <w:rPr>
          <w:rFonts w:ascii="Times New Roman" w:hAnsi="Times New Roman"/>
        </w:rPr>
        <w:t xml:space="preserve"> </w:t>
      </w:r>
      <w:r>
        <w:rPr>
          <w:rFonts w:ascii="Times New Roman" w:hAnsi="Times New Roman"/>
        </w:rPr>
        <w:t>rubrique 4.8). Ces cas étaient de nature hétérogène, principalement des lymphomes non hodgkiniens,</w:t>
      </w:r>
      <w:r w:rsidR="004E4E12">
        <w:rPr>
          <w:rFonts w:ascii="Times New Roman" w:hAnsi="Times New Roman"/>
        </w:rPr>
        <w:t xml:space="preserve"> </w:t>
      </w:r>
      <w:r>
        <w:rPr>
          <w:rFonts w:ascii="Times New Roman" w:hAnsi="Times New Roman"/>
        </w:rPr>
        <w:t>incluant des lymphomes à cellules B et T. Des cas de lymphomes cutanés à cellules T (mycosis fongoïde)</w:t>
      </w:r>
      <w:r w:rsidR="008B211C">
        <w:rPr>
          <w:rFonts w:ascii="Times New Roman" w:hAnsi="Times New Roman"/>
        </w:rPr>
        <w:t xml:space="preserve"> </w:t>
      </w:r>
      <w:r>
        <w:rPr>
          <w:rFonts w:ascii="Times New Roman" w:hAnsi="Times New Roman"/>
        </w:rPr>
        <w:t>ont été observés. Un cas fatal de lymphome à cellules B positif au virus d’Epstein-Barr (EBV) a également été</w:t>
      </w:r>
      <w:r w:rsidR="008B211C">
        <w:rPr>
          <w:rFonts w:ascii="Times New Roman" w:hAnsi="Times New Roman"/>
        </w:rPr>
        <w:t xml:space="preserve"> </w:t>
      </w:r>
      <w:r>
        <w:rPr>
          <w:rFonts w:ascii="Times New Roman" w:hAnsi="Times New Roman"/>
        </w:rPr>
        <w:t>observé. En cas de suspicion de lymphome, le traitement doit être arrêté.</w:t>
      </w:r>
    </w:p>
    <w:p w14:paraId="6612FDDC" w14:textId="77777777" w:rsidR="009E16C0" w:rsidRDefault="009E16C0" w:rsidP="00CB615C">
      <w:pPr>
        <w:widowControl/>
        <w:spacing w:after="0" w:line="240" w:lineRule="auto"/>
        <w:rPr>
          <w:rFonts w:ascii="Times New Roman" w:hAnsi="Times New Roman" w:cs="Times New Roman"/>
          <w:u w:val="single"/>
        </w:rPr>
      </w:pPr>
    </w:p>
    <w:p w14:paraId="4D3DB38C" w14:textId="2A38F4C5" w:rsidR="009E16C0" w:rsidRPr="00180681" w:rsidRDefault="00080994" w:rsidP="00CB615C">
      <w:pPr>
        <w:widowControl/>
        <w:spacing w:after="0" w:line="240" w:lineRule="auto"/>
        <w:rPr>
          <w:rFonts w:ascii="Times New Roman" w:hAnsi="Times New Roman" w:cs="Times New Roman"/>
          <w:u w:val="single"/>
        </w:rPr>
      </w:pPr>
      <w:r>
        <w:rPr>
          <w:rFonts w:ascii="Times New Roman" w:hAnsi="Times New Roman"/>
          <w:u w:val="single"/>
        </w:rPr>
        <w:t xml:space="preserve">Femmes en âge de procréer </w:t>
      </w:r>
    </w:p>
    <w:p w14:paraId="1B461E3B" w14:textId="77777777" w:rsidR="00D658ED" w:rsidRDefault="00D658ED" w:rsidP="00CB615C">
      <w:pPr>
        <w:widowControl/>
        <w:spacing w:after="0" w:line="240" w:lineRule="auto"/>
        <w:rPr>
          <w:rFonts w:ascii="Times New Roman" w:hAnsi="Times New Roman" w:cs="Times New Roman"/>
        </w:rPr>
      </w:pPr>
    </w:p>
    <w:p w14:paraId="531DD840" w14:textId="057CA3A1" w:rsidR="009E16C0" w:rsidRPr="00E654DE" w:rsidRDefault="00080994" w:rsidP="00CB615C">
      <w:pPr>
        <w:widowControl/>
        <w:spacing w:after="0" w:line="240" w:lineRule="auto"/>
        <w:rPr>
          <w:rFonts w:ascii="Times New Roman" w:hAnsi="Times New Roman" w:cs="Times New Roman"/>
        </w:rPr>
      </w:pPr>
      <w:r>
        <w:rPr>
          <w:rFonts w:ascii="Times New Roman" w:hAnsi="Times New Roman"/>
        </w:rPr>
        <w:t xml:space="preserve">En raison du risque pour le fœtus, le </w:t>
      </w:r>
      <w:proofErr w:type="spellStart"/>
      <w:r>
        <w:rPr>
          <w:rFonts w:ascii="Times New Roman" w:hAnsi="Times New Roman"/>
        </w:rPr>
        <w:t>fingolimod</w:t>
      </w:r>
      <w:proofErr w:type="spellEnd"/>
      <w:r>
        <w:rPr>
          <w:rFonts w:ascii="Times New Roman" w:hAnsi="Times New Roman"/>
        </w:rPr>
        <w:t xml:space="preserve"> est contre-indiqué pendant la grossesse et chez les femmes en âge de procréer n’utilisant pas une contraception efficace. Avant l’instauration du traitement, les femmes en âge de procréer doivent être informées du risque pour le fœtus, doivent présenter un test de grossesse négatif et doivent utiliser une méthode de contraception efficace pendant le traitement et jusqu’à 2 mois après l’arrêt du traitement (voir rubriques 4.3 et 4.6 ainsi que les informations présentées dans le matériel éducatif). </w:t>
      </w:r>
    </w:p>
    <w:p w14:paraId="4EDC4C77" w14:textId="77777777" w:rsidR="001947DE" w:rsidRDefault="001947DE" w:rsidP="00CB615C">
      <w:pPr>
        <w:widowControl/>
        <w:spacing w:after="0" w:line="240" w:lineRule="auto"/>
        <w:rPr>
          <w:rFonts w:ascii="Times New Roman" w:hAnsi="Times New Roman" w:cs="Times New Roman"/>
        </w:rPr>
      </w:pPr>
    </w:p>
    <w:p w14:paraId="4499565A" w14:textId="31642790" w:rsidR="001947DE" w:rsidRPr="005E3FEB" w:rsidRDefault="00080994" w:rsidP="00CB615C">
      <w:pPr>
        <w:widowControl/>
        <w:spacing w:after="0" w:line="240" w:lineRule="auto"/>
        <w:rPr>
          <w:rFonts w:ascii="Times New Roman" w:hAnsi="Times New Roman" w:cs="Times New Roman"/>
          <w:u w:val="single"/>
        </w:rPr>
      </w:pPr>
      <w:r>
        <w:rPr>
          <w:rFonts w:ascii="Times New Roman" w:hAnsi="Times New Roman"/>
          <w:u w:val="single"/>
        </w:rPr>
        <w:t>Lésions pseudo-tumorales</w:t>
      </w:r>
    </w:p>
    <w:p w14:paraId="352E06C2" w14:textId="77777777" w:rsidR="00D658ED" w:rsidRDefault="00D658ED" w:rsidP="00CB615C">
      <w:pPr>
        <w:widowControl/>
        <w:spacing w:after="0" w:line="240" w:lineRule="auto"/>
        <w:rPr>
          <w:rFonts w:ascii="Times New Roman" w:hAnsi="Times New Roman" w:cs="Times New Roman"/>
        </w:rPr>
      </w:pPr>
    </w:p>
    <w:p w14:paraId="1096FDC7" w14:textId="5834EE3F" w:rsidR="001C7C0E" w:rsidRDefault="00080994" w:rsidP="00CB615C">
      <w:pPr>
        <w:widowControl/>
        <w:spacing w:after="0" w:line="240" w:lineRule="auto"/>
        <w:rPr>
          <w:rFonts w:ascii="Times New Roman" w:hAnsi="Times New Roman" w:cs="Times New Roman"/>
        </w:rPr>
      </w:pPr>
      <w:r>
        <w:rPr>
          <w:rFonts w:ascii="Times New Roman" w:hAnsi="Times New Roman"/>
        </w:rPr>
        <w:t>De rares cas de lésions pseudo-tumorales associées à une poussée de SEP ont été rapportés depuis la commercialisation. En cas de poussées sévères, une IRM doit être réalisée pour exclure la présence de lésions pseudo-tumorales. Le médecin devra envisager l’arrêt du traitement au cas par cas en prenant en compte les risques et bénéfices pour le patient.</w:t>
      </w:r>
    </w:p>
    <w:p w14:paraId="16B824B0" w14:textId="77777777" w:rsidR="001947DE" w:rsidRPr="005E3BF6" w:rsidRDefault="001947DE" w:rsidP="00CB615C">
      <w:pPr>
        <w:widowControl/>
        <w:spacing w:after="0" w:line="240" w:lineRule="auto"/>
        <w:rPr>
          <w:rFonts w:ascii="Times New Roman" w:hAnsi="Times New Roman" w:cs="Times New Roman"/>
        </w:rPr>
      </w:pPr>
    </w:p>
    <w:p w14:paraId="0B9286AD" w14:textId="52D434D4"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 xml:space="preserve">Reprise de l’activité de la maladie (« effet rebond ») après l’arrêt du </w:t>
      </w:r>
      <w:proofErr w:type="spellStart"/>
      <w:r>
        <w:rPr>
          <w:rFonts w:ascii="Times New Roman" w:hAnsi="Times New Roman"/>
          <w:u w:val="single" w:color="000000"/>
        </w:rPr>
        <w:t>fingolimod</w:t>
      </w:r>
      <w:proofErr w:type="spellEnd"/>
    </w:p>
    <w:p w14:paraId="644ED0BD" w14:textId="77777777" w:rsidR="00D658ED" w:rsidRDefault="00D658ED" w:rsidP="00CB615C">
      <w:pPr>
        <w:widowControl/>
        <w:spacing w:after="0" w:line="240" w:lineRule="auto"/>
        <w:ind w:left="1"/>
        <w:rPr>
          <w:rFonts w:ascii="Times New Roman" w:eastAsia="Times New Roman" w:hAnsi="Times New Roman" w:cs="Times New Roman"/>
          <w:spacing w:val="-4"/>
        </w:rPr>
      </w:pPr>
    </w:p>
    <w:p w14:paraId="6F4DE9AB" w14:textId="26CDBB0F"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Depuis la commercialisation, une exacerbation sévère de la maladie a été observée rarement chez des patients ayant arrêté le </w:t>
      </w:r>
      <w:proofErr w:type="spellStart"/>
      <w:r>
        <w:rPr>
          <w:rFonts w:ascii="Times New Roman" w:hAnsi="Times New Roman"/>
        </w:rPr>
        <w:t>fingolimod</w:t>
      </w:r>
      <w:proofErr w:type="spellEnd"/>
      <w:r>
        <w:rPr>
          <w:rFonts w:ascii="Times New Roman" w:hAnsi="Times New Roman"/>
        </w:rPr>
        <w:t xml:space="preserve">. Cela a principalement été observé pendant les 12 semaines suivant l’arrêt du traitement, mais a également été rapporté jusqu’à 24 semaines après l’arrêt du </w:t>
      </w:r>
      <w:proofErr w:type="spellStart"/>
      <w:r>
        <w:rPr>
          <w:rFonts w:ascii="Times New Roman" w:hAnsi="Times New Roman"/>
        </w:rPr>
        <w:t>fingolimod</w:t>
      </w:r>
      <w:proofErr w:type="spellEnd"/>
      <w:r>
        <w:rPr>
          <w:rFonts w:ascii="Times New Roman" w:hAnsi="Times New Roman"/>
        </w:rPr>
        <w:t xml:space="preserve">. La prudence est donc requise lors de l’arrêt du traitement. Si l’arrêt du </w:t>
      </w:r>
      <w:proofErr w:type="spellStart"/>
      <w:r>
        <w:rPr>
          <w:rFonts w:ascii="Times New Roman" w:hAnsi="Times New Roman"/>
        </w:rPr>
        <w:t>fingolimod</w:t>
      </w:r>
      <w:proofErr w:type="spellEnd"/>
      <w:r>
        <w:rPr>
          <w:rFonts w:ascii="Times New Roman" w:hAnsi="Times New Roman"/>
        </w:rPr>
        <w:t xml:space="preserve"> est jugé nécessaire, l’éventualité d’une reprise d’activité exceptionnellement importante de la maladie doit être considérée et les patients doivent être surveillés afin de détecter l’apparition de signes et symptômes évocateurs et initier si besoin un traitement adapté (voir « Arrêt du traitement » ci-dessous).</w:t>
      </w:r>
    </w:p>
    <w:p w14:paraId="1B0A3E22" w14:textId="77777777" w:rsidR="001C7C0E" w:rsidRPr="005E3BF6" w:rsidRDefault="001C7C0E" w:rsidP="00CB615C">
      <w:pPr>
        <w:widowControl/>
        <w:spacing w:after="0" w:line="240" w:lineRule="auto"/>
        <w:rPr>
          <w:rFonts w:ascii="Times New Roman" w:hAnsi="Times New Roman" w:cs="Times New Roman"/>
        </w:rPr>
      </w:pPr>
    </w:p>
    <w:p w14:paraId="72FE5F50"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Arrêt du traitement</w:t>
      </w:r>
    </w:p>
    <w:p w14:paraId="3A6125E4" w14:textId="77777777" w:rsidR="00D658ED" w:rsidRDefault="00D658ED" w:rsidP="00CB615C">
      <w:pPr>
        <w:widowControl/>
        <w:spacing w:after="0" w:line="240" w:lineRule="auto"/>
        <w:ind w:left="1"/>
        <w:rPr>
          <w:rFonts w:ascii="Times New Roman" w:eastAsia="Times New Roman" w:hAnsi="Times New Roman" w:cs="Times New Roman"/>
          <w:spacing w:val="-4"/>
        </w:rPr>
      </w:pPr>
    </w:p>
    <w:p w14:paraId="1C9AC4CC" w14:textId="2059C110" w:rsidR="001C7C0E" w:rsidRDefault="00080994" w:rsidP="00CB615C">
      <w:pPr>
        <w:widowControl/>
        <w:spacing w:after="0" w:line="240" w:lineRule="auto"/>
        <w:ind w:left="1"/>
        <w:rPr>
          <w:rFonts w:ascii="Times New Roman" w:hAnsi="Times New Roman"/>
        </w:rPr>
      </w:pPr>
      <w:r>
        <w:rPr>
          <w:rFonts w:ascii="Times New Roman" w:hAnsi="Times New Roman"/>
        </w:rPr>
        <w:t xml:space="preserve">En cas de décision d’arrêt du traitement par </w:t>
      </w:r>
      <w:proofErr w:type="spellStart"/>
      <w:r>
        <w:rPr>
          <w:rFonts w:ascii="Times New Roman" w:hAnsi="Times New Roman"/>
        </w:rPr>
        <w:t>Fingolimod</w:t>
      </w:r>
      <w:proofErr w:type="spellEnd"/>
      <w:r>
        <w:rPr>
          <w:rFonts w:ascii="Times New Roman" w:hAnsi="Times New Roman"/>
        </w:rPr>
        <w:t xml:space="preserve"> Mylan, une fenêtre de 6 semaines sans traitement est nécessaire pour l’éliminer de la circulation en raison de sa demi-vie (voir rubrique 5.2). Le taux de lymphocytes revient progressivement dans les limites de la normale en un à deux mois après l’arrêt du traitement chez la plupart des patients (voir rubrique 5.1) bien qu’une récupération complète puisse être significativement plus longue chez certains patients. L’instauration d’autres traitements pendant cette période entraînera une exposition concomitante au </w:t>
      </w:r>
      <w:proofErr w:type="spellStart"/>
      <w:r>
        <w:rPr>
          <w:rFonts w:ascii="Times New Roman" w:hAnsi="Times New Roman"/>
        </w:rPr>
        <w:t>fingolimod</w:t>
      </w:r>
      <w:proofErr w:type="spellEnd"/>
      <w:r>
        <w:rPr>
          <w:rFonts w:ascii="Times New Roman" w:hAnsi="Times New Roman"/>
        </w:rPr>
        <w:t xml:space="preserve">. L’administration d’immunosuppresseurs aussitôt après l’arrêt de </w:t>
      </w:r>
      <w:proofErr w:type="spellStart"/>
      <w:r>
        <w:rPr>
          <w:rFonts w:ascii="Times New Roman" w:hAnsi="Times New Roman"/>
        </w:rPr>
        <w:t>Fingolimod</w:t>
      </w:r>
      <w:proofErr w:type="spellEnd"/>
      <w:r>
        <w:rPr>
          <w:rFonts w:ascii="Times New Roman" w:hAnsi="Times New Roman"/>
        </w:rPr>
        <w:t xml:space="preserve"> Mylan peut induire un effet additif sur le système immunitaire et la prudence est par conséquent recommandée.</w:t>
      </w:r>
    </w:p>
    <w:p w14:paraId="62CEF013" w14:textId="77777777" w:rsidR="00B07B52" w:rsidRDefault="00B07B52" w:rsidP="00CB615C">
      <w:pPr>
        <w:widowControl/>
        <w:spacing w:after="0" w:line="240" w:lineRule="auto"/>
        <w:ind w:left="1"/>
        <w:rPr>
          <w:rFonts w:ascii="Times New Roman" w:hAnsi="Times New Roman"/>
        </w:rPr>
      </w:pPr>
    </w:p>
    <w:p w14:paraId="32752DBD" w14:textId="57A235EE" w:rsidR="00B07B52" w:rsidRPr="005E3BF6" w:rsidRDefault="00B07B52" w:rsidP="00CB615C">
      <w:pPr>
        <w:widowControl/>
        <w:spacing w:after="0" w:line="240" w:lineRule="auto"/>
        <w:ind w:left="1"/>
        <w:rPr>
          <w:rFonts w:ascii="Times New Roman" w:eastAsia="Times New Roman" w:hAnsi="Times New Roman" w:cs="Times New Roman"/>
        </w:rPr>
      </w:pPr>
      <w:r w:rsidRPr="00B07B52">
        <w:rPr>
          <w:rFonts w:ascii="Times New Roman" w:eastAsia="Times New Roman" w:hAnsi="Times New Roman" w:cs="Times New Roman"/>
        </w:rPr>
        <w:t xml:space="preserve">Après l’arrêt du traitement par </w:t>
      </w:r>
      <w:proofErr w:type="spellStart"/>
      <w:r w:rsidRPr="00B07B52">
        <w:rPr>
          <w:rFonts w:ascii="Times New Roman" w:eastAsia="Times New Roman" w:hAnsi="Times New Roman" w:cs="Times New Roman"/>
        </w:rPr>
        <w:t>fingolimod</w:t>
      </w:r>
      <w:proofErr w:type="spellEnd"/>
      <w:r w:rsidRPr="00B07B52">
        <w:rPr>
          <w:rFonts w:ascii="Times New Roman" w:eastAsia="Times New Roman" w:hAnsi="Times New Roman" w:cs="Times New Roman"/>
        </w:rPr>
        <w:t xml:space="preserve"> à la suite de la survenue d’une LEMP, il est recommandé de surveiller les patients pour détecter l’apparition d’un syndrome inflammatoire de reconstitution immune (LEMP-IRIS) (voir « </w:t>
      </w:r>
      <w:proofErr w:type="spellStart"/>
      <w:r w:rsidRPr="00B07B52">
        <w:rPr>
          <w:rFonts w:ascii="Times New Roman" w:eastAsia="Times New Roman" w:hAnsi="Times New Roman" w:cs="Times New Roman"/>
        </w:rPr>
        <w:t>Leucoencéphalopathie</w:t>
      </w:r>
      <w:proofErr w:type="spellEnd"/>
      <w:r w:rsidRPr="00B07B52">
        <w:rPr>
          <w:rFonts w:ascii="Times New Roman" w:eastAsia="Times New Roman" w:hAnsi="Times New Roman" w:cs="Times New Roman"/>
        </w:rPr>
        <w:t xml:space="preserve"> multifocale progressive » ci-dessus).</w:t>
      </w:r>
    </w:p>
    <w:p w14:paraId="787C98FA" w14:textId="77777777" w:rsidR="001C7C0E" w:rsidRPr="005E3BF6" w:rsidRDefault="001C7C0E" w:rsidP="00CB615C">
      <w:pPr>
        <w:widowControl/>
        <w:spacing w:after="0" w:line="240" w:lineRule="auto"/>
        <w:rPr>
          <w:rFonts w:ascii="Times New Roman" w:hAnsi="Times New Roman" w:cs="Times New Roman"/>
        </w:rPr>
      </w:pPr>
    </w:p>
    <w:p w14:paraId="5F05AAFA" w14:textId="052FB1B1" w:rsidR="001425C1"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prudence est également requise lors de l’arrêt du traitement en raison du risque d’un « effet rebond » (voir « Reprise de l’activité de la maladie (« effet rebond ») après l’arrêt du </w:t>
      </w:r>
      <w:proofErr w:type="spellStart"/>
      <w:r>
        <w:rPr>
          <w:rFonts w:ascii="Times New Roman" w:hAnsi="Times New Roman"/>
        </w:rPr>
        <w:t>fingolimod</w:t>
      </w:r>
      <w:proofErr w:type="spellEnd"/>
      <w:r>
        <w:rPr>
          <w:rFonts w:ascii="Times New Roman" w:hAnsi="Times New Roman"/>
        </w:rPr>
        <w:t xml:space="preserve"> » ci-dessus). Si l’arrêt de </w:t>
      </w:r>
      <w:proofErr w:type="spellStart"/>
      <w:r>
        <w:rPr>
          <w:rFonts w:ascii="Times New Roman" w:hAnsi="Times New Roman"/>
        </w:rPr>
        <w:t>Fingolimod</w:t>
      </w:r>
      <w:proofErr w:type="spellEnd"/>
      <w:r>
        <w:rPr>
          <w:rFonts w:ascii="Times New Roman" w:hAnsi="Times New Roman"/>
        </w:rPr>
        <w:t xml:space="preserve"> Mylan est jugé nécessaire, les patients devront être surveillés pendant cette période, à la recherche de signes évocateurs d’un possible « effet rebond ».</w:t>
      </w:r>
    </w:p>
    <w:p w14:paraId="67192896" w14:textId="77777777" w:rsidR="002927BA" w:rsidRDefault="002927BA" w:rsidP="00CB615C">
      <w:pPr>
        <w:widowControl/>
        <w:spacing w:after="0" w:line="240" w:lineRule="auto"/>
        <w:ind w:left="1"/>
        <w:rPr>
          <w:rFonts w:ascii="Times New Roman" w:eastAsia="Times New Roman" w:hAnsi="Times New Roman" w:cs="Times New Roman"/>
          <w:spacing w:val="-4"/>
          <w:position w:val="-1"/>
          <w:u w:val="single" w:color="000000"/>
        </w:rPr>
      </w:pPr>
    </w:p>
    <w:p w14:paraId="04E2A4BC" w14:textId="16D43C47" w:rsidR="002927BA"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Interférence avec les analyses sérologiques</w:t>
      </w:r>
    </w:p>
    <w:p w14:paraId="05D67ECA" w14:textId="77777777" w:rsidR="002927BA" w:rsidRDefault="002927BA" w:rsidP="00CB615C">
      <w:pPr>
        <w:widowControl/>
        <w:spacing w:after="0" w:line="240" w:lineRule="auto"/>
        <w:ind w:left="1"/>
        <w:rPr>
          <w:rFonts w:ascii="Times New Roman" w:eastAsia="Times New Roman" w:hAnsi="Times New Roman" w:cs="Times New Roman"/>
        </w:rPr>
      </w:pPr>
    </w:p>
    <w:p w14:paraId="10CAD198" w14:textId="77777777" w:rsidR="002927BA"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induisant une diminution du taux sanguin des lymphocytes par redistribution dans les organes lymphoïdes secondaires, la numération des lymphocytes périphériques ne peut pas être utilisée pour évaluer le statut des sous-groupes de lymphocytes chez un patient traité par </w:t>
      </w:r>
      <w:proofErr w:type="spellStart"/>
      <w:r>
        <w:rPr>
          <w:rFonts w:ascii="Times New Roman" w:hAnsi="Times New Roman"/>
        </w:rPr>
        <w:t>Fingolimod</w:t>
      </w:r>
      <w:proofErr w:type="spellEnd"/>
      <w:r>
        <w:rPr>
          <w:rFonts w:ascii="Times New Roman" w:hAnsi="Times New Roman"/>
        </w:rPr>
        <w:t xml:space="preserve"> Mylan. En raison de la réduction du nombre de lymphocytes circulants, des volumes de sang plus importants sont nécessaires pour les analyses biologiques impliquant la mesure des cellules mononucléaires circulantes.</w:t>
      </w:r>
    </w:p>
    <w:p w14:paraId="777D11E8" w14:textId="77777777" w:rsidR="001425C1" w:rsidRPr="005E3BF6" w:rsidRDefault="001425C1" w:rsidP="00CB615C">
      <w:pPr>
        <w:widowControl/>
        <w:spacing w:after="0" w:line="240" w:lineRule="auto"/>
        <w:ind w:left="1"/>
        <w:rPr>
          <w:rFonts w:ascii="Times New Roman" w:eastAsia="Times New Roman" w:hAnsi="Times New Roman" w:cs="Times New Roman"/>
        </w:rPr>
      </w:pPr>
    </w:p>
    <w:p w14:paraId="1424F05D"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Population pédiatrique</w:t>
      </w:r>
    </w:p>
    <w:p w14:paraId="2083A61F" w14:textId="77777777" w:rsidR="00D658ED" w:rsidRDefault="00D658ED" w:rsidP="00CB615C">
      <w:pPr>
        <w:widowControl/>
        <w:spacing w:after="0" w:line="240" w:lineRule="auto"/>
        <w:ind w:left="1"/>
        <w:rPr>
          <w:rFonts w:ascii="Times New Roman" w:eastAsia="Times New Roman" w:hAnsi="Times New Roman" w:cs="Times New Roman"/>
          <w:spacing w:val="2"/>
        </w:rPr>
      </w:pPr>
    </w:p>
    <w:p w14:paraId="0E827EE0" w14:textId="3BF77D0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Le profil de sécurité d’emploi des patients pédiatriques est similaire à celui des adultes. En conséquence, les mises en garde et les précautions d’emploi pour les adultes s’appliquent également aux patients pédiatriques.</w:t>
      </w:r>
    </w:p>
    <w:p w14:paraId="3F4A1FFB" w14:textId="77777777" w:rsidR="001C7C0E" w:rsidRPr="005E3BF6" w:rsidRDefault="001C7C0E" w:rsidP="00CB615C">
      <w:pPr>
        <w:widowControl/>
        <w:spacing w:after="0" w:line="240" w:lineRule="auto"/>
        <w:rPr>
          <w:rFonts w:ascii="Times New Roman" w:hAnsi="Times New Roman" w:cs="Times New Roman"/>
        </w:rPr>
      </w:pPr>
    </w:p>
    <w:p w14:paraId="19B9BA66" w14:textId="2ECBB37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En particulier, les éléments suivants doivent être pris en compte lors de la prescription de </w:t>
      </w:r>
      <w:proofErr w:type="spellStart"/>
      <w:r>
        <w:rPr>
          <w:rFonts w:ascii="Times New Roman" w:hAnsi="Times New Roman"/>
        </w:rPr>
        <w:t>Fingolimod</w:t>
      </w:r>
      <w:proofErr w:type="spellEnd"/>
      <w:r>
        <w:rPr>
          <w:rFonts w:ascii="Times New Roman" w:hAnsi="Times New Roman"/>
        </w:rPr>
        <w:t xml:space="preserve"> Mylan à des patients pédiatriques :</w:t>
      </w:r>
    </w:p>
    <w:p w14:paraId="0530A935" w14:textId="35D0FC2A" w:rsidR="001C7C0E" w:rsidRPr="00D029A9" w:rsidRDefault="00080994" w:rsidP="00CB615C">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Des précautions doivent être prises lors de l’administration de la première dose (voir « </w:t>
      </w:r>
      <w:proofErr w:type="spellStart"/>
      <w:r>
        <w:rPr>
          <w:rFonts w:ascii="Times New Roman" w:hAnsi="Times New Roman"/>
        </w:rPr>
        <w:t>Bradyarythmie</w:t>
      </w:r>
      <w:proofErr w:type="spellEnd"/>
      <w:r>
        <w:rPr>
          <w:rFonts w:ascii="Times New Roman" w:hAnsi="Times New Roman"/>
        </w:rPr>
        <w:t> » ci-dessus). Il est recommandé de prendre les mêmes précautions que celles de l’administration de la première dose lors du passage d’une dose quotidienne de 0,25 mg à 0,5 mg.</w:t>
      </w:r>
    </w:p>
    <w:p w14:paraId="36D81B0A" w14:textId="56D02753" w:rsidR="001C7C0E" w:rsidRPr="00D029A9" w:rsidRDefault="00080994" w:rsidP="00CB615C">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Dans l’étude pédiatrique contrôlée D2311, des cas de crises épileptiques, d’anxiété, d’humeur dépressive et de dépression ont été rapportés avec une incidence plus élevée chez les patients traités par </w:t>
      </w:r>
      <w:proofErr w:type="spellStart"/>
      <w:r>
        <w:rPr>
          <w:rFonts w:ascii="Times New Roman" w:hAnsi="Times New Roman"/>
        </w:rPr>
        <w:t>fingolimod</w:t>
      </w:r>
      <w:proofErr w:type="spellEnd"/>
      <w:r>
        <w:rPr>
          <w:rFonts w:ascii="Times New Roman" w:hAnsi="Times New Roman"/>
        </w:rPr>
        <w:t xml:space="preserve"> que chez les patients traités par interféron bêta-1a. La prudence est nécessaire dans cette population (voir « Population pédiatrique » en rubrique 4.8).</w:t>
      </w:r>
    </w:p>
    <w:p w14:paraId="1B921EBC" w14:textId="69C50813" w:rsidR="001C7C0E" w:rsidRPr="00D029A9" w:rsidRDefault="00080994" w:rsidP="00CB615C">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Des augmentations isolées légères de la bilirubine ont été observées chez des patients pédiatriques traités par </w:t>
      </w:r>
      <w:proofErr w:type="spellStart"/>
      <w:r>
        <w:rPr>
          <w:rFonts w:ascii="Times New Roman" w:hAnsi="Times New Roman"/>
        </w:rPr>
        <w:t>fingolimod</w:t>
      </w:r>
      <w:proofErr w:type="spellEnd"/>
      <w:r>
        <w:rPr>
          <w:rFonts w:ascii="Times New Roman" w:hAnsi="Times New Roman"/>
        </w:rPr>
        <w:t>.</w:t>
      </w:r>
    </w:p>
    <w:p w14:paraId="4FB1CC71" w14:textId="514AB61A" w:rsidR="001C7C0E" w:rsidRPr="00D029A9" w:rsidRDefault="00080994" w:rsidP="00CB615C">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Il est recommandé que les patients pédiatriques reçoivent toutes les vaccinations conformément au calendrier vaccinal actuel avant le début du traitement par </w:t>
      </w:r>
      <w:proofErr w:type="spellStart"/>
      <w:r>
        <w:rPr>
          <w:rFonts w:ascii="Times New Roman" w:hAnsi="Times New Roman"/>
        </w:rPr>
        <w:t>Fingolimod</w:t>
      </w:r>
      <w:proofErr w:type="spellEnd"/>
      <w:r>
        <w:rPr>
          <w:rFonts w:ascii="Times New Roman" w:hAnsi="Times New Roman"/>
        </w:rPr>
        <w:t xml:space="preserve"> Mylan (voir « Infections » ci-dessus).</w:t>
      </w:r>
    </w:p>
    <w:p w14:paraId="72FCE317" w14:textId="1F3951E9" w:rsidR="001C7C0E" w:rsidRPr="00D029A9" w:rsidRDefault="00080994" w:rsidP="00CB615C">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Les données disponibles sont très limitées chez les enfants âgés de 10 à 12 ans, ayant un poids inférieur à 40 kg ou de stade Tanner &lt; 2 (voir rubriques 4.8 et 5.1). La prudence est nécessaire dans ces sous-groupes en raison des données très limitées issues de l’étude clinique.</w:t>
      </w:r>
    </w:p>
    <w:p w14:paraId="6AA0D39A" w14:textId="19EAEE13" w:rsidR="001C7C0E" w:rsidRPr="00D029A9" w:rsidRDefault="00080994" w:rsidP="00CB615C">
      <w:pPr>
        <w:pStyle w:val="Paragraphedeliste"/>
        <w:widowControl/>
        <w:numPr>
          <w:ilvl w:val="0"/>
          <w:numId w:val="24"/>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Les données de sécurité à long terme dans la population pédiatrique ne sont pas disponibles.</w:t>
      </w:r>
    </w:p>
    <w:p w14:paraId="36E2AAAA" w14:textId="77777777" w:rsidR="001C7C0E" w:rsidRPr="005E3BF6" w:rsidRDefault="001C7C0E" w:rsidP="00CB615C">
      <w:pPr>
        <w:widowControl/>
        <w:spacing w:after="0" w:line="240" w:lineRule="auto"/>
        <w:rPr>
          <w:rFonts w:ascii="Times New Roman" w:hAnsi="Times New Roman" w:cs="Times New Roman"/>
        </w:rPr>
      </w:pPr>
    </w:p>
    <w:p w14:paraId="30BA0EEE"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4.5</w:t>
      </w:r>
      <w:r>
        <w:rPr>
          <w:rFonts w:ascii="Times New Roman" w:hAnsi="Times New Roman"/>
          <w:b/>
        </w:rPr>
        <w:tab/>
        <w:t>Interactions avec d’autres médicaments et autres formes d’interactions</w:t>
      </w:r>
    </w:p>
    <w:p w14:paraId="6CDB8BC3" w14:textId="77777777" w:rsidR="001C7C0E" w:rsidRPr="005E3BF6" w:rsidRDefault="001C7C0E" w:rsidP="00CB615C">
      <w:pPr>
        <w:widowControl/>
        <w:spacing w:after="0" w:line="240" w:lineRule="auto"/>
        <w:rPr>
          <w:rFonts w:ascii="Times New Roman" w:hAnsi="Times New Roman" w:cs="Times New Roman"/>
        </w:rPr>
      </w:pPr>
    </w:p>
    <w:p w14:paraId="3D8DA6BC"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Traitements antinéoplasiques, immunomodulateurs ou immunosuppresseurs</w:t>
      </w:r>
    </w:p>
    <w:p w14:paraId="1917D3D0" w14:textId="77777777" w:rsidR="00D658ED" w:rsidRDefault="00D658ED" w:rsidP="00CB615C">
      <w:pPr>
        <w:widowControl/>
        <w:spacing w:after="0" w:line="240" w:lineRule="auto"/>
        <w:ind w:left="1"/>
        <w:rPr>
          <w:rFonts w:ascii="Times New Roman" w:eastAsia="Times New Roman" w:hAnsi="Times New Roman" w:cs="Times New Roman"/>
          <w:spacing w:val="-1"/>
        </w:rPr>
      </w:pPr>
    </w:p>
    <w:p w14:paraId="50A59FC4" w14:textId="7588B86B"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Les traitements antinéoplasiques, immunomodulateurs ou immunosuppresseurs ne doivent pas être </w:t>
      </w:r>
      <w:proofErr w:type="spellStart"/>
      <w:r>
        <w:rPr>
          <w:rFonts w:ascii="Times New Roman" w:hAnsi="Times New Roman"/>
        </w:rPr>
        <w:t>co-administrés</w:t>
      </w:r>
      <w:proofErr w:type="spellEnd"/>
      <w:r>
        <w:rPr>
          <w:rFonts w:ascii="Times New Roman" w:hAnsi="Times New Roman"/>
        </w:rPr>
        <w:t xml:space="preserve"> en raison du risque d’effets additifs sur le système immunitaire (voir rubriques 4.3 et 4.4).</w:t>
      </w:r>
    </w:p>
    <w:p w14:paraId="7CEF0D1F" w14:textId="77777777" w:rsidR="001C7C0E" w:rsidRPr="005E3BF6" w:rsidRDefault="001C7C0E" w:rsidP="00CB615C">
      <w:pPr>
        <w:widowControl/>
        <w:spacing w:after="0" w:line="240" w:lineRule="auto"/>
        <w:rPr>
          <w:rFonts w:ascii="Times New Roman" w:hAnsi="Times New Roman" w:cs="Times New Roman"/>
        </w:rPr>
      </w:pPr>
    </w:p>
    <w:p w14:paraId="79D7662E"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prudence est également recommandée en cas de relais d’un traitement à longue durée d’action et ayant des effets immunologiques tels que le natalizumab, le </w:t>
      </w:r>
      <w:proofErr w:type="spellStart"/>
      <w:r>
        <w:rPr>
          <w:rFonts w:ascii="Times New Roman" w:hAnsi="Times New Roman"/>
        </w:rPr>
        <w:t>tériflunomide</w:t>
      </w:r>
      <w:proofErr w:type="spellEnd"/>
      <w:r>
        <w:rPr>
          <w:rFonts w:ascii="Times New Roman" w:hAnsi="Times New Roman"/>
        </w:rPr>
        <w:t xml:space="preserve"> ou la </w:t>
      </w:r>
      <w:proofErr w:type="spellStart"/>
      <w:r>
        <w:rPr>
          <w:rFonts w:ascii="Times New Roman" w:hAnsi="Times New Roman"/>
        </w:rPr>
        <w:t>mitoxantrone</w:t>
      </w:r>
      <w:proofErr w:type="spellEnd"/>
      <w:r>
        <w:rPr>
          <w:rFonts w:ascii="Times New Roman" w:hAnsi="Times New Roman"/>
        </w:rPr>
        <w:t xml:space="preserve"> (voir rubrique 4.4). Au cours des études cliniques dans la sclérose en plaques, le traitement concomitant des poussées par une corticothérapie de courte durée n’a pas été associé à une augmentation du taux d’infections.</w:t>
      </w:r>
    </w:p>
    <w:p w14:paraId="5777DFBB" w14:textId="77777777" w:rsidR="001C7C0E" w:rsidRPr="005E3BF6" w:rsidRDefault="001C7C0E" w:rsidP="00CB615C">
      <w:pPr>
        <w:widowControl/>
        <w:spacing w:after="0" w:line="240" w:lineRule="auto"/>
        <w:rPr>
          <w:rFonts w:ascii="Times New Roman" w:hAnsi="Times New Roman" w:cs="Times New Roman"/>
        </w:rPr>
      </w:pPr>
    </w:p>
    <w:p w14:paraId="2CCEEDDD" w14:textId="77777777" w:rsidR="001C7C0E" w:rsidRPr="005E3BF6" w:rsidRDefault="00080994" w:rsidP="00A161A5">
      <w:pPr>
        <w:keepNext/>
        <w:widowControl/>
        <w:spacing w:after="0" w:line="240" w:lineRule="auto"/>
        <w:rPr>
          <w:rFonts w:ascii="Times New Roman" w:eastAsia="Times New Roman" w:hAnsi="Times New Roman" w:cs="Times New Roman"/>
        </w:rPr>
      </w:pPr>
      <w:r>
        <w:rPr>
          <w:rFonts w:ascii="Times New Roman" w:hAnsi="Times New Roman"/>
          <w:u w:val="single" w:color="000000"/>
        </w:rPr>
        <w:t>Vaccination</w:t>
      </w:r>
    </w:p>
    <w:p w14:paraId="3842D4E3" w14:textId="77777777" w:rsidR="00D658ED" w:rsidRDefault="00D658ED" w:rsidP="00A161A5">
      <w:pPr>
        <w:keepNext/>
        <w:widowControl/>
        <w:spacing w:after="0" w:line="240" w:lineRule="auto"/>
        <w:rPr>
          <w:rFonts w:ascii="Times New Roman" w:eastAsia="Times New Roman" w:hAnsi="Times New Roman" w:cs="Times New Roman"/>
          <w:spacing w:val="-1"/>
        </w:rPr>
      </w:pPr>
    </w:p>
    <w:p w14:paraId="12200028" w14:textId="75081F20"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Les vaccinations peuvent être moins efficaces sous traitement par </w:t>
      </w:r>
      <w:proofErr w:type="spellStart"/>
      <w:r>
        <w:rPr>
          <w:rFonts w:ascii="Times New Roman" w:hAnsi="Times New Roman"/>
        </w:rPr>
        <w:t>Fingolimod</w:t>
      </w:r>
      <w:proofErr w:type="spellEnd"/>
      <w:r>
        <w:rPr>
          <w:rFonts w:ascii="Times New Roman" w:hAnsi="Times New Roman"/>
        </w:rPr>
        <w:t xml:space="preserve"> Mylan et jusqu’à deux mois après son arrêt. L’utilisation de vaccins vivants atténués peut exposer le patient à un risque d’infections et doit par conséquent être évitée (voir rubriques 4.4 et 4.8).</w:t>
      </w:r>
    </w:p>
    <w:p w14:paraId="70B2B779" w14:textId="77777777" w:rsidR="001C7C0E" w:rsidRPr="005E3BF6" w:rsidRDefault="001C7C0E" w:rsidP="00CB615C">
      <w:pPr>
        <w:widowControl/>
        <w:spacing w:after="0" w:line="240" w:lineRule="auto"/>
        <w:rPr>
          <w:rFonts w:ascii="Times New Roman" w:hAnsi="Times New Roman" w:cs="Times New Roman"/>
        </w:rPr>
      </w:pPr>
    </w:p>
    <w:p w14:paraId="13359EF6"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Médicaments induisant une bradycardie</w:t>
      </w:r>
    </w:p>
    <w:p w14:paraId="1DA56C4E" w14:textId="77777777" w:rsidR="00D658ED" w:rsidRDefault="00D658ED" w:rsidP="00CB615C">
      <w:pPr>
        <w:widowControl/>
        <w:spacing w:after="0" w:line="240" w:lineRule="auto"/>
        <w:ind w:left="1"/>
        <w:rPr>
          <w:rFonts w:ascii="Times New Roman" w:eastAsia="Times New Roman" w:hAnsi="Times New Roman" w:cs="Times New Roman"/>
        </w:rPr>
      </w:pPr>
    </w:p>
    <w:p w14:paraId="6528044F" w14:textId="09AC9D11" w:rsidR="001425C1"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a été étudié en association avec l’aténolol et le diltiazem. Lors de son administration concomitante avec l’aténolol dans une étude d’interaction chez le volontaire sain, une diminution supplémentaire de 15 % de la fréquence cardiaque a été observée à l’instauration du traitement par </w:t>
      </w:r>
      <w:proofErr w:type="spellStart"/>
      <w:r>
        <w:rPr>
          <w:rFonts w:ascii="Times New Roman" w:hAnsi="Times New Roman"/>
        </w:rPr>
        <w:t>fingolimod</w:t>
      </w:r>
      <w:proofErr w:type="spellEnd"/>
      <w:r>
        <w:rPr>
          <w:rFonts w:ascii="Times New Roman" w:hAnsi="Times New Roman"/>
        </w:rPr>
        <w:t xml:space="preserve">, cet effet n’étant pas observé avec le diltiazem. Un traitement par </w:t>
      </w:r>
      <w:proofErr w:type="spellStart"/>
      <w:r>
        <w:rPr>
          <w:rFonts w:ascii="Times New Roman" w:hAnsi="Times New Roman"/>
        </w:rPr>
        <w:t>Fingolimod</w:t>
      </w:r>
      <w:proofErr w:type="spellEnd"/>
      <w:r>
        <w:rPr>
          <w:rFonts w:ascii="Times New Roman" w:hAnsi="Times New Roman"/>
        </w:rPr>
        <w:t xml:space="preserve"> Mylan est déconseillé chez les patients recevant des bêta-bloquants ou d’autres médicaments susceptibles d’induire une bradycardie tels que les antiarythmiques de classe Ia et de classe III, les inhibiteurs calciques (comme le vérapamil ou le diltiazem), l’</w:t>
      </w:r>
      <w:proofErr w:type="spellStart"/>
      <w:r>
        <w:rPr>
          <w:rFonts w:ascii="Times New Roman" w:hAnsi="Times New Roman"/>
        </w:rPr>
        <w:t>ivabradine</w:t>
      </w:r>
      <w:proofErr w:type="spellEnd"/>
      <w:r>
        <w:rPr>
          <w:rFonts w:ascii="Times New Roman" w:hAnsi="Times New Roman"/>
        </w:rPr>
        <w:t xml:space="preserve">, la </w:t>
      </w:r>
      <w:proofErr w:type="spellStart"/>
      <w:r>
        <w:rPr>
          <w:rFonts w:ascii="Times New Roman" w:hAnsi="Times New Roman"/>
        </w:rPr>
        <w:t>digoxine</w:t>
      </w:r>
      <w:proofErr w:type="spellEnd"/>
      <w:r>
        <w:rPr>
          <w:rFonts w:ascii="Times New Roman" w:hAnsi="Times New Roman"/>
        </w:rPr>
        <w:t>, les anticholinestérasiques ou la pilocarpine, en raison des effets additifs potentiels sur la fréquence cardiaque (voir rubriques 4.4 et 4.8). Si un traitement par ce médicament est envisagé, l’avis d’un cardiologue doit être sollicité afin d’évaluer la possibilité d’une alternative par un traitement non bradycardisant ou de définir les mesures de surveillance les plus appropriées à mettre en place pour initier le traitement ; si le traitement bradycardisant ne peut être arrêté, une surveillance prolongée au moins jusqu’au lendemain est recommandée.</w:t>
      </w:r>
    </w:p>
    <w:p w14:paraId="4B3A4428" w14:textId="77777777" w:rsidR="001425C1" w:rsidRPr="005E3BF6" w:rsidRDefault="001425C1" w:rsidP="00CB615C">
      <w:pPr>
        <w:widowControl/>
        <w:spacing w:after="0" w:line="240" w:lineRule="auto"/>
        <w:ind w:left="1"/>
        <w:rPr>
          <w:rFonts w:ascii="Times New Roman" w:eastAsia="Times New Roman" w:hAnsi="Times New Roman" w:cs="Times New Roman"/>
        </w:rPr>
      </w:pPr>
    </w:p>
    <w:p w14:paraId="15559D3B"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 xml:space="preserve">Interactions pharmacocinétiques d’autres substances actives sur le </w:t>
      </w:r>
      <w:proofErr w:type="spellStart"/>
      <w:r>
        <w:rPr>
          <w:rFonts w:ascii="Times New Roman" w:hAnsi="Times New Roman"/>
          <w:u w:val="single" w:color="000000"/>
        </w:rPr>
        <w:t>fingolimod</w:t>
      </w:r>
      <w:proofErr w:type="spellEnd"/>
    </w:p>
    <w:p w14:paraId="105A1D94" w14:textId="77777777" w:rsidR="00D658ED" w:rsidRDefault="00D658ED" w:rsidP="00CB615C">
      <w:pPr>
        <w:widowControl/>
        <w:spacing w:after="0" w:line="240" w:lineRule="auto"/>
        <w:ind w:left="1"/>
        <w:rPr>
          <w:rFonts w:ascii="Times New Roman" w:eastAsia="Times New Roman" w:hAnsi="Times New Roman" w:cs="Times New Roman"/>
        </w:rPr>
      </w:pPr>
    </w:p>
    <w:p w14:paraId="4065F7DD" w14:textId="3FE4287A"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est métabolisé essentiellement par le CYP4F2. D’autres isoenzymes, par exemple le CYP3A4, peuvent également contribuer à son métabolisme, notamment en cas d’induction puissante du CYP3A4. Il n’est pas attendu que les inhibiteurs puissants des protéines de transport modifient le devenir du </w:t>
      </w:r>
      <w:proofErr w:type="spellStart"/>
      <w:r>
        <w:rPr>
          <w:rFonts w:ascii="Times New Roman" w:hAnsi="Times New Roman"/>
        </w:rPr>
        <w:t>fingolimod</w:t>
      </w:r>
      <w:proofErr w:type="spellEnd"/>
      <w:r>
        <w:rPr>
          <w:rFonts w:ascii="Times New Roman" w:hAnsi="Times New Roman"/>
        </w:rPr>
        <w:t xml:space="preserve">. </w:t>
      </w:r>
      <w:r w:rsidR="00124FC4" w:rsidRPr="00124FC4">
        <w:rPr>
          <w:rFonts w:ascii="Times New Roman" w:hAnsi="Times New Roman"/>
        </w:rPr>
        <w:t xml:space="preserve">La </w:t>
      </w:r>
      <w:proofErr w:type="spellStart"/>
      <w:r w:rsidR="00124FC4" w:rsidRPr="00124FC4">
        <w:rPr>
          <w:rFonts w:ascii="Times New Roman" w:hAnsi="Times New Roman"/>
        </w:rPr>
        <w:t>co</w:t>
      </w:r>
      <w:proofErr w:type="spellEnd"/>
      <w:r w:rsidR="00124FC4" w:rsidRPr="00124FC4">
        <w:rPr>
          <w:rFonts w:ascii="Times New Roman" w:hAnsi="Times New Roman"/>
        </w:rPr>
        <w:t xml:space="preserve">-administration </w:t>
      </w:r>
      <w:r>
        <w:rPr>
          <w:rFonts w:ascii="Times New Roman" w:hAnsi="Times New Roman"/>
        </w:rPr>
        <w:t xml:space="preserve">avec le </w:t>
      </w:r>
      <w:proofErr w:type="spellStart"/>
      <w:r>
        <w:rPr>
          <w:rFonts w:ascii="Times New Roman" w:hAnsi="Times New Roman"/>
        </w:rPr>
        <w:t>kétoconazole</w:t>
      </w:r>
      <w:proofErr w:type="spellEnd"/>
      <w:r>
        <w:rPr>
          <w:rFonts w:ascii="Times New Roman" w:hAnsi="Times New Roman"/>
        </w:rPr>
        <w:t xml:space="preserve"> a entraîné une multiplication par 1,7 de l’exposition (ASC) au </w:t>
      </w:r>
      <w:proofErr w:type="spellStart"/>
      <w:r>
        <w:rPr>
          <w:rFonts w:ascii="Times New Roman" w:hAnsi="Times New Roman"/>
        </w:rPr>
        <w:t>fingolimod</w:t>
      </w:r>
      <w:proofErr w:type="spellEnd"/>
      <w:r>
        <w:rPr>
          <w:rFonts w:ascii="Times New Roman" w:hAnsi="Times New Roman"/>
        </w:rPr>
        <w:t xml:space="preserve"> et au phosphate de </w:t>
      </w:r>
      <w:proofErr w:type="spellStart"/>
      <w:r>
        <w:rPr>
          <w:rFonts w:ascii="Times New Roman" w:hAnsi="Times New Roman"/>
        </w:rPr>
        <w:t>fingolimod</w:t>
      </w:r>
      <w:proofErr w:type="spellEnd"/>
      <w:r>
        <w:rPr>
          <w:rFonts w:ascii="Times New Roman" w:hAnsi="Times New Roman"/>
        </w:rPr>
        <w:t xml:space="preserve"> (</w:t>
      </w:r>
      <w:proofErr w:type="spellStart"/>
      <w:r>
        <w:rPr>
          <w:rFonts w:ascii="Times New Roman" w:hAnsi="Times New Roman"/>
        </w:rPr>
        <w:t>fingolimod</w:t>
      </w:r>
      <w:proofErr w:type="spellEnd"/>
      <w:r>
        <w:rPr>
          <w:rFonts w:ascii="Times New Roman" w:hAnsi="Times New Roman"/>
        </w:rPr>
        <w:t xml:space="preserve">-P) par l’inhibition du CYP4F2. La prudence s’impose en cas de </w:t>
      </w:r>
      <w:proofErr w:type="spellStart"/>
      <w:r>
        <w:rPr>
          <w:rFonts w:ascii="Times New Roman" w:hAnsi="Times New Roman"/>
        </w:rPr>
        <w:t>co</w:t>
      </w:r>
      <w:proofErr w:type="spellEnd"/>
      <w:r>
        <w:rPr>
          <w:rFonts w:ascii="Times New Roman" w:hAnsi="Times New Roman"/>
        </w:rPr>
        <w:t xml:space="preserve">-administration de médicaments pouvant inhiber le CYP3A4 (inhibiteurs de la protéase, antifongiques azolés, certains macrolides tels que la clarithromycine ou la </w:t>
      </w:r>
      <w:proofErr w:type="spellStart"/>
      <w:r>
        <w:rPr>
          <w:rFonts w:ascii="Times New Roman" w:hAnsi="Times New Roman"/>
        </w:rPr>
        <w:t>télithromycine</w:t>
      </w:r>
      <w:proofErr w:type="spellEnd"/>
      <w:r>
        <w:rPr>
          <w:rFonts w:ascii="Times New Roman" w:hAnsi="Times New Roman"/>
        </w:rPr>
        <w:t>).</w:t>
      </w:r>
    </w:p>
    <w:p w14:paraId="22E2AF15" w14:textId="77777777" w:rsidR="001C7C0E" w:rsidRPr="005E3BF6" w:rsidRDefault="001C7C0E" w:rsidP="00CB615C">
      <w:pPr>
        <w:widowControl/>
        <w:spacing w:after="0" w:line="240" w:lineRule="auto"/>
        <w:rPr>
          <w:rFonts w:ascii="Times New Roman" w:hAnsi="Times New Roman" w:cs="Times New Roman"/>
        </w:rPr>
      </w:pPr>
    </w:p>
    <w:p w14:paraId="6D636B47" w14:textId="3F58128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L’administration concomitante de la carbamazépine 600 mg 2 fois par jour à l’état d’équilibre et d’une dose unique de </w:t>
      </w:r>
      <w:proofErr w:type="spellStart"/>
      <w:r>
        <w:rPr>
          <w:rFonts w:ascii="Times New Roman" w:hAnsi="Times New Roman"/>
        </w:rPr>
        <w:t>fingolimod</w:t>
      </w:r>
      <w:proofErr w:type="spellEnd"/>
      <w:r>
        <w:rPr>
          <w:rFonts w:ascii="Times New Roman" w:hAnsi="Times New Roman"/>
        </w:rPr>
        <w:t xml:space="preserve"> 2 mg a entrainé une diminution de l’ASC du </w:t>
      </w:r>
      <w:proofErr w:type="spellStart"/>
      <w:r>
        <w:rPr>
          <w:rFonts w:ascii="Times New Roman" w:hAnsi="Times New Roman"/>
        </w:rPr>
        <w:t>fingolimod</w:t>
      </w:r>
      <w:proofErr w:type="spellEnd"/>
      <w:r>
        <w:rPr>
          <w:rFonts w:ascii="Times New Roman" w:hAnsi="Times New Roman"/>
        </w:rPr>
        <w:t xml:space="preserve"> et de son métabolite d’environ 40 %. D’autres inducteurs enzymatiques puissants du CYP3A4, </w:t>
      </w:r>
      <w:proofErr w:type="gramStart"/>
      <w:r>
        <w:rPr>
          <w:rFonts w:ascii="Times New Roman" w:hAnsi="Times New Roman"/>
        </w:rPr>
        <w:t>comme par exemple</w:t>
      </w:r>
      <w:proofErr w:type="gramEnd"/>
      <w:r>
        <w:rPr>
          <w:rFonts w:ascii="Times New Roman" w:hAnsi="Times New Roman"/>
        </w:rPr>
        <w:t xml:space="preserve"> la rifampicine, le phénobarbital, la phénytoïne, l’éfavirenz et le millepertuis, peuvent entrainer une diminution d’au moins autant de l’ASC du </w:t>
      </w:r>
      <w:proofErr w:type="spellStart"/>
      <w:r>
        <w:rPr>
          <w:rFonts w:ascii="Times New Roman" w:hAnsi="Times New Roman"/>
        </w:rPr>
        <w:t>fingolimod</w:t>
      </w:r>
      <w:proofErr w:type="spellEnd"/>
      <w:r>
        <w:rPr>
          <w:rFonts w:ascii="Times New Roman" w:hAnsi="Times New Roman"/>
        </w:rPr>
        <w:t xml:space="preserve"> et de son métabolite. Leur administration concomitante doit être réalisée avec précaution en raison de la diminution potentielle de l’efficacité. L’administration concomitante avec le millepertuis n’est cependant pas recommandée (voir rubrique 4.4).</w:t>
      </w:r>
    </w:p>
    <w:p w14:paraId="1A177AE8" w14:textId="77777777" w:rsidR="001C7C0E" w:rsidRPr="005E3BF6" w:rsidRDefault="001C7C0E" w:rsidP="00CB615C">
      <w:pPr>
        <w:widowControl/>
        <w:spacing w:after="0" w:line="240" w:lineRule="auto"/>
        <w:rPr>
          <w:rFonts w:ascii="Times New Roman" w:hAnsi="Times New Roman" w:cs="Times New Roman"/>
        </w:rPr>
      </w:pPr>
    </w:p>
    <w:p w14:paraId="11D2D05B"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 xml:space="preserve">Interactions pharmacocinétiques du </w:t>
      </w:r>
      <w:proofErr w:type="spellStart"/>
      <w:r>
        <w:rPr>
          <w:rFonts w:ascii="Times New Roman" w:hAnsi="Times New Roman"/>
          <w:u w:val="single" w:color="000000"/>
        </w:rPr>
        <w:t>fingolimod</w:t>
      </w:r>
      <w:proofErr w:type="spellEnd"/>
      <w:r>
        <w:rPr>
          <w:rFonts w:ascii="Times New Roman" w:hAnsi="Times New Roman"/>
          <w:u w:val="single" w:color="000000"/>
        </w:rPr>
        <w:t xml:space="preserve"> avec d’autres substances actives</w:t>
      </w:r>
    </w:p>
    <w:p w14:paraId="267C90BF" w14:textId="77777777" w:rsidR="00D658ED" w:rsidRDefault="00D658ED" w:rsidP="00CB615C">
      <w:pPr>
        <w:widowControl/>
        <w:spacing w:after="0" w:line="240" w:lineRule="auto"/>
        <w:ind w:left="1"/>
        <w:rPr>
          <w:rFonts w:ascii="Times New Roman" w:eastAsia="Times New Roman" w:hAnsi="Times New Roman" w:cs="Times New Roman"/>
        </w:rPr>
      </w:pPr>
    </w:p>
    <w:p w14:paraId="2D3B9693" w14:textId="6C2D7208"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Il est peu probable que le </w:t>
      </w:r>
      <w:proofErr w:type="spellStart"/>
      <w:r>
        <w:rPr>
          <w:rFonts w:ascii="Times New Roman" w:hAnsi="Times New Roman"/>
        </w:rPr>
        <w:t>fingolimod</w:t>
      </w:r>
      <w:proofErr w:type="spellEnd"/>
      <w:r>
        <w:rPr>
          <w:rFonts w:ascii="Times New Roman" w:hAnsi="Times New Roman"/>
        </w:rPr>
        <w:t xml:space="preserve"> interagisse avec les substances actives qui sont éliminées essentiellement par les isoenzymes du CYP450 ou par les substrats des principales protéines de transport.</w:t>
      </w:r>
    </w:p>
    <w:p w14:paraId="620C4E3B" w14:textId="77777777" w:rsidR="001C7C0E" w:rsidRPr="005E3BF6" w:rsidRDefault="001C7C0E" w:rsidP="00CB615C">
      <w:pPr>
        <w:widowControl/>
        <w:spacing w:after="0" w:line="240" w:lineRule="auto"/>
        <w:rPr>
          <w:rFonts w:ascii="Times New Roman" w:hAnsi="Times New Roman" w:cs="Times New Roman"/>
        </w:rPr>
      </w:pPr>
    </w:p>
    <w:p w14:paraId="0D221C8E"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w:t>
      </w:r>
      <w:proofErr w:type="spellStart"/>
      <w:r>
        <w:rPr>
          <w:rFonts w:ascii="Times New Roman" w:hAnsi="Times New Roman"/>
        </w:rPr>
        <w:t>co</w:t>
      </w:r>
      <w:proofErr w:type="spellEnd"/>
      <w:r>
        <w:rPr>
          <w:rFonts w:ascii="Times New Roman" w:hAnsi="Times New Roman"/>
        </w:rPr>
        <w:t xml:space="preserve">-administration du </w:t>
      </w:r>
      <w:proofErr w:type="spellStart"/>
      <w:r>
        <w:rPr>
          <w:rFonts w:ascii="Times New Roman" w:hAnsi="Times New Roman"/>
        </w:rPr>
        <w:t>fingolimod</w:t>
      </w:r>
      <w:proofErr w:type="spellEnd"/>
      <w:r>
        <w:rPr>
          <w:rFonts w:ascii="Times New Roman" w:hAnsi="Times New Roman"/>
        </w:rPr>
        <w:t xml:space="preserve"> avec la ciclosporine n’a pas induit de modification de l’exposition à la ciclosporine ou au </w:t>
      </w:r>
      <w:proofErr w:type="spellStart"/>
      <w:r>
        <w:rPr>
          <w:rFonts w:ascii="Times New Roman" w:hAnsi="Times New Roman"/>
        </w:rPr>
        <w:t>fingolimod</w:t>
      </w:r>
      <w:proofErr w:type="spellEnd"/>
      <w:r>
        <w:rPr>
          <w:rFonts w:ascii="Times New Roman" w:hAnsi="Times New Roman"/>
        </w:rPr>
        <w:t xml:space="preserve">. Il n’est donc pas attendu que le </w:t>
      </w:r>
      <w:proofErr w:type="spellStart"/>
      <w:r>
        <w:rPr>
          <w:rFonts w:ascii="Times New Roman" w:hAnsi="Times New Roman"/>
        </w:rPr>
        <w:t>fingolimod</w:t>
      </w:r>
      <w:proofErr w:type="spellEnd"/>
      <w:r>
        <w:rPr>
          <w:rFonts w:ascii="Times New Roman" w:hAnsi="Times New Roman"/>
        </w:rPr>
        <w:t xml:space="preserve"> modifie la pharmacocinétique des médicaments qui sont des substrats du CYP3A4.</w:t>
      </w:r>
    </w:p>
    <w:p w14:paraId="70AE355F" w14:textId="77777777" w:rsidR="001C7C0E" w:rsidRPr="005E3BF6" w:rsidRDefault="001C7C0E" w:rsidP="00CB615C">
      <w:pPr>
        <w:widowControl/>
        <w:spacing w:after="0" w:line="240" w:lineRule="auto"/>
        <w:rPr>
          <w:rFonts w:ascii="Times New Roman" w:hAnsi="Times New Roman" w:cs="Times New Roman"/>
        </w:rPr>
      </w:pPr>
    </w:p>
    <w:p w14:paraId="664269C8" w14:textId="7279C91A"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L’administration concomitante de </w:t>
      </w:r>
      <w:proofErr w:type="spellStart"/>
      <w:r>
        <w:rPr>
          <w:rFonts w:ascii="Times New Roman" w:hAnsi="Times New Roman"/>
        </w:rPr>
        <w:t>fingolimod</w:t>
      </w:r>
      <w:proofErr w:type="spellEnd"/>
      <w:r>
        <w:rPr>
          <w:rFonts w:ascii="Times New Roman" w:hAnsi="Times New Roman"/>
        </w:rPr>
        <w:t xml:space="preserve"> avec des contraceptifs oraux (</w:t>
      </w:r>
      <w:proofErr w:type="spellStart"/>
      <w:r>
        <w:rPr>
          <w:rFonts w:ascii="Times New Roman" w:hAnsi="Times New Roman"/>
        </w:rPr>
        <w:t>éthinylestradiol</w:t>
      </w:r>
      <w:proofErr w:type="spellEnd"/>
      <w:r>
        <w:rPr>
          <w:rFonts w:ascii="Times New Roman" w:hAnsi="Times New Roman"/>
        </w:rPr>
        <w:t xml:space="preserve"> et lévonorgestrel) n’a entraîné aucune modification de l’exposition aux contraceptifs oraux. Il n’a pas été réalisé d’études d’interactions avec des contraceptifs oraux contenant d’autres progestatifs, mais il n’est pas attendu d’effet du </w:t>
      </w:r>
      <w:proofErr w:type="spellStart"/>
      <w:r>
        <w:rPr>
          <w:rFonts w:ascii="Times New Roman" w:hAnsi="Times New Roman"/>
        </w:rPr>
        <w:t>fingolimod</w:t>
      </w:r>
      <w:proofErr w:type="spellEnd"/>
      <w:r>
        <w:rPr>
          <w:rFonts w:ascii="Times New Roman" w:hAnsi="Times New Roman"/>
        </w:rPr>
        <w:t xml:space="preserve"> sur l’exposition à ces contraceptifs.</w:t>
      </w:r>
    </w:p>
    <w:p w14:paraId="1CE109A1" w14:textId="77777777" w:rsidR="001C7C0E" w:rsidRPr="005E3BF6" w:rsidRDefault="001C7C0E" w:rsidP="00CB615C">
      <w:pPr>
        <w:widowControl/>
        <w:spacing w:after="0" w:line="240" w:lineRule="auto"/>
        <w:rPr>
          <w:rFonts w:ascii="Times New Roman" w:hAnsi="Times New Roman" w:cs="Times New Roman"/>
        </w:rPr>
      </w:pPr>
    </w:p>
    <w:p w14:paraId="003B3584"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4.6</w:t>
      </w:r>
      <w:r>
        <w:rPr>
          <w:rFonts w:ascii="Times New Roman" w:hAnsi="Times New Roman"/>
          <w:b/>
        </w:rPr>
        <w:tab/>
        <w:t>Fertilité, grossesse et allaitement</w:t>
      </w:r>
    </w:p>
    <w:p w14:paraId="7A80BC20" w14:textId="77777777" w:rsidR="001C7C0E" w:rsidRPr="005E3BF6" w:rsidRDefault="001C7C0E" w:rsidP="00CB615C">
      <w:pPr>
        <w:widowControl/>
        <w:spacing w:after="0" w:line="240" w:lineRule="auto"/>
        <w:rPr>
          <w:rFonts w:ascii="Times New Roman" w:hAnsi="Times New Roman" w:cs="Times New Roman"/>
        </w:rPr>
      </w:pPr>
    </w:p>
    <w:p w14:paraId="37BE1A27" w14:textId="7334C68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Femmes en âge de procréer/Contraception chez les femmes</w:t>
      </w:r>
    </w:p>
    <w:p w14:paraId="3E3113A4" w14:textId="77777777" w:rsidR="00D658ED" w:rsidRDefault="00D658ED" w:rsidP="00CB615C">
      <w:pPr>
        <w:widowControl/>
        <w:spacing w:after="0" w:line="240" w:lineRule="auto"/>
        <w:ind w:left="1"/>
        <w:rPr>
          <w:rFonts w:ascii="Times New Roman" w:eastAsia="Times New Roman" w:hAnsi="Times New Roman" w:cs="Times New Roman"/>
          <w:spacing w:val="-1"/>
        </w:rPr>
      </w:pPr>
    </w:p>
    <w:p w14:paraId="3987801C" w14:textId="1094434E" w:rsidR="001C7C0E"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est contre-indiqué chez les femmes en âge de procréer n’utilisant pas une contraception efficace (voir rubrique 4.3). Par conséquent, avant l’instauration du traitement chez les femmes en âge de procréer, un résultat négatif au test de grossesse doit être disponible. Les patientes doivent être informées du risque grave pour le fœtus. Les femmes en âge de procréer doivent utiliser une contraception efficace pendant le traitement et pendant les 2 mois suivant l’arrêt du </w:t>
      </w:r>
      <w:proofErr w:type="spellStart"/>
      <w:r>
        <w:rPr>
          <w:rFonts w:ascii="Times New Roman" w:hAnsi="Times New Roman"/>
        </w:rPr>
        <w:t>fingolimod</w:t>
      </w:r>
      <w:proofErr w:type="spellEnd"/>
      <w:r>
        <w:rPr>
          <w:rFonts w:ascii="Times New Roman" w:hAnsi="Times New Roman"/>
        </w:rPr>
        <w:t>, car il est éliminé de l’organisme en 2 mois environ après l’arrêt du traitement (voir rubrique 4.4).</w:t>
      </w:r>
    </w:p>
    <w:p w14:paraId="64552C38" w14:textId="328E53BC" w:rsidR="00F77E52" w:rsidRDefault="00F77E52" w:rsidP="00CB615C">
      <w:pPr>
        <w:widowControl/>
        <w:spacing w:after="0" w:line="240" w:lineRule="auto"/>
        <w:ind w:left="1"/>
        <w:rPr>
          <w:rFonts w:ascii="Times New Roman" w:eastAsia="Times New Roman" w:hAnsi="Times New Roman" w:cs="Times New Roman"/>
        </w:rPr>
      </w:pPr>
    </w:p>
    <w:p w14:paraId="367A8073" w14:textId="08998F3D" w:rsidR="00F77E52" w:rsidRPr="00F77E52"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mesures spécifiques sont également incluses dans le matériel éducatif. Ces mesures doivent être appliquées avant que le </w:t>
      </w:r>
      <w:proofErr w:type="spellStart"/>
      <w:r>
        <w:rPr>
          <w:rFonts w:ascii="Times New Roman" w:hAnsi="Times New Roman"/>
        </w:rPr>
        <w:t>fingolimod</w:t>
      </w:r>
      <w:proofErr w:type="spellEnd"/>
      <w:r>
        <w:rPr>
          <w:rFonts w:ascii="Times New Roman" w:hAnsi="Times New Roman"/>
        </w:rPr>
        <w:t xml:space="preserve"> ne soit prescrit et pendant le traitement.</w:t>
      </w:r>
    </w:p>
    <w:p w14:paraId="149E9625" w14:textId="77777777" w:rsidR="00F77E52" w:rsidRPr="00F77E52" w:rsidRDefault="00F77E52" w:rsidP="00CB615C">
      <w:pPr>
        <w:widowControl/>
        <w:spacing w:after="0" w:line="240" w:lineRule="auto"/>
        <w:ind w:left="1"/>
        <w:rPr>
          <w:rFonts w:ascii="Times New Roman" w:eastAsia="Times New Roman" w:hAnsi="Times New Roman" w:cs="Times New Roman"/>
        </w:rPr>
      </w:pPr>
    </w:p>
    <w:p w14:paraId="192F22A6" w14:textId="6991F769" w:rsidR="00F77E52"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Quand le traitement est arrêté en raison d’un projet de grossesse, l’éventualité d’une reprise de la maladie doit être considérée (voir rubrique 4.4).</w:t>
      </w:r>
    </w:p>
    <w:p w14:paraId="1E4A7409" w14:textId="77777777" w:rsidR="001C7C0E" w:rsidRPr="005E3BF6" w:rsidRDefault="001C7C0E" w:rsidP="00CB615C">
      <w:pPr>
        <w:widowControl/>
        <w:spacing w:after="0" w:line="240" w:lineRule="auto"/>
        <w:rPr>
          <w:rFonts w:ascii="Times New Roman" w:hAnsi="Times New Roman" w:cs="Times New Roman"/>
        </w:rPr>
      </w:pPr>
    </w:p>
    <w:p w14:paraId="16190EC7" w14:textId="69DA444B"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Grossesse</w:t>
      </w:r>
    </w:p>
    <w:p w14:paraId="41B4A714" w14:textId="77777777" w:rsidR="00D658ED" w:rsidRDefault="00D658ED" w:rsidP="00CB615C">
      <w:pPr>
        <w:widowControl/>
        <w:spacing w:after="0" w:line="240" w:lineRule="auto"/>
        <w:rPr>
          <w:rFonts w:ascii="Times New Roman" w:hAnsi="Times New Roman" w:cs="Times New Roman"/>
        </w:rPr>
      </w:pPr>
    </w:p>
    <w:p w14:paraId="2F42CEF5" w14:textId="7BCB4F78" w:rsidR="00F77E52" w:rsidRPr="00F77E52" w:rsidRDefault="00080994" w:rsidP="00CB615C">
      <w:pPr>
        <w:widowControl/>
        <w:spacing w:after="0" w:line="240" w:lineRule="auto"/>
        <w:rPr>
          <w:rFonts w:ascii="Times New Roman" w:hAnsi="Times New Roman" w:cs="Times New Roman"/>
        </w:rPr>
      </w:pPr>
      <w:r>
        <w:rPr>
          <w:rFonts w:ascii="Times New Roman" w:hAnsi="Times New Roman"/>
        </w:rPr>
        <w:t xml:space="preserve">Les données rapportées chez l’homme après la commercialisation suggèrent que l’utilisation du </w:t>
      </w:r>
      <w:proofErr w:type="spellStart"/>
      <w:r>
        <w:rPr>
          <w:rFonts w:ascii="Times New Roman" w:hAnsi="Times New Roman"/>
        </w:rPr>
        <w:t>fingolimod</w:t>
      </w:r>
      <w:proofErr w:type="spellEnd"/>
      <w:r>
        <w:rPr>
          <w:rFonts w:ascii="Times New Roman" w:hAnsi="Times New Roman"/>
        </w:rPr>
        <w:t xml:space="preserve"> pendant la grossesse est associée à un risque de malformations congénitales deux fois plus élevé chez les nourrissons nés de mères exposées au </w:t>
      </w:r>
      <w:proofErr w:type="spellStart"/>
      <w:r>
        <w:rPr>
          <w:rFonts w:ascii="Times New Roman" w:hAnsi="Times New Roman"/>
        </w:rPr>
        <w:t>fingolimod</w:t>
      </w:r>
      <w:proofErr w:type="spellEnd"/>
      <w:r>
        <w:rPr>
          <w:rFonts w:ascii="Times New Roman" w:hAnsi="Times New Roman"/>
        </w:rPr>
        <w:t xml:space="preserve"> pendant la grossesse en comparaison au taux observé dans la population générale (2-3 % ; EUROCAT). </w:t>
      </w:r>
    </w:p>
    <w:p w14:paraId="310A693E" w14:textId="77777777" w:rsidR="00F77E52" w:rsidRPr="00F77E52" w:rsidRDefault="00F77E52" w:rsidP="00CB615C">
      <w:pPr>
        <w:widowControl/>
        <w:spacing w:after="0" w:line="240" w:lineRule="auto"/>
        <w:rPr>
          <w:rFonts w:ascii="Times New Roman" w:hAnsi="Times New Roman" w:cs="Times New Roman"/>
        </w:rPr>
      </w:pPr>
    </w:p>
    <w:p w14:paraId="77743A00" w14:textId="77777777" w:rsidR="00F77E52" w:rsidRPr="00F77E52" w:rsidRDefault="00080994" w:rsidP="00CB615C">
      <w:pPr>
        <w:widowControl/>
        <w:spacing w:after="0" w:line="240" w:lineRule="auto"/>
        <w:rPr>
          <w:rFonts w:ascii="Times New Roman" w:hAnsi="Times New Roman" w:cs="Times New Roman"/>
        </w:rPr>
      </w:pPr>
      <w:r>
        <w:rPr>
          <w:rFonts w:ascii="Times New Roman" w:hAnsi="Times New Roman"/>
        </w:rPr>
        <w:t xml:space="preserve">Les malformations majeures fréquemment rapportées étant les suivantes : </w:t>
      </w:r>
    </w:p>
    <w:p w14:paraId="40E200F8" w14:textId="77777777" w:rsidR="00F77E52" w:rsidRPr="00F77E52" w:rsidRDefault="00080994" w:rsidP="00CB615C">
      <w:pPr>
        <w:widowControl/>
        <w:spacing w:after="0"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Cardiopathies congénitales, telles que anomalies du septum auriculaire et ventriculaire, tétralogie de Fallot </w:t>
      </w:r>
    </w:p>
    <w:p w14:paraId="394C0462" w14:textId="77777777" w:rsidR="00F77E52" w:rsidRPr="00F77E52" w:rsidRDefault="00080994" w:rsidP="00CB615C">
      <w:pPr>
        <w:widowControl/>
        <w:spacing w:after="0"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Anomalies rénales </w:t>
      </w:r>
    </w:p>
    <w:p w14:paraId="3450F8B9" w14:textId="77777777" w:rsidR="00F77E52" w:rsidRPr="00F77E52" w:rsidRDefault="00080994" w:rsidP="00CB615C">
      <w:pPr>
        <w:widowControl/>
        <w:spacing w:after="0"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Anomalies </w:t>
      </w:r>
      <w:proofErr w:type="spellStart"/>
      <w:r>
        <w:rPr>
          <w:rFonts w:ascii="Times New Roman" w:hAnsi="Times New Roman"/>
        </w:rPr>
        <w:t>musculo-squelettiques</w:t>
      </w:r>
      <w:proofErr w:type="spellEnd"/>
      <w:r>
        <w:rPr>
          <w:rFonts w:ascii="Times New Roman" w:hAnsi="Times New Roman"/>
        </w:rPr>
        <w:t xml:space="preserve"> </w:t>
      </w:r>
    </w:p>
    <w:p w14:paraId="216291DF" w14:textId="77777777" w:rsidR="00F77E52" w:rsidRPr="00F77E52" w:rsidRDefault="00F77E52" w:rsidP="00CB615C">
      <w:pPr>
        <w:widowControl/>
        <w:spacing w:after="0" w:line="240" w:lineRule="auto"/>
        <w:rPr>
          <w:rFonts w:ascii="Times New Roman" w:hAnsi="Times New Roman" w:cs="Times New Roman"/>
        </w:rPr>
      </w:pPr>
    </w:p>
    <w:p w14:paraId="5D82E87C" w14:textId="77777777" w:rsidR="00F77E52" w:rsidRPr="00F77E52" w:rsidRDefault="00080994" w:rsidP="00CB615C">
      <w:pPr>
        <w:widowControl/>
        <w:spacing w:after="0" w:line="240" w:lineRule="auto"/>
        <w:rPr>
          <w:rFonts w:ascii="Times New Roman" w:hAnsi="Times New Roman" w:cs="Times New Roman"/>
        </w:rPr>
      </w:pPr>
      <w:r>
        <w:rPr>
          <w:rFonts w:ascii="Times New Roman" w:hAnsi="Times New Roman"/>
        </w:rPr>
        <w:t xml:space="preserve">Il n’existe pas de données sur les effets du </w:t>
      </w:r>
      <w:proofErr w:type="spellStart"/>
      <w:r>
        <w:rPr>
          <w:rFonts w:ascii="Times New Roman" w:hAnsi="Times New Roman"/>
        </w:rPr>
        <w:t>fingolimod</w:t>
      </w:r>
      <w:proofErr w:type="spellEnd"/>
      <w:r>
        <w:rPr>
          <w:rFonts w:ascii="Times New Roman" w:hAnsi="Times New Roman"/>
        </w:rPr>
        <w:t xml:space="preserve"> sur le travail et l’accouchement.</w:t>
      </w:r>
    </w:p>
    <w:p w14:paraId="5A589C11" w14:textId="77777777" w:rsidR="001C7C0E" w:rsidRPr="005E3BF6" w:rsidRDefault="001C7C0E" w:rsidP="00CB615C">
      <w:pPr>
        <w:widowControl/>
        <w:spacing w:after="0" w:line="240" w:lineRule="auto"/>
        <w:rPr>
          <w:rFonts w:ascii="Times New Roman" w:hAnsi="Times New Roman" w:cs="Times New Roman"/>
        </w:rPr>
      </w:pPr>
    </w:p>
    <w:p w14:paraId="002A6F43" w14:textId="4B278BD2" w:rsidR="001425C1"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 xml:space="preserve">Les études effectuées chez l’animal ont mis en évidence une toxicité sur la reproduction incluant pertes fœtales et malformations des organes, notamment persistance du canal artériel et malformation du septum interventriculaire (voir rubrique 5.3). Il est de plus connu que le récepteur cible du </w:t>
      </w:r>
      <w:proofErr w:type="spellStart"/>
      <w:r>
        <w:rPr>
          <w:rFonts w:ascii="Times New Roman" w:hAnsi="Times New Roman"/>
        </w:rPr>
        <w:t>fingolimod</w:t>
      </w:r>
      <w:proofErr w:type="spellEnd"/>
      <w:r>
        <w:rPr>
          <w:rFonts w:ascii="Times New Roman" w:hAnsi="Times New Roman"/>
        </w:rPr>
        <w:t xml:space="preserve"> (récepteur à la sphingosine 1 phosphate) est impliqué dans la formation du système vasculaire au cours de l’embryogenèse.</w:t>
      </w:r>
    </w:p>
    <w:p w14:paraId="76FB1B01" w14:textId="45375860" w:rsidR="001425C1" w:rsidRDefault="001425C1" w:rsidP="00CB615C">
      <w:pPr>
        <w:widowControl/>
        <w:spacing w:after="0" w:line="240" w:lineRule="auto"/>
        <w:ind w:left="1"/>
        <w:rPr>
          <w:rFonts w:ascii="Times New Roman" w:eastAsia="Times New Roman" w:hAnsi="Times New Roman" w:cs="Times New Roman"/>
        </w:rPr>
      </w:pPr>
    </w:p>
    <w:p w14:paraId="77463D67" w14:textId="001161AB" w:rsidR="00F77E52" w:rsidRDefault="00080994" w:rsidP="00CB615C">
      <w:pPr>
        <w:widowControl/>
        <w:spacing w:after="0" w:line="240" w:lineRule="auto"/>
        <w:ind w:left="1"/>
        <w:rPr>
          <w:rFonts w:ascii="Times New Roman" w:eastAsia="Times New Roman" w:hAnsi="Times New Roman" w:cs="Times New Roman"/>
          <w:spacing w:val="-1"/>
          <w:position w:val="-1"/>
        </w:rPr>
      </w:pPr>
      <w:r>
        <w:rPr>
          <w:rFonts w:ascii="Times New Roman" w:hAnsi="Times New Roman"/>
        </w:rPr>
        <w:t xml:space="preserve">Par conséquent, le </w:t>
      </w:r>
      <w:proofErr w:type="spellStart"/>
      <w:r>
        <w:rPr>
          <w:rFonts w:ascii="Times New Roman" w:hAnsi="Times New Roman"/>
        </w:rPr>
        <w:t>fingolimod</w:t>
      </w:r>
      <w:proofErr w:type="spellEnd"/>
      <w:r>
        <w:rPr>
          <w:rFonts w:ascii="Times New Roman" w:hAnsi="Times New Roman"/>
        </w:rPr>
        <w:t xml:space="preserve"> est contre-indiqué pendant la grossesse (voir rubrique 4.3). Il doit être arrêté 2 mois avant un projet de grossesse (voir rubrique 4.4). Si une femme débute une grossesse pendant le traitement, le </w:t>
      </w:r>
      <w:proofErr w:type="spellStart"/>
      <w:r>
        <w:rPr>
          <w:rFonts w:ascii="Times New Roman" w:hAnsi="Times New Roman"/>
        </w:rPr>
        <w:t>fingolimod</w:t>
      </w:r>
      <w:proofErr w:type="spellEnd"/>
      <w:r>
        <w:rPr>
          <w:rFonts w:ascii="Times New Roman" w:hAnsi="Times New Roman"/>
        </w:rPr>
        <w:t xml:space="preserve"> doit être arrêté. Un avis médical doit être pris concernant le risque d’effets nocifs pour le fœtus associé au traitement, et des échographies doivent être effectuées.</w:t>
      </w:r>
    </w:p>
    <w:p w14:paraId="2FB6C211" w14:textId="77777777" w:rsidR="00F77E52" w:rsidRPr="005E3BF6" w:rsidRDefault="00F77E52" w:rsidP="00CB615C">
      <w:pPr>
        <w:widowControl/>
        <w:spacing w:after="0" w:line="240" w:lineRule="auto"/>
        <w:ind w:left="1"/>
        <w:rPr>
          <w:rFonts w:ascii="Times New Roman" w:eastAsia="Times New Roman" w:hAnsi="Times New Roman" w:cs="Times New Roman"/>
        </w:rPr>
      </w:pPr>
    </w:p>
    <w:p w14:paraId="52B65D7D" w14:textId="04FE4FDA" w:rsidR="001C7C0E" w:rsidRPr="002A5F43"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Allaitement</w:t>
      </w:r>
    </w:p>
    <w:p w14:paraId="599DCC4E" w14:textId="77777777" w:rsidR="00D658ED" w:rsidRDefault="00D658ED" w:rsidP="00CB615C">
      <w:pPr>
        <w:widowControl/>
        <w:spacing w:after="0" w:line="240" w:lineRule="auto"/>
        <w:ind w:left="1"/>
        <w:rPr>
          <w:rFonts w:ascii="Times New Roman" w:eastAsia="Times New Roman" w:hAnsi="Times New Roman" w:cs="Times New Roman"/>
        </w:rPr>
      </w:pPr>
    </w:p>
    <w:p w14:paraId="392D5A6E" w14:textId="362BD874"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est excrété dans le lait des animaux traités pendant la lactation (voir rubrique 5.3). Compte tenu de la survenue potentielle d’effets indésirables graves chez les nourrissons allaités, les femmes traitées par </w:t>
      </w:r>
      <w:proofErr w:type="spellStart"/>
      <w:r>
        <w:rPr>
          <w:rFonts w:ascii="Times New Roman" w:hAnsi="Times New Roman"/>
        </w:rPr>
        <w:t>Fingolimod</w:t>
      </w:r>
      <w:proofErr w:type="spellEnd"/>
      <w:r>
        <w:rPr>
          <w:rFonts w:ascii="Times New Roman" w:hAnsi="Times New Roman"/>
        </w:rPr>
        <w:t xml:space="preserve"> Mylan ne doivent pas allaiter.</w:t>
      </w:r>
    </w:p>
    <w:p w14:paraId="1BF2F585" w14:textId="77777777" w:rsidR="001C7C0E" w:rsidRPr="005E3BF6" w:rsidRDefault="001C7C0E" w:rsidP="00CB615C">
      <w:pPr>
        <w:widowControl/>
        <w:spacing w:after="0" w:line="240" w:lineRule="auto"/>
        <w:rPr>
          <w:rFonts w:ascii="Times New Roman" w:hAnsi="Times New Roman" w:cs="Times New Roman"/>
        </w:rPr>
      </w:pPr>
    </w:p>
    <w:p w14:paraId="52C1B4B3"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Fertilité</w:t>
      </w:r>
    </w:p>
    <w:p w14:paraId="2BF4703D" w14:textId="77777777" w:rsidR="00D658ED" w:rsidRDefault="00D658ED" w:rsidP="00CB615C">
      <w:pPr>
        <w:widowControl/>
        <w:spacing w:after="0" w:line="240" w:lineRule="auto"/>
        <w:ind w:left="1"/>
        <w:rPr>
          <w:rFonts w:ascii="Times New Roman" w:eastAsia="Times New Roman" w:hAnsi="Times New Roman" w:cs="Times New Roman"/>
          <w:spacing w:val="-1"/>
        </w:rPr>
      </w:pPr>
    </w:p>
    <w:p w14:paraId="253F1922" w14:textId="15B3C0B4"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Les données des études précliniques ne semblent pas indiquer que le </w:t>
      </w:r>
      <w:proofErr w:type="spellStart"/>
      <w:r>
        <w:rPr>
          <w:rFonts w:ascii="Times New Roman" w:hAnsi="Times New Roman"/>
        </w:rPr>
        <w:t>fingolimod</w:t>
      </w:r>
      <w:proofErr w:type="spellEnd"/>
      <w:r>
        <w:rPr>
          <w:rFonts w:ascii="Times New Roman" w:hAnsi="Times New Roman"/>
        </w:rPr>
        <w:t xml:space="preserve"> soit associé à un risque accru de diminution de la fécondité (voir rubrique 5.3).</w:t>
      </w:r>
    </w:p>
    <w:p w14:paraId="00B3E208" w14:textId="77777777" w:rsidR="001C7C0E" w:rsidRPr="005E3BF6" w:rsidRDefault="001C7C0E" w:rsidP="00CB615C">
      <w:pPr>
        <w:widowControl/>
        <w:spacing w:after="0" w:line="240" w:lineRule="auto"/>
        <w:rPr>
          <w:rFonts w:ascii="Times New Roman" w:hAnsi="Times New Roman" w:cs="Times New Roman"/>
        </w:rPr>
      </w:pPr>
    </w:p>
    <w:p w14:paraId="0FF2F49F" w14:textId="77777777" w:rsidR="001C7C0E" w:rsidRPr="005E3BF6" w:rsidRDefault="00080994" w:rsidP="00F61ADB">
      <w:pPr>
        <w:keepNext/>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lastRenderedPageBreak/>
        <w:t>4.7</w:t>
      </w:r>
      <w:r>
        <w:rPr>
          <w:rFonts w:ascii="Times New Roman" w:hAnsi="Times New Roman"/>
          <w:b/>
        </w:rPr>
        <w:tab/>
        <w:t>Effets sur l’aptitude à conduire des véhicules et à utiliser des machines</w:t>
      </w:r>
    </w:p>
    <w:p w14:paraId="769F3593" w14:textId="77777777" w:rsidR="001C7C0E" w:rsidRPr="005E3BF6" w:rsidRDefault="001C7C0E" w:rsidP="00F61ADB">
      <w:pPr>
        <w:keepNext/>
        <w:widowControl/>
        <w:spacing w:after="0" w:line="240" w:lineRule="auto"/>
        <w:rPr>
          <w:rFonts w:ascii="Times New Roman" w:hAnsi="Times New Roman" w:cs="Times New Roman"/>
        </w:rPr>
      </w:pPr>
    </w:p>
    <w:p w14:paraId="54D74E7C" w14:textId="5DE3FBC5"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n’a aucun effet ou un effet négligeable sur l’aptitude à conduire des véhicules et à utiliser des machines.</w:t>
      </w:r>
    </w:p>
    <w:p w14:paraId="62EAD9DD" w14:textId="77777777" w:rsidR="001C7C0E" w:rsidRPr="005E3BF6" w:rsidRDefault="001C7C0E" w:rsidP="00CB615C">
      <w:pPr>
        <w:widowControl/>
        <w:spacing w:after="0" w:line="240" w:lineRule="auto"/>
        <w:rPr>
          <w:rFonts w:ascii="Times New Roman" w:hAnsi="Times New Roman" w:cs="Times New Roman"/>
        </w:rPr>
      </w:pPr>
    </w:p>
    <w:p w14:paraId="66B4E5EC" w14:textId="4B1BA239"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Cependant, des étourdissements ou une somnolence peuvent parfois survenir au début du traitement. Il est recommandé de surveiller les patients pendant 6 heures après l’administration de la première dose de </w:t>
      </w:r>
      <w:proofErr w:type="spellStart"/>
      <w:r>
        <w:rPr>
          <w:rFonts w:ascii="Times New Roman" w:hAnsi="Times New Roman"/>
        </w:rPr>
        <w:t>Fingolimod</w:t>
      </w:r>
      <w:proofErr w:type="spellEnd"/>
      <w:r>
        <w:rPr>
          <w:rFonts w:ascii="Times New Roman" w:hAnsi="Times New Roman"/>
        </w:rPr>
        <w:t xml:space="preserve"> Mylan (voir rubrique 4.4, « </w:t>
      </w:r>
      <w:proofErr w:type="spellStart"/>
      <w:r>
        <w:rPr>
          <w:rFonts w:ascii="Times New Roman" w:hAnsi="Times New Roman"/>
        </w:rPr>
        <w:t>Bradyarythmie</w:t>
      </w:r>
      <w:proofErr w:type="spellEnd"/>
      <w:r>
        <w:rPr>
          <w:rFonts w:ascii="Times New Roman" w:hAnsi="Times New Roman"/>
        </w:rPr>
        <w:t> »).</w:t>
      </w:r>
    </w:p>
    <w:p w14:paraId="44E58B7D" w14:textId="77777777" w:rsidR="001C7C0E" w:rsidRPr="005E3BF6" w:rsidRDefault="001C7C0E" w:rsidP="00CB615C">
      <w:pPr>
        <w:widowControl/>
        <w:spacing w:after="0" w:line="240" w:lineRule="auto"/>
        <w:rPr>
          <w:rFonts w:ascii="Times New Roman" w:hAnsi="Times New Roman" w:cs="Times New Roman"/>
        </w:rPr>
      </w:pPr>
    </w:p>
    <w:p w14:paraId="352524CF"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4.8</w:t>
      </w:r>
      <w:r>
        <w:rPr>
          <w:rFonts w:ascii="Times New Roman" w:hAnsi="Times New Roman"/>
          <w:b/>
        </w:rPr>
        <w:tab/>
        <w:t>Effets indésirables</w:t>
      </w:r>
    </w:p>
    <w:p w14:paraId="6D01F057" w14:textId="77777777" w:rsidR="001C7C0E" w:rsidRPr="005E3BF6" w:rsidRDefault="001C7C0E" w:rsidP="00CB615C">
      <w:pPr>
        <w:widowControl/>
        <w:spacing w:after="0" w:line="240" w:lineRule="auto"/>
        <w:rPr>
          <w:rFonts w:ascii="Times New Roman" w:hAnsi="Times New Roman" w:cs="Times New Roman"/>
        </w:rPr>
      </w:pPr>
    </w:p>
    <w:p w14:paraId="73A9EB3B" w14:textId="77777777" w:rsidR="002A5F43" w:rsidRDefault="00080994" w:rsidP="00CB615C">
      <w:pPr>
        <w:widowControl/>
        <w:spacing w:after="0" w:line="240" w:lineRule="auto"/>
        <w:ind w:left="1"/>
        <w:rPr>
          <w:rFonts w:ascii="Times New Roman" w:eastAsia="Times New Roman" w:hAnsi="Times New Roman" w:cs="Times New Roman"/>
          <w:position w:val="-1"/>
          <w:u w:val="single" w:color="000000"/>
        </w:rPr>
      </w:pPr>
      <w:r>
        <w:rPr>
          <w:rFonts w:ascii="Times New Roman" w:hAnsi="Times New Roman"/>
          <w:u w:val="single" w:color="000000"/>
        </w:rPr>
        <w:t>Synthèse du profil de sécurité d’emploi</w:t>
      </w:r>
    </w:p>
    <w:p w14:paraId="2BE62A3B" w14:textId="77777777" w:rsidR="00417BA1" w:rsidRPr="005E3BF6" w:rsidRDefault="00417BA1" w:rsidP="00CB615C">
      <w:pPr>
        <w:widowControl/>
        <w:spacing w:after="0" w:line="240" w:lineRule="auto"/>
        <w:ind w:left="1"/>
        <w:rPr>
          <w:rFonts w:ascii="Times New Roman" w:eastAsia="Times New Roman" w:hAnsi="Times New Roman" w:cs="Times New Roman"/>
        </w:rPr>
      </w:pPr>
    </w:p>
    <w:p w14:paraId="630CB6A4" w14:textId="7E2B3481" w:rsidR="00DC0939" w:rsidRPr="00DC0939" w:rsidRDefault="00080994" w:rsidP="00CB615C">
      <w:pPr>
        <w:widowControl/>
        <w:spacing w:after="0" w:line="240" w:lineRule="auto"/>
        <w:ind w:left="1"/>
        <w:rPr>
          <w:rFonts w:ascii="Times New Roman" w:eastAsia="Times New Roman" w:hAnsi="Times New Roman" w:cs="Times New Roman"/>
          <w:spacing w:val="-1"/>
        </w:rPr>
      </w:pPr>
      <w:r>
        <w:rPr>
          <w:rFonts w:ascii="Times New Roman" w:hAnsi="Times New Roman"/>
        </w:rPr>
        <w:t xml:space="preserve">Les effets indésirables les plus fréquents (incidence ≥ 10 %) à la dose de 0,5 mg étaient les céphalées (24,5 %), l’augmentation des enzymes hépatiques (15,2 %), la diarrhée (12,6 %), la toux (12,3 %), la grippe (11,4 %), la sinusite (10,9 %) et les maux de dos (10,0 %). </w:t>
      </w:r>
    </w:p>
    <w:p w14:paraId="2907E217" w14:textId="77777777" w:rsidR="00DC0939" w:rsidRDefault="00DC0939" w:rsidP="00CB615C">
      <w:pPr>
        <w:widowControl/>
        <w:spacing w:after="0" w:line="240" w:lineRule="auto"/>
        <w:ind w:left="1"/>
        <w:rPr>
          <w:rFonts w:ascii="Times New Roman" w:eastAsia="Times New Roman" w:hAnsi="Times New Roman" w:cs="Times New Roman"/>
          <w:spacing w:val="-1"/>
        </w:rPr>
      </w:pPr>
    </w:p>
    <w:p w14:paraId="28EBCAF6" w14:textId="77777777" w:rsidR="00DC0939" w:rsidRPr="00E33BB9" w:rsidRDefault="00080994" w:rsidP="00CB615C">
      <w:pPr>
        <w:widowControl/>
        <w:spacing w:after="0" w:line="240" w:lineRule="auto"/>
        <w:ind w:left="1"/>
        <w:rPr>
          <w:rFonts w:ascii="Times New Roman" w:eastAsia="Times New Roman" w:hAnsi="Times New Roman" w:cs="Times New Roman"/>
          <w:spacing w:val="-1"/>
          <w:position w:val="-1"/>
          <w:u w:color="000000"/>
        </w:rPr>
      </w:pPr>
      <w:r>
        <w:rPr>
          <w:rFonts w:ascii="Times New Roman" w:hAnsi="Times New Roman"/>
          <w:u w:val="single"/>
        </w:rPr>
        <w:t>Liste tabulée des effets indésirables</w:t>
      </w:r>
    </w:p>
    <w:p w14:paraId="003E95C4" w14:textId="77777777" w:rsidR="00DC0939" w:rsidRDefault="00DC0939" w:rsidP="00CB615C">
      <w:pPr>
        <w:widowControl/>
        <w:spacing w:after="0" w:line="240" w:lineRule="auto"/>
        <w:ind w:left="1"/>
        <w:rPr>
          <w:rFonts w:ascii="Times New Roman" w:eastAsia="Times New Roman" w:hAnsi="Times New Roman" w:cs="Times New Roman"/>
          <w:spacing w:val="-1"/>
        </w:rPr>
      </w:pPr>
    </w:p>
    <w:p w14:paraId="37EEEEED" w14:textId="1235165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Les effets indésirables rapportés dans les études cliniques et</w:t>
      </w:r>
      <w:r>
        <w:t xml:space="preserve"> </w:t>
      </w:r>
      <w:r>
        <w:rPr>
          <w:rFonts w:ascii="Times New Roman" w:hAnsi="Times New Roman"/>
        </w:rPr>
        <w:t>issus de l’expérience après commercialisation via la notification spontanée ou la littérature sont présentés ci-dessous. Les fréquences ont été définies selon la convention suivante : très fréquent (≥ 1/10), fréquent (≥ 1/100, &lt; 1/10), peu fréquent (≥ 1/1 000, &lt; 1/100), rare (≥ 1/10 000, &lt; 1/1 000), très rare (&lt; 1/10 000), fréquence indéterminée (ne peut être estimée sur la base des données disponibles).</w:t>
      </w:r>
      <w:r>
        <w:rPr>
          <w:rFonts w:ascii="Times New Roman" w:hAnsi="Times New Roman"/>
          <w:color w:val="000000"/>
        </w:rPr>
        <w:t xml:space="preserve"> </w:t>
      </w:r>
      <w:r>
        <w:rPr>
          <w:rFonts w:ascii="Times New Roman" w:hAnsi="Times New Roman"/>
        </w:rPr>
        <w:t>Au sein de chaque groupe de fréquence, les effets indésirables sont présentés par ordre décroissant de gravité.</w:t>
      </w:r>
    </w:p>
    <w:p w14:paraId="6450DD9A" w14:textId="77777777" w:rsidR="00C81BAA" w:rsidRPr="005E3BF6" w:rsidRDefault="00C81BAA" w:rsidP="00CB615C">
      <w:pPr>
        <w:widowControl/>
        <w:spacing w:after="0" w:line="240" w:lineRule="auto"/>
        <w:ind w:left="1"/>
        <w:rPr>
          <w:rFonts w:ascii="Times New Roman" w:eastAsia="Times New Roman" w:hAnsi="Times New Roman" w:cs="Times New Roman"/>
        </w:rPr>
      </w:pPr>
    </w:p>
    <w:p w14:paraId="40E91D35" w14:textId="166FBD7A" w:rsidR="00E33BB9" w:rsidRDefault="00E33BB9" w:rsidP="00CB615C">
      <w:pPr>
        <w:widowControl/>
        <w:tabs>
          <w:tab w:val="left" w:pos="709"/>
        </w:tabs>
        <w:spacing w:after="0" w:line="240" w:lineRule="auto"/>
        <w:ind w:left="705" w:hanging="705"/>
        <w:rPr>
          <w:rFonts w:ascii="Times New Roman" w:eastAsia="Times New Roman" w:hAnsi="Times New Roman" w:cs="Times New Roman"/>
          <w:spacing w:val="-1"/>
          <w:position w:val="-1"/>
          <w:u w:val="single" w:color="000000"/>
        </w:rPr>
      </w:pPr>
    </w:p>
    <w:tbl>
      <w:tblPr>
        <w:tblW w:w="8200" w:type="dxa"/>
        <w:tblLook w:val="04A0" w:firstRow="1" w:lastRow="0" w:firstColumn="1" w:lastColumn="0" w:noHBand="0" w:noVBand="1"/>
      </w:tblPr>
      <w:tblGrid>
        <w:gridCol w:w="2547"/>
        <w:gridCol w:w="5653"/>
      </w:tblGrid>
      <w:tr w:rsidR="00E37FC5" w14:paraId="767226CA"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D054"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bookmarkStart w:id="4" w:name="_Hlk25314522"/>
            <w:r>
              <w:rPr>
                <w:rFonts w:ascii="Times New Roman" w:hAnsi="Times New Roman"/>
                <w:b/>
                <w:color w:val="000000"/>
              </w:rPr>
              <w:t>Infections et infestations</w:t>
            </w:r>
          </w:p>
        </w:tc>
      </w:tr>
      <w:tr w:rsidR="00E37FC5" w14:paraId="619EED44" w14:textId="77777777" w:rsidTr="00F61ADB">
        <w:trPr>
          <w:trHeight w:val="288"/>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14471264"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Très fréquent :</w:t>
            </w:r>
          </w:p>
        </w:tc>
        <w:tc>
          <w:tcPr>
            <w:tcW w:w="5653" w:type="dxa"/>
            <w:tcBorders>
              <w:top w:val="nil"/>
              <w:left w:val="nil"/>
              <w:bottom w:val="single" w:sz="4" w:space="0" w:color="auto"/>
              <w:right w:val="single" w:sz="4" w:space="0" w:color="auto"/>
            </w:tcBorders>
            <w:shd w:val="clear" w:color="auto" w:fill="auto"/>
            <w:vAlign w:val="center"/>
            <w:hideMark/>
          </w:tcPr>
          <w:p w14:paraId="05993550" w14:textId="14ED9B48"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Grippe</w:t>
            </w:r>
          </w:p>
        </w:tc>
      </w:tr>
      <w:tr w:rsidR="00E37FC5" w14:paraId="3BBBE7BD"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2901342E"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2E3B8076" w14:textId="47C3C05F"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Sinusite</w:t>
            </w:r>
          </w:p>
        </w:tc>
      </w:tr>
      <w:tr w:rsidR="00E37FC5" w14:paraId="65ABF5EB" w14:textId="77777777" w:rsidTr="00F61ADB">
        <w:trPr>
          <w:trHeight w:val="288"/>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32B61255"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0DEA0419"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Infections à Herpes virus</w:t>
            </w:r>
          </w:p>
        </w:tc>
      </w:tr>
      <w:tr w:rsidR="00E37FC5" w14:paraId="7EA1ADF5"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1106131D"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3117F1BD"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Bronchite</w:t>
            </w:r>
          </w:p>
        </w:tc>
      </w:tr>
      <w:tr w:rsidR="00E37FC5" w14:paraId="10D99BE1"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1B9B8917"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38E6FF36" w14:textId="77777777" w:rsidR="00025EFC" w:rsidRPr="003D2334" w:rsidRDefault="00080994" w:rsidP="00CB615C">
            <w:pPr>
              <w:widowControl/>
              <w:spacing w:after="0" w:line="240" w:lineRule="auto"/>
              <w:rPr>
                <w:rFonts w:ascii="Times New Roman" w:eastAsia="Times New Roman" w:hAnsi="Times New Roman" w:cs="Times New Roman"/>
                <w:i/>
                <w:iCs/>
                <w:color w:val="000000"/>
              </w:rPr>
            </w:pPr>
            <w:r>
              <w:rPr>
                <w:rFonts w:ascii="Times New Roman" w:hAnsi="Times New Roman"/>
                <w:i/>
                <w:color w:val="000000"/>
              </w:rPr>
              <w:t xml:space="preserve">Pityriasis </w:t>
            </w:r>
            <w:proofErr w:type="spellStart"/>
            <w:r>
              <w:rPr>
                <w:rFonts w:ascii="Times New Roman" w:hAnsi="Times New Roman"/>
                <w:i/>
                <w:color w:val="000000"/>
              </w:rPr>
              <w:t>versicolor</w:t>
            </w:r>
            <w:proofErr w:type="spellEnd"/>
          </w:p>
        </w:tc>
      </w:tr>
      <w:tr w:rsidR="00E37FC5" w14:paraId="455A8DF6"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073DB160" w14:textId="4AC40B09"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Peu fréquent :</w:t>
            </w:r>
          </w:p>
        </w:tc>
        <w:tc>
          <w:tcPr>
            <w:tcW w:w="5653" w:type="dxa"/>
            <w:tcBorders>
              <w:top w:val="nil"/>
              <w:left w:val="nil"/>
              <w:bottom w:val="single" w:sz="4" w:space="0" w:color="auto"/>
              <w:right w:val="single" w:sz="4" w:space="0" w:color="auto"/>
            </w:tcBorders>
            <w:shd w:val="clear" w:color="auto" w:fill="auto"/>
            <w:vAlign w:val="center"/>
            <w:hideMark/>
          </w:tcPr>
          <w:p w14:paraId="64CA70E9"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Pneumonie</w:t>
            </w:r>
          </w:p>
        </w:tc>
      </w:tr>
      <w:tr w:rsidR="00E37FC5" w14:paraId="0F80E6F7" w14:textId="77777777" w:rsidTr="00F61ADB">
        <w:trPr>
          <w:trHeight w:val="288"/>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3E04DEC0" w14:textId="2157FBDC"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Fréquence indéterminée :</w:t>
            </w:r>
          </w:p>
        </w:tc>
        <w:tc>
          <w:tcPr>
            <w:tcW w:w="5653" w:type="dxa"/>
            <w:tcBorders>
              <w:top w:val="nil"/>
              <w:left w:val="nil"/>
              <w:bottom w:val="single" w:sz="4" w:space="0" w:color="auto"/>
              <w:right w:val="single" w:sz="4" w:space="0" w:color="auto"/>
            </w:tcBorders>
            <w:shd w:val="clear" w:color="auto" w:fill="auto"/>
            <w:vAlign w:val="center"/>
            <w:hideMark/>
          </w:tcPr>
          <w:p w14:paraId="5BE2310F" w14:textId="77777777" w:rsidR="00025EFC" w:rsidRPr="00025EFC" w:rsidRDefault="00080994" w:rsidP="00CB615C">
            <w:pPr>
              <w:widowControl/>
              <w:spacing w:after="0" w:line="240" w:lineRule="auto"/>
              <w:rPr>
                <w:rFonts w:ascii="Times New Roman" w:eastAsia="Times New Roman" w:hAnsi="Times New Roman" w:cs="Times New Roman"/>
                <w:color w:val="000000"/>
              </w:rPr>
            </w:pPr>
            <w:proofErr w:type="spellStart"/>
            <w:r>
              <w:rPr>
                <w:rFonts w:ascii="Times New Roman" w:hAnsi="Times New Roman"/>
                <w:color w:val="000000"/>
              </w:rPr>
              <w:t>Leucoencéphalopathie</w:t>
            </w:r>
            <w:proofErr w:type="spellEnd"/>
            <w:r>
              <w:rPr>
                <w:rFonts w:ascii="Times New Roman" w:hAnsi="Times New Roman"/>
                <w:color w:val="000000"/>
              </w:rPr>
              <w:t xml:space="preserve"> multifocale progressive (LEMP)**</w:t>
            </w:r>
          </w:p>
        </w:tc>
      </w:tr>
      <w:tr w:rsidR="00E37FC5" w14:paraId="3C485CDF"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5F295564"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4FBDB7FE"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Infections à cryptocoques**</w:t>
            </w:r>
          </w:p>
        </w:tc>
      </w:tr>
      <w:tr w:rsidR="00E37FC5" w14:paraId="3CB3D9AC"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FA96F"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Tumeurs bénignes, malignes et non précisées (</w:t>
            </w:r>
            <w:proofErr w:type="spellStart"/>
            <w:r>
              <w:rPr>
                <w:rFonts w:ascii="Times New Roman" w:hAnsi="Times New Roman"/>
                <w:b/>
                <w:color w:val="000000"/>
              </w:rPr>
              <w:t>incl</w:t>
            </w:r>
            <w:proofErr w:type="spellEnd"/>
            <w:r>
              <w:rPr>
                <w:rFonts w:ascii="Times New Roman" w:hAnsi="Times New Roman"/>
                <w:b/>
                <w:color w:val="000000"/>
              </w:rPr>
              <w:t xml:space="preserve"> kystes et polypes)</w:t>
            </w:r>
          </w:p>
        </w:tc>
      </w:tr>
      <w:tr w:rsidR="00E37FC5" w14:paraId="51681D25"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5AB266DC" w14:textId="6482ADD1"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0920FBCA"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Carcinome basocellulaire</w:t>
            </w:r>
          </w:p>
        </w:tc>
      </w:tr>
      <w:tr w:rsidR="00E37FC5" w14:paraId="1F0D15E7"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2232E717" w14:textId="76A139C8"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Peu fréquent :</w:t>
            </w:r>
          </w:p>
        </w:tc>
        <w:tc>
          <w:tcPr>
            <w:tcW w:w="5653" w:type="dxa"/>
            <w:tcBorders>
              <w:top w:val="nil"/>
              <w:left w:val="nil"/>
              <w:bottom w:val="single" w:sz="4" w:space="0" w:color="auto"/>
              <w:right w:val="single" w:sz="4" w:space="0" w:color="auto"/>
            </w:tcBorders>
            <w:shd w:val="clear" w:color="auto" w:fill="auto"/>
            <w:vAlign w:val="center"/>
            <w:hideMark/>
          </w:tcPr>
          <w:p w14:paraId="15D81E3F"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Mélanome malin****</w:t>
            </w:r>
          </w:p>
        </w:tc>
      </w:tr>
      <w:tr w:rsidR="00E37FC5" w14:paraId="041656A6" w14:textId="77777777" w:rsidTr="00F61ADB">
        <w:trPr>
          <w:trHeight w:val="288"/>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540E0F8A" w14:textId="0ECA97DF"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Rare :</w:t>
            </w:r>
          </w:p>
        </w:tc>
        <w:tc>
          <w:tcPr>
            <w:tcW w:w="5653" w:type="dxa"/>
            <w:tcBorders>
              <w:top w:val="nil"/>
              <w:left w:val="nil"/>
              <w:bottom w:val="single" w:sz="4" w:space="0" w:color="auto"/>
              <w:right w:val="single" w:sz="4" w:space="0" w:color="auto"/>
            </w:tcBorders>
            <w:shd w:val="clear" w:color="auto" w:fill="auto"/>
            <w:vAlign w:val="center"/>
            <w:hideMark/>
          </w:tcPr>
          <w:p w14:paraId="3A770C0E"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Lymphome***</w:t>
            </w:r>
          </w:p>
        </w:tc>
      </w:tr>
      <w:tr w:rsidR="00E37FC5" w14:paraId="5551331D"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6806BE72"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65C518B1"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 xml:space="preserve">Carcinome </w:t>
            </w:r>
            <w:proofErr w:type="spellStart"/>
            <w:r>
              <w:rPr>
                <w:rFonts w:ascii="Times New Roman" w:hAnsi="Times New Roman"/>
                <w:color w:val="000000"/>
              </w:rPr>
              <w:t>spino-cellulaire</w:t>
            </w:r>
            <w:proofErr w:type="spellEnd"/>
            <w:r>
              <w:rPr>
                <w:rFonts w:ascii="Times New Roman" w:hAnsi="Times New Roman"/>
                <w:color w:val="000000"/>
              </w:rPr>
              <w:t>****</w:t>
            </w:r>
          </w:p>
        </w:tc>
      </w:tr>
      <w:tr w:rsidR="00E37FC5" w14:paraId="149B9D4D"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2722C032" w14:textId="536473DB"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Très rare :</w:t>
            </w:r>
          </w:p>
        </w:tc>
        <w:tc>
          <w:tcPr>
            <w:tcW w:w="5653" w:type="dxa"/>
            <w:tcBorders>
              <w:top w:val="nil"/>
              <w:left w:val="nil"/>
              <w:bottom w:val="single" w:sz="4" w:space="0" w:color="auto"/>
              <w:right w:val="single" w:sz="4" w:space="0" w:color="auto"/>
            </w:tcBorders>
            <w:shd w:val="clear" w:color="auto" w:fill="auto"/>
            <w:vAlign w:val="center"/>
            <w:hideMark/>
          </w:tcPr>
          <w:p w14:paraId="7B33FDC6"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Sarcome de Kaposi****</w:t>
            </w:r>
          </w:p>
        </w:tc>
      </w:tr>
      <w:tr w:rsidR="00E37FC5" w14:paraId="343DDB5E"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30EE5CEE"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Fréquence indéterminée :</w:t>
            </w:r>
          </w:p>
        </w:tc>
        <w:tc>
          <w:tcPr>
            <w:tcW w:w="5653" w:type="dxa"/>
            <w:tcBorders>
              <w:top w:val="nil"/>
              <w:left w:val="nil"/>
              <w:bottom w:val="single" w:sz="4" w:space="0" w:color="auto"/>
              <w:right w:val="single" w:sz="4" w:space="0" w:color="auto"/>
            </w:tcBorders>
            <w:shd w:val="clear" w:color="auto" w:fill="auto"/>
            <w:vAlign w:val="center"/>
            <w:hideMark/>
          </w:tcPr>
          <w:p w14:paraId="436FD4A7"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Carcinome à cellules de Merkel***</w:t>
            </w:r>
          </w:p>
        </w:tc>
      </w:tr>
      <w:tr w:rsidR="00E37FC5" w14:paraId="05907A4A"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1570AD"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Affections hématologiques et du système lymphatique</w:t>
            </w:r>
          </w:p>
        </w:tc>
      </w:tr>
      <w:tr w:rsidR="00E37FC5" w14:paraId="001816C6" w14:textId="77777777" w:rsidTr="00F61ADB">
        <w:trPr>
          <w:trHeight w:val="288"/>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12B00968" w14:textId="00B5DDFB"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066587D1"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Lymphopénie</w:t>
            </w:r>
          </w:p>
        </w:tc>
      </w:tr>
      <w:tr w:rsidR="00E37FC5" w14:paraId="14B1B47D"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372E6619"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0A0FA175"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Leucopénie</w:t>
            </w:r>
          </w:p>
        </w:tc>
      </w:tr>
      <w:tr w:rsidR="00E37FC5" w14:paraId="0B282457"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0065CE9F" w14:textId="46E20FDD"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Peu fréquent :</w:t>
            </w:r>
          </w:p>
        </w:tc>
        <w:tc>
          <w:tcPr>
            <w:tcW w:w="5653" w:type="dxa"/>
            <w:tcBorders>
              <w:top w:val="nil"/>
              <w:left w:val="nil"/>
              <w:bottom w:val="single" w:sz="4" w:space="0" w:color="auto"/>
              <w:right w:val="single" w:sz="4" w:space="0" w:color="auto"/>
            </w:tcBorders>
            <w:shd w:val="clear" w:color="auto" w:fill="auto"/>
            <w:vAlign w:val="center"/>
            <w:hideMark/>
          </w:tcPr>
          <w:p w14:paraId="5CB44782"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Thrombopénie</w:t>
            </w:r>
          </w:p>
        </w:tc>
      </w:tr>
      <w:tr w:rsidR="00E37FC5" w14:paraId="11D36A80"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1E06E4DD" w14:textId="61ABDF2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Fréquence indéterminée :</w:t>
            </w:r>
          </w:p>
        </w:tc>
        <w:tc>
          <w:tcPr>
            <w:tcW w:w="5653" w:type="dxa"/>
            <w:tcBorders>
              <w:top w:val="nil"/>
              <w:left w:val="nil"/>
              <w:bottom w:val="single" w:sz="4" w:space="0" w:color="auto"/>
              <w:right w:val="single" w:sz="4" w:space="0" w:color="auto"/>
            </w:tcBorders>
            <w:shd w:val="clear" w:color="auto" w:fill="auto"/>
            <w:vAlign w:val="center"/>
            <w:hideMark/>
          </w:tcPr>
          <w:p w14:paraId="46BC6BE0" w14:textId="7C817D1B" w:rsidR="00D93480"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Anémie hémolytique auto-immune***</w:t>
            </w:r>
          </w:p>
          <w:p w14:paraId="0986C22A" w14:textId="58E43B1B"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Œdème périphérique</w:t>
            </w:r>
          </w:p>
        </w:tc>
      </w:tr>
      <w:tr w:rsidR="00E37FC5" w14:paraId="5D028D41"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A96E8A" w14:textId="77777777" w:rsidR="00025EFC" w:rsidRPr="00025EFC" w:rsidRDefault="00080994" w:rsidP="00F61ADB">
            <w:pPr>
              <w:keepNext/>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Affections du système immunitaire</w:t>
            </w:r>
          </w:p>
        </w:tc>
      </w:tr>
      <w:tr w:rsidR="00E37FC5" w14:paraId="28F58CB8" w14:textId="77777777" w:rsidTr="00F61ADB">
        <w:trPr>
          <w:trHeight w:val="552"/>
        </w:trPr>
        <w:tc>
          <w:tcPr>
            <w:tcW w:w="2547" w:type="dxa"/>
            <w:tcBorders>
              <w:top w:val="nil"/>
              <w:left w:val="single" w:sz="4" w:space="0" w:color="auto"/>
              <w:bottom w:val="single" w:sz="4" w:space="0" w:color="auto"/>
              <w:right w:val="single" w:sz="4" w:space="0" w:color="auto"/>
            </w:tcBorders>
            <w:shd w:val="clear" w:color="auto" w:fill="auto"/>
            <w:hideMark/>
          </w:tcPr>
          <w:p w14:paraId="45F1F0D2" w14:textId="4E9E0B9F" w:rsidR="00025EFC" w:rsidRPr="00025EFC" w:rsidRDefault="00080994" w:rsidP="00F61ADB">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Fréquence indéterminée :</w:t>
            </w:r>
          </w:p>
        </w:tc>
        <w:tc>
          <w:tcPr>
            <w:tcW w:w="5653" w:type="dxa"/>
            <w:tcBorders>
              <w:top w:val="nil"/>
              <w:left w:val="nil"/>
              <w:bottom w:val="single" w:sz="4" w:space="0" w:color="auto"/>
              <w:right w:val="single" w:sz="4" w:space="0" w:color="auto"/>
            </w:tcBorders>
            <w:shd w:val="clear" w:color="auto" w:fill="auto"/>
            <w:vAlign w:val="center"/>
            <w:hideMark/>
          </w:tcPr>
          <w:p w14:paraId="0BBB573C" w14:textId="77777777" w:rsidR="00025EFC" w:rsidRDefault="00080994" w:rsidP="00F61ADB">
            <w:pPr>
              <w:widowControl/>
              <w:spacing w:after="0" w:line="240" w:lineRule="auto"/>
              <w:rPr>
                <w:rFonts w:ascii="Times New Roman" w:hAnsi="Times New Roman"/>
                <w:color w:val="000000"/>
              </w:rPr>
            </w:pPr>
            <w:r>
              <w:rPr>
                <w:rFonts w:ascii="Times New Roman" w:hAnsi="Times New Roman"/>
                <w:color w:val="000000"/>
              </w:rPr>
              <w:t xml:space="preserve">Réaction d’hypersensibilité y compris éruption cutanée, urticaire et </w:t>
            </w:r>
            <w:proofErr w:type="spellStart"/>
            <w:r>
              <w:rPr>
                <w:rFonts w:ascii="Times New Roman" w:hAnsi="Times New Roman"/>
                <w:color w:val="000000"/>
              </w:rPr>
              <w:t>angio-œdème</w:t>
            </w:r>
            <w:proofErr w:type="spellEnd"/>
            <w:r>
              <w:rPr>
                <w:rFonts w:ascii="Times New Roman" w:hAnsi="Times New Roman"/>
                <w:color w:val="000000"/>
              </w:rPr>
              <w:t xml:space="preserve"> à l’initiation du traitement***</w:t>
            </w:r>
          </w:p>
          <w:p w14:paraId="6DB08BF1" w14:textId="5192EF2C" w:rsidR="00B07B52" w:rsidRPr="00025EFC" w:rsidRDefault="00B07B52" w:rsidP="00F61ADB">
            <w:pPr>
              <w:widowControl/>
              <w:spacing w:after="0" w:line="240" w:lineRule="auto"/>
              <w:rPr>
                <w:rFonts w:ascii="Times New Roman" w:eastAsia="Times New Roman" w:hAnsi="Times New Roman" w:cs="Times New Roman"/>
                <w:color w:val="000000"/>
              </w:rPr>
            </w:pPr>
            <w:r w:rsidRPr="00B07B52">
              <w:rPr>
                <w:rFonts w:ascii="Times New Roman" w:eastAsia="Times New Roman" w:hAnsi="Times New Roman" w:cs="Times New Roman"/>
                <w:color w:val="000000"/>
                <w:lang w:val="fr-CH"/>
              </w:rPr>
              <w:t>Syndrome inflammatoire de reconstitution immune (IRIS)**</w:t>
            </w:r>
          </w:p>
        </w:tc>
      </w:tr>
      <w:tr w:rsidR="00E37FC5" w14:paraId="5D8C78A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44589"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lastRenderedPageBreak/>
              <w:t>Affections psychiatriques</w:t>
            </w:r>
          </w:p>
        </w:tc>
      </w:tr>
      <w:tr w:rsidR="00E37FC5" w14:paraId="352EB939"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70FE71DE" w14:textId="7F8B4415"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6C633680"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Dépression</w:t>
            </w:r>
          </w:p>
        </w:tc>
      </w:tr>
      <w:tr w:rsidR="00E37FC5" w14:paraId="2D24D04A"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5C8488C3" w14:textId="3C99B7DB"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Peu fréquent :</w:t>
            </w:r>
          </w:p>
        </w:tc>
        <w:tc>
          <w:tcPr>
            <w:tcW w:w="5653" w:type="dxa"/>
            <w:tcBorders>
              <w:top w:val="nil"/>
              <w:left w:val="nil"/>
              <w:bottom w:val="single" w:sz="4" w:space="0" w:color="auto"/>
              <w:right w:val="single" w:sz="4" w:space="0" w:color="auto"/>
            </w:tcBorders>
            <w:shd w:val="clear" w:color="auto" w:fill="auto"/>
            <w:vAlign w:val="center"/>
            <w:hideMark/>
          </w:tcPr>
          <w:p w14:paraId="637F7E80"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Humeur dépressive</w:t>
            </w:r>
          </w:p>
        </w:tc>
      </w:tr>
      <w:tr w:rsidR="00E37FC5" w14:paraId="4D208B57"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576DE9"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Affections du système nerveux</w:t>
            </w:r>
          </w:p>
        </w:tc>
      </w:tr>
      <w:tr w:rsidR="00E37FC5" w14:paraId="4EC21528"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748E60A5" w14:textId="2430BA63"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Très fréquent :</w:t>
            </w:r>
          </w:p>
        </w:tc>
        <w:tc>
          <w:tcPr>
            <w:tcW w:w="5653" w:type="dxa"/>
            <w:tcBorders>
              <w:top w:val="nil"/>
              <w:left w:val="nil"/>
              <w:bottom w:val="single" w:sz="4" w:space="0" w:color="auto"/>
              <w:right w:val="single" w:sz="4" w:space="0" w:color="auto"/>
            </w:tcBorders>
            <w:shd w:val="clear" w:color="auto" w:fill="auto"/>
            <w:vAlign w:val="center"/>
            <w:hideMark/>
          </w:tcPr>
          <w:p w14:paraId="151E8431"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Céphalées</w:t>
            </w:r>
          </w:p>
        </w:tc>
      </w:tr>
      <w:tr w:rsidR="00E37FC5" w14:paraId="6DF72B31" w14:textId="77777777" w:rsidTr="00F61ADB">
        <w:trPr>
          <w:trHeight w:val="288"/>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06B272B5" w14:textId="47987FD4"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06E72EB3"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Sensation vertigineuse</w:t>
            </w:r>
          </w:p>
        </w:tc>
      </w:tr>
      <w:tr w:rsidR="00E37FC5" w14:paraId="13BFB328"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3E40F069"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5C53BE7D"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Migraine</w:t>
            </w:r>
          </w:p>
        </w:tc>
      </w:tr>
      <w:tr w:rsidR="00E37FC5" w14:paraId="7C0D3487"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3C48AEAB" w14:textId="6648CCF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Peu fréquent :</w:t>
            </w:r>
          </w:p>
        </w:tc>
        <w:tc>
          <w:tcPr>
            <w:tcW w:w="5653" w:type="dxa"/>
            <w:tcBorders>
              <w:top w:val="nil"/>
              <w:left w:val="nil"/>
              <w:bottom w:val="single" w:sz="4" w:space="0" w:color="auto"/>
              <w:right w:val="single" w:sz="4" w:space="0" w:color="auto"/>
            </w:tcBorders>
            <w:shd w:val="clear" w:color="auto" w:fill="auto"/>
            <w:vAlign w:val="center"/>
            <w:hideMark/>
          </w:tcPr>
          <w:p w14:paraId="4B61A53F"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Crise épileptique</w:t>
            </w:r>
          </w:p>
        </w:tc>
      </w:tr>
      <w:tr w:rsidR="00E37FC5" w14:paraId="4ECE6282"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21A52CA9" w14:textId="5759FF6A"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Rare :</w:t>
            </w:r>
          </w:p>
        </w:tc>
        <w:tc>
          <w:tcPr>
            <w:tcW w:w="5653" w:type="dxa"/>
            <w:tcBorders>
              <w:top w:val="nil"/>
              <w:left w:val="nil"/>
              <w:bottom w:val="single" w:sz="4" w:space="0" w:color="auto"/>
              <w:right w:val="single" w:sz="4" w:space="0" w:color="auto"/>
            </w:tcBorders>
            <w:shd w:val="clear" w:color="auto" w:fill="auto"/>
            <w:vAlign w:val="center"/>
            <w:hideMark/>
          </w:tcPr>
          <w:p w14:paraId="58AF0E8F"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Syndrome d’encéphalopathie postérieure réversible (SEPR)*</w:t>
            </w:r>
          </w:p>
        </w:tc>
      </w:tr>
      <w:tr w:rsidR="00E37FC5" w14:paraId="2EC09D52"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5EA5F7E8"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Fréquence indéterminée :</w:t>
            </w:r>
          </w:p>
        </w:tc>
        <w:tc>
          <w:tcPr>
            <w:tcW w:w="5653" w:type="dxa"/>
            <w:tcBorders>
              <w:top w:val="nil"/>
              <w:left w:val="nil"/>
              <w:bottom w:val="single" w:sz="4" w:space="0" w:color="auto"/>
              <w:right w:val="single" w:sz="4" w:space="0" w:color="auto"/>
            </w:tcBorders>
            <w:shd w:val="clear" w:color="auto" w:fill="auto"/>
            <w:vAlign w:val="center"/>
            <w:hideMark/>
          </w:tcPr>
          <w:p w14:paraId="20246197" w14:textId="052135D0"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 xml:space="preserve">Exacerbation sévère de la maladie après l’arrêt du </w:t>
            </w:r>
            <w:proofErr w:type="spellStart"/>
            <w:r>
              <w:rPr>
                <w:rFonts w:ascii="Times New Roman" w:hAnsi="Times New Roman"/>
                <w:color w:val="000000"/>
              </w:rPr>
              <w:t>fingolimod</w:t>
            </w:r>
            <w:proofErr w:type="spellEnd"/>
            <w:r>
              <w:rPr>
                <w:rFonts w:ascii="Times New Roman" w:hAnsi="Times New Roman"/>
                <w:color w:val="000000"/>
              </w:rPr>
              <w:t>***</w:t>
            </w:r>
          </w:p>
        </w:tc>
      </w:tr>
      <w:tr w:rsidR="00E37FC5" w14:paraId="39BF981E"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6026DC"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Affections oculaires</w:t>
            </w:r>
          </w:p>
        </w:tc>
      </w:tr>
      <w:tr w:rsidR="00E37FC5" w14:paraId="2D0CBDBA"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063B9AB5" w14:textId="7585600C"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37AAC322"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Vision trouble</w:t>
            </w:r>
          </w:p>
        </w:tc>
      </w:tr>
      <w:tr w:rsidR="00E37FC5" w14:paraId="5B628288"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5CD76242" w14:textId="58F7F854"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Peu fréquent :</w:t>
            </w:r>
          </w:p>
        </w:tc>
        <w:tc>
          <w:tcPr>
            <w:tcW w:w="5653" w:type="dxa"/>
            <w:tcBorders>
              <w:top w:val="nil"/>
              <w:left w:val="nil"/>
              <w:bottom w:val="single" w:sz="4" w:space="0" w:color="auto"/>
              <w:right w:val="single" w:sz="4" w:space="0" w:color="auto"/>
            </w:tcBorders>
            <w:shd w:val="clear" w:color="auto" w:fill="auto"/>
            <w:vAlign w:val="center"/>
            <w:hideMark/>
          </w:tcPr>
          <w:p w14:paraId="4DE16813"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Œdème maculaire</w:t>
            </w:r>
          </w:p>
        </w:tc>
      </w:tr>
      <w:tr w:rsidR="00E37FC5" w14:paraId="612236AE"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D368F3E"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Affections cardiaques</w:t>
            </w:r>
          </w:p>
        </w:tc>
      </w:tr>
      <w:tr w:rsidR="00E37FC5" w14:paraId="4CA0B710" w14:textId="77777777" w:rsidTr="00F61ADB">
        <w:trPr>
          <w:trHeight w:val="288"/>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7898A678" w14:textId="6F5ED9C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13375410"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Bradycardie</w:t>
            </w:r>
          </w:p>
        </w:tc>
      </w:tr>
      <w:tr w:rsidR="00E37FC5" w14:paraId="5ABBE3CC"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4C9BC511"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0EE3F85E"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Bloc auriculo-ventriculaire</w:t>
            </w:r>
          </w:p>
        </w:tc>
      </w:tr>
      <w:tr w:rsidR="00E37FC5" w14:paraId="3AA2B9C2"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751EE50B" w14:textId="312B794D"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Très rare :</w:t>
            </w:r>
          </w:p>
        </w:tc>
        <w:tc>
          <w:tcPr>
            <w:tcW w:w="5653" w:type="dxa"/>
            <w:tcBorders>
              <w:top w:val="nil"/>
              <w:left w:val="nil"/>
              <w:bottom w:val="single" w:sz="4" w:space="0" w:color="auto"/>
              <w:right w:val="single" w:sz="4" w:space="0" w:color="auto"/>
            </w:tcBorders>
            <w:shd w:val="clear" w:color="auto" w:fill="auto"/>
            <w:vAlign w:val="center"/>
            <w:hideMark/>
          </w:tcPr>
          <w:p w14:paraId="3D45D254"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Inversion de l’onde T***</w:t>
            </w:r>
          </w:p>
        </w:tc>
      </w:tr>
      <w:tr w:rsidR="00E37FC5" w14:paraId="61DFBE32"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07C5"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Affections vasculaires</w:t>
            </w:r>
          </w:p>
        </w:tc>
      </w:tr>
      <w:tr w:rsidR="00E37FC5" w14:paraId="28853800"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5F9075C1" w14:textId="39F6744D"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4402550A"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Hypertension</w:t>
            </w:r>
          </w:p>
        </w:tc>
      </w:tr>
      <w:tr w:rsidR="00E37FC5" w14:paraId="48CE247C"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C229E6"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Affections respiratoires, thoraciques et médiastinales</w:t>
            </w:r>
          </w:p>
        </w:tc>
      </w:tr>
      <w:tr w:rsidR="00E37FC5" w14:paraId="59B3531C"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275A9146" w14:textId="59CC8AF0"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Très fréquent :</w:t>
            </w:r>
          </w:p>
        </w:tc>
        <w:tc>
          <w:tcPr>
            <w:tcW w:w="5653" w:type="dxa"/>
            <w:tcBorders>
              <w:top w:val="nil"/>
              <w:left w:val="nil"/>
              <w:bottom w:val="single" w:sz="4" w:space="0" w:color="auto"/>
              <w:right w:val="single" w:sz="4" w:space="0" w:color="auto"/>
            </w:tcBorders>
            <w:shd w:val="clear" w:color="auto" w:fill="auto"/>
            <w:vAlign w:val="center"/>
            <w:hideMark/>
          </w:tcPr>
          <w:p w14:paraId="5883F74E"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Toux</w:t>
            </w:r>
          </w:p>
        </w:tc>
      </w:tr>
      <w:tr w:rsidR="00E37FC5" w14:paraId="2A420332"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4F8848F7" w14:textId="7419CD74"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3A6405DF"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Dyspnée</w:t>
            </w:r>
          </w:p>
        </w:tc>
      </w:tr>
      <w:tr w:rsidR="00E37FC5" w14:paraId="1B02A844"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815E12"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Affections gastro-intestinales</w:t>
            </w:r>
          </w:p>
        </w:tc>
      </w:tr>
      <w:tr w:rsidR="00E37FC5" w14:paraId="4D4B341F"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4FFDF65E" w14:textId="707BC854"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Très fréquent :</w:t>
            </w:r>
          </w:p>
        </w:tc>
        <w:tc>
          <w:tcPr>
            <w:tcW w:w="5653" w:type="dxa"/>
            <w:tcBorders>
              <w:top w:val="nil"/>
              <w:left w:val="nil"/>
              <w:bottom w:val="single" w:sz="4" w:space="0" w:color="auto"/>
              <w:right w:val="single" w:sz="4" w:space="0" w:color="auto"/>
            </w:tcBorders>
            <w:shd w:val="clear" w:color="auto" w:fill="auto"/>
            <w:vAlign w:val="center"/>
            <w:hideMark/>
          </w:tcPr>
          <w:p w14:paraId="5CE160CB"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Diarrhée</w:t>
            </w:r>
          </w:p>
        </w:tc>
      </w:tr>
      <w:tr w:rsidR="00E37FC5" w14:paraId="1078EEDF"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591B6413" w14:textId="1A97D634"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Peu fréquent :</w:t>
            </w:r>
          </w:p>
        </w:tc>
        <w:tc>
          <w:tcPr>
            <w:tcW w:w="5653" w:type="dxa"/>
            <w:tcBorders>
              <w:top w:val="nil"/>
              <w:left w:val="nil"/>
              <w:bottom w:val="single" w:sz="4" w:space="0" w:color="auto"/>
              <w:right w:val="single" w:sz="4" w:space="0" w:color="auto"/>
            </w:tcBorders>
            <w:shd w:val="clear" w:color="auto" w:fill="auto"/>
            <w:vAlign w:val="center"/>
            <w:hideMark/>
          </w:tcPr>
          <w:p w14:paraId="0ADB0C71"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Nausées***</w:t>
            </w:r>
          </w:p>
        </w:tc>
      </w:tr>
      <w:tr w:rsidR="00E37FC5" w14:paraId="2EC4EC97" w14:textId="77777777" w:rsidTr="00D94B2A">
        <w:trPr>
          <w:trHeight w:val="288"/>
        </w:trPr>
        <w:tc>
          <w:tcPr>
            <w:tcW w:w="8200" w:type="dxa"/>
            <w:gridSpan w:val="2"/>
            <w:tcBorders>
              <w:top w:val="nil"/>
              <w:left w:val="single" w:sz="4" w:space="0" w:color="auto"/>
              <w:bottom w:val="single" w:sz="4" w:space="0" w:color="auto"/>
              <w:right w:val="single" w:sz="4" w:space="0" w:color="auto"/>
            </w:tcBorders>
            <w:shd w:val="clear" w:color="auto" w:fill="auto"/>
          </w:tcPr>
          <w:p w14:paraId="3FD6CEB6" w14:textId="26E40AE9" w:rsidR="00A43A84"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b/>
                <w:color w:val="000000"/>
              </w:rPr>
              <w:t>Affections hépatobiliaires</w:t>
            </w:r>
          </w:p>
        </w:tc>
      </w:tr>
      <w:tr w:rsidR="00E37FC5" w14:paraId="7FC6665A"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tcPr>
          <w:p w14:paraId="7743FE35" w14:textId="158ED9B0" w:rsidR="00A43A84" w:rsidRPr="00A43A84" w:rsidRDefault="00080994" w:rsidP="00CB615C">
            <w:pPr>
              <w:widowControl/>
              <w:spacing w:after="0" w:line="240" w:lineRule="auto"/>
              <w:rPr>
                <w:rFonts w:ascii="Times New Roman" w:eastAsia="Times New Roman" w:hAnsi="Times New Roman" w:cs="Times New Roman"/>
                <w:bCs/>
                <w:color w:val="000000"/>
              </w:rPr>
            </w:pPr>
            <w:r>
              <w:rPr>
                <w:rFonts w:ascii="Times New Roman" w:hAnsi="Times New Roman"/>
                <w:color w:val="000000"/>
              </w:rPr>
              <w:t>Fréquence indéterminée :</w:t>
            </w:r>
          </w:p>
        </w:tc>
        <w:tc>
          <w:tcPr>
            <w:tcW w:w="5653" w:type="dxa"/>
            <w:tcBorders>
              <w:top w:val="nil"/>
              <w:left w:val="single" w:sz="4" w:space="0" w:color="auto"/>
              <w:bottom w:val="single" w:sz="4" w:space="0" w:color="auto"/>
              <w:right w:val="single" w:sz="4" w:space="0" w:color="auto"/>
            </w:tcBorders>
            <w:shd w:val="clear" w:color="auto" w:fill="auto"/>
          </w:tcPr>
          <w:p w14:paraId="6C5E7BF5" w14:textId="33FD5538" w:rsidR="00A43A84" w:rsidRPr="00A43A84" w:rsidRDefault="00080994" w:rsidP="00CB615C">
            <w:pPr>
              <w:widowControl/>
              <w:spacing w:after="0" w:line="240" w:lineRule="auto"/>
              <w:rPr>
                <w:rFonts w:ascii="Times New Roman" w:eastAsia="Times New Roman" w:hAnsi="Times New Roman" w:cs="Times New Roman"/>
                <w:bCs/>
                <w:color w:val="000000"/>
              </w:rPr>
            </w:pPr>
            <w:r>
              <w:rPr>
                <w:rFonts w:ascii="Times New Roman" w:hAnsi="Times New Roman"/>
                <w:color w:val="000000"/>
              </w:rPr>
              <w:t>Insuffisance hépatique aiguë***</w:t>
            </w:r>
          </w:p>
        </w:tc>
      </w:tr>
      <w:tr w:rsidR="00E37FC5" w14:paraId="1AFA9CB9"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708DBF"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Affections de la peau et du tissu sous-cutané</w:t>
            </w:r>
          </w:p>
        </w:tc>
      </w:tr>
      <w:tr w:rsidR="00E37FC5" w14:paraId="23901C8B" w14:textId="77777777" w:rsidTr="00F61ADB">
        <w:trPr>
          <w:trHeight w:val="288"/>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1B5B31DC" w14:textId="40D919AB"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149497CC"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Eczéma</w:t>
            </w:r>
          </w:p>
        </w:tc>
      </w:tr>
      <w:tr w:rsidR="00E37FC5" w14:paraId="52FC2394"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6AA3B325"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251C8A8E"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Alopécie</w:t>
            </w:r>
          </w:p>
        </w:tc>
      </w:tr>
      <w:tr w:rsidR="00E37FC5" w14:paraId="3EED8E8E"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2DEDD53C"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181A2AED"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Prurit</w:t>
            </w:r>
          </w:p>
        </w:tc>
      </w:tr>
      <w:tr w:rsidR="00E37FC5" w14:paraId="41BB59A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82A9DD"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 xml:space="preserve">Affections </w:t>
            </w:r>
            <w:proofErr w:type="spellStart"/>
            <w:r>
              <w:rPr>
                <w:rFonts w:ascii="Times New Roman" w:hAnsi="Times New Roman"/>
                <w:b/>
                <w:color w:val="000000"/>
              </w:rPr>
              <w:t>musculo-squelettiques</w:t>
            </w:r>
            <w:proofErr w:type="spellEnd"/>
            <w:r>
              <w:rPr>
                <w:rFonts w:ascii="Times New Roman" w:hAnsi="Times New Roman"/>
                <w:b/>
                <w:color w:val="000000"/>
              </w:rPr>
              <w:t xml:space="preserve"> et systémiques</w:t>
            </w:r>
          </w:p>
        </w:tc>
      </w:tr>
      <w:tr w:rsidR="00E37FC5" w14:paraId="2940A3E6"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4B6C2C3F" w14:textId="1C9CA414"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Très fréquent :</w:t>
            </w:r>
          </w:p>
        </w:tc>
        <w:tc>
          <w:tcPr>
            <w:tcW w:w="5653" w:type="dxa"/>
            <w:tcBorders>
              <w:top w:val="nil"/>
              <w:left w:val="nil"/>
              <w:bottom w:val="single" w:sz="4" w:space="0" w:color="auto"/>
              <w:right w:val="single" w:sz="4" w:space="0" w:color="auto"/>
            </w:tcBorders>
            <w:shd w:val="clear" w:color="auto" w:fill="auto"/>
            <w:vAlign w:val="center"/>
            <w:hideMark/>
          </w:tcPr>
          <w:p w14:paraId="0FEA4408"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Dorsalgies</w:t>
            </w:r>
          </w:p>
        </w:tc>
      </w:tr>
      <w:tr w:rsidR="00E37FC5" w14:paraId="16AE9945" w14:textId="77777777" w:rsidTr="00F61ADB">
        <w:trPr>
          <w:trHeight w:val="288"/>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2FDC82DA" w14:textId="6A70A571"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3994A5EF"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Myalgies</w:t>
            </w:r>
          </w:p>
        </w:tc>
      </w:tr>
      <w:tr w:rsidR="00E37FC5" w14:paraId="0CC70F6F" w14:textId="77777777" w:rsidTr="00F61ADB">
        <w:trPr>
          <w:trHeight w:val="288"/>
        </w:trPr>
        <w:tc>
          <w:tcPr>
            <w:tcW w:w="2547" w:type="dxa"/>
            <w:vMerge/>
            <w:tcBorders>
              <w:top w:val="nil"/>
              <w:left w:val="single" w:sz="4" w:space="0" w:color="auto"/>
              <w:bottom w:val="single" w:sz="4" w:space="0" w:color="000000"/>
              <w:right w:val="single" w:sz="4" w:space="0" w:color="auto"/>
            </w:tcBorders>
            <w:vAlign w:val="center"/>
            <w:hideMark/>
          </w:tcPr>
          <w:p w14:paraId="433A9E91" w14:textId="77777777" w:rsidR="00025EFC" w:rsidRPr="00025EFC" w:rsidRDefault="00025EFC" w:rsidP="00CB615C">
            <w:pPr>
              <w:widowControl/>
              <w:spacing w:after="0" w:line="240" w:lineRule="auto"/>
              <w:rPr>
                <w:rFonts w:ascii="Times New Roman" w:eastAsia="Times New Roman" w:hAnsi="Times New Roman" w:cs="Times New Roman"/>
                <w:color w:val="000000"/>
                <w:lang w:eastAsia="en-GB"/>
              </w:rPr>
            </w:pPr>
          </w:p>
        </w:tc>
        <w:tc>
          <w:tcPr>
            <w:tcW w:w="5653" w:type="dxa"/>
            <w:tcBorders>
              <w:top w:val="nil"/>
              <w:left w:val="nil"/>
              <w:bottom w:val="single" w:sz="4" w:space="0" w:color="auto"/>
              <w:right w:val="single" w:sz="4" w:space="0" w:color="auto"/>
            </w:tcBorders>
            <w:shd w:val="clear" w:color="auto" w:fill="auto"/>
            <w:vAlign w:val="center"/>
            <w:hideMark/>
          </w:tcPr>
          <w:p w14:paraId="3AE20ADA"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Arthralgies</w:t>
            </w:r>
          </w:p>
        </w:tc>
      </w:tr>
      <w:tr w:rsidR="00E37FC5" w14:paraId="02168C63"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A7DEAE" w14:textId="77777777" w:rsidR="00025EFC" w:rsidRPr="00025EFC" w:rsidRDefault="00080994" w:rsidP="00CB615C">
            <w:pPr>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Troubles généraux et anomalies au site d’administration</w:t>
            </w:r>
          </w:p>
        </w:tc>
      </w:tr>
      <w:tr w:rsidR="00E37FC5" w14:paraId="2DAF77D0" w14:textId="77777777" w:rsidTr="00F61ADB">
        <w:trPr>
          <w:trHeight w:val="288"/>
        </w:trPr>
        <w:tc>
          <w:tcPr>
            <w:tcW w:w="2547" w:type="dxa"/>
            <w:tcBorders>
              <w:top w:val="nil"/>
              <w:left w:val="single" w:sz="4" w:space="0" w:color="auto"/>
              <w:bottom w:val="single" w:sz="4" w:space="0" w:color="auto"/>
              <w:right w:val="single" w:sz="4" w:space="0" w:color="auto"/>
            </w:tcBorders>
            <w:shd w:val="clear" w:color="auto" w:fill="auto"/>
            <w:hideMark/>
          </w:tcPr>
          <w:p w14:paraId="361456E8" w14:textId="2B4D0D40"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4556CAD0" w14:textId="77777777" w:rsidR="00025EFC" w:rsidRPr="00025EFC" w:rsidRDefault="00080994" w:rsidP="00CB615C">
            <w:pPr>
              <w:widowControl/>
              <w:spacing w:after="0" w:line="240" w:lineRule="auto"/>
              <w:rPr>
                <w:rFonts w:ascii="Times New Roman" w:eastAsia="Times New Roman" w:hAnsi="Times New Roman" w:cs="Times New Roman"/>
                <w:color w:val="000000"/>
              </w:rPr>
            </w:pPr>
            <w:r>
              <w:rPr>
                <w:rFonts w:ascii="Times New Roman" w:hAnsi="Times New Roman"/>
                <w:color w:val="000000"/>
              </w:rPr>
              <w:t>Asthénie</w:t>
            </w:r>
          </w:p>
        </w:tc>
      </w:tr>
      <w:tr w:rsidR="00E37FC5" w14:paraId="32F95DCD" w14:textId="77777777" w:rsidTr="00025EFC">
        <w:trPr>
          <w:trHeight w:val="288"/>
        </w:trPr>
        <w:tc>
          <w:tcPr>
            <w:tcW w:w="82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942FC5" w14:textId="77777777" w:rsidR="00025EFC" w:rsidRPr="00025EFC" w:rsidRDefault="00080994" w:rsidP="00F61ADB">
            <w:pPr>
              <w:keepNext/>
              <w:widowControl/>
              <w:spacing w:after="0" w:line="240" w:lineRule="auto"/>
              <w:rPr>
                <w:rFonts w:ascii="Times New Roman" w:eastAsia="Times New Roman" w:hAnsi="Times New Roman" w:cs="Times New Roman"/>
                <w:b/>
                <w:bCs/>
                <w:color w:val="000000"/>
              </w:rPr>
            </w:pPr>
            <w:r>
              <w:rPr>
                <w:rFonts w:ascii="Times New Roman" w:hAnsi="Times New Roman"/>
                <w:b/>
                <w:color w:val="000000"/>
              </w:rPr>
              <w:lastRenderedPageBreak/>
              <w:t>Investigations</w:t>
            </w:r>
          </w:p>
        </w:tc>
      </w:tr>
      <w:tr w:rsidR="00E37FC5" w14:paraId="572B8FDF" w14:textId="77777777" w:rsidTr="00F61ADB">
        <w:trPr>
          <w:trHeight w:val="552"/>
        </w:trPr>
        <w:tc>
          <w:tcPr>
            <w:tcW w:w="2547" w:type="dxa"/>
            <w:tcBorders>
              <w:top w:val="nil"/>
              <w:left w:val="single" w:sz="4" w:space="0" w:color="auto"/>
              <w:bottom w:val="nil"/>
              <w:right w:val="single" w:sz="4" w:space="0" w:color="auto"/>
            </w:tcBorders>
            <w:shd w:val="clear" w:color="auto" w:fill="auto"/>
            <w:hideMark/>
          </w:tcPr>
          <w:p w14:paraId="23905505" w14:textId="0605501B" w:rsidR="00025EFC" w:rsidRPr="00025EFC" w:rsidRDefault="00080994" w:rsidP="00F61ADB">
            <w:pPr>
              <w:keepNext/>
              <w:widowControl/>
              <w:spacing w:after="0" w:line="240" w:lineRule="auto"/>
              <w:rPr>
                <w:rFonts w:ascii="Times New Roman" w:eastAsia="Times New Roman" w:hAnsi="Times New Roman" w:cs="Times New Roman"/>
                <w:color w:val="000000"/>
              </w:rPr>
            </w:pPr>
            <w:r>
              <w:rPr>
                <w:rFonts w:ascii="Times New Roman" w:hAnsi="Times New Roman"/>
                <w:color w:val="000000"/>
              </w:rPr>
              <w:t>Très fréquent :</w:t>
            </w:r>
          </w:p>
        </w:tc>
        <w:tc>
          <w:tcPr>
            <w:tcW w:w="5653" w:type="dxa"/>
            <w:tcBorders>
              <w:top w:val="nil"/>
              <w:left w:val="nil"/>
              <w:bottom w:val="single" w:sz="4" w:space="0" w:color="auto"/>
              <w:right w:val="single" w:sz="4" w:space="0" w:color="auto"/>
            </w:tcBorders>
            <w:shd w:val="clear" w:color="auto" w:fill="auto"/>
            <w:vAlign w:val="center"/>
            <w:hideMark/>
          </w:tcPr>
          <w:p w14:paraId="731A6898" w14:textId="7E54B2CD" w:rsidR="00025EFC" w:rsidRPr="00025EFC" w:rsidRDefault="00080994" w:rsidP="00F61ADB">
            <w:pPr>
              <w:keepNext/>
              <w:widowControl/>
              <w:spacing w:after="0" w:line="240" w:lineRule="auto"/>
              <w:rPr>
                <w:rFonts w:ascii="Times New Roman" w:eastAsia="Times New Roman" w:hAnsi="Times New Roman" w:cs="Times New Roman"/>
                <w:color w:val="000000"/>
              </w:rPr>
            </w:pPr>
            <w:r>
              <w:rPr>
                <w:rFonts w:ascii="Times New Roman" w:hAnsi="Times New Roman"/>
                <w:color w:val="000000"/>
              </w:rPr>
              <w:t>Élévation des enzymes hépatiques (élévation de l’</w:t>
            </w:r>
            <w:r>
              <w:rPr>
                <w:rFonts w:ascii="Times New Roman" w:hAnsi="Times New Roman"/>
              </w:rPr>
              <w:t>alanine transaminase</w:t>
            </w:r>
            <w:r>
              <w:rPr>
                <w:rFonts w:ascii="Times New Roman" w:hAnsi="Times New Roman"/>
                <w:color w:val="000000"/>
              </w:rPr>
              <w:t xml:space="preserve">, gamma </w:t>
            </w:r>
            <w:proofErr w:type="spellStart"/>
            <w:r>
              <w:rPr>
                <w:rFonts w:ascii="Times New Roman" w:hAnsi="Times New Roman"/>
                <w:color w:val="000000"/>
              </w:rPr>
              <w:t>glutamyltransférase</w:t>
            </w:r>
            <w:proofErr w:type="spellEnd"/>
            <w:r>
              <w:rPr>
                <w:rFonts w:ascii="Times New Roman" w:hAnsi="Times New Roman"/>
                <w:color w:val="000000"/>
              </w:rPr>
              <w:t xml:space="preserve">, aspartate </w:t>
            </w:r>
            <w:proofErr w:type="spellStart"/>
            <w:r>
              <w:rPr>
                <w:rFonts w:ascii="Times New Roman" w:hAnsi="Times New Roman"/>
                <w:color w:val="000000"/>
              </w:rPr>
              <w:t>aminotransaminase</w:t>
            </w:r>
            <w:proofErr w:type="spellEnd"/>
            <w:r>
              <w:rPr>
                <w:rFonts w:ascii="Times New Roman" w:hAnsi="Times New Roman"/>
                <w:color w:val="000000"/>
              </w:rPr>
              <w:t>)</w:t>
            </w:r>
          </w:p>
        </w:tc>
      </w:tr>
      <w:tr w:rsidR="00E37FC5" w14:paraId="5A27B3D1" w14:textId="77777777" w:rsidTr="00F61ADB">
        <w:trPr>
          <w:trHeight w:val="288"/>
        </w:trPr>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3D3B3335" w14:textId="2E2FDBE4" w:rsidR="00025EFC" w:rsidRPr="00025EFC" w:rsidRDefault="00080994" w:rsidP="00F61ADB">
            <w:pPr>
              <w:keepNext/>
              <w:widowControl/>
              <w:spacing w:after="0" w:line="240" w:lineRule="auto"/>
              <w:rPr>
                <w:rFonts w:ascii="Times New Roman" w:eastAsia="Times New Roman" w:hAnsi="Times New Roman" w:cs="Times New Roman"/>
                <w:color w:val="000000"/>
              </w:rPr>
            </w:pPr>
            <w:r>
              <w:rPr>
                <w:rFonts w:ascii="Times New Roman" w:hAnsi="Times New Roman"/>
                <w:color w:val="000000"/>
              </w:rPr>
              <w:t>Fréquent :</w:t>
            </w:r>
          </w:p>
        </w:tc>
        <w:tc>
          <w:tcPr>
            <w:tcW w:w="5653" w:type="dxa"/>
            <w:tcBorders>
              <w:top w:val="nil"/>
              <w:left w:val="nil"/>
              <w:bottom w:val="single" w:sz="4" w:space="0" w:color="auto"/>
              <w:right w:val="single" w:sz="4" w:space="0" w:color="auto"/>
            </w:tcBorders>
            <w:shd w:val="clear" w:color="auto" w:fill="auto"/>
            <w:vAlign w:val="center"/>
            <w:hideMark/>
          </w:tcPr>
          <w:p w14:paraId="5C1F60AA" w14:textId="21B8CE58" w:rsidR="00D93480" w:rsidRDefault="00080994" w:rsidP="00F61ADB">
            <w:pPr>
              <w:keepNext/>
              <w:widowControl/>
              <w:spacing w:after="0" w:line="240" w:lineRule="auto"/>
              <w:rPr>
                <w:rFonts w:ascii="Times New Roman" w:eastAsia="Times New Roman" w:hAnsi="Times New Roman" w:cs="Times New Roman"/>
                <w:color w:val="000000"/>
              </w:rPr>
            </w:pPr>
            <w:r>
              <w:rPr>
                <w:rFonts w:ascii="Times New Roman" w:hAnsi="Times New Roman"/>
                <w:color w:val="000000"/>
              </w:rPr>
              <w:t>Perte de poids***</w:t>
            </w:r>
          </w:p>
          <w:p w14:paraId="23283FE3" w14:textId="7655FEDD" w:rsidR="00025EFC" w:rsidRPr="00025EFC" w:rsidRDefault="00080994" w:rsidP="00F61ADB">
            <w:pPr>
              <w:keepNext/>
              <w:widowControl/>
              <w:spacing w:after="0" w:line="240" w:lineRule="auto"/>
              <w:rPr>
                <w:rFonts w:ascii="Times New Roman" w:eastAsia="Times New Roman" w:hAnsi="Times New Roman" w:cs="Times New Roman"/>
                <w:color w:val="000000"/>
              </w:rPr>
            </w:pPr>
            <w:r>
              <w:rPr>
                <w:rFonts w:ascii="Times New Roman" w:hAnsi="Times New Roman"/>
                <w:color w:val="000000"/>
              </w:rPr>
              <w:t>Hypertriglycéridémie</w:t>
            </w:r>
          </w:p>
        </w:tc>
      </w:tr>
      <w:tr w:rsidR="00E37FC5" w14:paraId="519A8DA0" w14:textId="77777777" w:rsidTr="00F61ADB">
        <w:trPr>
          <w:trHeight w:val="288"/>
        </w:trPr>
        <w:tc>
          <w:tcPr>
            <w:tcW w:w="2547" w:type="dxa"/>
            <w:tcBorders>
              <w:top w:val="single" w:sz="4" w:space="0" w:color="auto"/>
              <w:left w:val="single" w:sz="4" w:space="0" w:color="auto"/>
              <w:bottom w:val="single" w:sz="4" w:space="0" w:color="auto"/>
              <w:right w:val="single" w:sz="4" w:space="0" w:color="auto"/>
            </w:tcBorders>
            <w:shd w:val="clear" w:color="auto" w:fill="auto"/>
            <w:hideMark/>
          </w:tcPr>
          <w:p w14:paraId="402A3649" w14:textId="41AE8227" w:rsidR="00025EFC" w:rsidRPr="00025EFC" w:rsidRDefault="00080994" w:rsidP="00F61ADB">
            <w:pPr>
              <w:keepNext/>
              <w:widowControl/>
              <w:spacing w:after="0" w:line="240" w:lineRule="auto"/>
              <w:rPr>
                <w:rFonts w:ascii="Times New Roman" w:eastAsia="Times New Roman" w:hAnsi="Times New Roman" w:cs="Times New Roman"/>
                <w:color w:val="000000"/>
              </w:rPr>
            </w:pPr>
            <w:r>
              <w:rPr>
                <w:rFonts w:ascii="Times New Roman" w:hAnsi="Times New Roman"/>
                <w:color w:val="000000"/>
              </w:rPr>
              <w:t>Peu fréquent :</w:t>
            </w:r>
          </w:p>
        </w:tc>
        <w:tc>
          <w:tcPr>
            <w:tcW w:w="5653" w:type="dxa"/>
            <w:tcBorders>
              <w:top w:val="single" w:sz="4" w:space="0" w:color="auto"/>
              <w:left w:val="nil"/>
              <w:bottom w:val="single" w:sz="4" w:space="0" w:color="auto"/>
              <w:right w:val="single" w:sz="4" w:space="0" w:color="auto"/>
            </w:tcBorders>
            <w:shd w:val="clear" w:color="auto" w:fill="auto"/>
            <w:vAlign w:val="center"/>
            <w:hideMark/>
          </w:tcPr>
          <w:p w14:paraId="2E7174CC" w14:textId="77777777" w:rsidR="00025EFC" w:rsidRPr="00025EFC" w:rsidRDefault="00080994" w:rsidP="00F61ADB">
            <w:pPr>
              <w:keepNext/>
              <w:widowControl/>
              <w:spacing w:after="0" w:line="240" w:lineRule="auto"/>
              <w:rPr>
                <w:rFonts w:ascii="Times New Roman" w:eastAsia="Times New Roman" w:hAnsi="Times New Roman" w:cs="Times New Roman"/>
                <w:color w:val="000000"/>
              </w:rPr>
            </w:pPr>
            <w:r>
              <w:rPr>
                <w:rFonts w:ascii="Times New Roman" w:hAnsi="Times New Roman"/>
                <w:color w:val="000000"/>
              </w:rPr>
              <w:t>Diminution du taux de neutrophiles</w:t>
            </w:r>
          </w:p>
        </w:tc>
      </w:tr>
      <w:tr w:rsidR="00E37FC5" w14:paraId="08EA65DC" w14:textId="77777777" w:rsidTr="005E3FEB">
        <w:trPr>
          <w:trHeight w:val="288"/>
        </w:trPr>
        <w:tc>
          <w:tcPr>
            <w:tcW w:w="8200" w:type="dxa"/>
            <w:gridSpan w:val="2"/>
            <w:tcBorders>
              <w:top w:val="single" w:sz="4" w:space="0" w:color="auto"/>
              <w:left w:val="single" w:sz="4" w:space="0" w:color="auto"/>
              <w:bottom w:val="single" w:sz="4" w:space="0" w:color="auto"/>
              <w:right w:val="single" w:sz="4" w:space="0" w:color="auto"/>
            </w:tcBorders>
            <w:shd w:val="clear" w:color="auto" w:fill="auto"/>
          </w:tcPr>
          <w:p w14:paraId="7A65E2F2" w14:textId="125C636D" w:rsidR="00025EFC" w:rsidRPr="00E33BB9" w:rsidRDefault="00080994" w:rsidP="00F61ADB">
            <w:pPr>
              <w:keepNext/>
              <w:widowControl/>
              <w:tabs>
                <w:tab w:val="left" w:pos="0"/>
                <w:tab w:val="left" w:pos="709"/>
              </w:tabs>
              <w:spacing w:after="0" w:line="240" w:lineRule="auto"/>
              <w:ind w:left="705" w:hanging="705"/>
              <w:rPr>
                <w:rFonts w:ascii="Times New Roman" w:eastAsia="Times New Roman" w:hAnsi="Times New Roman" w:cs="Times New Roman"/>
                <w:spacing w:val="-1"/>
                <w:position w:val="-1"/>
                <w:u w:color="000000"/>
              </w:rPr>
            </w:pPr>
            <w:r>
              <w:rPr>
                <w:rFonts w:ascii="Times New Roman" w:hAnsi="Times New Roman"/>
                <w:u w:color="000000"/>
              </w:rPr>
              <w:t xml:space="preserve">* </w:t>
            </w:r>
            <w:r>
              <w:rPr>
                <w:rFonts w:ascii="Times New Roman" w:hAnsi="Times New Roman"/>
                <w:u w:color="000000"/>
              </w:rPr>
              <w:tab/>
              <w:t xml:space="preserve">La catégorie de fréquence est basée sur une exposition estimée au </w:t>
            </w:r>
            <w:proofErr w:type="spellStart"/>
            <w:r>
              <w:rPr>
                <w:rFonts w:ascii="Times New Roman" w:hAnsi="Times New Roman"/>
                <w:u w:color="000000"/>
              </w:rPr>
              <w:t>fingolimod</w:t>
            </w:r>
            <w:proofErr w:type="spellEnd"/>
            <w:r>
              <w:rPr>
                <w:rFonts w:ascii="Times New Roman" w:hAnsi="Times New Roman"/>
                <w:u w:color="000000"/>
              </w:rPr>
              <w:t xml:space="preserve"> d’approximativement 10 000 patients dans l’ensemble des études cliniques.</w:t>
            </w:r>
          </w:p>
          <w:p w14:paraId="31C05520" w14:textId="65D05EF8" w:rsidR="00025EFC" w:rsidRPr="00E33BB9" w:rsidRDefault="00080994" w:rsidP="00F61ADB">
            <w:pPr>
              <w:keepNext/>
              <w:widowControl/>
              <w:tabs>
                <w:tab w:val="left" w:pos="709"/>
              </w:tabs>
              <w:spacing w:after="0" w:line="240" w:lineRule="auto"/>
              <w:ind w:left="705" w:hanging="705"/>
              <w:rPr>
                <w:rFonts w:ascii="Times New Roman" w:eastAsia="Times New Roman" w:hAnsi="Times New Roman" w:cs="Times New Roman"/>
                <w:spacing w:val="-1"/>
                <w:position w:val="-1"/>
                <w:u w:color="000000"/>
              </w:rPr>
            </w:pPr>
            <w:r>
              <w:rPr>
                <w:rFonts w:ascii="Times New Roman" w:hAnsi="Times New Roman"/>
                <w:u w:color="000000"/>
              </w:rPr>
              <w:t xml:space="preserve">** </w:t>
            </w:r>
            <w:r>
              <w:rPr>
                <w:rFonts w:ascii="Times New Roman" w:hAnsi="Times New Roman"/>
                <w:u w:color="000000"/>
              </w:rPr>
              <w:tab/>
              <w:t>LEMP</w:t>
            </w:r>
            <w:r w:rsidR="00B07B52">
              <w:rPr>
                <w:rFonts w:ascii="Times New Roman" w:hAnsi="Times New Roman"/>
                <w:u w:color="000000"/>
              </w:rPr>
              <w:t>, IRIS</w:t>
            </w:r>
            <w:r>
              <w:rPr>
                <w:rFonts w:ascii="Times New Roman" w:hAnsi="Times New Roman"/>
                <w:u w:color="000000"/>
              </w:rPr>
              <w:t xml:space="preserve"> et infections à cryptocoques (dont des cas de méningites à cryptocoques) ont été rapportés depuis la commercialisation (voir rubrique 4.4).</w:t>
            </w:r>
          </w:p>
          <w:p w14:paraId="3A8E862A" w14:textId="7D5F174C" w:rsidR="00025EFC" w:rsidRPr="00E33BB9" w:rsidRDefault="00080994" w:rsidP="00F61ADB">
            <w:pPr>
              <w:keepNext/>
              <w:widowControl/>
              <w:tabs>
                <w:tab w:val="left" w:pos="709"/>
              </w:tabs>
              <w:spacing w:after="0" w:line="240" w:lineRule="auto"/>
              <w:rPr>
                <w:rFonts w:ascii="Times New Roman" w:eastAsia="Times New Roman" w:hAnsi="Times New Roman" w:cs="Times New Roman"/>
                <w:spacing w:val="-1"/>
                <w:position w:val="-1"/>
                <w:u w:color="000000"/>
              </w:rPr>
            </w:pPr>
            <w:r>
              <w:rPr>
                <w:rFonts w:ascii="Times New Roman" w:hAnsi="Times New Roman"/>
                <w:u w:color="000000"/>
              </w:rPr>
              <w:t xml:space="preserve">*** </w:t>
            </w:r>
            <w:r>
              <w:rPr>
                <w:rFonts w:ascii="Times New Roman" w:hAnsi="Times New Roman"/>
                <w:u w:color="000000"/>
              </w:rPr>
              <w:tab/>
              <w:t>Effets indésirables issus de la notification spontanée et de la littérature.</w:t>
            </w:r>
          </w:p>
          <w:p w14:paraId="5A18EA89" w14:textId="5A8A23DC" w:rsidR="00025EFC" w:rsidRPr="005E3FEB" w:rsidRDefault="00080994" w:rsidP="00F61ADB">
            <w:pPr>
              <w:keepNext/>
              <w:widowControl/>
              <w:tabs>
                <w:tab w:val="left" w:pos="709"/>
              </w:tabs>
              <w:spacing w:after="0" w:line="240" w:lineRule="auto"/>
              <w:ind w:left="705" w:hanging="705"/>
              <w:rPr>
                <w:rFonts w:ascii="Times New Roman" w:eastAsia="Times New Roman" w:hAnsi="Times New Roman" w:cs="Times New Roman"/>
                <w:spacing w:val="-1"/>
                <w:position w:val="-1"/>
                <w:u w:val="single" w:color="000000"/>
              </w:rPr>
            </w:pPr>
            <w:r>
              <w:rPr>
                <w:rFonts w:ascii="Times New Roman" w:hAnsi="Times New Roman"/>
                <w:u w:color="000000"/>
              </w:rPr>
              <w:t xml:space="preserve">**** </w:t>
            </w:r>
            <w:r>
              <w:rPr>
                <w:rFonts w:ascii="Times New Roman" w:hAnsi="Times New Roman"/>
                <w:u w:color="000000"/>
              </w:rPr>
              <w:tab/>
              <w:t xml:space="preserve">La catégorie de fréquence et l’évaluation du risque sont basées sur une exposition au </w:t>
            </w:r>
            <w:proofErr w:type="spellStart"/>
            <w:r>
              <w:rPr>
                <w:rFonts w:ascii="Times New Roman" w:hAnsi="Times New Roman"/>
                <w:u w:color="000000"/>
              </w:rPr>
              <w:t>fingolimod</w:t>
            </w:r>
            <w:proofErr w:type="spellEnd"/>
            <w:r>
              <w:rPr>
                <w:rFonts w:ascii="Times New Roman" w:hAnsi="Times New Roman"/>
                <w:u w:color="000000"/>
              </w:rPr>
              <w:t xml:space="preserve"> 0,5 </w:t>
            </w:r>
            <w:r>
              <w:rPr>
                <w:rFonts w:ascii="Times New Roman" w:hAnsi="Times New Roman"/>
              </w:rPr>
              <w:t>mg estimée à plus de 24 000 patients dans l’ensemble des études cliniques.</w:t>
            </w:r>
          </w:p>
        </w:tc>
      </w:tr>
      <w:bookmarkEnd w:id="4"/>
    </w:tbl>
    <w:p w14:paraId="3B70570E" w14:textId="77777777" w:rsidR="00E33BB9" w:rsidRPr="005E3BF6" w:rsidRDefault="00E33BB9" w:rsidP="00CB615C">
      <w:pPr>
        <w:widowControl/>
        <w:spacing w:after="0" w:line="240" w:lineRule="auto"/>
        <w:ind w:left="61"/>
        <w:rPr>
          <w:rFonts w:ascii="Times New Roman" w:eastAsia="Times New Roman" w:hAnsi="Times New Roman" w:cs="Times New Roman"/>
          <w:spacing w:val="-1"/>
          <w:position w:val="-1"/>
          <w:u w:val="single" w:color="000000"/>
        </w:rPr>
      </w:pPr>
    </w:p>
    <w:p w14:paraId="5B72EC5E" w14:textId="32C15D80" w:rsidR="001C7C0E" w:rsidRPr="005E3BF6" w:rsidRDefault="00080994" w:rsidP="00CB615C">
      <w:pPr>
        <w:keepNext/>
        <w:widowControl/>
        <w:spacing w:after="0" w:line="240" w:lineRule="auto"/>
        <w:rPr>
          <w:rFonts w:ascii="Times New Roman" w:eastAsia="Times New Roman" w:hAnsi="Times New Roman" w:cs="Times New Roman"/>
        </w:rPr>
      </w:pPr>
      <w:r>
        <w:rPr>
          <w:rFonts w:ascii="Times New Roman" w:hAnsi="Times New Roman"/>
          <w:u w:val="single" w:color="000000"/>
        </w:rPr>
        <w:t>Description d’effets indésirables sélectionnés</w:t>
      </w:r>
    </w:p>
    <w:p w14:paraId="62E2ADA2" w14:textId="77777777" w:rsidR="001C7C0E" w:rsidRPr="005E3BF6" w:rsidRDefault="001C7C0E" w:rsidP="00CB615C">
      <w:pPr>
        <w:keepNext/>
        <w:widowControl/>
        <w:spacing w:after="0" w:line="240" w:lineRule="auto"/>
        <w:rPr>
          <w:rFonts w:ascii="Times New Roman" w:hAnsi="Times New Roman" w:cs="Times New Roman"/>
        </w:rPr>
      </w:pPr>
    </w:p>
    <w:p w14:paraId="2D2C17BD" w14:textId="77777777" w:rsidR="001C7C0E" w:rsidRPr="00FB49EF" w:rsidRDefault="00080994" w:rsidP="00CB615C">
      <w:pPr>
        <w:widowControl/>
        <w:spacing w:after="0" w:line="240" w:lineRule="auto"/>
        <w:rPr>
          <w:rFonts w:ascii="Times New Roman" w:eastAsia="Times New Roman" w:hAnsi="Times New Roman" w:cs="Times New Roman"/>
        </w:rPr>
      </w:pPr>
      <w:r>
        <w:rPr>
          <w:rFonts w:ascii="Times New Roman" w:hAnsi="Times New Roman"/>
          <w:i/>
        </w:rPr>
        <w:t>Infections</w:t>
      </w:r>
    </w:p>
    <w:p w14:paraId="0F97791E" w14:textId="2D5ABF58"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 xml:space="preserve">Au cours des études cliniques dans la sclérose en plaques, les taux globaux d’infections (65,1 %) à la dose de 0,5 mg ont été similaires à ceux observés avec le placebo. Cependant, les infections respiratoires basses, essentiellement des bronchites et dans une moindre mesure les infections herpétiques et les pneumonies, ont été plus fréquentes chez les patients traités par </w:t>
      </w:r>
      <w:proofErr w:type="spellStart"/>
      <w:r>
        <w:rPr>
          <w:rFonts w:ascii="Times New Roman" w:hAnsi="Times New Roman"/>
        </w:rPr>
        <w:t>fingolimod</w:t>
      </w:r>
      <w:proofErr w:type="spellEnd"/>
      <w:r>
        <w:rPr>
          <w:rFonts w:ascii="Times New Roman" w:hAnsi="Times New Roman"/>
        </w:rPr>
        <w:t>.</w:t>
      </w:r>
    </w:p>
    <w:p w14:paraId="410E2401" w14:textId="77777777" w:rsidR="001C7C0E" w:rsidRPr="005E3BF6" w:rsidRDefault="001C7C0E" w:rsidP="00CB615C">
      <w:pPr>
        <w:widowControl/>
        <w:spacing w:after="0" w:line="240" w:lineRule="auto"/>
        <w:rPr>
          <w:rFonts w:ascii="Times New Roman" w:hAnsi="Times New Roman" w:cs="Times New Roman"/>
        </w:rPr>
      </w:pPr>
    </w:p>
    <w:p w14:paraId="3B42BA2B" w14:textId="3EEE94DA"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Des cas d’infection disséminée au virus de l’herpès, incluant des cas fatals, ont été rapportés, y compris à la dose de 0,5 mg.</w:t>
      </w:r>
    </w:p>
    <w:p w14:paraId="09ECE75B" w14:textId="77777777" w:rsidR="001C7C0E" w:rsidRPr="005E3BF6" w:rsidRDefault="001C7C0E" w:rsidP="00CB615C">
      <w:pPr>
        <w:widowControl/>
        <w:spacing w:after="0" w:line="240" w:lineRule="auto"/>
        <w:rPr>
          <w:rFonts w:ascii="Times New Roman" w:hAnsi="Times New Roman" w:cs="Times New Roman"/>
        </w:rPr>
      </w:pPr>
    </w:p>
    <w:p w14:paraId="60743877" w14:textId="4918C12D"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Depuis la commercialisation, des cas d’infections avec des pathogènes opportunistes, notamment viraux (par ex. virus varicelle-zona [VZV], JCV à l’origine de LEMP, virus de l’herpès simplex [VHS]), fongiques (par ex. cryptocoques comprenant des méningites à cryptocoques) ou bactériens (par ex. mycobactéries atypiques), ont été rapportés, dont certaines avec une issue fatale (voir rubrique 4.4).</w:t>
      </w:r>
    </w:p>
    <w:p w14:paraId="65A72616" w14:textId="77777777" w:rsidR="001C7C0E" w:rsidRPr="005E3BF6" w:rsidRDefault="001C7C0E" w:rsidP="00CB615C">
      <w:pPr>
        <w:widowControl/>
        <w:spacing w:after="0" w:line="240" w:lineRule="auto"/>
        <w:rPr>
          <w:rFonts w:ascii="Times New Roman" w:hAnsi="Times New Roman" w:cs="Times New Roman"/>
        </w:rPr>
      </w:pPr>
    </w:p>
    <w:p w14:paraId="586D19AB" w14:textId="7CD64AEB"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 xml:space="preserve">Des cas d’infection par le HPV, comprenant des papillomes, des dysplasies, des verrues et des cancers liés au HPV, ont été rapportés sous traitement par </w:t>
      </w:r>
      <w:proofErr w:type="spellStart"/>
      <w:r>
        <w:rPr>
          <w:rFonts w:ascii="Times New Roman" w:hAnsi="Times New Roman"/>
        </w:rPr>
        <w:t>fingolimod</w:t>
      </w:r>
      <w:proofErr w:type="spellEnd"/>
      <w:r>
        <w:rPr>
          <w:rFonts w:ascii="Times New Roman" w:hAnsi="Times New Roman"/>
        </w:rPr>
        <w:t xml:space="preserve"> depuis la commercialisation</w:t>
      </w:r>
      <w:r w:rsidR="00AD26CF">
        <w:rPr>
          <w:rFonts w:ascii="Times New Roman" w:hAnsi="Times New Roman"/>
        </w:rPr>
        <w:t xml:space="preserve"> (voir rubrique 4.4)</w:t>
      </w:r>
      <w:r>
        <w:rPr>
          <w:rFonts w:ascii="Times New Roman" w:hAnsi="Times New Roman"/>
        </w:rPr>
        <w:t xml:space="preserve">. En raison des propriétés immunosuppressives du </w:t>
      </w:r>
      <w:proofErr w:type="spellStart"/>
      <w:r>
        <w:rPr>
          <w:rFonts w:ascii="Times New Roman" w:hAnsi="Times New Roman"/>
        </w:rPr>
        <w:t>fingolimod</w:t>
      </w:r>
      <w:proofErr w:type="spellEnd"/>
      <w:r>
        <w:rPr>
          <w:rFonts w:ascii="Times New Roman" w:hAnsi="Times New Roman"/>
        </w:rPr>
        <w:t>, la vaccination contre le HPV doit être envisagée avant l’instauration du traitement en tenant compte des recommandations vaccinales. Le dépistage du cancer, incluant le test Pap, est recommandé conformément à la prise en charge standard.</w:t>
      </w:r>
    </w:p>
    <w:p w14:paraId="6C7EA2BD" w14:textId="77777777" w:rsidR="00417BA1" w:rsidRPr="005E3BF6" w:rsidRDefault="00417BA1" w:rsidP="00CB615C">
      <w:pPr>
        <w:widowControl/>
        <w:spacing w:after="0" w:line="240" w:lineRule="auto"/>
        <w:rPr>
          <w:rFonts w:ascii="Times New Roman" w:hAnsi="Times New Roman" w:cs="Times New Roman"/>
        </w:rPr>
      </w:pPr>
    </w:p>
    <w:p w14:paraId="513622E5" w14:textId="77777777" w:rsidR="001C7C0E" w:rsidRPr="00FB49EF" w:rsidRDefault="00080994" w:rsidP="00CB615C">
      <w:pPr>
        <w:widowControl/>
        <w:spacing w:after="0" w:line="240" w:lineRule="auto"/>
        <w:rPr>
          <w:rFonts w:ascii="Times New Roman" w:eastAsia="Times New Roman" w:hAnsi="Times New Roman" w:cs="Times New Roman"/>
        </w:rPr>
      </w:pPr>
      <w:r>
        <w:rPr>
          <w:rFonts w:ascii="Times New Roman" w:hAnsi="Times New Roman"/>
          <w:i/>
        </w:rPr>
        <w:t>Œdème maculaire</w:t>
      </w:r>
    </w:p>
    <w:p w14:paraId="24E59D4F" w14:textId="13650413"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Au cours des études cliniques dans la sclérose en plaques, 0,5 % des patients traités à la dose recommandée de 0,5 mg et 1,1 % des patients traités à la dose supérieure de 1,25 mg ont développé un œdème maculaire. La majorité des cas est survenue au cours des 3 à 4 premiers mois de traitement. Certains patients présentaient une vision trouble ou une baisse d’acuité visuelle, mais d’autres étaient asymptomatiques et le diagnostic a été établi lors d’un examen ophtalmologique de routine. En général, l’œdème maculaire a régressé ou s’est résorbé spontanément après l’arrêt du traitement. Le risque de récidive après une nouvelle exposition n’a pas été évalué.</w:t>
      </w:r>
    </w:p>
    <w:p w14:paraId="17D0ABAE" w14:textId="77777777" w:rsidR="00417BA1" w:rsidRPr="005E3BF6" w:rsidRDefault="00417BA1" w:rsidP="00CB615C">
      <w:pPr>
        <w:widowControl/>
        <w:spacing w:after="0" w:line="240" w:lineRule="auto"/>
        <w:rPr>
          <w:rFonts w:ascii="Times New Roman" w:eastAsia="Times New Roman" w:hAnsi="Times New Roman" w:cs="Times New Roman"/>
        </w:rPr>
      </w:pPr>
    </w:p>
    <w:p w14:paraId="3B56ECBB" w14:textId="7F902560"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 xml:space="preserve">L’incidence de l’œdème maculaire est plus élevée chez les patients atteints de sclérose en plaques ayant des antécédents d’uvéite (17 % versus 0,6 % chez les patients sans antécédent d’uvéite). Le </w:t>
      </w:r>
      <w:proofErr w:type="spellStart"/>
      <w:r>
        <w:rPr>
          <w:rFonts w:ascii="Times New Roman" w:hAnsi="Times New Roman"/>
        </w:rPr>
        <w:t>fingolimod</w:t>
      </w:r>
      <w:proofErr w:type="spellEnd"/>
      <w:r>
        <w:rPr>
          <w:rFonts w:ascii="Times New Roman" w:hAnsi="Times New Roman"/>
        </w:rPr>
        <w:t xml:space="preserve"> n’a pas été étudié chez des patients atteints de sclérose en plaques et de diabète, une maladie associée à un risque accru d’œdème maculaire (voir rubrique 4.4). Lors des études cliniques en transplantation rénale dans lesquelles des patients diabétiques avaient été inclus, le traitement par </w:t>
      </w:r>
      <w:proofErr w:type="spellStart"/>
      <w:r>
        <w:rPr>
          <w:rFonts w:ascii="Times New Roman" w:hAnsi="Times New Roman"/>
        </w:rPr>
        <w:t>fingolimod</w:t>
      </w:r>
      <w:proofErr w:type="spellEnd"/>
      <w:r>
        <w:rPr>
          <w:rFonts w:ascii="Times New Roman" w:hAnsi="Times New Roman"/>
        </w:rPr>
        <w:t xml:space="preserve"> 2,5 mg et 5 mg a entraîné une multiplication par 2 de l’incidence de l’œdème maculaire.</w:t>
      </w:r>
    </w:p>
    <w:p w14:paraId="10C49675" w14:textId="77777777" w:rsidR="001C7C0E" w:rsidRPr="005E3BF6" w:rsidRDefault="001C7C0E" w:rsidP="00CB615C">
      <w:pPr>
        <w:widowControl/>
        <w:spacing w:after="0" w:line="240" w:lineRule="auto"/>
        <w:rPr>
          <w:rFonts w:ascii="Times New Roman" w:hAnsi="Times New Roman" w:cs="Times New Roman"/>
        </w:rPr>
      </w:pPr>
    </w:p>
    <w:p w14:paraId="60CCB5C8" w14:textId="77777777" w:rsidR="001C7C0E" w:rsidRPr="00FB49EF" w:rsidRDefault="00080994" w:rsidP="00F61ADB">
      <w:pPr>
        <w:keepNext/>
        <w:widowControl/>
        <w:spacing w:after="0" w:line="240" w:lineRule="auto"/>
        <w:rPr>
          <w:rFonts w:ascii="Times New Roman" w:eastAsia="Times New Roman" w:hAnsi="Times New Roman" w:cs="Times New Roman"/>
        </w:rPr>
      </w:pPr>
      <w:proofErr w:type="spellStart"/>
      <w:r>
        <w:rPr>
          <w:rFonts w:ascii="Times New Roman" w:hAnsi="Times New Roman"/>
          <w:i/>
        </w:rPr>
        <w:lastRenderedPageBreak/>
        <w:t>Bradyarythmie</w:t>
      </w:r>
      <w:proofErr w:type="spellEnd"/>
    </w:p>
    <w:p w14:paraId="2866AB19" w14:textId="240BF3B1"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L’instauration du traitement entraîne une diminution transitoire de la fréquence cardiaque et peut également être associée à des retards de conduction auriculo-ventriculaire. Au cours des études cliniques dans la sclérose en plaques, la diminution maximale de la fréquence cardiaque a été observée dans les 6 heures après l’instauration du traitement, avec une diminution de la fréquence cardiaque moyenne de 12-13 battements par minutes (bpm) avec </w:t>
      </w:r>
      <w:proofErr w:type="spellStart"/>
      <w:r>
        <w:rPr>
          <w:rFonts w:ascii="Times New Roman" w:hAnsi="Times New Roman"/>
        </w:rPr>
        <w:t>fingolimod</w:t>
      </w:r>
      <w:proofErr w:type="spellEnd"/>
      <w:r>
        <w:rPr>
          <w:rFonts w:ascii="Times New Roman" w:hAnsi="Times New Roman"/>
        </w:rPr>
        <w:t xml:space="preserve"> 0,5 mg. Une fréquence cardiaque inférieure à 40 bpm chez les patients adultes, et inférieure à 50 bpm chez les patients pédiatriques traités par </w:t>
      </w:r>
      <w:proofErr w:type="spellStart"/>
      <w:r>
        <w:rPr>
          <w:rFonts w:ascii="Times New Roman" w:hAnsi="Times New Roman"/>
        </w:rPr>
        <w:t>fingolimod</w:t>
      </w:r>
      <w:proofErr w:type="spellEnd"/>
      <w:r>
        <w:rPr>
          <w:rFonts w:ascii="Times New Roman" w:hAnsi="Times New Roman"/>
        </w:rPr>
        <w:t xml:space="preserve"> 0,5 mg, a rarement été observée. La fréquence cardiaque moyenne tendait vers sa valeur initiale en un mois avec la poursuite du traitement. La bradycardie a été généralement asymptomatique, mais certains patients ont présenté des symptômes légers à modérés, incluant hypotension, sensations vertigineuses, fatigue et/ou palpitations, qui se sont résolus dans les 24 heures suivant l’instauration du traitement (voir également rubriques 4.4 et 5.1).</w:t>
      </w:r>
    </w:p>
    <w:p w14:paraId="05BEB813" w14:textId="77777777" w:rsidR="001C7C0E" w:rsidRPr="005E3BF6" w:rsidRDefault="001C7C0E" w:rsidP="00CB615C">
      <w:pPr>
        <w:widowControl/>
        <w:spacing w:after="0" w:line="240" w:lineRule="auto"/>
        <w:rPr>
          <w:rFonts w:ascii="Times New Roman" w:hAnsi="Times New Roman" w:cs="Times New Roman"/>
        </w:rPr>
      </w:pPr>
    </w:p>
    <w:p w14:paraId="00A86A27" w14:textId="748A4075"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Au cours des études cliniques dans la sclérose en plaques, un bloc auriculo-ventriculaire du premier degré (allongement de l’intervalle PR à l’ECG) a été détecté après l’instauration du traitement chez les patients adultes et pédiatriques. Dans les essais cliniques chez les adultes, il est survenu chez 4,7 % des patients sous </w:t>
      </w:r>
      <w:proofErr w:type="spellStart"/>
      <w:r>
        <w:rPr>
          <w:rFonts w:ascii="Times New Roman" w:hAnsi="Times New Roman"/>
        </w:rPr>
        <w:t>fingolimod</w:t>
      </w:r>
      <w:proofErr w:type="spellEnd"/>
      <w:r>
        <w:rPr>
          <w:rFonts w:ascii="Times New Roman" w:hAnsi="Times New Roman"/>
        </w:rPr>
        <w:t xml:space="preserve"> 0,5 mg, 2,8 % des patients sous interféron bêta-1a intramusculaire et 1,6 % des patients sous placebo. Un bloc auriculo-ventriculaire du deuxième degré a été détecté chez moins de 0,2 % des patients adultes sous </w:t>
      </w:r>
      <w:proofErr w:type="spellStart"/>
      <w:r>
        <w:rPr>
          <w:rFonts w:ascii="Times New Roman" w:hAnsi="Times New Roman"/>
        </w:rPr>
        <w:t>fingolimod</w:t>
      </w:r>
      <w:proofErr w:type="spellEnd"/>
      <w:r>
        <w:rPr>
          <w:rFonts w:ascii="Times New Roman" w:hAnsi="Times New Roman"/>
        </w:rPr>
        <w:t xml:space="preserve"> 0,5 mg. Depuis la commercialisation, des cas isolés de blocs auriculo-ventriculaires complets, transitoires et spontanément résolutifs ont été observés au cours de la période de surveillance de 6 heures suivant la première dose de </w:t>
      </w:r>
      <w:proofErr w:type="spellStart"/>
      <w:r>
        <w:rPr>
          <w:rFonts w:ascii="Times New Roman" w:hAnsi="Times New Roman"/>
        </w:rPr>
        <w:t>fingolimod</w:t>
      </w:r>
      <w:proofErr w:type="spellEnd"/>
      <w:r>
        <w:rPr>
          <w:rFonts w:ascii="Times New Roman" w:hAnsi="Times New Roman"/>
        </w:rPr>
        <w:t xml:space="preserve">. Les patients ont récupéré spontanément. En général, les anomalies de la conduction observées tant dans les études cliniques que depuis la commercialisation ont été transitoires, asymptomatiques et se sont résolues dans les 24 heures suivant l’instauration du traitement. Bien qu’une intervention médicale n’ait pas été nécessaire chez la majorité des patients, un patient sous </w:t>
      </w:r>
      <w:proofErr w:type="spellStart"/>
      <w:r>
        <w:rPr>
          <w:rFonts w:ascii="Times New Roman" w:hAnsi="Times New Roman"/>
        </w:rPr>
        <w:t>fingolimod</w:t>
      </w:r>
      <w:proofErr w:type="spellEnd"/>
      <w:r>
        <w:rPr>
          <w:rFonts w:ascii="Times New Roman" w:hAnsi="Times New Roman"/>
        </w:rPr>
        <w:t xml:space="preserve"> 0,5 mg a reçu de l’isoprénaline pour un bloc auriculo-ventriculaire asymptomatique du deuxième degré de type </w:t>
      </w:r>
      <w:proofErr w:type="spellStart"/>
      <w:r>
        <w:rPr>
          <w:rFonts w:ascii="Times New Roman" w:hAnsi="Times New Roman"/>
        </w:rPr>
        <w:t>Mobitz</w:t>
      </w:r>
      <w:proofErr w:type="spellEnd"/>
      <w:r>
        <w:rPr>
          <w:rFonts w:ascii="Times New Roman" w:hAnsi="Times New Roman"/>
        </w:rPr>
        <w:t> I.</w:t>
      </w:r>
    </w:p>
    <w:p w14:paraId="57FD04F3" w14:textId="77777777" w:rsidR="001C7C0E" w:rsidRPr="005E3BF6" w:rsidRDefault="001C7C0E" w:rsidP="00CB615C">
      <w:pPr>
        <w:widowControl/>
        <w:spacing w:after="0" w:line="240" w:lineRule="auto"/>
        <w:rPr>
          <w:rFonts w:ascii="Times New Roman" w:hAnsi="Times New Roman" w:cs="Times New Roman"/>
        </w:rPr>
      </w:pPr>
    </w:p>
    <w:p w14:paraId="20B3D39E" w14:textId="76D7CD20"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Depuis la commercialisation, des cas isolés d’événements d’apparition retardée, dont un cas d’asystolie transitoire et un décès inexpliqué, sont survenus dans les 24 heures suivant la première prise. Ces cas ont été biaisés par la présence de traitements concomitants et/ou des pathologies </w:t>
      </w:r>
      <w:proofErr w:type="spellStart"/>
      <w:r>
        <w:rPr>
          <w:rFonts w:ascii="Times New Roman" w:hAnsi="Times New Roman"/>
        </w:rPr>
        <w:t>pré-existantes</w:t>
      </w:r>
      <w:proofErr w:type="spellEnd"/>
      <w:r>
        <w:rPr>
          <w:rFonts w:ascii="Times New Roman" w:hAnsi="Times New Roman"/>
        </w:rPr>
        <w:t xml:space="preserve">. La relation de causalité entre le </w:t>
      </w:r>
      <w:proofErr w:type="spellStart"/>
      <w:r>
        <w:rPr>
          <w:rFonts w:ascii="Times New Roman" w:hAnsi="Times New Roman"/>
        </w:rPr>
        <w:t>fingolimod</w:t>
      </w:r>
      <w:proofErr w:type="spellEnd"/>
      <w:r>
        <w:rPr>
          <w:rFonts w:ascii="Times New Roman" w:hAnsi="Times New Roman"/>
        </w:rPr>
        <w:t xml:space="preserve"> et ces événements est incertaine.</w:t>
      </w:r>
    </w:p>
    <w:p w14:paraId="2DCA2493" w14:textId="77777777" w:rsidR="001C7C0E" w:rsidRPr="005E3BF6" w:rsidRDefault="001C7C0E" w:rsidP="00CB615C">
      <w:pPr>
        <w:widowControl/>
        <w:spacing w:after="0" w:line="240" w:lineRule="auto"/>
        <w:rPr>
          <w:rFonts w:ascii="Times New Roman" w:hAnsi="Times New Roman" w:cs="Times New Roman"/>
        </w:rPr>
      </w:pPr>
    </w:p>
    <w:p w14:paraId="3EE9DC84" w14:textId="77777777" w:rsidR="001C7C0E" w:rsidRPr="00FB49EF"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rPr>
        <w:t>Pression artérielle</w:t>
      </w:r>
    </w:p>
    <w:p w14:paraId="2CBD87E0" w14:textId="4586BEC0"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Au cours des études cliniques dans la sclérose en plaques, </w:t>
      </w:r>
      <w:proofErr w:type="spellStart"/>
      <w:r>
        <w:rPr>
          <w:rFonts w:ascii="Times New Roman" w:hAnsi="Times New Roman"/>
        </w:rPr>
        <w:t>fingolimod</w:t>
      </w:r>
      <w:proofErr w:type="spellEnd"/>
      <w:r>
        <w:rPr>
          <w:rFonts w:ascii="Times New Roman" w:hAnsi="Times New Roman"/>
        </w:rPr>
        <w:t xml:space="preserve"> 0,5 mg a été associé à une augmentation moyenne d’environ 3 mm Hg de la pression systolique et d’environ 1 mm Hg de la pression diastolique, se manifestant un mois environ après le début du traitement. Cette augmentation a persisté avec la poursuite du traitement. Une hypertension a été rapportée chez 6,5 % des patients recevant </w:t>
      </w:r>
      <w:proofErr w:type="spellStart"/>
      <w:r>
        <w:rPr>
          <w:rFonts w:ascii="Times New Roman" w:hAnsi="Times New Roman"/>
        </w:rPr>
        <w:t>fingolimod</w:t>
      </w:r>
      <w:proofErr w:type="spellEnd"/>
      <w:r>
        <w:rPr>
          <w:rFonts w:ascii="Times New Roman" w:hAnsi="Times New Roman"/>
        </w:rPr>
        <w:t xml:space="preserve"> 0,5 mg et 3,3 % des patients sous placebo. Depuis la commercialisation, des cas d’hypertension artérielle pouvant nécessiter un traitement par antihypertenseurs ou l’arrêt du </w:t>
      </w:r>
      <w:proofErr w:type="spellStart"/>
      <w:r>
        <w:rPr>
          <w:rFonts w:ascii="Times New Roman" w:hAnsi="Times New Roman"/>
        </w:rPr>
        <w:t>fingolimod</w:t>
      </w:r>
      <w:proofErr w:type="spellEnd"/>
      <w:r>
        <w:rPr>
          <w:rFonts w:ascii="Times New Roman" w:hAnsi="Times New Roman"/>
        </w:rPr>
        <w:t xml:space="preserve"> ont été rapportés dans le premier mois suivant l’instauration du traitement, ainsi que le premier jour de traitement (voir également rubrique 4.4 Effets sur la pression artérielle).</w:t>
      </w:r>
    </w:p>
    <w:p w14:paraId="7E1260A2" w14:textId="77777777" w:rsidR="001C7C0E" w:rsidRPr="005E3BF6" w:rsidRDefault="001C7C0E" w:rsidP="00CB615C">
      <w:pPr>
        <w:widowControl/>
        <w:spacing w:after="0" w:line="240" w:lineRule="auto"/>
        <w:rPr>
          <w:rFonts w:ascii="Times New Roman" w:hAnsi="Times New Roman" w:cs="Times New Roman"/>
        </w:rPr>
      </w:pPr>
    </w:p>
    <w:p w14:paraId="221212E6" w14:textId="77777777" w:rsidR="001C7C0E" w:rsidRPr="00FB49EF"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rPr>
        <w:t>Fonction hépatique</w:t>
      </w:r>
    </w:p>
    <w:p w14:paraId="2A6BD8B3" w14:textId="11375838"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élévations des enzymes hépatiques ont été rapportées chez les patients adultes et pédiatriques atteints de sclérose en plaques et traités par </w:t>
      </w:r>
      <w:proofErr w:type="spellStart"/>
      <w:r>
        <w:rPr>
          <w:rFonts w:ascii="Times New Roman" w:hAnsi="Times New Roman"/>
        </w:rPr>
        <w:t>fingolimod</w:t>
      </w:r>
      <w:proofErr w:type="spellEnd"/>
      <w:r>
        <w:rPr>
          <w:rFonts w:ascii="Times New Roman" w:hAnsi="Times New Roman"/>
        </w:rPr>
        <w:t xml:space="preserve">. Au cours des études cliniques, 8,0 % et 1,8 % des patients adultes traités par </w:t>
      </w:r>
      <w:proofErr w:type="spellStart"/>
      <w:r>
        <w:rPr>
          <w:rFonts w:ascii="Times New Roman" w:hAnsi="Times New Roman"/>
        </w:rPr>
        <w:t>fingolimod</w:t>
      </w:r>
      <w:proofErr w:type="spellEnd"/>
      <w:r>
        <w:rPr>
          <w:rFonts w:ascii="Times New Roman" w:hAnsi="Times New Roman"/>
        </w:rPr>
        <w:t xml:space="preserve"> 0,5 mg ont présenté une élévation asymptomatique des taux sériques des ALAT ≥ 3 x LSN (limite supérieure de la normale) et ≥ 5 x LSN respectivement. Les élévations des transaminases hépatiques ont été observées à nouveau chez certains patients après la réintroduction du traitement, ce qui corrobore une relation avec le médicament. Dans les études cliniques, les élévations des transaminases sont survenues à n’importe quel moment au cours du traitement, bien que la majorité d’entre elles soit survenue au cours des 12 premiers mois. Les taux sériques des ALAT sont revenus à la normale dans les deux mois environ suivant l’arrêt du traitement. Chez un petit nombre de patients (10 patients recevant 1,25 mg, 2 patients recevant 0,5 mg) qui présentaient des élévations des ALAT ≥ 5 x LSN et qui ont poursuivi le traitement par </w:t>
      </w:r>
      <w:proofErr w:type="spellStart"/>
      <w:r>
        <w:rPr>
          <w:rFonts w:ascii="Times New Roman" w:hAnsi="Times New Roman"/>
        </w:rPr>
        <w:t>fingolimod</w:t>
      </w:r>
      <w:proofErr w:type="spellEnd"/>
      <w:r>
        <w:rPr>
          <w:rFonts w:ascii="Times New Roman" w:hAnsi="Times New Roman"/>
        </w:rPr>
        <w:t>, les taux se sont normalisés en 5 mois environ (voir également rubrique 4.4 Fonction hépatique).</w:t>
      </w:r>
    </w:p>
    <w:p w14:paraId="06650806" w14:textId="77777777" w:rsidR="00417BA1" w:rsidRPr="005E3BF6" w:rsidRDefault="00417BA1" w:rsidP="00CB615C">
      <w:pPr>
        <w:widowControl/>
        <w:spacing w:after="0" w:line="240" w:lineRule="auto"/>
        <w:ind w:left="1"/>
        <w:rPr>
          <w:rFonts w:ascii="Times New Roman" w:eastAsia="Times New Roman" w:hAnsi="Times New Roman" w:cs="Times New Roman"/>
          <w:i/>
          <w:spacing w:val="-1"/>
          <w:u w:val="single" w:color="000000"/>
        </w:rPr>
      </w:pPr>
    </w:p>
    <w:p w14:paraId="6CF17C1C" w14:textId="77777777" w:rsidR="001C7C0E" w:rsidRPr="00FB49EF"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rPr>
        <w:lastRenderedPageBreak/>
        <w:t>Troubles du système nerveux</w:t>
      </w:r>
    </w:p>
    <w:p w14:paraId="07332547" w14:textId="7B616A66"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Au cours des études cliniques, de rares cas d’événements impliquant le système nerveux sont survenus chez des patients traités par </w:t>
      </w:r>
      <w:proofErr w:type="spellStart"/>
      <w:r>
        <w:rPr>
          <w:rFonts w:ascii="Times New Roman" w:hAnsi="Times New Roman"/>
        </w:rPr>
        <w:t>fingolimod</w:t>
      </w:r>
      <w:proofErr w:type="spellEnd"/>
      <w:r>
        <w:rPr>
          <w:rFonts w:ascii="Times New Roman" w:hAnsi="Times New Roman"/>
        </w:rPr>
        <w:t xml:space="preserve"> à doses élevées (1,25 mg ou 5,0 mg) dont des accidents vasculaires cérébraux ischémiques et hémorragiques et des troubles neurologiques atypiques tels que des événements de type encéphalomyélite aiguë disséminée (ADEM).</w:t>
      </w:r>
    </w:p>
    <w:p w14:paraId="5029C5DF" w14:textId="77777777" w:rsidR="001C7C0E" w:rsidRPr="005E3BF6" w:rsidRDefault="001C7C0E" w:rsidP="00CB615C">
      <w:pPr>
        <w:widowControl/>
        <w:spacing w:after="0" w:line="240" w:lineRule="auto"/>
        <w:rPr>
          <w:rFonts w:ascii="Times New Roman" w:hAnsi="Times New Roman" w:cs="Times New Roman"/>
        </w:rPr>
      </w:pPr>
    </w:p>
    <w:p w14:paraId="6D98D4E0" w14:textId="1ECFE89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cas de crises épileptiques y compris des états de mal épileptique, ont été rapportés lors de l’utilisation du </w:t>
      </w:r>
      <w:proofErr w:type="spellStart"/>
      <w:r>
        <w:rPr>
          <w:rFonts w:ascii="Times New Roman" w:hAnsi="Times New Roman"/>
        </w:rPr>
        <w:t>fingolimod</w:t>
      </w:r>
      <w:proofErr w:type="spellEnd"/>
      <w:r>
        <w:rPr>
          <w:rFonts w:ascii="Times New Roman" w:hAnsi="Times New Roman"/>
        </w:rPr>
        <w:t xml:space="preserve"> dans les études cliniques et après la commercialisation.</w:t>
      </w:r>
    </w:p>
    <w:p w14:paraId="1B2B7F8D" w14:textId="77777777" w:rsidR="001C7C0E" w:rsidRPr="005E3BF6" w:rsidRDefault="001C7C0E" w:rsidP="00CB615C">
      <w:pPr>
        <w:widowControl/>
        <w:spacing w:after="0" w:line="240" w:lineRule="auto"/>
        <w:rPr>
          <w:rFonts w:ascii="Times New Roman" w:hAnsi="Times New Roman" w:cs="Times New Roman"/>
        </w:rPr>
      </w:pPr>
    </w:p>
    <w:p w14:paraId="6EC90688" w14:textId="77777777" w:rsidR="001C7C0E" w:rsidRPr="00FB49EF"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rPr>
        <w:t>Troubles vasculaires</w:t>
      </w:r>
    </w:p>
    <w:p w14:paraId="310C8618" w14:textId="071F9E3E"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Les rares cas d’artériopathie oblitérante des membres inférieurs sont survenus chez des patients traités par </w:t>
      </w:r>
      <w:proofErr w:type="spellStart"/>
      <w:r>
        <w:rPr>
          <w:rFonts w:ascii="Times New Roman" w:hAnsi="Times New Roman"/>
        </w:rPr>
        <w:t>fingolimod</w:t>
      </w:r>
      <w:proofErr w:type="spellEnd"/>
      <w:r>
        <w:rPr>
          <w:rFonts w:ascii="Times New Roman" w:hAnsi="Times New Roman"/>
        </w:rPr>
        <w:t xml:space="preserve"> à des doses élevées (1,25 mg).</w:t>
      </w:r>
    </w:p>
    <w:p w14:paraId="488115C5" w14:textId="77777777" w:rsidR="001C7C0E" w:rsidRPr="005E3BF6" w:rsidRDefault="001C7C0E" w:rsidP="00CB615C">
      <w:pPr>
        <w:widowControl/>
        <w:spacing w:after="0" w:line="240" w:lineRule="auto"/>
        <w:rPr>
          <w:rFonts w:ascii="Times New Roman" w:hAnsi="Times New Roman" w:cs="Times New Roman"/>
        </w:rPr>
      </w:pPr>
    </w:p>
    <w:p w14:paraId="1B2CF23F" w14:textId="77777777" w:rsidR="001C7C0E" w:rsidRPr="00FB49EF"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rPr>
        <w:t>Système respiratoire</w:t>
      </w:r>
    </w:p>
    <w:p w14:paraId="26561FE6" w14:textId="76E5CF8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diminutions dose-dépendantes mineures des valeurs du volume expiratoire maximal par seconde (VEMS) et de la capacité de diffusion du monoxyde de carbone (DLCO) ont été observées un mois après le début du traitement par </w:t>
      </w:r>
      <w:proofErr w:type="spellStart"/>
      <w:r>
        <w:rPr>
          <w:rFonts w:ascii="Times New Roman" w:hAnsi="Times New Roman"/>
        </w:rPr>
        <w:t>fingolimod</w:t>
      </w:r>
      <w:proofErr w:type="spellEnd"/>
      <w:r>
        <w:rPr>
          <w:rFonts w:ascii="Times New Roman" w:hAnsi="Times New Roman"/>
        </w:rPr>
        <w:t xml:space="preserve"> et sont ensuite restées stables. À 24 mois, la diminution en pourcentage du VEMS théorique par rapport aux valeurs initiales a été de 2,7 % sous </w:t>
      </w:r>
      <w:proofErr w:type="spellStart"/>
      <w:r>
        <w:rPr>
          <w:rFonts w:ascii="Times New Roman" w:hAnsi="Times New Roman"/>
        </w:rPr>
        <w:t>fingolimod</w:t>
      </w:r>
      <w:proofErr w:type="spellEnd"/>
      <w:r>
        <w:rPr>
          <w:rFonts w:ascii="Times New Roman" w:hAnsi="Times New Roman"/>
        </w:rPr>
        <w:t xml:space="preserve"> 0,5 mg et de 1,2 % sous placebo, différence qui a disparu après arrêt du traitement. Les diminutions de la DLCO à 24 mois ont été de 3,3 % sous </w:t>
      </w:r>
      <w:proofErr w:type="spellStart"/>
      <w:r>
        <w:rPr>
          <w:rFonts w:ascii="Times New Roman" w:hAnsi="Times New Roman"/>
        </w:rPr>
        <w:t>fingolimod</w:t>
      </w:r>
      <w:proofErr w:type="spellEnd"/>
      <w:r>
        <w:rPr>
          <w:rFonts w:ascii="Times New Roman" w:hAnsi="Times New Roman"/>
        </w:rPr>
        <w:t xml:space="preserve"> 0,5 mg et 2,7 % sous placebo (voir aussi la rubrique 4.4, « Effets sur l’appareil respiratoire »).</w:t>
      </w:r>
    </w:p>
    <w:p w14:paraId="51127932" w14:textId="77777777" w:rsidR="001C7C0E" w:rsidRPr="005E3BF6" w:rsidRDefault="001C7C0E" w:rsidP="00CB615C">
      <w:pPr>
        <w:widowControl/>
        <w:spacing w:after="0" w:line="240" w:lineRule="auto"/>
        <w:rPr>
          <w:rFonts w:ascii="Times New Roman" w:hAnsi="Times New Roman" w:cs="Times New Roman"/>
        </w:rPr>
      </w:pPr>
    </w:p>
    <w:p w14:paraId="4CC0474F" w14:textId="77777777" w:rsidR="001C7C0E" w:rsidRPr="00FB49EF"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rPr>
        <w:t>Lymphomes</w:t>
      </w:r>
    </w:p>
    <w:p w14:paraId="077C7ADE" w14:textId="2313BC4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Des cas de lymphomes de différents types, incluant un cas fatal de lymphome à cellules B positif au virus d’Epstein-Barr (EBV), ont été rapportés dans les études cliniques et après commercialisation. L’incidence des cas de lymphomes non hodgkiniens (à cellules B et T) était plus importante dans les essais cliniques que celle attendue dans la population générale. Des cas de lymphomes à cellules T ont également été rapportés depuis la commercialisation, dont des cas de lymphomes cutanés à cellules T (mycosis fongoïde) (voir aussi la rubrique 4.4, « Cancers »).</w:t>
      </w:r>
    </w:p>
    <w:p w14:paraId="4D824FF8" w14:textId="77777777" w:rsidR="001C7C0E" w:rsidRPr="005E3BF6" w:rsidRDefault="001C7C0E" w:rsidP="00CB615C">
      <w:pPr>
        <w:widowControl/>
        <w:spacing w:after="0" w:line="240" w:lineRule="auto"/>
        <w:rPr>
          <w:rFonts w:ascii="Times New Roman" w:hAnsi="Times New Roman" w:cs="Times New Roman"/>
        </w:rPr>
      </w:pPr>
    </w:p>
    <w:p w14:paraId="1B42B536" w14:textId="300E0365" w:rsidR="001C7C0E" w:rsidRPr="00FB49EF"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i/>
        </w:rPr>
        <w:t xml:space="preserve">Syndrome </w:t>
      </w:r>
      <w:proofErr w:type="spellStart"/>
      <w:r>
        <w:rPr>
          <w:rFonts w:ascii="Times New Roman" w:hAnsi="Times New Roman"/>
          <w:i/>
        </w:rPr>
        <w:t>hémophagocytaire</w:t>
      </w:r>
      <w:proofErr w:type="spellEnd"/>
      <w:r>
        <w:rPr>
          <w:rFonts w:ascii="Times New Roman" w:hAnsi="Times New Roman"/>
          <w:i/>
        </w:rPr>
        <w:t xml:space="preserve"> (SHP)</w:t>
      </w:r>
    </w:p>
    <w:p w14:paraId="692EA378" w14:textId="59805988"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 très rares cas de SHP d’issue fatale ont été rapportés chez des patients traités par </w:t>
      </w:r>
      <w:proofErr w:type="spellStart"/>
      <w:r>
        <w:rPr>
          <w:rFonts w:ascii="Times New Roman" w:hAnsi="Times New Roman"/>
        </w:rPr>
        <w:t>fingolimod</w:t>
      </w:r>
      <w:proofErr w:type="spellEnd"/>
      <w:r>
        <w:rPr>
          <w:rFonts w:ascii="Times New Roman" w:hAnsi="Times New Roman"/>
        </w:rPr>
        <w:t xml:space="preserve"> dans un contexte d’infection. Le SHP est une maladie rare qui a été décrite en association à des infections, dans un contexte d’immunosuppression et dans certaines maladies auto-immunes.</w:t>
      </w:r>
    </w:p>
    <w:p w14:paraId="3D421E0B" w14:textId="77777777" w:rsidR="001C7C0E" w:rsidRPr="005E3BF6" w:rsidRDefault="001C7C0E" w:rsidP="00CB615C">
      <w:pPr>
        <w:widowControl/>
        <w:spacing w:after="0" w:line="240" w:lineRule="auto"/>
        <w:rPr>
          <w:rFonts w:ascii="Times New Roman" w:hAnsi="Times New Roman" w:cs="Times New Roman"/>
        </w:rPr>
      </w:pPr>
    </w:p>
    <w:p w14:paraId="2C87519B"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Population pédiatrique</w:t>
      </w:r>
    </w:p>
    <w:p w14:paraId="3F208A42" w14:textId="77777777" w:rsidR="00D658ED" w:rsidRDefault="00D658ED" w:rsidP="00CB615C">
      <w:pPr>
        <w:widowControl/>
        <w:spacing w:after="0" w:line="240" w:lineRule="auto"/>
        <w:ind w:left="1"/>
        <w:rPr>
          <w:rFonts w:ascii="Times New Roman" w:eastAsia="Times New Roman" w:hAnsi="Times New Roman" w:cs="Times New Roman"/>
          <w:spacing w:val="-4"/>
        </w:rPr>
      </w:pPr>
    </w:p>
    <w:p w14:paraId="1CB8D16C" w14:textId="2BF79A2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Dans l’étude pédiatrique contrôlée D2311 (voir rubrique 5.1), le profil de sécurité d’emploi chez les patients pédiatriques (âgés de 10 à moins de 18 ans) recevant du </w:t>
      </w:r>
      <w:proofErr w:type="spellStart"/>
      <w:r>
        <w:rPr>
          <w:rFonts w:ascii="Times New Roman" w:hAnsi="Times New Roman"/>
        </w:rPr>
        <w:t>fingolimod</w:t>
      </w:r>
      <w:proofErr w:type="spellEnd"/>
      <w:r>
        <w:rPr>
          <w:rFonts w:ascii="Times New Roman" w:hAnsi="Times New Roman"/>
        </w:rPr>
        <w:t xml:space="preserve"> 0,25 mg ou 0,5 mg une fois par jour était globalement similaire à celui observé chez les patients adultes. Toutefois, il a été observé plus de troubles neurologiques et psychiatriques dans cette étude. La prudence est nécessaire dans cette population en raison des données très limitées issues de l’étude clinique.</w:t>
      </w:r>
    </w:p>
    <w:p w14:paraId="7946D208" w14:textId="77777777" w:rsidR="001C7C0E" w:rsidRPr="005E3BF6" w:rsidRDefault="001C7C0E" w:rsidP="00CB615C">
      <w:pPr>
        <w:widowControl/>
        <w:spacing w:after="0" w:line="240" w:lineRule="auto"/>
        <w:rPr>
          <w:rFonts w:ascii="Times New Roman" w:hAnsi="Times New Roman" w:cs="Times New Roman"/>
        </w:rPr>
      </w:pPr>
    </w:p>
    <w:p w14:paraId="2CF466C8"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Dans l’étude pédiatrique, des cas de crises épileptiques ont été rapportés chez 5,6 % des patients traités par </w:t>
      </w:r>
      <w:proofErr w:type="spellStart"/>
      <w:r>
        <w:rPr>
          <w:rFonts w:ascii="Times New Roman" w:hAnsi="Times New Roman"/>
        </w:rPr>
        <w:t>fingolimod</w:t>
      </w:r>
      <w:proofErr w:type="spellEnd"/>
      <w:r>
        <w:rPr>
          <w:rFonts w:ascii="Times New Roman" w:hAnsi="Times New Roman"/>
        </w:rPr>
        <w:t xml:space="preserve"> et chez 0,9 % des patients traités par interféron bêta-1a.</w:t>
      </w:r>
    </w:p>
    <w:p w14:paraId="3717D375" w14:textId="77777777" w:rsidR="001C7C0E" w:rsidRPr="005E3BF6" w:rsidRDefault="001C7C0E" w:rsidP="00CB615C">
      <w:pPr>
        <w:widowControl/>
        <w:spacing w:after="0" w:line="240" w:lineRule="auto"/>
        <w:rPr>
          <w:rFonts w:ascii="Times New Roman" w:hAnsi="Times New Roman" w:cs="Times New Roman"/>
        </w:rPr>
      </w:pPr>
    </w:p>
    <w:p w14:paraId="28181050" w14:textId="7612A81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dépression et l’anxiété sont connues pour être plus fréquentes dans la population atteinte de sclérose en plaques. Des cas de dépression et d’anxiété ont également été rapportés chez des patients pédiatriques traités par </w:t>
      </w:r>
      <w:proofErr w:type="spellStart"/>
      <w:r>
        <w:rPr>
          <w:rFonts w:ascii="Times New Roman" w:hAnsi="Times New Roman"/>
        </w:rPr>
        <w:t>fingolimod</w:t>
      </w:r>
      <w:proofErr w:type="spellEnd"/>
      <w:r>
        <w:rPr>
          <w:rFonts w:ascii="Times New Roman" w:hAnsi="Times New Roman"/>
        </w:rPr>
        <w:t>.</w:t>
      </w:r>
    </w:p>
    <w:p w14:paraId="44C6D2A5" w14:textId="77777777" w:rsidR="00D51F18" w:rsidRPr="005E3BF6" w:rsidRDefault="00D51F18" w:rsidP="00CB615C">
      <w:pPr>
        <w:widowControl/>
        <w:spacing w:after="0" w:line="240" w:lineRule="auto"/>
        <w:ind w:left="1"/>
        <w:rPr>
          <w:rFonts w:ascii="Times New Roman" w:eastAsia="Times New Roman" w:hAnsi="Times New Roman" w:cs="Times New Roman"/>
        </w:rPr>
      </w:pPr>
    </w:p>
    <w:p w14:paraId="014124EC" w14:textId="77777777" w:rsidR="00D51F18"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augmentations isolées légères de la bilirubine ont été observées chez des patients pédiatriques traités par </w:t>
      </w:r>
      <w:proofErr w:type="spellStart"/>
      <w:r>
        <w:rPr>
          <w:rFonts w:ascii="Times New Roman" w:hAnsi="Times New Roman"/>
        </w:rPr>
        <w:t>fingolimod</w:t>
      </w:r>
      <w:proofErr w:type="spellEnd"/>
      <w:r>
        <w:rPr>
          <w:rFonts w:ascii="Times New Roman" w:hAnsi="Times New Roman"/>
        </w:rPr>
        <w:t xml:space="preserve">. </w:t>
      </w:r>
    </w:p>
    <w:p w14:paraId="0B7A34EF" w14:textId="77777777" w:rsidR="00D51F18" w:rsidRPr="005E3BF6" w:rsidRDefault="00D51F18" w:rsidP="00CB615C">
      <w:pPr>
        <w:widowControl/>
        <w:spacing w:after="0" w:line="240" w:lineRule="auto"/>
        <w:ind w:left="1"/>
        <w:rPr>
          <w:rFonts w:ascii="Times New Roman" w:eastAsia="Times New Roman" w:hAnsi="Times New Roman" w:cs="Times New Roman"/>
        </w:rPr>
      </w:pPr>
    </w:p>
    <w:p w14:paraId="3E369A9D" w14:textId="3B3215C7" w:rsidR="001C7C0E" w:rsidRPr="005E3BF6" w:rsidRDefault="00080994" w:rsidP="00F61ADB">
      <w:pPr>
        <w:keepNext/>
        <w:widowControl/>
        <w:spacing w:after="0" w:line="240" w:lineRule="auto"/>
        <w:rPr>
          <w:rFonts w:ascii="Times New Roman" w:eastAsia="Times New Roman" w:hAnsi="Times New Roman" w:cs="Times New Roman"/>
        </w:rPr>
      </w:pPr>
      <w:r>
        <w:rPr>
          <w:rFonts w:ascii="Times New Roman" w:hAnsi="Times New Roman"/>
          <w:u w:val="single" w:color="000000"/>
        </w:rPr>
        <w:lastRenderedPageBreak/>
        <w:t>Déclaration des effets indésirables suspectés</w:t>
      </w:r>
    </w:p>
    <w:p w14:paraId="5FB45D8B" w14:textId="77777777" w:rsidR="00D658ED" w:rsidRDefault="00D658ED" w:rsidP="00F61ADB">
      <w:pPr>
        <w:keepNext/>
        <w:widowControl/>
        <w:spacing w:after="0" w:line="240" w:lineRule="auto"/>
        <w:rPr>
          <w:rFonts w:ascii="Times New Roman" w:eastAsia="Times New Roman" w:hAnsi="Times New Roman" w:cs="Times New Roman"/>
          <w:spacing w:val="-1"/>
        </w:rPr>
      </w:pPr>
    </w:p>
    <w:p w14:paraId="6C334D2C" w14:textId="25056D85" w:rsidR="00417BA1" w:rsidRPr="00473725" w:rsidRDefault="00080994" w:rsidP="00CB615C">
      <w:pPr>
        <w:widowControl/>
        <w:spacing w:after="0" w:line="240" w:lineRule="auto"/>
        <w:ind w:left="1"/>
        <w:rPr>
          <w:rFonts w:ascii="Times New Roman" w:eastAsia="Times New Roman" w:hAnsi="Times New Roman" w:cs="Times New Roman"/>
          <w:color w:val="000000"/>
        </w:rPr>
      </w:pPr>
      <w:r w:rsidRPr="00473725">
        <w:rPr>
          <w:rFonts w:ascii="Times New Roman" w:hAnsi="Times New Roman" w:cs="Times New Roman"/>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le </w:t>
      </w:r>
      <w:bookmarkStart w:id="5" w:name="_Hlk4055174"/>
      <w:r w:rsidRPr="00473725">
        <w:rPr>
          <w:rFonts w:ascii="Times New Roman" w:hAnsi="Times New Roman" w:cs="Times New Roman"/>
          <w:highlight w:val="lightGray"/>
        </w:rPr>
        <w:t xml:space="preserve">système national de déclaration – voir </w:t>
      </w:r>
      <w:hyperlink r:id="rId9" w:history="1">
        <w:r w:rsidRPr="00473725">
          <w:rPr>
            <w:rStyle w:val="Lienhypertexte"/>
            <w:rFonts w:ascii="Times New Roman" w:hAnsi="Times New Roman" w:cs="Times New Roman"/>
            <w:highlight w:val="lightGray"/>
          </w:rPr>
          <w:t>Annexe V</w:t>
        </w:r>
      </w:hyperlink>
      <w:r w:rsidRPr="00473725">
        <w:rPr>
          <w:rFonts w:ascii="Times New Roman" w:hAnsi="Times New Roman" w:cs="Times New Roman"/>
          <w:color w:val="000000"/>
        </w:rPr>
        <w:t>.</w:t>
      </w:r>
    </w:p>
    <w:bookmarkEnd w:id="5"/>
    <w:p w14:paraId="072494DD" w14:textId="77777777" w:rsidR="00417BA1" w:rsidRPr="005E3BF6" w:rsidRDefault="00417BA1" w:rsidP="00CB615C">
      <w:pPr>
        <w:widowControl/>
        <w:spacing w:after="0" w:line="240" w:lineRule="auto"/>
        <w:ind w:left="1"/>
        <w:rPr>
          <w:rFonts w:ascii="Times New Roman" w:eastAsia="Times New Roman" w:hAnsi="Times New Roman" w:cs="Times New Roman"/>
          <w:color w:val="000000"/>
        </w:rPr>
      </w:pPr>
    </w:p>
    <w:p w14:paraId="216F89C6"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4.9</w:t>
      </w:r>
      <w:r>
        <w:rPr>
          <w:rFonts w:ascii="Times New Roman" w:hAnsi="Times New Roman"/>
          <w:b/>
        </w:rPr>
        <w:tab/>
        <w:t>Surdosage</w:t>
      </w:r>
    </w:p>
    <w:p w14:paraId="4F054034" w14:textId="77777777" w:rsidR="001C7C0E" w:rsidRPr="005E3BF6" w:rsidRDefault="001C7C0E" w:rsidP="00CB615C">
      <w:pPr>
        <w:widowControl/>
        <w:spacing w:after="0" w:line="240" w:lineRule="auto"/>
        <w:rPr>
          <w:rFonts w:ascii="Times New Roman" w:hAnsi="Times New Roman" w:cs="Times New Roman"/>
        </w:rPr>
      </w:pPr>
    </w:p>
    <w:p w14:paraId="177CEB7A" w14:textId="4A6BFA12"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Des doses uniques allant jusqu’à 80 fois la dose recommandée (0,5 mg) ont été bien tolérées chez des volontaires sains adultes. À la dose de 40 mg, 5 des 6 sujets ont rapporté une oppression ou une gêne thoracique légère cliniquement compatible avec une réactivité des petites voies aériennes.</w:t>
      </w:r>
    </w:p>
    <w:p w14:paraId="2E625FF8" w14:textId="77777777" w:rsidR="001C7C0E" w:rsidRPr="005E3BF6" w:rsidRDefault="001C7C0E" w:rsidP="00CB615C">
      <w:pPr>
        <w:widowControl/>
        <w:spacing w:after="0" w:line="240" w:lineRule="auto"/>
        <w:rPr>
          <w:rFonts w:ascii="Times New Roman" w:hAnsi="Times New Roman" w:cs="Times New Roman"/>
        </w:rPr>
      </w:pPr>
    </w:p>
    <w:p w14:paraId="0F086CDC" w14:textId="25FA9F99"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peut induire une bradycardie dès l’initiation du traitement. La diminution de la fréquence cardiaque apparaît généralement dans l’heure suivant l’administration de la première dose et est particulièrement marquée au cours des 6 premières heures. L’effet chronotrope négatif du </w:t>
      </w:r>
      <w:proofErr w:type="spellStart"/>
      <w:r>
        <w:rPr>
          <w:rFonts w:ascii="Times New Roman" w:hAnsi="Times New Roman"/>
        </w:rPr>
        <w:t>fingolimod</w:t>
      </w:r>
      <w:proofErr w:type="spellEnd"/>
      <w:r>
        <w:rPr>
          <w:rFonts w:ascii="Times New Roman" w:hAnsi="Times New Roman"/>
        </w:rPr>
        <w:t xml:space="preserve"> persiste au-delà de 6 heures et s’atténue progressivement au cours des jours de traitement suivants (voir rubrique 4.4 pour plus d’informations). Des cas de ralentissement de la conduction auriculo-ventriculaire, avec des cas isolés de blocs auriculo-ventriculaires complets, transitoires et spontanément résolutifs ont été rapportés (voir rubriques 4.4 et 4.8).</w:t>
      </w:r>
    </w:p>
    <w:p w14:paraId="5144FD80" w14:textId="77777777" w:rsidR="001C7C0E" w:rsidRPr="005E3BF6" w:rsidRDefault="001C7C0E" w:rsidP="00CB615C">
      <w:pPr>
        <w:widowControl/>
        <w:spacing w:after="0" w:line="240" w:lineRule="auto"/>
        <w:rPr>
          <w:rFonts w:ascii="Times New Roman" w:hAnsi="Times New Roman" w:cs="Times New Roman"/>
        </w:rPr>
      </w:pPr>
    </w:p>
    <w:p w14:paraId="5EBDFF93" w14:textId="1AC977D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le surdosage a lieu lors d’une première exposition à </w:t>
      </w:r>
      <w:proofErr w:type="spellStart"/>
      <w:r>
        <w:rPr>
          <w:rFonts w:ascii="Times New Roman" w:hAnsi="Times New Roman"/>
        </w:rPr>
        <w:t>Fingolimod</w:t>
      </w:r>
      <w:proofErr w:type="spellEnd"/>
      <w:r>
        <w:rPr>
          <w:rFonts w:ascii="Times New Roman" w:hAnsi="Times New Roman"/>
        </w:rPr>
        <w:t xml:space="preserve"> Mylan, il est important de placer les patients sous surveillance électrocardiographique continue (en temps réel) et de mesurer la fréquence cardiaque et la pression artérielle toutes les heures, au moins au cours des 6 premières heures (voir rubrique 4.4).</w:t>
      </w:r>
    </w:p>
    <w:p w14:paraId="3A028FB5" w14:textId="77777777" w:rsidR="001C7C0E" w:rsidRPr="005E3BF6" w:rsidRDefault="001C7C0E" w:rsidP="00CB615C">
      <w:pPr>
        <w:widowControl/>
        <w:spacing w:after="0" w:line="240" w:lineRule="auto"/>
        <w:rPr>
          <w:rFonts w:ascii="Times New Roman" w:hAnsi="Times New Roman" w:cs="Times New Roman"/>
        </w:rPr>
      </w:pPr>
    </w:p>
    <w:p w14:paraId="0F4FDC69" w14:textId="7F6CF581"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 plus, si après 6 heures la fréquence cardiaque est &lt; 45 bpm chez les adultes, &lt; 55 bpm chez les patients pédiatriques âgés de 12 ans et plus, ou &lt; 60 bpm chez les patients pédiatriques âgés de 10 ans et moins de 12 ans, ou si on observe à l’ECG réalisé 6 heures après la première dose l’apparition d’un bloc auriculo-ventriculaire du second degré ou de degré supérieur ou si l’intervalle </w:t>
      </w:r>
      <w:proofErr w:type="spellStart"/>
      <w:r>
        <w:rPr>
          <w:rFonts w:ascii="Times New Roman" w:hAnsi="Times New Roman"/>
        </w:rPr>
        <w:t>QTc</w:t>
      </w:r>
      <w:proofErr w:type="spellEnd"/>
      <w:r>
        <w:rPr>
          <w:rFonts w:ascii="Times New Roman" w:hAnsi="Times New Roman"/>
        </w:rPr>
        <w:t xml:space="preserve"> est ≥ 500 ms, la période de surveillance doit être prolongée au moins jusqu’au lendemain et jusqu’à résolution des troubles. L’apparition à tout moment d’un bloc auriculo-ventriculaire du troisième degré doit également conduire à une prolongation de la surveillance jusqu’au lendemain.</w:t>
      </w:r>
    </w:p>
    <w:p w14:paraId="05C770D4" w14:textId="77777777" w:rsidR="001C7C0E" w:rsidRPr="005E3BF6" w:rsidRDefault="001C7C0E" w:rsidP="00CB615C">
      <w:pPr>
        <w:widowControl/>
        <w:spacing w:after="0" w:line="240" w:lineRule="auto"/>
        <w:rPr>
          <w:rFonts w:ascii="Times New Roman" w:hAnsi="Times New Roman" w:cs="Times New Roman"/>
        </w:rPr>
      </w:pPr>
    </w:p>
    <w:p w14:paraId="4F402FD5"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ne peut pas être éliminé par dialyse ou par échange plasmatique.</w:t>
      </w:r>
    </w:p>
    <w:p w14:paraId="6C77EEC5" w14:textId="49A7B556" w:rsidR="00683976" w:rsidRPr="005E3BF6" w:rsidRDefault="00683976" w:rsidP="00CB615C">
      <w:pPr>
        <w:widowControl/>
        <w:tabs>
          <w:tab w:val="left" w:pos="680"/>
        </w:tabs>
        <w:spacing w:after="0" w:line="240" w:lineRule="auto"/>
        <w:ind w:left="1"/>
        <w:rPr>
          <w:rFonts w:ascii="Times New Roman" w:eastAsia="Times New Roman" w:hAnsi="Times New Roman" w:cs="Times New Roman"/>
          <w:b/>
          <w:bCs/>
        </w:rPr>
      </w:pPr>
    </w:p>
    <w:p w14:paraId="41E48A85" w14:textId="77777777" w:rsidR="00EA275D" w:rsidRPr="005E3BF6" w:rsidRDefault="00EA275D" w:rsidP="00CB615C">
      <w:pPr>
        <w:widowControl/>
        <w:tabs>
          <w:tab w:val="left" w:pos="680"/>
        </w:tabs>
        <w:spacing w:after="0" w:line="240" w:lineRule="auto"/>
        <w:ind w:left="1"/>
        <w:rPr>
          <w:rFonts w:ascii="Times New Roman" w:eastAsia="Times New Roman" w:hAnsi="Times New Roman" w:cs="Times New Roman"/>
          <w:b/>
          <w:bCs/>
        </w:rPr>
      </w:pPr>
    </w:p>
    <w:p w14:paraId="500FE716"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5.</w:t>
      </w:r>
      <w:r>
        <w:rPr>
          <w:rFonts w:ascii="Times New Roman" w:hAnsi="Times New Roman"/>
          <w:b/>
        </w:rPr>
        <w:tab/>
        <w:t>PROPRIÉTÉS PHARMACOLOGIQUES</w:t>
      </w:r>
    </w:p>
    <w:p w14:paraId="0D212A03" w14:textId="77777777" w:rsidR="001C7C0E" w:rsidRPr="005E3BF6" w:rsidRDefault="001C7C0E" w:rsidP="00CB615C">
      <w:pPr>
        <w:widowControl/>
        <w:spacing w:after="0" w:line="240" w:lineRule="auto"/>
        <w:rPr>
          <w:rFonts w:ascii="Times New Roman" w:hAnsi="Times New Roman" w:cs="Times New Roman"/>
        </w:rPr>
      </w:pPr>
    </w:p>
    <w:p w14:paraId="4C556199"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5.1</w:t>
      </w:r>
      <w:r>
        <w:rPr>
          <w:rFonts w:ascii="Times New Roman" w:hAnsi="Times New Roman"/>
          <w:b/>
        </w:rPr>
        <w:tab/>
        <w:t>Propriétés pharmacodynamiques</w:t>
      </w:r>
    </w:p>
    <w:p w14:paraId="028E0061" w14:textId="77777777" w:rsidR="001C7C0E" w:rsidRPr="005E3BF6" w:rsidRDefault="001C7C0E" w:rsidP="00CB615C">
      <w:pPr>
        <w:widowControl/>
        <w:spacing w:after="0" w:line="240" w:lineRule="auto"/>
        <w:rPr>
          <w:rFonts w:ascii="Times New Roman" w:hAnsi="Times New Roman" w:cs="Times New Roman"/>
        </w:rPr>
      </w:pPr>
    </w:p>
    <w:p w14:paraId="41BB6A38" w14:textId="717AA359" w:rsidR="0091069D" w:rsidRPr="005E3BF6" w:rsidRDefault="00080994" w:rsidP="00CB615C">
      <w:pPr>
        <w:widowControl/>
        <w:spacing w:after="0" w:line="240" w:lineRule="auto"/>
        <w:ind w:left="1"/>
        <w:rPr>
          <w:rFonts w:ascii="Times New Roman" w:eastAsia="Times New Roman" w:hAnsi="Times New Roman" w:cs="Times New Roman"/>
          <w:spacing w:val="3"/>
        </w:rPr>
      </w:pPr>
      <w:r>
        <w:rPr>
          <w:rFonts w:ascii="Times New Roman" w:hAnsi="Times New Roman"/>
        </w:rPr>
        <w:t>Classe pharmacothérapeutique : Immunosuppresseurs, immunosuppresseurs sélectifs,</w:t>
      </w:r>
    </w:p>
    <w:p w14:paraId="1CB13BE4" w14:textId="2237790B"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Code ATC : </w:t>
      </w:r>
      <w:r w:rsidR="00B07B52" w:rsidRPr="00E15ABA">
        <w:rPr>
          <w:rFonts w:ascii="Times New Roman" w:eastAsia="Times New Roman" w:hAnsi="Times New Roman" w:cs="Times New Roman"/>
        </w:rPr>
        <w:t>L04AE01</w:t>
      </w:r>
    </w:p>
    <w:p w14:paraId="56536B94" w14:textId="77777777" w:rsidR="001C7C0E" w:rsidRPr="005E3BF6" w:rsidRDefault="001C7C0E" w:rsidP="00CB615C">
      <w:pPr>
        <w:widowControl/>
        <w:spacing w:after="0" w:line="240" w:lineRule="auto"/>
        <w:rPr>
          <w:rFonts w:ascii="Times New Roman" w:hAnsi="Times New Roman" w:cs="Times New Roman"/>
        </w:rPr>
      </w:pPr>
    </w:p>
    <w:p w14:paraId="5952DDC3"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Mécanisme d’action</w:t>
      </w:r>
    </w:p>
    <w:p w14:paraId="2921D0E1" w14:textId="77777777" w:rsidR="00D658ED" w:rsidRDefault="00D658ED" w:rsidP="00CB615C">
      <w:pPr>
        <w:widowControl/>
        <w:spacing w:after="0" w:line="240" w:lineRule="auto"/>
        <w:ind w:left="1"/>
        <w:rPr>
          <w:rFonts w:ascii="Times New Roman" w:eastAsia="Times New Roman" w:hAnsi="Times New Roman" w:cs="Times New Roman"/>
        </w:rPr>
      </w:pPr>
    </w:p>
    <w:p w14:paraId="6C5C3C79" w14:textId="2201D301" w:rsidR="00683976"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est un modulateur des récepteurs à la sphingosine 1-phosphate. Il est métabolisé par la sphingosine kinase en phosphate de </w:t>
      </w:r>
      <w:proofErr w:type="spellStart"/>
      <w:r>
        <w:rPr>
          <w:rFonts w:ascii="Times New Roman" w:hAnsi="Times New Roman"/>
        </w:rPr>
        <w:t>fingolimod</w:t>
      </w:r>
      <w:proofErr w:type="spellEnd"/>
      <w:r>
        <w:rPr>
          <w:rFonts w:ascii="Times New Roman" w:hAnsi="Times New Roman"/>
        </w:rPr>
        <w:t xml:space="preserve">, son métabolite actif. Le phosphate de </w:t>
      </w:r>
      <w:proofErr w:type="spellStart"/>
      <w:r>
        <w:rPr>
          <w:rFonts w:ascii="Times New Roman" w:hAnsi="Times New Roman"/>
        </w:rPr>
        <w:t>fingolimod</w:t>
      </w:r>
      <w:proofErr w:type="spellEnd"/>
      <w:r>
        <w:rPr>
          <w:rFonts w:ascii="Times New Roman" w:hAnsi="Times New Roman"/>
        </w:rPr>
        <w:t xml:space="preserve"> se lie à des concentrations </w:t>
      </w:r>
      <w:proofErr w:type="spellStart"/>
      <w:r>
        <w:rPr>
          <w:rFonts w:ascii="Times New Roman" w:hAnsi="Times New Roman"/>
        </w:rPr>
        <w:t>nanomolaires</w:t>
      </w:r>
      <w:proofErr w:type="spellEnd"/>
      <w:r>
        <w:rPr>
          <w:rFonts w:ascii="Times New Roman" w:hAnsi="Times New Roman"/>
        </w:rPr>
        <w:t xml:space="preserve"> faibles aux récepteurs à la sphingosine 1-phosphate (S1P) de type 1 présents sur les lymphocytes et traverse facilement la barrière hémato-encéphalique pour se lier aux récepteurs à la S1P de type 1 situés sur les cellules neurales dans le système nerveux central (SNC). En agissant comme un antagoniste fonctionnel des récepteurs à la S1P sur les lymphocytes, le phosphate de </w:t>
      </w:r>
      <w:proofErr w:type="spellStart"/>
      <w:r>
        <w:rPr>
          <w:rFonts w:ascii="Times New Roman" w:hAnsi="Times New Roman"/>
        </w:rPr>
        <w:t>fingolimod</w:t>
      </w:r>
      <w:proofErr w:type="spellEnd"/>
      <w:r>
        <w:rPr>
          <w:rFonts w:ascii="Times New Roman" w:hAnsi="Times New Roman"/>
        </w:rPr>
        <w:t xml:space="preserve"> provoque leur séquestration dans les ganglions lymphatiques, ce qui entraîne une redistribution des lymphocytes, plutôt qu’une déplétion. Des études chez l’animal ont montré que cette redistribution diminue l’infiltration des lymphocytes pathogènes, incluant les cellules Th17 pro-inflammatoires, dans le SNC, où ils seraient impliqués dans l’inflammation des nerfs et les lésions du tissu nerveux. Les études chez l’animal et les expérimentations </w:t>
      </w:r>
      <w:r>
        <w:rPr>
          <w:rFonts w:ascii="Times New Roman" w:hAnsi="Times New Roman"/>
          <w:i/>
        </w:rPr>
        <w:t xml:space="preserve">in vitro </w:t>
      </w:r>
      <w:r>
        <w:rPr>
          <w:rFonts w:ascii="Times New Roman" w:hAnsi="Times New Roman"/>
        </w:rPr>
        <w:t xml:space="preserve">indiquent que le </w:t>
      </w:r>
      <w:proofErr w:type="spellStart"/>
      <w:r>
        <w:rPr>
          <w:rFonts w:ascii="Times New Roman" w:hAnsi="Times New Roman"/>
        </w:rPr>
        <w:t>fingolimod</w:t>
      </w:r>
      <w:proofErr w:type="spellEnd"/>
      <w:r>
        <w:rPr>
          <w:rFonts w:ascii="Times New Roman" w:hAnsi="Times New Roman"/>
        </w:rPr>
        <w:t xml:space="preserve"> peut aussi agir par son interaction avec les récepteurs à la S1P présents sur les cellules neurales.</w:t>
      </w:r>
    </w:p>
    <w:p w14:paraId="2988DCB4" w14:textId="77777777" w:rsidR="00683976" w:rsidRPr="005E3BF6" w:rsidRDefault="00683976" w:rsidP="00CB615C">
      <w:pPr>
        <w:widowControl/>
        <w:spacing w:after="0" w:line="240" w:lineRule="auto"/>
        <w:ind w:left="1"/>
        <w:rPr>
          <w:rFonts w:ascii="Times New Roman" w:eastAsia="Times New Roman" w:hAnsi="Times New Roman" w:cs="Times New Roman"/>
        </w:rPr>
      </w:pPr>
    </w:p>
    <w:p w14:paraId="0287AADA"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Effets pharmacodynamiques</w:t>
      </w:r>
    </w:p>
    <w:p w14:paraId="5220F0F1" w14:textId="77777777" w:rsidR="00D658ED" w:rsidRDefault="00D658ED" w:rsidP="00CB615C">
      <w:pPr>
        <w:widowControl/>
        <w:spacing w:after="0" w:line="240" w:lineRule="auto"/>
        <w:ind w:left="1"/>
        <w:rPr>
          <w:rFonts w:ascii="Times New Roman" w:eastAsia="Times New Roman" w:hAnsi="Times New Roman" w:cs="Times New Roman"/>
        </w:rPr>
      </w:pPr>
    </w:p>
    <w:p w14:paraId="33CCBEF1" w14:textId="5BC8D838"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Dans les 4 à 6 heures suivant la première administration de </w:t>
      </w:r>
      <w:proofErr w:type="spellStart"/>
      <w:r>
        <w:rPr>
          <w:rFonts w:ascii="Times New Roman" w:hAnsi="Times New Roman"/>
        </w:rPr>
        <w:t>fingolimod</w:t>
      </w:r>
      <w:proofErr w:type="spellEnd"/>
      <w:r>
        <w:rPr>
          <w:rFonts w:ascii="Times New Roman" w:hAnsi="Times New Roman"/>
        </w:rPr>
        <w:t xml:space="preserve"> 0,5 mg, le taux de lymphocytes dans le sang périphérique diminue jusqu’à environ 75 % de la valeur initiale. Avec une administration quotidienne continue, le taux de lymphocytes continue à diminuer sur une période de deux semaines, pour atteindre un taux minimal d’environ 500 cellules/microlitre ou environ 30 % de la valeur initiale. Un taux minimal inférieur à 200 cellules/microlitre a été observé chez 18 % des patients lors d’au moins un contrôle de la numération. Des taux de lymphocytes faibles sont maintenus en cas d’administration quotidienne chronique. La majorité des lymphocytes T et B circulants transitent en permanence par les organes lymphoïdes et sont les principales cellules ciblées par le </w:t>
      </w:r>
      <w:proofErr w:type="spellStart"/>
      <w:r>
        <w:rPr>
          <w:rFonts w:ascii="Times New Roman" w:hAnsi="Times New Roman"/>
        </w:rPr>
        <w:t>fingolimod</w:t>
      </w:r>
      <w:proofErr w:type="spellEnd"/>
      <w:r>
        <w:rPr>
          <w:rFonts w:ascii="Times New Roman" w:hAnsi="Times New Roman"/>
        </w:rPr>
        <w:t xml:space="preserve">. Environ 15 à 20 % des lymphocytes T ont un phénotype de cellules T mémoires effectrices, cellules jouant un rôle important dans la surveillance immunitaire périphérique. La caractéristique de ce sous-groupe de lymphocytes étant de ne pas pénétrer dans les organes lymphoïdes, ils ne sont pas affectés par le </w:t>
      </w:r>
      <w:proofErr w:type="spellStart"/>
      <w:r>
        <w:rPr>
          <w:rFonts w:ascii="Times New Roman" w:hAnsi="Times New Roman"/>
        </w:rPr>
        <w:t>fingolimod</w:t>
      </w:r>
      <w:proofErr w:type="spellEnd"/>
      <w:r>
        <w:rPr>
          <w:rFonts w:ascii="Times New Roman" w:hAnsi="Times New Roman"/>
        </w:rPr>
        <w:t xml:space="preserve">. L’augmentation du taux de lymphocytes périphériques est manifeste en quelques jours après l’arrêt du traitement et en général, le taux revient à la normale en un à deux mois. L’administration chronique de </w:t>
      </w:r>
      <w:proofErr w:type="spellStart"/>
      <w:r>
        <w:rPr>
          <w:rFonts w:ascii="Times New Roman" w:hAnsi="Times New Roman"/>
        </w:rPr>
        <w:t>fingolimod</w:t>
      </w:r>
      <w:proofErr w:type="spellEnd"/>
      <w:r>
        <w:rPr>
          <w:rFonts w:ascii="Times New Roman" w:hAnsi="Times New Roman"/>
        </w:rPr>
        <w:t xml:space="preserve"> entraîne une légère diminution du taux de neutrophiles, à environ 80 % de la valeur initiale. Le </w:t>
      </w:r>
      <w:proofErr w:type="spellStart"/>
      <w:r>
        <w:rPr>
          <w:rFonts w:ascii="Times New Roman" w:hAnsi="Times New Roman"/>
        </w:rPr>
        <w:t>fingolimod</w:t>
      </w:r>
      <w:proofErr w:type="spellEnd"/>
      <w:r>
        <w:rPr>
          <w:rFonts w:ascii="Times New Roman" w:hAnsi="Times New Roman"/>
        </w:rPr>
        <w:t xml:space="preserve"> n’a pas d’effet sur les monocytes.</w:t>
      </w:r>
    </w:p>
    <w:p w14:paraId="50C5EF9A" w14:textId="77777777" w:rsidR="001C7C0E" w:rsidRPr="005E3BF6" w:rsidRDefault="001C7C0E" w:rsidP="00CB615C">
      <w:pPr>
        <w:widowControl/>
        <w:spacing w:after="0" w:line="240" w:lineRule="auto"/>
        <w:rPr>
          <w:rFonts w:ascii="Times New Roman" w:hAnsi="Times New Roman" w:cs="Times New Roman"/>
        </w:rPr>
      </w:pPr>
    </w:p>
    <w:p w14:paraId="5485CECC" w14:textId="4E0D081F"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provoque une diminution transitoire de la fréquence cardiaque et diminue la conduction auriculo-ventriculaire en début de traitement (voir rubriques 4.4 et 4.8). La diminution maximale de la fréquence cardiaque est observée dans les 6 heures suivant l’administration, 70 % de l’effet chronotrope négatif étant atteint le premier jour. Avec la poursuite du traitement, la fréquence cardiaque revient à sa valeur initiale en un mois. La diminution de la fréquence cardiaque induite par le </w:t>
      </w:r>
      <w:proofErr w:type="spellStart"/>
      <w:r>
        <w:rPr>
          <w:rFonts w:ascii="Times New Roman" w:hAnsi="Times New Roman"/>
        </w:rPr>
        <w:t>fingolimod</w:t>
      </w:r>
      <w:proofErr w:type="spellEnd"/>
      <w:r>
        <w:rPr>
          <w:rFonts w:ascii="Times New Roman" w:hAnsi="Times New Roman"/>
        </w:rPr>
        <w:t xml:space="preserve"> peut être inversée par l’administration parentérale d’atropine ou d’isoprénaline. Le salmétérol inhalé s’est révélé avoir un effet chronotrope positif modeste. Une augmentation des extrasystoles auriculaires est observée lors de l’instauration du traitement par </w:t>
      </w:r>
      <w:proofErr w:type="spellStart"/>
      <w:r>
        <w:rPr>
          <w:rFonts w:ascii="Times New Roman" w:hAnsi="Times New Roman"/>
        </w:rPr>
        <w:t>fingolimod</w:t>
      </w:r>
      <w:proofErr w:type="spellEnd"/>
      <w:r>
        <w:rPr>
          <w:rFonts w:ascii="Times New Roman" w:hAnsi="Times New Roman"/>
        </w:rPr>
        <w:t xml:space="preserve">, mais sans incidence accrue des fibrillation/flutter auriculaires ou des arythmies ou ectopies ventriculaires. Le traitement par </w:t>
      </w:r>
      <w:proofErr w:type="spellStart"/>
      <w:r>
        <w:rPr>
          <w:rFonts w:ascii="Times New Roman" w:hAnsi="Times New Roman"/>
        </w:rPr>
        <w:t>fingolimod</w:t>
      </w:r>
      <w:proofErr w:type="spellEnd"/>
      <w:r>
        <w:rPr>
          <w:rFonts w:ascii="Times New Roman" w:hAnsi="Times New Roman"/>
        </w:rPr>
        <w:t xml:space="preserve"> n’est pas associé à une diminution du débit cardiaque. Le traitement n’affecte pas les réponses cardiaques autonomes, incluant la variation diurne de la fréquence cardiaque et la réponse à l’effort.</w:t>
      </w:r>
    </w:p>
    <w:p w14:paraId="2C5B3882" w14:textId="77777777" w:rsidR="001C7C0E" w:rsidRPr="005E3BF6" w:rsidRDefault="001C7C0E" w:rsidP="00CB615C">
      <w:pPr>
        <w:widowControl/>
        <w:spacing w:after="0" w:line="240" w:lineRule="auto"/>
        <w:rPr>
          <w:rFonts w:ascii="Times New Roman" w:hAnsi="Times New Roman" w:cs="Times New Roman"/>
        </w:rPr>
      </w:pPr>
    </w:p>
    <w:p w14:paraId="4293A93F"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récepteur S1P4 pourrait partiellement contribuer à l’effet mais il n’a pas été le principal responsable de la déplétion lymphoïde. Les mécanismes de bradycardie et de vasoconstriction ont également été étudiés </w:t>
      </w:r>
      <w:r>
        <w:rPr>
          <w:rFonts w:ascii="Times New Roman" w:hAnsi="Times New Roman"/>
          <w:i/>
        </w:rPr>
        <w:t xml:space="preserve">in vitro </w:t>
      </w:r>
      <w:r>
        <w:rPr>
          <w:rFonts w:ascii="Times New Roman" w:hAnsi="Times New Roman"/>
        </w:rPr>
        <w:t>chez des cobayes et dans l’aorte et les artères coronaires isolées de lapins. Il a été conclu que la bradycardie pourrait être principalement induite par l’activation des canaux potassiques à rectification entrante ou des canaux K+ à rectification entrante activés par les protéines G (</w:t>
      </w:r>
      <w:proofErr w:type="spellStart"/>
      <w:r>
        <w:rPr>
          <w:rFonts w:ascii="Times New Roman" w:hAnsi="Times New Roman"/>
        </w:rPr>
        <w:t>IKACh</w:t>
      </w:r>
      <w:proofErr w:type="spellEnd"/>
      <w:r>
        <w:rPr>
          <w:rFonts w:ascii="Times New Roman" w:hAnsi="Times New Roman"/>
        </w:rPr>
        <w:t>/GIRK) et que la vasoconstriction semble induite par un mécanisme dépendant de la Rho kinase et du calcium.</w:t>
      </w:r>
    </w:p>
    <w:p w14:paraId="35D09D72" w14:textId="77777777" w:rsidR="001C7C0E" w:rsidRPr="005E3BF6" w:rsidRDefault="001C7C0E" w:rsidP="00CB615C">
      <w:pPr>
        <w:widowControl/>
        <w:spacing w:after="0" w:line="240" w:lineRule="auto"/>
        <w:rPr>
          <w:rFonts w:ascii="Times New Roman" w:hAnsi="Times New Roman" w:cs="Times New Roman"/>
        </w:rPr>
      </w:pPr>
    </w:p>
    <w:p w14:paraId="1F34E3CD" w14:textId="2ED1D1E0"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L’administration de doses uniques ou répétées de 0,5 mg et 1,25 mg de </w:t>
      </w:r>
      <w:proofErr w:type="spellStart"/>
      <w:r>
        <w:rPr>
          <w:rFonts w:ascii="Times New Roman" w:hAnsi="Times New Roman"/>
        </w:rPr>
        <w:t>fingolimod</w:t>
      </w:r>
      <w:proofErr w:type="spellEnd"/>
      <w:r>
        <w:rPr>
          <w:rFonts w:ascii="Times New Roman" w:hAnsi="Times New Roman"/>
        </w:rPr>
        <w:t xml:space="preserve"> pendant deux semaines n’est pas associée à une augmentation détectable de la résistance des voies aériennes, mesurée par le VEMS et le débit expiratoire maximal (DEM) 25-75. Cependant, des doses uniques de </w:t>
      </w:r>
      <w:proofErr w:type="spellStart"/>
      <w:r>
        <w:rPr>
          <w:rFonts w:ascii="Times New Roman" w:hAnsi="Times New Roman"/>
        </w:rPr>
        <w:t>fingolimod</w:t>
      </w:r>
      <w:proofErr w:type="spellEnd"/>
      <w:r>
        <w:rPr>
          <w:rFonts w:ascii="Times New Roman" w:hAnsi="Times New Roman"/>
        </w:rPr>
        <w:t xml:space="preserve"> ≥ 5 mg (soit 10 fois la dose recommandée) sont associées à une augmentation dose-dépendante de la résistance des voies aériennes. L’administration de doses répétées de 0,5 mg, 1,25 mg ou 5 mg n’est pas associée à une diminution de l’oxygénation ou à une désaturation en oxygène lors de l’effort ou à une augmentation de la réactivité des voies aériennes à la </w:t>
      </w:r>
      <w:proofErr w:type="spellStart"/>
      <w:r>
        <w:rPr>
          <w:rFonts w:ascii="Times New Roman" w:hAnsi="Times New Roman"/>
        </w:rPr>
        <w:t>méthacholine</w:t>
      </w:r>
      <w:proofErr w:type="spellEnd"/>
      <w:r>
        <w:rPr>
          <w:rFonts w:ascii="Times New Roman" w:hAnsi="Times New Roman"/>
        </w:rPr>
        <w:t xml:space="preserve">. Les sujets traités par </w:t>
      </w:r>
      <w:proofErr w:type="spellStart"/>
      <w:r>
        <w:rPr>
          <w:rFonts w:ascii="Times New Roman" w:hAnsi="Times New Roman"/>
        </w:rPr>
        <w:t>fingolimod</w:t>
      </w:r>
      <w:proofErr w:type="spellEnd"/>
      <w:r>
        <w:rPr>
          <w:rFonts w:ascii="Times New Roman" w:hAnsi="Times New Roman"/>
        </w:rPr>
        <w:t xml:space="preserve"> ont une réponse bronchodilatatrice normale aux bêta-agonistes inhalés.</w:t>
      </w:r>
    </w:p>
    <w:p w14:paraId="4B13EA97" w14:textId="77777777" w:rsidR="001C7C0E" w:rsidRPr="005E3BF6" w:rsidRDefault="001C7C0E" w:rsidP="00CB615C">
      <w:pPr>
        <w:widowControl/>
        <w:spacing w:after="0" w:line="240" w:lineRule="auto"/>
        <w:rPr>
          <w:rFonts w:ascii="Times New Roman" w:hAnsi="Times New Roman" w:cs="Times New Roman"/>
        </w:rPr>
      </w:pPr>
    </w:p>
    <w:p w14:paraId="561B88C2"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Efficacité et sécurité cliniques</w:t>
      </w:r>
    </w:p>
    <w:p w14:paraId="2111512B" w14:textId="77777777" w:rsidR="00D658ED" w:rsidRDefault="00D658ED" w:rsidP="00CB615C">
      <w:pPr>
        <w:widowControl/>
        <w:spacing w:after="0" w:line="240" w:lineRule="auto"/>
        <w:ind w:left="1"/>
        <w:rPr>
          <w:rFonts w:ascii="Times New Roman" w:eastAsia="Times New Roman" w:hAnsi="Times New Roman" w:cs="Times New Roman"/>
          <w:spacing w:val="2"/>
        </w:rPr>
      </w:pPr>
    </w:p>
    <w:p w14:paraId="198F7708" w14:textId="6950FD3B" w:rsidR="00683976"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L’efficacité du </w:t>
      </w:r>
      <w:proofErr w:type="spellStart"/>
      <w:r>
        <w:rPr>
          <w:rFonts w:ascii="Times New Roman" w:hAnsi="Times New Roman"/>
        </w:rPr>
        <w:t>fingolimod</w:t>
      </w:r>
      <w:proofErr w:type="spellEnd"/>
      <w:r>
        <w:rPr>
          <w:rFonts w:ascii="Times New Roman" w:hAnsi="Times New Roman"/>
        </w:rPr>
        <w:t xml:space="preserve"> a été démontrée dans deux études visant à évaluer les doses de 0,5 mg et 1,25 mg une fois par jour chez des patients adultes atteints de sclérose en plaques rémittente-récurrente (SEP-RR). Les patients adultes inclus dans les deux études avaient présenté au moins 2 poussées au cours des deux années précédentes ou au moins 1 poussée au cours de l’année précédente. Les scores </w:t>
      </w:r>
      <w:r>
        <w:rPr>
          <w:rFonts w:ascii="Times New Roman" w:hAnsi="Times New Roman"/>
        </w:rPr>
        <w:lastRenderedPageBreak/>
        <w:t>sur l’échelle EDSS (</w:t>
      </w:r>
      <w:proofErr w:type="spellStart"/>
      <w:r>
        <w:rPr>
          <w:rFonts w:ascii="Times New Roman" w:hAnsi="Times New Roman"/>
          <w:i/>
          <w:iCs/>
        </w:rPr>
        <w:t>Expanded</w:t>
      </w:r>
      <w:proofErr w:type="spellEnd"/>
      <w:r>
        <w:rPr>
          <w:rFonts w:ascii="Times New Roman" w:hAnsi="Times New Roman"/>
          <w:i/>
          <w:iCs/>
        </w:rPr>
        <w:t xml:space="preserve"> </w:t>
      </w:r>
      <w:proofErr w:type="spellStart"/>
      <w:r>
        <w:rPr>
          <w:rFonts w:ascii="Times New Roman" w:hAnsi="Times New Roman"/>
          <w:i/>
          <w:iCs/>
        </w:rPr>
        <w:t>Disability</w:t>
      </w:r>
      <w:proofErr w:type="spellEnd"/>
      <w:r>
        <w:rPr>
          <w:rFonts w:ascii="Times New Roman" w:hAnsi="Times New Roman"/>
          <w:i/>
          <w:iCs/>
        </w:rPr>
        <w:t xml:space="preserve"> </w:t>
      </w:r>
      <w:proofErr w:type="spellStart"/>
      <w:r>
        <w:rPr>
          <w:rFonts w:ascii="Times New Roman" w:hAnsi="Times New Roman"/>
          <w:i/>
          <w:iCs/>
        </w:rPr>
        <w:t>Status</w:t>
      </w:r>
      <w:proofErr w:type="spellEnd"/>
      <w:r>
        <w:rPr>
          <w:rFonts w:ascii="Times New Roman" w:hAnsi="Times New Roman"/>
          <w:i/>
          <w:iCs/>
        </w:rPr>
        <w:t xml:space="preserve"> Score</w:t>
      </w:r>
      <w:r>
        <w:rPr>
          <w:rFonts w:ascii="Times New Roman" w:hAnsi="Times New Roman"/>
        </w:rPr>
        <w:t xml:space="preserve">) étaient compris entre 0 et 5.5. Une troisième étude ciblant la même population adulte s’est terminée après l’enregistrement du </w:t>
      </w:r>
      <w:proofErr w:type="spellStart"/>
      <w:r>
        <w:rPr>
          <w:rFonts w:ascii="Times New Roman" w:hAnsi="Times New Roman"/>
        </w:rPr>
        <w:t>fingolimod</w:t>
      </w:r>
      <w:proofErr w:type="spellEnd"/>
      <w:r>
        <w:rPr>
          <w:rFonts w:ascii="Times New Roman" w:hAnsi="Times New Roman"/>
        </w:rPr>
        <w:t>.</w:t>
      </w:r>
    </w:p>
    <w:p w14:paraId="2FD62BE0" w14:textId="77777777" w:rsidR="00683976" w:rsidRPr="005E3BF6" w:rsidRDefault="00683976" w:rsidP="00CB615C">
      <w:pPr>
        <w:widowControl/>
        <w:spacing w:after="0" w:line="240" w:lineRule="auto"/>
        <w:ind w:left="1"/>
        <w:rPr>
          <w:rFonts w:ascii="Times New Roman" w:eastAsia="Times New Roman" w:hAnsi="Times New Roman" w:cs="Times New Roman"/>
        </w:rPr>
      </w:pPr>
    </w:p>
    <w:p w14:paraId="465DEC2B" w14:textId="698716A0" w:rsidR="001C7C0E" w:rsidRPr="005E3BF6" w:rsidRDefault="00080994" w:rsidP="00CB615C">
      <w:pPr>
        <w:keepLines/>
        <w:widowControl/>
        <w:spacing w:after="0" w:line="240" w:lineRule="auto"/>
        <w:ind w:left="1"/>
        <w:rPr>
          <w:rFonts w:ascii="Times New Roman" w:eastAsia="Times New Roman" w:hAnsi="Times New Roman" w:cs="Times New Roman"/>
        </w:rPr>
      </w:pPr>
      <w:r>
        <w:rPr>
          <w:rFonts w:ascii="Times New Roman" w:hAnsi="Times New Roman"/>
        </w:rPr>
        <w:t>L’étude D2301 (FREEDOMS) était une étude de phase III randomisée en double aveugle, contrôlée contre placebo de 2 ans, conduite chez 1 272 patients (n = 425 sous 0,5 mg, 429 sous 1,25 mg, 418 sous placebo). Les valeurs médianes des caractéristiques initiales étaient de : 37 ans pour l’âge, 6,7 ans pour l’ancienneté de la maladie et 2.0 pour le score EDSS. Les résultats de l’étude sont présentés dans le tableau 1. Il n’a pas été observé de différence significative entre les doses de 0,5 mg et 1,25 mg quel que soit le critère d’évaluation.</w:t>
      </w:r>
    </w:p>
    <w:p w14:paraId="1C3A0584" w14:textId="77777777" w:rsidR="001C7C0E" w:rsidRPr="005E3BF6" w:rsidRDefault="001C7C0E" w:rsidP="00CB615C">
      <w:pPr>
        <w:keepLines/>
        <w:widowControl/>
        <w:spacing w:after="0" w:line="240" w:lineRule="auto"/>
        <w:rPr>
          <w:rFonts w:ascii="Times New Roman" w:hAnsi="Times New Roman" w:cs="Times New Roman"/>
        </w:rPr>
      </w:pPr>
    </w:p>
    <w:p w14:paraId="78F24EE6" w14:textId="77777777" w:rsidR="001C7C0E" w:rsidRPr="005E3BF6" w:rsidRDefault="00080994" w:rsidP="00CB615C">
      <w:pPr>
        <w:keepLines/>
        <w:widowControl/>
        <w:tabs>
          <w:tab w:val="left" w:pos="1134"/>
        </w:tabs>
        <w:spacing w:after="0" w:line="240" w:lineRule="auto"/>
        <w:rPr>
          <w:rFonts w:ascii="Times New Roman" w:eastAsia="Times New Roman" w:hAnsi="Times New Roman" w:cs="Times New Roman"/>
        </w:rPr>
      </w:pPr>
      <w:r>
        <w:rPr>
          <w:rFonts w:ascii="Times New Roman" w:hAnsi="Times New Roman"/>
          <w:b/>
        </w:rPr>
        <w:t>Tableau 1</w:t>
      </w:r>
      <w:r>
        <w:rPr>
          <w:rFonts w:ascii="Times New Roman" w:hAnsi="Times New Roman"/>
          <w:b/>
        </w:rPr>
        <w:tab/>
        <w:t>Étude D2301 (FREEDOMS) : principaux résultats</w:t>
      </w:r>
    </w:p>
    <w:p w14:paraId="02C9C55E" w14:textId="77777777" w:rsidR="001C7C0E" w:rsidRPr="005E3BF6" w:rsidRDefault="001C7C0E" w:rsidP="00CB615C">
      <w:pPr>
        <w:keepLines/>
        <w:widowControl/>
        <w:spacing w:after="0" w:line="240" w:lineRule="auto"/>
        <w:rPr>
          <w:rFonts w:ascii="Times New Roman" w:hAnsi="Times New Roman" w:cs="Times New Roman"/>
        </w:rPr>
      </w:pPr>
    </w:p>
    <w:tbl>
      <w:tblPr>
        <w:tblW w:w="9072" w:type="dxa"/>
        <w:tblInd w:w="-5" w:type="dxa"/>
        <w:tblLook w:val="04A0" w:firstRow="1" w:lastRow="0" w:firstColumn="1" w:lastColumn="0" w:noHBand="0" w:noVBand="1"/>
      </w:tblPr>
      <w:tblGrid>
        <w:gridCol w:w="5925"/>
        <w:gridCol w:w="1843"/>
        <w:gridCol w:w="1304"/>
      </w:tblGrid>
      <w:tr w:rsidR="00E37FC5" w14:paraId="027EE742" w14:textId="77777777" w:rsidTr="00F61ADB">
        <w:trPr>
          <w:trHeight w:hRule="exact" w:val="570"/>
        </w:trPr>
        <w:tc>
          <w:tcPr>
            <w:tcW w:w="5925" w:type="dxa"/>
            <w:tcBorders>
              <w:top w:val="single" w:sz="4" w:space="0" w:color="auto"/>
              <w:left w:val="single" w:sz="4" w:space="0" w:color="auto"/>
              <w:bottom w:val="single" w:sz="4" w:space="0" w:color="auto"/>
              <w:right w:val="single" w:sz="4" w:space="0" w:color="auto"/>
            </w:tcBorders>
            <w:shd w:val="clear" w:color="auto" w:fill="auto"/>
            <w:hideMark/>
          </w:tcPr>
          <w:p w14:paraId="11A56BB6"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843" w:type="dxa"/>
            <w:tcBorders>
              <w:top w:val="single" w:sz="4" w:space="0" w:color="auto"/>
              <w:left w:val="nil"/>
              <w:bottom w:val="single" w:sz="4" w:space="0" w:color="auto"/>
              <w:right w:val="single" w:sz="4" w:space="0" w:color="auto"/>
            </w:tcBorders>
            <w:shd w:val="clear" w:color="auto" w:fill="auto"/>
            <w:hideMark/>
          </w:tcPr>
          <w:p w14:paraId="1221E051" w14:textId="24C64A5E" w:rsidR="00FC794F" w:rsidRPr="005E3BF6" w:rsidRDefault="00080994" w:rsidP="00CB615C">
            <w:pPr>
              <w:keepLines/>
              <w:widowControl/>
              <w:spacing w:after="0" w:line="240" w:lineRule="auto"/>
              <w:rPr>
                <w:rFonts w:ascii="Times New Roman" w:eastAsia="Times New Roman" w:hAnsi="Times New Roman" w:cs="Times New Roman"/>
                <w:b/>
                <w:bCs/>
                <w:color w:val="000000"/>
              </w:rPr>
            </w:pPr>
            <w:proofErr w:type="spellStart"/>
            <w:r>
              <w:rPr>
                <w:rFonts w:ascii="Times New Roman" w:hAnsi="Times New Roman"/>
                <w:b/>
                <w:color w:val="000000"/>
              </w:rPr>
              <w:t>Fingolimod</w:t>
            </w:r>
            <w:proofErr w:type="spellEnd"/>
            <w:r>
              <w:rPr>
                <w:rFonts w:ascii="Times New Roman" w:hAnsi="Times New Roman"/>
                <w:b/>
                <w:color w:val="000000"/>
              </w:rPr>
              <w:t xml:space="preserve"> 0,5 mg</w:t>
            </w:r>
          </w:p>
        </w:tc>
        <w:tc>
          <w:tcPr>
            <w:tcW w:w="1304" w:type="dxa"/>
            <w:tcBorders>
              <w:top w:val="single" w:sz="4" w:space="0" w:color="auto"/>
              <w:left w:val="nil"/>
              <w:bottom w:val="single" w:sz="4" w:space="0" w:color="auto"/>
              <w:right w:val="single" w:sz="4" w:space="0" w:color="auto"/>
            </w:tcBorders>
            <w:shd w:val="clear" w:color="auto" w:fill="auto"/>
            <w:hideMark/>
          </w:tcPr>
          <w:p w14:paraId="38A73A93" w14:textId="77777777" w:rsidR="00FC794F" w:rsidRPr="005E3BF6" w:rsidRDefault="00080994" w:rsidP="00CB615C">
            <w:pPr>
              <w:keepLines/>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Placebo</w:t>
            </w:r>
          </w:p>
        </w:tc>
      </w:tr>
      <w:tr w:rsidR="00E37FC5" w14:paraId="7382B392" w14:textId="77777777" w:rsidTr="00F61ADB">
        <w:trPr>
          <w:trHeight w:hRule="exact" w:val="300"/>
        </w:trPr>
        <w:tc>
          <w:tcPr>
            <w:tcW w:w="5925" w:type="dxa"/>
            <w:tcBorders>
              <w:top w:val="nil"/>
              <w:left w:val="single" w:sz="4" w:space="0" w:color="auto"/>
              <w:bottom w:val="single" w:sz="4" w:space="0" w:color="auto"/>
              <w:right w:val="single" w:sz="4" w:space="0" w:color="auto"/>
            </w:tcBorders>
            <w:shd w:val="clear" w:color="auto" w:fill="auto"/>
            <w:hideMark/>
          </w:tcPr>
          <w:p w14:paraId="597A77E3" w14:textId="77777777" w:rsidR="00FC794F" w:rsidRPr="005E3BF6" w:rsidRDefault="00080994" w:rsidP="00CB615C">
            <w:pPr>
              <w:keepLines/>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Critères cliniques</w:t>
            </w:r>
          </w:p>
        </w:tc>
        <w:tc>
          <w:tcPr>
            <w:tcW w:w="1843" w:type="dxa"/>
            <w:tcBorders>
              <w:top w:val="nil"/>
              <w:left w:val="nil"/>
              <w:bottom w:val="single" w:sz="4" w:space="0" w:color="auto"/>
              <w:right w:val="single" w:sz="4" w:space="0" w:color="auto"/>
            </w:tcBorders>
            <w:shd w:val="clear" w:color="auto" w:fill="auto"/>
            <w:hideMark/>
          </w:tcPr>
          <w:p w14:paraId="4A56200D"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304" w:type="dxa"/>
            <w:tcBorders>
              <w:top w:val="nil"/>
              <w:left w:val="nil"/>
              <w:bottom w:val="single" w:sz="4" w:space="0" w:color="auto"/>
              <w:right w:val="single" w:sz="4" w:space="0" w:color="auto"/>
            </w:tcBorders>
            <w:shd w:val="clear" w:color="auto" w:fill="auto"/>
            <w:hideMark/>
          </w:tcPr>
          <w:p w14:paraId="6518625F"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r>
      <w:tr w:rsidR="00E37FC5" w14:paraId="3687F4CE" w14:textId="77777777" w:rsidTr="00F61ADB">
        <w:trPr>
          <w:trHeight w:hRule="exact" w:val="422"/>
        </w:trPr>
        <w:tc>
          <w:tcPr>
            <w:tcW w:w="5925" w:type="dxa"/>
            <w:tcBorders>
              <w:top w:val="nil"/>
              <w:left w:val="single" w:sz="4" w:space="0" w:color="auto"/>
              <w:bottom w:val="single" w:sz="4" w:space="0" w:color="auto"/>
              <w:right w:val="single" w:sz="4" w:space="0" w:color="auto"/>
            </w:tcBorders>
            <w:shd w:val="clear" w:color="auto" w:fill="auto"/>
            <w:hideMark/>
          </w:tcPr>
          <w:p w14:paraId="782FD8CE"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Taux annualisé de poussées (critère principal)</w:t>
            </w:r>
          </w:p>
        </w:tc>
        <w:tc>
          <w:tcPr>
            <w:tcW w:w="1843" w:type="dxa"/>
            <w:tcBorders>
              <w:top w:val="nil"/>
              <w:left w:val="nil"/>
              <w:bottom w:val="single" w:sz="4" w:space="0" w:color="auto"/>
              <w:right w:val="single" w:sz="4" w:space="0" w:color="auto"/>
            </w:tcBorders>
            <w:shd w:val="clear" w:color="auto" w:fill="auto"/>
            <w:hideMark/>
          </w:tcPr>
          <w:p w14:paraId="5E9D3EE9"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0,18**</w:t>
            </w:r>
          </w:p>
        </w:tc>
        <w:tc>
          <w:tcPr>
            <w:tcW w:w="1304" w:type="dxa"/>
            <w:tcBorders>
              <w:top w:val="nil"/>
              <w:left w:val="nil"/>
              <w:bottom w:val="single" w:sz="4" w:space="0" w:color="auto"/>
              <w:right w:val="single" w:sz="4" w:space="0" w:color="auto"/>
            </w:tcBorders>
            <w:shd w:val="clear" w:color="auto" w:fill="auto"/>
            <w:hideMark/>
          </w:tcPr>
          <w:p w14:paraId="51835606"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0,4</w:t>
            </w:r>
          </w:p>
        </w:tc>
      </w:tr>
      <w:tr w:rsidR="00E37FC5" w14:paraId="68673964" w14:textId="77777777" w:rsidTr="00F61ADB">
        <w:trPr>
          <w:trHeight w:hRule="exact" w:val="361"/>
        </w:trPr>
        <w:tc>
          <w:tcPr>
            <w:tcW w:w="5925" w:type="dxa"/>
            <w:tcBorders>
              <w:top w:val="nil"/>
              <w:left w:val="single" w:sz="4" w:space="0" w:color="auto"/>
              <w:bottom w:val="single" w:sz="4" w:space="0" w:color="auto"/>
              <w:right w:val="single" w:sz="4" w:space="0" w:color="auto"/>
            </w:tcBorders>
            <w:shd w:val="clear" w:color="auto" w:fill="auto"/>
            <w:hideMark/>
          </w:tcPr>
          <w:p w14:paraId="18C74766" w14:textId="7E7BDCFA"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Pourcentage de patients libres de poussée à 24 mois</w:t>
            </w:r>
          </w:p>
        </w:tc>
        <w:tc>
          <w:tcPr>
            <w:tcW w:w="1843" w:type="dxa"/>
            <w:tcBorders>
              <w:top w:val="nil"/>
              <w:left w:val="nil"/>
              <w:bottom w:val="nil"/>
              <w:right w:val="single" w:sz="4" w:space="0" w:color="auto"/>
            </w:tcBorders>
            <w:shd w:val="clear" w:color="auto" w:fill="auto"/>
            <w:hideMark/>
          </w:tcPr>
          <w:p w14:paraId="300ACF40"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70 %**</w:t>
            </w:r>
          </w:p>
        </w:tc>
        <w:tc>
          <w:tcPr>
            <w:tcW w:w="1304" w:type="dxa"/>
            <w:tcBorders>
              <w:top w:val="nil"/>
              <w:left w:val="nil"/>
              <w:bottom w:val="nil"/>
              <w:right w:val="single" w:sz="4" w:space="0" w:color="auto"/>
            </w:tcBorders>
            <w:shd w:val="clear" w:color="auto" w:fill="auto"/>
            <w:hideMark/>
          </w:tcPr>
          <w:p w14:paraId="29BD90C2"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46 %</w:t>
            </w:r>
          </w:p>
        </w:tc>
      </w:tr>
      <w:tr w:rsidR="00E37FC5" w14:paraId="2E005470" w14:textId="77777777" w:rsidTr="00F61ADB">
        <w:trPr>
          <w:trHeight w:hRule="exact" w:val="855"/>
        </w:trPr>
        <w:tc>
          <w:tcPr>
            <w:tcW w:w="5925" w:type="dxa"/>
            <w:tcBorders>
              <w:top w:val="nil"/>
              <w:left w:val="single" w:sz="4" w:space="0" w:color="auto"/>
              <w:bottom w:val="single" w:sz="4" w:space="0" w:color="auto"/>
              <w:right w:val="single" w:sz="4" w:space="0" w:color="auto"/>
            </w:tcBorders>
            <w:shd w:val="clear" w:color="auto" w:fill="auto"/>
            <w:hideMark/>
          </w:tcPr>
          <w:p w14:paraId="5B11A624"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Pourcentage de patients présentant une progression du handicap</w:t>
            </w:r>
            <w:r>
              <w:rPr>
                <w:rFonts w:ascii="Times New Roman" w:hAnsi="Times New Roman"/>
                <w:color w:val="000000"/>
              </w:rPr>
              <w:br/>
              <w:t>confirmée à 3 mois†</w:t>
            </w:r>
            <w:r>
              <w:rPr>
                <w:rFonts w:ascii="Times New Roman" w:hAnsi="Times New Roman"/>
                <w:color w:val="000000"/>
              </w:rPr>
              <w:br/>
              <w:t>Rapport de risque (IC95 %)</w:t>
            </w:r>
          </w:p>
        </w:tc>
        <w:tc>
          <w:tcPr>
            <w:tcW w:w="1843" w:type="dxa"/>
            <w:tcBorders>
              <w:top w:val="single" w:sz="4" w:space="0" w:color="auto"/>
              <w:left w:val="nil"/>
              <w:bottom w:val="single" w:sz="4" w:space="0" w:color="auto"/>
              <w:right w:val="single" w:sz="4" w:space="0" w:color="auto"/>
            </w:tcBorders>
            <w:shd w:val="clear" w:color="auto" w:fill="auto"/>
            <w:hideMark/>
          </w:tcPr>
          <w:p w14:paraId="4F1F93BC" w14:textId="77777777" w:rsidR="00FC794F" w:rsidRPr="005E3BF6" w:rsidRDefault="00080994" w:rsidP="00F61ADB">
            <w:pPr>
              <w:keepLines/>
              <w:widowControl/>
              <w:spacing w:after="0" w:line="240" w:lineRule="auto"/>
              <w:ind w:right="-76"/>
              <w:rPr>
                <w:rFonts w:ascii="Times New Roman" w:eastAsia="Times New Roman" w:hAnsi="Times New Roman" w:cs="Times New Roman"/>
                <w:color w:val="000000"/>
              </w:rPr>
            </w:pPr>
            <w:r>
              <w:rPr>
                <w:rFonts w:ascii="Times New Roman" w:hAnsi="Times New Roman"/>
                <w:color w:val="000000"/>
              </w:rPr>
              <w:t>17 %</w:t>
            </w:r>
            <w:r>
              <w:rPr>
                <w:rFonts w:ascii="Times New Roman" w:hAnsi="Times New Roman"/>
                <w:color w:val="000000"/>
              </w:rPr>
              <w:br/>
            </w:r>
            <w:r>
              <w:rPr>
                <w:rFonts w:ascii="Times New Roman" w:hAnsi="Times New Roman"/>
                <w:color w:val="000000"/>
              </w:rPr>
              <w:br/>
              <w:t>0,70 (0,52 ; 0,</w:t>
            </w:r>
            <w:proofErr w:type="gramStart"/>
            <w:r>
              <w:rPr>
                <w:rFonts w:ascii="Times New Roman" w:hAnsi="Times New Roman"/>
                <w:color w:val="000000"/>
              </w:rPr>
              <w:t>96)*</w:t>
            </w:r>
            <w:proofErr w:type="gramEnd"/>
          </w:p>
        </w:tc>
        <w:tc>
          <w:tcPr>
            <w:tcW w:w="1304" w:type="dxa"/>
            <w:tcBorders>
              <w:top w:val="single" w:sz="4" w:space="0" w:color="auto"/>
              <w:left w:val="nil"/>
              <w:bottom w:val="nil"/>
              <w:right w:val="single" w:sz="4" w:space="0" w:color="auto"/>
            </w:tcBorders>
            <w:shd w:val="clear" w:color="auto" w:fill="auto"/>
            <w:hideMark/>
          </w:tcPr>
          <w:p w14:paraId="09737947"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24 %</w:t>
            </w:r>
          </w:p>
        </w:tc>
      </w:tr>
      <w:tr w:rsidR="00E37FC5" w14:paraId="42DE0940" w14:textId="77777777" w:rsidTr="00F61ADB">
        <w:trPr>
          <w:trHeight w:hRule="exact" w:val="300"/>
        </w:trPr>
        <w:tc>
          <w:tcPr>
            <w:tcW w:w="5925" w:type="dxa"/>
            <w:tcBorders>
              <w:top w:val="nil"/>
              <w:left w:val="single" w:sz="4" w:space="0" w:color="auto"/>
              <w:bottom w:val="single" w:sz="4" w:space="0" w:color="auto"/>
              <w:right w:val="single" w:sz="4" w:space="0" w:color="auto"/>
            </w:tcBorders>
            <w:shd w:val="clear" w:color="auto" w:fill="auto"/>
            <w:hideMark/>
          </w:tcPr>
          <w:p w14:paraId="5DB416A4" w14:textId="77777777" w:rsidR="00FC794F" w:rsidRPr="005E3BF6" w:rsidRDefault="00080994" w:rsidP="00CB615C">
            <w:pPr>
              <w:keepLines/>
              <w:widowControl/>
              <w:spacing w:after="0" w:line="240" w:lineRule="auto"/>
              <w:rPr>
                <w:rFonts w:ascii="Times New Roman" w:eastAsia="Times New Roman" w:hAnsi="Times New Roman" w:cs="Times New Roman"/>
                <w:b/>
                <w:bCs/>
                <w:color w:val="000000"/>
              </w:rPr>
            </w:pPr>
            <w:r>
              <w:rPr>
                <w:rFonts w:ascii="Times New Roman" w:hAnsi="Times New Roman"/>
                <w:b/>
                <w:color w:val="000000"/>
              </w:rPr>
              <w:t>Critères IRM</w:t>
            </w:r>
          </w:p>
        </w:tc>
        <w:tc>
          <w:tcPr>
            <w:tcW w:w="1843" w:type="dxa"/>
            <w:tcBorders>
              <w:top w:val="nil"/>
              <w:left w:val="nil"/>
              <w:bottom w:val="single" w:sz="4" w:space="0" w:color="auto"/>
              <w:right w:val="single" w:sz="4" w:space="0" w:color="auto"/>
            </w:tcBorders>
            <w:shd w:val="clear" w:color="auto" w:fill="auto"/>
            <w:hideMark/>
          </w:tcPr>
          <w:p w14:paraId="60D57621"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304" w:type="dxa"/>
            <w:tcBorders>
              <w:top w:val="single" w:sz="4" w:space="0" w:color="auto"/>
              <w:left w:val="nil"/>
              <w:bottom w:val="single" w:sz="4" w:space="0" w:color="auto"/>
              <w:right w:val="single" w:sz="4" w:space="0" w:color="auto"/>
            </w:tcBorders>
            <w:shd w:val="clear" w:color="auto" w:fill="auto"/>
            <w:hideMark/>
          </w:tcPr>
          <w:p w14:paraId="7821C70C"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w:t>
            </w:r>
          </w:p>
        </w:tc>
      </w:tr>
      <w:tr w:rsidR="00E37FC5" w14:paraId="5B1FCBDB" w14:textId="77777777" w:rsidTr="00F61ADB">
        <w:trPr>
          <w:trHeight w:hRule="exact" w:val="551"/>
        </w:trPr>
        <w:tc>
          <w:tcPr>
            <w:tcW w:w="5925" w:type="dxa"/>
            <w:tcBorders>
              <w:top w:val="nil"/>
              <w:left w:val="single" w:sz="4" w:space="0" w:color="auto"/>
              <w:bottom w:val="single" w:sz="4" w:space="0" w:color="auto"/>
              <w:right w:val="single" w:sz="4" w:space="0" w:color="auto"/>
            </w:tcBorders>
            <w:shd w:val="clear" w:color="auto" w:fill="auto"/>
            <w:hideMark/>
          </w:tcPr>
          <w:p w14:paraId="5B15B9AF" w14:textId="70D94F64"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Nombre de nouvelles lésions / lésions élargies en T2 sur 24 mois [médiane (moyenne)]</w:t>
            </w:r>
          </w:p>
        </w:tc>
        <w:tc>
          <w:tcPr>
            <w:tcW w:w="1843" w:type="dxa"/>
            <w:tcBorders>
              <w:top w:val="nil"/>
              <w:left w:val="nil"/>
              <w:bottom w:val="single" w:sz="4" w:space="0" w:color="auto"/>
              <w:right w:val="single" w:sz="4" w:space="0" w:color="auto"/>
            </w:tcBorders>
            <w:shd w:val="clear" w:color="auto" w:fill="auto"/>
            <w:hideMark/>
          </w:tcPr>
          <w:p w14:paraId="6B815BD1"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0,0 (2,</w:t>
            </w:r>
            <w:proofErr w:type="gramStart"/>
            <w:r>
              <w:rPr>
                <w:rFonts w:ascii="Times New Roman" w:hAnsi="Times New Roman"/>
                <w:color w:val="000000"/>
              </w:rPr>
              <w:t>5)*</w:t>
            </w:r>
            <w:proofErr w:type="gramEnd"/>
            <w:r>
              <w:rPr>
                <w:rFonts w:ascii="Times New Roman" w:hAnsi="Times New Roman"/>
                <w:color w:val="000000"/>
              </w:rPr>
              <w:t>*</w:t>
            </w:r>
          </w:p>
        </w:tc>
        <w:tc>
          <w:tcPr>
            <w:tcW w:w="1304" w:type="dxa"/>
            <w:tcBorders>
              <w:top w:val="nil"/>
              <w:left w:val="nil"/>
              <w:bottom w:val="single" w:sz="4" w:space="0" w:color="auto"/>
              <w:right w:val="single" w:sz="4" w:space="0" w:color="auto"/>
            </w:tcBorders>
            <w:shd w:val="clear" w:color="auto" w:fill="auto"/>
            <w:hideMark/>
          </w:tcPr>
          <w:p w14:paraId="5CAC5AAF"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5,0 (9,8)</w:t>
            </w:r>
          </w:p>
        </w:tc>
      </w:tr>
      <w:tr w:rsidR="00E37FC5" w14:paraId="59FD59D7" w14:textId="77777777" w:rsidTr="00F61ADB">
        <w:trPr>
          <w:trHeight w:hRule="exact" w:val="621"/>
        </w:trPr>
        <w:tc>
          <w:tcPr>
            <w:tcW w:w="5925" w:type="dxa"/>
            <w:tcBorders>
              <w:top w:val="nil"/>
              <w:left w:val="single" w:sz="4" w:space="0" w:color="auto"/>
              <w:bottom w:val="single" w:sz="4" w:space="0" w:color="auto"/>
              <w:right w:val="single" w:sz="4" w:space="0" w:color="auto"/>
            </w:tcBorders>
            <w:shd w:val="clear" w:color="auto" w:fill="auto"/>
            <w:hideMark/>
          </w:tcPr>
          <w:p w14:paraId="6DDC7A0E" w14:textId="5BC790CF"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xml:space="preserve">Nombre de lésions prenant le Gd au </w:t>
            </w:r>
            <w:proofErr w:type="spellStart"/>
            <w:r>
              <w:rPr>
                <w:rFonts w:ascii="Times New Roman" w:hAnsi="Times New Roman"/>
                <w:color w:val="000000"/>
              </w:rPr>
              <w:t>mois</w:t>
            </w:r>
            <w:proofErr w:type="spellEnd"/>
            <w:r>
              <w:rPr>
                <w:rFonts w:ascii="Times New Roman" w:hAnsi="Times New Roman"/>
                <w:color w:val="000000"/>
              </w:rPr>
              <w:t> 24 [médiane (moyenne)]</w:t>
            </w:r>
          </w:p>
        </w:tc>
        <w:tc>
          <w:tcPr>
            <w:tcW w:w="1843" w:type="dxa"/>
            <w:tcBorders>
              <w:top w:val="nil"/>
              <w:left w:val="nil"/>
              <w:bottom w:val="single" w:sz="4" w:space="0" w:color="auto"/>
              <w:right w:val="single" w:sz="4" w:space="0" w:color="auto"/>
            </w:tcBorders>
            <w:shd w:val="clear" w:color="auto" w:fill="auto"/>
            <w:hideMark/>
          </w:tcPr>
          <w:p w14:paraId="3E4361B3"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0,0 (0,</w:t>
            </w:r>
            <w:proofErr w:type="gramStart"/>
            <w:r>
              <w:rPr>
                <w:rFonts w:ascii="Times New Roman" w:hAnsi="Times New Roman"/>
                <w:color w:val="000000"/>
              </w:rPr>
              <w:t>2)*</w:t>
            </w:r>
            <w:proofErr w:type="gramEnd"/>
            <w:r>
              <w:rPr>
                <w:rFonts w:ascii="Times New Roman" w:hAnsi="Times New Roman"/>
                <w:color w:val="000000"/>
              </w:rPr>
              <w:t>*</w:t>
            </w:r>
          </w:p>
        </w:tc>
        <w:tc>
          <w:tcPr>
            <w:tcW w:w="1304" w:type="dxa"/>
            <w:tcBorders>
              <w:top w:val="nil"/>
              <w:left w:val="nil"/>
              <w:bottom w:val="single" w:sz="4" w:space="0" w:color="auto"/>
              <w:right w:val="single" w:sz="4" w:space="0" w:color="auto"/>
            </w:tcBorders>
            <w:shd w:val="clear" w:color="auto" w:fill="auto"/>
            <w:hideMark/>
          </w:tcPr>
          <w:p w14:paraId="3A07D82F"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0,0 (1,1)</w:t>
            </w:r>
          </w:p>
        </w:tc>
      </w:tr>
      <w:tr w:rsidR="00E37FC5" w14:paraId="7B0CD19B" w14:textId="77777777" w:rsidTr="00F61ADB">
        <w:trPr>
          <w:trHeight w:hRule="exact" w:val="573"/>
        </w:trPr>
        <w:tc>
          <w:tcPr>
            <w:tcW w:w="5925" w:type="dxa"/>
            <w:tcBorders>
              <w:top w:val="nil"/>
              <w:left w:val="single" w:sz="4" w:space="0" w:color="auto"/>
              <w:bottom w:val="nil"/>
              <w:right w:val="single" w:sz="4" w:space="0" w:color="auto"/>
            </w:tcBorders>
            <w:shd w:val="clear" w:color="auto" w:fill="auto"/>
            <w:hideMark/>
          </w:tcPr>
          <w:p w14:paraId="676C73FB" w14:textId="120B3B2E"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de variation du volume cérébral sur 24 mois [médiane (moyenne)]</w:t>
            </w:r>
          </w:p>
        </w:tc>
        <w:tc>
          <w:tcPr>
            <w:tcW w:w="1843" w:type="dxa"/>
            <w:tcBorders>
              <w:top w:val="nil"/>
              <w:left w:val="nil"/>
              <w:bottom w:val="nil"/>
              <w:right w:val="single" w:sz="4" w:space="0" w:color="auto"/>
            </w:tcBorders>
            <w:shd w:val="clear" w:color="auto" w:fill="auto"/>
            <w:hideMark/>
          </w:tcPr>
          <w:p w14:paraId="46AA4D15"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-0,7 (-0,</w:t>
            </w:r>
            <w:proofErr w:type="gramStart"/>
            <w:r>
              <w:rPr>
                <w:rFonts w:ascii="Times New Roman" w:hAnsi="Times New Roman"/>
                <w:color w:val="000000"/>
              </w:rPr>
              <w:t>8)*</w:t>
            </w:r>
            <w:proofErr w:type="gramEnd"/>
            <w:r>
              <w:rPr>
                <w:rFonts w:ascii="Times New Roman" w:hAnsi="Times New Roman"/>
                <w:color w:val="000000"/>
              </w:rPr>
              <w:t>*</w:t>
            </w:r>
          </w:p>
        </w:tc>
        <w:tc>
          <w:tcPr>
            <w:tcW w:w="1304" w:type="dxa"/>
            <w:tcBorders>
              <w:top w:val="nil"/>
              <w:left w:val="nil"/>
              <w:bottom w:val="nil"/>
              <w:right w:val="single" w:sz="4" w:space="0" w:color="auto"/>
            </w:tcBorders>
            <w:shd w:val="clear" w:color="auto" w:fill="auto"/>
            <w:hideMark/>
          </w:tcPr>
          <w:p w14:paraId="0E5C03DC"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-1,0 (-1,3)</w:t>
            </w:r>
          </w:p>
        </w:tc>
      </w:tr>
      <w:tr w:rsidR="00E37FC5" w14:paraId="584E74D7" w14:textId="77777777" w:rsidTr="00F61ADB">
        <w:trPr>
          <w:trHeight w:hRule="exact" w:val="579"/>
        </w:trPr>
        <w:tc>
          <w:tcPr>
            <w:tcW w:w="9072" w:type="dxa"/>
            <w:gridSpan w:val="3"/>
            <w:tcBorders>
              <w:top w:val="single" w:sz="4" w:space="0" w:color="auto"/>
              <w:left w:val="single" w:sz="4" w:space="0" w:color="auto"/>
              <w:bottom w:val="nil"/>
              <w:right w:val="single" w:sz="4" w:space="0" w:color="000000"/>
            </w:tcBorders>
            <w:shd w:val="clear" w:color="auto" w:fill="auto"/>
            <w:hideMark/>
          </w:tcPr>
          <w:p w14:paraId="35D21A79" w14:textId="53EA0F5A"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Progression du handicap définie comme une augmentation de 1 point du score EDSS confirmée 3 mois plus tard.</w:t>
            </w:r>
          </w:p>
        </w:tc>
      </w:tr>
      <w:tr w:rsidR="00E37FC5" w14:paraId="77873FC4" w14:textId="77777777" w:rsidTr="00F61ADB">
        <w:trPr>
          <w:trHeight w:val="300"/>
        </w:trPr>
        <w:tc>
          <w:tcPr>
            <w:tcW w:w="9072" w:type="dxa"/>
            <w:gridSpan w:val="3"/>
            <w:tcBorders>
              <w:top w:val="nil"/>
              <w:left w:val="single" w:sz="4" w:space="0" w:color="auto"/>
              <w:bottom w:val="nil"/>
              <w:right w:val="single" w:sz="4" w:space="0" w:color="000000"/>
            </w:tcBorders>
            <w:shd w:val="clear" w:color="auto" w:fill="auto"/>
            <w:hideMark/>
          </w:tcPr>
          <w:p w14:paraId="54E530A0" w14:textId="2FB809CC"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 p &lt; 0,001, *p &lt; 0,05 par rapport au placebo</w:t>
            </w:r>
          </w:p>
        </w:tc>
      </w:tr>
      <w:tr w:rsidR="00E37FC5" w14:paraId="75181B14" w14:textId="77777777" w:rsidTr="00F61ADB">
        <w:trPr>
          <w:trHeight w:val="300"/>
        </w:trPr>
        <w:tc>
          <w:tcPr>
            <w:tcW w:w="9072" w:type="dxa"/>
            <w:gridSpan w:val="3"/>
            <w:tcBorders>
              <w:top w:val="nil"/>
              <w:left w:val="single" w:sz="4" w:space="0" w:color="auto"/>
              <w:bottom w:val="single" w:sz="4" w:space="0" w:color="auto"/>
              <w:right w:val="single" w:sz="4" w:space="0" w:color="000000"/>
            </w:tcBorders>
            <w:shd w:val="clear" w:color="auto" w:fill="auto"/>
            <w:hideMark/>
          </w:tcPr>
          <w:p w14:paraId="1AA633A6" w14:textId="77777777" w:rsidR="00FC794F" w:rsidRPr="005E3BF6" w:rsidRDefault="00080994" w:rsidP="00CB615C">
            <w:pPr>
              <w:keepLines/>
              <w:widowControl/>
              <w:spacing w:after="0" w:line="240" w:lineRule="auto"/>
              <w:rPr>
                <w:rFonts w:ascii="Times New Roman" w:eastAsia="Times New Roman" w:hAnsi="Times New Roman" w:cs="Times New Roman"/>
                <w:color w:val="000000"/>
              </w:rPr>
            </w:pPr>
            <w:r>
              <w:rPr>
                <w:rFonts w:ascii="Times New Roman" w:hAnsi="Times New Roman"/>
                <w:color w:val="000000"/>
              </w:rPr>
              <w:t>Toutes les analyses des critères d’évaluation cliniques ont été effectuées en intention de traiter. L’ensemble des données évaluables a été utilisé pour les analyses des critères IRM.</w:t>
            </w:r>
          </w:p>
        </w:tc>
      </w:tr>
    </w:tbl>
    <w:p w14:paraId="38D3BBD0" w14:textId="77777777" w:rsidR="00FC794F" w:rsidRPr="005E3BF6" w:rsidRDefault="00FC794F" w:rsidP="00CB615C">
      <w:pPr>
        <w:keepLines/>
        <w:widowControl/>
        <w:spacing w:after="0" w:line="240" w:lineRule="auto"/>
        <w:rPr>
          <w:rFonts w:ascii="Times New Roman" w:hAnsi="Times New Roman" w:cs="Times New Roman"/>
        </w:rPr>
      </w:pPr>
    </w:p>
    <w:p w14:paraId="74A1020E" w14:textId="40ADB7A5" w:rsidR="00683976" w:rsidRPr="005E3BF6" w:rsidRDefault="00080994" w:rsidP="00CB615C">
      <w:pPr>
        <w:keepLines/>
        <w:widowControl/>
        <w:tabs>
          <w:tab w:val="left" w:pos="8222"/>
        </w:tabs>
        <w:spacing w:after="0" w:line="240" w:lineRule="auto"/>
        <w:rPr>
          <w:rFonts w:ascii="Times New Roman" w:eastAsia="Times New Roman" w:hAnsi="Times New Roman" w:cs="Times New Roman"/>
        </w:rPr>
      </w:pPr>
      <w:r>
        <w:rPr>
          <w:rFonts w:ascii="Times New Roman" w:hAnsi="Times New Roman"/>
        </w:rPr>
        <w:t xml:space="preserve">Les patients ayant achevé la période principale de 24 mois de l’étude FREEDOMS avaient la possibilité d’entrer dans une étude d’extension en aveugle de dose (D2301E1) et de recevoir un traitement par </w:t>
      </w:r>
      <w:proofErr w:type="spellStart"/>
      <w:r>
        <w:rPr>
          <w:rFonts w:ascii="Times New Roman" w:hAnsi="Times New Roman"/>
        </w:rPr>
        <w:t>fingolimod</w:t>
      </w:r>
      <w:proofErr w:type="spellEnd"/>
      <w:r>
        <w:rPr>
          <w:rFonts w:ascii="Times New Roman" w:hAnsi="Times New Roman"/>
        </w:rPr>
        <w:t xml:space="preserve">. Au total, 920 patients ont été inclus (n = 331 ont poursuivi à la dose de 0,5 mg, 289 ont continué à la dose 1,25 mg, 155 sont passés du placebo à une dose de 0,5 mg et 145 sont passés du placebo à une dose de 1,25 mg). Après 12 mois (mois 36), 856 patients (93 %) étaient toujours dans l’étude. Entre les mois 24 et 36, le taux annualisé de poussées (TAP) des patients restés sous </w:t>
      </w:r>
      <w:proofErr w:type="spellStart"/>
      <w:r>
        <w:rPr>
          <w:rFonts w:ascii="Times New Roman" w:hAnsi="Times New Roman"/>
        </w:rPr>
        <w:t>fingolimod</w:t>
      </w:r>
      <w:proofErr w:type="spellEnd"/>
      <w:r>
        <w:rPr>
          <w:rFonts w:ascii="Times New Roman" w:hAnsi="Times New Roman"/>
        </w:rPr>
        <w:t xml:space="preserve"> 0,5 mg après l’avoir reçu à cette dose au cours de l’étude principale était de 0,17 (0,21 dans l’étude principale). Le TAP des patients passés du placebo au </w:t>
      </w:r>
      <w:proofErr w:type="spellStart"/>
      <w:r>
        <w:rPr>
          <w:rFonts w:ascii="Times New Roman" w:hAnsi="Times New Roman"/>
        </w:rPr>
        <w:t>fingolimod</w:t>
      </w:r>
      <w:proofErr w:type="spellEnd"/>
      <w:r>
        <w:rPr>
          <w:rFonts w:ascii="Times New Roman" w:hAnsi="Times New Roman"/>
        </w:rPr>
        <w:t xml:space="preserve"> 0,5 mg était de 0,22 (0,42 dans l’étude principale).</w:t>
      </w:r>
    </w:p>
    <w:p w14:paraId="5FD8D53C" w14:textId="77777777" w:rsidR="00683976" w:rsidRPr="005E3BF6" w:rsidRDefault="00683976" w:rsidP="00CB615C">
      <w:pPr>
        <w:widowControl/>
        <w:spacing w:after="0" w:line="240" w:lineRule="auto"/>
        <w:rPr>
          <w:rFonts w:ascii="Times New Roman" w:eastAsia="Times New Roman" w:hAnsi="Times New Roman" w:cs="Times New Roman"/>
        </w:rPr>
      </w:pPr>
    </w:p>
    <w:p w14:paraId="1C794C45" w14:textId="1BC4301C" w:rsidR="001C7C0E" w:rsidRPr="005E3BF6" w:rsidRDefault="00080994" w:rsidP="00F61ADB">
      <w:pPr>
        <w:widowControl/>
        <w:spacing w:after="0" w:line="240" w:lineRule="auto"/>
        <w:rPr>
          <w:rFonts w:ascii="Times New Roman" w:eastAsia="Times New Roman" w:hAnsi="Times New Roman" w:cs="Times New Roman"/>
        </w:rPr>
      </w:pPr>
      <w:r>
        <w:rPr>
          <w:rFonts w:ascii="Times New Roman" w:hAnsi="Times New Roman"/>
        </w:rPr>
        <w:t>Des résultats comparables ont été observés dans une étude (D2309 ; FREEDOMS 2) de phase III, réplique de l’étude FREEDOMS, randomisée, en double aveugle, contrôlée contre placebo de 2 ans, menée chez 1 083 patients ayant une SEP-RR (n = 358 sous 0,5 mg, 370 sous 1,25 mg, 355 sous placebo). Les valeurs médianes des caractéristiques initiales étaient de : 41 ans pour l’âge, 8,9 ans pour l’ancienneté de la maladie et 2,5 pour le score EDSS.</w:t>
      </w:r>
    </w:p>
    <w:p w14:paraId="746FB500" w14:textId="77777777" w:rsidR="001C7C0E" w:rsidRPr="005E3BF6" w:rsidRDefault="001C7C0E" w:rsidP="00F61ADB">
      <w:pPr>
        <w:widowControl/>
        <w:spacing w:after="0" w:line="240" w:lineRule="auto"/>
        <w:rPr>
          <w:rFonts w:ascii="Times New Roman" w:hAnsi="Times New Roman" w:cs="Times New Roman"/>
        </w:rPr>
      </w:pPr>
    </w:p>
    <w:p w14:paraId="7C7FBB34" w14:textId="77777777" w:rsidR="001C7C0E" w:rsidRPr="005E3BF6" w:rsidRDefault="00080994" w:rsidP="00CB615C">
      <w:pPr>
        <w:keepNext/>
        <w:keepLines/>
        <w:widowControl/>
        <w:tabs>
          <w:tab w:val="left" w:pos="1134"/>
        </w:tabs>
        <w:spacing w:after="0" w:line="240" w:lineRule="auto"/>
        <w:rPr>
          <w:rFonts w:ascii="Times New Roman" w:eastAsia="Times New Roman" w:hAnsi="Times New Roman" w:cs="Times New Roman"/>
        </w:rPr>
      </w:pPr>
      <w:r>
        <w:rPr>
          <w:rFonts w:ascii="Times New Roman" w:hAnsi="Times New Roman"/>
          <w:b/>
        </w:rPr>
        <w:lastRenderedPageBreak/>
        <w:t>Tableau 2</w:t>
      </w:r>
      <w:r>
        <w:rPr>
          <w:rFonts w:ascii="Times New Roman" w:hAnsi="Times New Roman"/>
          <w:b/>
        </w:rPr>
        <w:tab/>
        <w:t>Étude D2309 (FREEDOMS 2) : principaux résultats</w:t>
      </w:r>
    </w:p>
    <w:p w14:paraId="4B3DC3FC" w14:textId="77777777" w:rsidR="001C7C0E" w:rsidRPr="005E3BF6" w:rsidRDefault="001C7C0E" w:rsidP="00CB615C">
      <w:pPr>
        <w:keepNext/>
        <w:keepLines/>
        <w:widowControl/>
        <w:spacing w:after="0" w:line="240" w:lineRule="auto"/>
        <w:rPr>
          <w:rFonts w:ascii="Times New Roman" w:hAnsi="Times New Roman" w:cs="Times New Roman"/>
        </w:rPr>
      </w:pPr>
    </w:p>
    <w:tbl>
      <w:tblPr>
        <w:tblStyle w:val="Grilledutableau"/>
        <w:tblW w:w="0" w:type="auto"/>
        <w:tblInd w:w="-5" w:type="dxa"/>
        <w:tblLook w:val="04A0" w:firstRow="1" w:lastRow="0" w:firstColumn="1" w:lastColumn="0" w:noHBand="0" w:noVBand="1"/>
      </w:tblPr>
      <w:tblGrid>
        <w:gridCol w:w="5879"/>
        <w:gridCol w:w="1792"/>
        <w:gridCol w:w="1395"/>
      </w:tblGrid>
      <w:tr w:rsidR="00E37FC5" w14:paraId="60D44133" w14:textId="77777777" w:rsidTr="00E4464A">
        <w:trPr>
          <w:trHeight w:hRule="exact" w:val="570"/>
        </w:trPr>
        <w:tc>
          <w:tcPr>
            <w:tcW w:w="5879" w:type="dxa"/>
            <w:hideMark/>
          </w:tcPr>
          <w:p w14:paraId="1B946B66"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 </w:t>
            </w:r>
          </w:p>
        </w:tc>
        <w:tc>
          <w:tcPr>
            <w:tcW w:w="1792" w:type="dxa"/>
            <w:hideMark/>
          </w:tcPr>
          <w:p w14:paraId="27E8DB28" w14:textId="0D0ED0C9" w:rsidR="00A86FF1" w:rsidRPr="005E3BF6" w:rsidRDefault="00080994" w:rsidP="00CB615C">
            <w:pPr>
              <w:keepNext/>
              <w:keepLines/>
              <w:widowControl/>
              <w:rPr>
                <w:rFonts w:ascii="Times New Roman" w:hAnsi="Times New Roman" w:cs="Times New Roman"/>
                <w:b/>
                <w:bCs/>
              </w:rPr>
            </w:pPr>
            <w:proofErr w:type="spellStart"/>
            <w:r>
              <w:rPr>
                <w:rFonts w:ascii="Times New Roman" w:hAnsi="Times New Roman"/>
                <w:b/>
              </w:rPr>
              <w:t>Fingolimod</w:t>
            </w:r>
            <w:proofErr w:type="spellEnd"/>
            <w:r>
              <w:rPr>
                <w:rFonts w:ascii="Times New Roman" w:hAnsi="Times New Roman"/>
                <w:b/>
              </w:rPr>
              <w:t xml:space="preserve"> 0,5 mg</w:t>
            </w:r>
          </w:p>
        </w:tc>
        <w:tc>
          <w:tcPr>
            <w:tcW w:w="1395" w:type="dxa"/>
            <w:hideMark/>
          </w:tcPr>
          <w:p w14:paraId="2B2C62BA" w14:textId="77777777" w:rsidR="00A86FF1" w:rsidRPr="005E3BF6" w:rsidRDefault="00080994" w:rsidP="00CB615C">
            <w:pPr>
              <w:keepNext/>
              <w:keepLines/>
              <w:widowControl/>
              <w:rPr>
                <w:rFonts w:ascii="Times New Roman" w:hAnsi="Times New Roman" w:cs="Times New Roman"/>
                <w:b/>
                <w:bCs/>
              </w:rPr>
            </w:pPr>
            <w:r>
              <w:rPr>
                <w:rFonts w:ascii="Times New Roman" w:hAnsi="Times New Roman"/>
                <w:b/>
              </w:rPr>
              <w:t>Placebo</w:t>
            </w:r>
          </w:p>
        </w:tc>
      </w:tr>
      <w:tr w:rsidR="00E37FC5" w14:paraId="4A2F37C1" w14:textId="77777777" w:rsidTr="00E4464A">
        <w:trPr>
          <w:trHeight w:hRule="exact" w:val="300"/>
        </w:trPr>
        <w:tc>
          <w:tcPr>
            <w:tcW w:w="5879" w:type="dxa"/>
            <w:hideMark/>
          </w:tcPr>
          <w:p w14:paraId="49D6343E" w14:textId="77777777" w:rsidR="00A86FF1" w:rsidRPr="005E3BF6" w:rsidRDefault="00080994" w:rsidP="00CB615C">
            <w:pPr>
              <w:keepNext/>
              <w:keepLines/>
              <w:widowControl/>
              <w:rPr>
                <w:rFonts w:ascii="Times New Roman" w:hAnsi="Times New Roman" w:cs="Times New Roman"/>
                <w:b/>
                <w:bCs/>
              </w:rPr>
            </w:pPr>
            <w:r>
              <w:rPr>
                <w:rFonts w:ascii="Times New Roman" w:hAnsi="Times New Roman"/>
                <w:b/>
              </w:rPr>
              <w:t>Critères cliniques</w:t>
            </w:r>
          </w:p>
        </w:tc>
        <w:tc>
          <w:tcPr>
            <w:tcW w:w="1792" w:type="dxa"/>
            <w:hideMark/>
          </w:tcPr>
          <w:p w14:paraId="399F0BE3"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 </w:t>
            </w:r>
          </w:p>
        </w:tc>
        <w:tc>
          <w:tcPr>
            <w:tcW w:w="1395" w:type="dxa"/>
            <w:hideMark/>
          </w:tcPr>
          <w:p w14:paraId="2597C361"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 </w:t>
            </w:r>
          </w:p>
        </w:tc>
      </w:tr>
      <w:tr w:rsidR="00E37FC5" w14:paraId="1046B097" w14:textId="77777777" w:rsidTr="00E4464A">
        <w:trPr>
          <w:trHeight w:hRule="exact" w:val="300"/>
        </w:trPr>
        <w:tc>
          <w:tcPr>
            <w:tcW w:w="5879" w:type="dxa"/>
            <w:hideMark/>
          </w:tcPr>
          <w:p w14:paraId="107AC6F3"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Taux annualisé de poussées (critère principal)</w:t>
            </w:r>
          </w:p>
        </w:tc>
        <w:tc>
          <w:tcPr>
            <w:tcW w:w="1792" w:type="dxa"/>
            <w:hideMark/>
          </w:tcPr>
          <w:p w14:paraId="512F17F7"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0,21**</w:t>
            </w:r>
          </w:p>
        </w:tc>
        <w:tc>
          <w:tcPr>
            <w:tcW w:w="1395" w:type="dxa"/>
            <w:hideMark/>
          </w:tcPr>
          <w:p w14:paraId="16B747B5"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0,4</w:t>
            </w:r>
          </w:p>
        </w:tc>
      </w:tr>
      <w:tr w:rsidR="00E37FC5" w14:paraId="18736E47" w14:textId="77777777" w:rsidTr="00E4464A">
        <w:trPr>
          <w:trHeight w:val="309"/>
        </w:trPr>
        <w:tc>
          <w:tcPr>
            <w:tcW w:w="5879" w:type="dxa"/>
            <w:hideMark/>
          </w:tcPr>
          <w:p w14:paraId="02F14F6D" w14:textId="5076593E" w:rsidR="00A86FF1" w:rsidRPr="005E3BF6" w:rsidRDefault="00080994" w:rsidP="00CB615C">
            <w:pPr>
              <w:keepNext/>
              <w:keepLines/>
              <w:widowControl/>
              <w:rPr>
                <w:rFonts w:ascii="Times New Roman" w:hAnsi="Times New Roman" w:cs="Times New Roman"/>
              </w:rPr>
            </w:pPr>
            <w:r>
              <w:rPr>
                <w:rFonts w:ascii="Times New Roman" w:hAnsi="Times New Roman"/>
              </w:rPr>
              <w:t>Pourcentage de patients libres de poussée à 24 mois</w:t>
            </w:r>
          </w:p>
        </w:tc>
        <w:tc>
          <w:tcPr>
            <w:tcW w:w="1792" w:type="dxa"/>
            <w:hideMark/>
          </w:tcPr>
          <w:p w14:paraId="7E80AF68"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71,5 %**</w:t>
            </w:r>
          </w:p>
        </w:tc>
        <w:tc>
          <w:tcPr>
            <w:tcW w:w="1395" w:type="dxa"/>
            <w:hideMark/>
          </w:tcPr>
          <w:p w14:paraId="29D62C6F" w14:textId="54E7F312" w:rsidR="00A86FF1" w:rsidRPr="005E3BF6" w:rsidRDefault="00080994" w:rsidP="00CB615C">
            <w:pPr>
              <w:keepNext/>
              <w:keepLines/>
              <w:widowControl/>
              <w:rPr>
                <w:rFonts w:ascii="Times New Roman" w:hAnsi="Times New Roman" w:cs="Times New Roman"/>
              </w:rPr>
            </w:pPr>
            <w:r>
              <w:rPr>
                <w:rFonts w:ascii="Times New Roman" w:hAnsi="Times New Roman"/>
              </w:rPr>
              <w:t>52,7 %</w:t>
            </w:r>
          </w:p>
        </w:tc>
      </w:tr>
      <w:tr w:rsidR="00E37FC5" w14:paraId="2B434248" w14:textId="77777777" w:rsidTr="00E4464A">
        <w:trPr>
          <w:trHeight w:val="812"/>
        </w:trPr>
        <w:tc>
          <w:tcPr>
            <w:tcW w:w="5879" w:type="dxa"/>
            <w:hideMark/>
          </w:tcPr>
          <w:p w14:paraId="1F5A4601"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Pourcentage de patients présentant une progression du handicap</w:t>
            </w:r>
            <w:r>
              <w:rPr>
                <w:rFonts w:ascii="Times New Roman" w:hAnsi="Times New Roman"/>
              </w:rPr>
              <w:br/>
              <w:t>confirmée à 3 mois†</w:t>
            </w:r>
            <w:r>
              <w:rPr>
                <w:rFonts w:ascii="Times New Roman" w:hAnsi="Times New Roman"/>
              </w:rPr>
              <w:br/>
              <w:t>Rapport de risque (IC95 %)</w:t>
            </w:r>
          </w:p>
        </w:tc>
        <w:tc>
          <w:tcPr>
            <w:tcW w:w="1792" w:type="dxa"/>
            <w:hideMark/>
          </w:tcPr>
          <w:p w14:paraId="653C4E48"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25 %</w:t>
            </w:r>
            <w:r>
              <w:rPr>
                <w:rFonts w:ascii="Times New Roman" w:hAnsi="Times New Roman"/>
              </w:rPr>
              <w:br/>
            </w:r>
            <w:r>
              <w:rPr>
                <w:rFonts w:ascii="Times New Roman" w:hAnsi="Times New Roman"/>
              </w:rPr>
              <w:br/>
              <w:t>0,83 (0,61 ; 1,12)</w:t>
            </w:r>
          </w:p>
        </w:tc>
        <w:tc>
          <w:tcPr>
            <w:tcW w:w="1395" w:type="dxa"/>
            <w:hideMark/>
          </w:tcPr>
          <w:p w14:paraId="559409A7"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29 %</w:t>
            </w:r>
          </w:p>
        </w:tc>
      </w:tr>
      <w:tr w:rsidR="00E37FC5" w14:paraId="08C04987" w14:textId="77777777" w:rsidTr="00E4464A">
        <w:trPr>
          <w:trHeight w:hRule="exact" w:val="300"/>
        </w:trPr>
        <w:tc>
          <w:tcPr>
            <w:tcW w:w="5879" w:type="dxa"/>
            <w:hideMark/>
          </w:tcPr>
          <w:p w14:paraId="4E528C3D" w14:textId="77777777" w:rsidR="00A86FF1" w:rsidRPr="005E3BF6" w:rsidRDefault="00080994" w:rsidP="00CB615C">
            <w:pPr>
              <w:keepNext/>
              <w:keepLines/>
              <w:widowControl/>
              <w:rPr>
                <w:rFonts w:ascii="Times New Roman" w:hAnsi="Times New Roman" w:cs="Times New Roman"/>
                <w:b/>
                <w:bCs/>
              </w:rPr>
            </w:pPr>
            <w:r>
              <w:rPr>
                <w:rFonts w:ascii="Times New Roman" w:hAnsi="Times New Roman"/>
                <w:b/>
              </w:rPr>
              <w:t>Critères IRM</w:t>
            </w:r>
          </w:p>
        </w:tc>
        <w:tc>
          <w:tcPr>
            <w:tcW w:w="1792" w:type="dxa"/>
            <w:hideMark/>
          </w:tcPr>
          <w:p w14:paraId="4FDACFF5"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 </w:t>
            </w:r>
          </w:p>
        </w:tc>
        <w:tc>
          <w:tcPr>
            <w:tcW w:w="1395" w:type="dxa"/>
            <w:hideMark/>
          </w:tcPr>
          <w:p w14:paraId="1868D501"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 </w:t>
            </w:r>
          </w:p>
        </w:tc>
      </w:tr>
      <w:tr w:rsidR="00E37FC5" w14:paraId="1E75BD8D" w14:textId="77777777" w:rsidTr="00E4464A">
        <w:trPr>
          <w:trHeight w:hRule="exact" w:val="600"/>
        </w:trPr>
        <w:tc>
          <w:tcPr>
            <w:tcW w:w="5879" w:type="dxa"/>
            <w:hideMark/>
          </w:tcPr>
          <w:p w14:paraId="53D1826E" w14:textId="674A8CC4" w:rsidR="00A86FF1" w:rsidRPr="005E3BF6" w:rsidRDefault="00080994" w:rsidP="00CB615C">
            <w:pPr>
              <w:keepNext/>
              <w:keepLines/>
              <w:widowControl/>
              <w:rPr>
                <w:rFonts w:ascii="Times New Roman" w:hAnsi="Times New Roman" w:cs="Times New Roman"/>
              </w:rPr>
            </w:pPr>
            <w:r>
              <w:rPr>
                <w:rFonts w:ascii="Times New Roman" w:hAnsi="Times New Roman"/>
              </w:rPr>
              <w:t>Nombre de nouvelles lésions / lésions élargies en T2 sur 24 mois [médiane (moyenne)]</w:t>
            </w:r>
          </w:p>
        </w:tc>
        <w:tc>
          <w:tcPr>
            <w:tcW w:w="1792" w:type="dxa"/>
            <w:hideMark/>
          </w:tcPr>
          <w:p w14:paraId="27858D41"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0,0 (2,</w:t>
            </w:r>
            <w:proofErr w:type="gramStart"/>
            <w:r>
              <w:rPr>
                <w:rFonts w:ascii="Times New Roman" w:hAnsi="Times New Roman"/>
              </w:rPr>
              <w:t>3)*</w:t>
            </w:r>
            <w:proofErr w:type="gramEnd"/>
            <w:r>
              <w:rPr>
                <w:rFonts w:ascii="Times New Roman" w:hAnsi="Times New Roman"/>
              </w:rPr>
              <w:t>*</w:t>
            </w:r>
          </w:p>
        </w:tc>
        <w:tc>
          <w:tcPr>
            <w:tcW w:w="1395" w:type="dxa"/>
            <w:hideMark/>
          </w:tcPr>
          <w:p w14:paraId="4988C18B"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4,0 (8,9)</w:t>
            </w:r>
          </w:p>
        </w:tc>
      </w:tr>
      <w:tr w:rsidR="00E37FC5" w14:paraId="45741E03" w14:textId="77777777" w:rsidTr="00E4464A">
        <w:trPr>
          <w:trHeight w:val="589"/>
        </w:trPr>
        <w:tc>
          <w:tcPr>
            <w:tcW w:w="5879" w:type="dxa"/>
            <w:hideMark/>
          </w:tcPr>
          <w:p w14:paraId="25F58BB6" w14:textId="320734F6" w:rsidR="00A86FF1" w:rsidRPr="005E3BF6" w:rsidRDefault="00080994" w:rsidP="00CB615C">
            <w:pPr>
              <w:keepNext/>
              <w:keepLines/>
              <w:widowControl/>
              <w:rPr>
                <w:rFonts w:ascii="Times New Roman" w:hAnsi="Times New Roman" w:cs="Times New Roman"/>
              </w:rPr>
            </w:pPr>
            <w:r>
              <w:rPr>
                <w:rFonts w:ascii="Times New Roman" w:hAnsi="Times New Roman"/>
              </w:rPr>
              <w:t xml:space="preserve">Nombre de lésions prenant le Gd au </w:t>
            </w:r>
            <w:proofErr w:type="spellStart"/>
            <w:r>
              <w:rPr>
                <w:rFonts w:ascii="Times New Roman" w:hAnsi="Times New Roman"/>
              </w:rPr>
              <w:t>mois</w:t>
            </w:r>
            <w:proofErr w:type="spellEnd"/>
            <w:r>
              <w:rPr>
                <w:rFonts w:ascii="Times New Roman" w:hAnsi="Times New Roman"/>
              </w:rPr>
              <w:t> 24 [médiane (moyenne)]</w:t>
            </w:r>
          </w:p>
        </w:tc>
        <w:tc>
          <w:tcPr>
            <w:tcW w:w="1792" w:type="dxa"/>
            <w:hideMark/>
          </w:tcPr>
          <w:p w14:paraId="57FD9584"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0,0 (0,</w:t>
            </w:r>
            <w:proofErr w:type="gramStart"/>
            <w:r>
              <w:rPr>
                <w:rFonts w:ascii="Times New Roman" w:hAnsi="Times New Roman"/>
              </w:rPr>
              <w:t>4)*</w:t>
            </w:r>
            <w:proofErr w:type="gramEnd"/>
            <w:r>
              <w:rPr>
                <w:rFonts w:ascii="Times New Roman" w:hAnsi="Times New Roman"/>
              </w:rPr>
              <w:t>*</w:t>
            </w:r>
          </w:p>
        </w:tc>
        <w:tc>
          <w:tcPr>
            <w:tcW w:w="1395" w:type="dxa"/>
            <w:hideMark/>
          </w:tcPr>
          <w:p w14:paraId="365DBEF9"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0,0 (1,2)</w:t>
            </w:r>
          </w:p>
        </w:tc>
      </w:tr>
      <w:tr w:rsidR="00E37FC5" w14:paraId="11D10AB7" w14:textId="77777777" w:rsidTr="00E4464A">
        <w:trPr>
          <w:trHeight w:hRule="exact" w:val="619"/>
        </w:trPr>
        <w:tc>
          <w:tcPr>
            <w:tcW w:w="5879" w:type="dxa"/>
            <w:tcBorders>
              <w:bottom w:val="single" w:sz="4" w:space="0" w:color="auto"/>
            </w:tcBorders>
            <w:hideMark/>
          </w:tcPr>
          <w:p w14:paraId="12B044D7" w14:textId="5987A193" w:rsidR="00A86FF1" w:rsidRPr="005E3BF6" w:rsidRDefault="00080994" w:rsidP="00CB615C">
            <w:pPr>
              <w:keepNext/>
              <w:keepLines/>
              <w:widowControl/>
              <w:rPr>
                <w:rFonts w:ascii="Times New Roman" w:hAnsi="Times New Roman" w:cs="Times New Roman"/>
              </w:rPr>
            </w:pPr>
            <w:r>
              <w:rPr>
                <w:rFonts w:ascii="Times New Roman" w:hAnsi="Times New Roman"/>
              </w:rPr>
              <w:t>% de variation du volume cérébral sur 24 mois [médiane (moyenne)]</w:t>
            </w:r>
          </w:p>
        </w:tc>
        <w:tc>
          <w:tcPr>
            <w:tcW w:w="1792" w:type="dxa"/>
            <w:tcBorders>
              <w:bottom w:val="single" w:sz="4" w:space="0" w:color="auto"/>
            </w:tcBorders>
            <w:hideMark/>
          </w:tcPr>
          <w:p w14:paraId="0F4DA73A"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-0,71 (-0,</w:t>
            </w:r>
            <w:proofErr w:type="gramStart"/>
            <w:r>
              <w:rPr>
                <w:rFonts w:ascii="Times New Roman" w:hAnsi="Times New Roman"/>
              </w:rPr>
              <w:t>86)*</w:t>
            </w:r>
            <w:proofErr w:type="gramEnd"/>
            <w:r>
              <w:rPr>
                <w:rFonts w:ascii="Times New Roman" w:hAnsi="Times New Roman"/>
              </w:rPr>
              <w:t>*</w:t>
            </w:r>
          </w:p>
        </w:tc>
        <w:tc>
          <w:tcPr>
            <w:tcW w:w="1395" w:type="dxa"/>
            <w:tcBorders>
              <w:bottom w:val="single" w:sz="4" w:space="0" w:color="auto"/>
            </w:tcBorders>
            <w:hideMark/>
          </w:tcPr>
          <w:p w14:paraId="31151B9C"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-1,02 (-1,28)</w:t>
            </w:r>
          </w:p>
        </w:tc>
      </w:tr>
      <w:tr w:rsidR="00E37FC5" w14:paraId="331E59FB" w14:textId="77777777" w:rsidTr="00E4464A">
        <w:trPr>
          <w:trHeight w:hRule="exact" w:val="607"/>
        </w:trPr>
        <w:tc>
          <w:tcPr>
            <w:tcW w:w="9066" w:type="dxa"/>
            <w:gridSpan w:val="3"/>
            <w:tcBorders>
              <w:top w:val="single" w:sz="4" w:space="0" w:color="auto"/>
              <w:left w:val="single" w:sz="4" w:space="0" w:color="auto"/>
              <w:bottom w:val="nil"/>
              <w:right w:val="single" w:sz="4" w:space="0" w:color="auto"/>
            </w:tcBorders>
            <w:hideMark/>
          </w:tcPr>
          <w:p w14:paraId="1B94B632" w14:textId="434E66EF" w:rsidR="00A86FF1" w:rsidRPr="005E3BF6" w:rsidRDefault="00080994" w:rsidP="00CB615C">
            <w:pPr>
              <w:keepNext/>
              <w:keepLines/>
              <w:widowControl/>
              <w:rPr>
                <w:rFonts w:ascii="Times New Roman" w:hAnsi="Times New Roman" w:cs="Times New Roman"/>
              </w:rPr>
            </w:pPr>
            <w:r>
              <w:rPr>
                <w:rFonts w:ascii="Times New Roman" w:hAnsi="Times New Roman"/>
              </w:rPr>
              <w:t>† Progression du handicap définie comme une augmentation de 1 point du score EDSS confirmée 3 mois plus tard.</w:t>
            </w:r>
          </w:p>
        </w:tc>
      </w:tr>
      <w:tr w:rsidR="00E37FC5" w14:paraId="6ABE3D8C" w14:textId="77777777" w:rsidTr="00E4464A">
        <w:trPr>
          <w:trHeight w:val="300"/>
        </w:trPr>
        <w:tc>
          <w:tcPr>
            <w:tcW w:w="9066" w:type="dxa"/>
            <w:gridSpan w:val="3"/>
            <w:tcBorders>
              <w:top w:val="nil"/>
              <w:left w:val="single" w:sz="4" w:space="0" w:color="auto"/>
              <w:bottom w:val="nil"/>
              <w:right w:val="single" w:sz="4" w:space="0" w:color="auto"/>
            </w:tcBorders>
            <w:hideMark/>
          </w:tcPr>
          <w:p w14:paraId="2E6EC668" w14:textId="627D5898" w:rsidR="00A86FF1" w:rsidRPr="005E3BF6" w:rsidRDefault="00080994" w:rsidP="00CB615C">
            <w:pPr>
              <w:keepNext/>
              <w:keepLines/>
              <w:widowControl/>
              <w:rPr>
                <w:rFonts w:ascii="Times New Roman" w:hAnsi="Times New Roman" w:cs="Times New Roman"/>
              </w:rPr>
            </w:pPr>
            <w:r>
              <w:rPr>
                <w:rFonts w:ascii="Times New Roman" w:hAnsi="Times New Roman"/>
              </w:rPr>
              <w:t>** p &lt; 0,001 par rapport au placebo</w:t>
            </w:r>
          </w:p>
        </w:tc>
      </w:tr>
      <w:tr w:rsidR="00E37FC5" w14:paraId="47526882" w14:textId="77777777" w:rsidTr="00E4464A">
        <w:trPr>
          <w:trHeight w:val="300"/>
        </w:trPr>
        <w:tc>
          <w:tcPr>
            <w:tcW w:w="9066" w:type="dxa"/>
            <w:gridSpan w:val="3"/>
            <w:tcBorders>
              <w:top w:val="nil"/>
              <w:left w:val="single" w:sz="4" w:space="0" w:color="auto"/>
              <w:bottom w:val="single" w:sz="4" w:space="0" w:color="auto"/>
              <w:right w:val="single" w:sz="4" w:space="0" w:color="auto"/>
            </w:tcBorders>
            <w:hideMark/>
          </w:tcPr>
          <w:p w14:paraId="1F4C25CA" w14:textId="77777777" w:rsidR="00A86FF1" w:rsidRPr="005E3BF6" w:rsidRDefault="00080994" w:rsidP="00CB615C">
            <w:pPr>
              <w:keepNext/>
              <w:keepLines/>
              <w:widowControl/>
              <w:rPr>
                <w:rFonts w:ascii="Times New Roman" w:hAnsi="Times New Roman" w:cs="Times New Roman"/>
              </w:rPr>
            </w:pPr>
            <w:r>
              <w:rPr>
                <w:rFonts w:ascii="Times New Roman" w:hAnsi="Times New Roman"/>
              </w:rPr>
              <w:t>Toutes les analyses des critères d’évaluation cliniques ont été effectuées en intention de traiter. L’ensemble des données évaluables a été utilisé pour les analyses des critères IRM.</w:t>
            </w:r>
          </w:p>
        </w:tc>
      </w:tr>
    </w:tbl>
    <w:p w14:paraId="3F8030EC" w14:textId="77777777" w:rsidR="00A86FF1" w:rsidRPr="005E3BF6" w:rsidRDefault="00A86FF1" w:rsidP="00E4464A">
      <w:pPr>
        <w:widowControl/>
        <w:spacing w:after="0" w:line="240" w:lineRule="auto"/>
        <w:rPr>
          <w:rFonts w:ascii="Times New Roman" w:hAnsi="Times New Roman" w:cs="Times New Roman"/>
        </w:rPr>
      </w:pPr>
    </w:p>
    <w:p w14:paraId="33E1A494" w14:textId="7403DA54" w:rsidR="001C7C0E" w:rsidRPr="005E3BF6" w:rsidRDefault="00080994" w:rsidP="00E4464A">
      <w:pPr>
        <w:widowControl/>
        <w:spacing w:after="0" w:line="240" w:lineRule="auto"/>
        <w:rPr>
          <w:rFonts w:ascii="Times New Roman" w:eastAsia="Times New Roman" w:hAnsi="Times New Roman" w:cs="Times New Roman"/>
        </w:rPr>
      </w:pPr>
      <w:r>
        <w:rPr>
          <w:rFonts w:ascii="Times New Roman" w:hAnsi="Times New Roman"/>
        </w:rPr>
        <w:t>L’étude D2302 (TRANSFORMS) était une étude de phase III d’un an, randomisée, en double aveugle, avec double placebo, contrôlée avec comparateur actif (interféron bêta-1a), conduite chez 1 280 patients (n = 429 sous 0,5 mg, 420 sous 1,25 mg, 431 sous interféron bêta-1a 30 µg en injection intramusculaire une fois par semaine). Les valeurs médianes des caractéristiques initiales étaient de : 36 ans pour l’âge, 5,9 ans pour l’ancienneté de la maladie et 2.0 pour le score EDSS. Les résultats de l’étude sont présentés dans le tableau 3. Il n’a pas été observé de différence significative entre les doses de 0,5 mg et 1,25 mg quel que soit le critère d’évaluation.</w:t>
      </w:r>
    </w:p>
    <w:p w14:paraId="7273893F" w14:textId="77777777" w:rsidR="001C7C0E" w:rsidRPr="005E3BF6" w:rsidRDefault="001C7C0E" w:rsidP="00E4464A">
      <w:pPr>
        <w:widowControl/>
        <w:spacing w:after="0" w:line="240" w:lineRule="auto"/>
        <w:rPr>
          <w:rFonts w:ascii="Times New Roman" w:hAnsi="Times New Roman" w:cs="Times New Roman"/>
        </w:rPr>
      </w:pPr>
    </w:p>
    <w:p w14:paraId="55651AAA" w14:textId="77777777" w:rsidR="001C7C0E" w:rsidRPr="005E3BF6" w:rsidRDefault="00080994" w:rsidP="00CB615C">
      <w:pPr>
        <w:keepNext/>
        <w:keepLines/>
        <w:widowControl/>
        <w:tabs>
          <w:tab w:val="left" w:pos="1134"/>
        </w:tabs>
        <w:spacing w:after="0" w:line="240" w:lineRule="auto"/>
        <w:rPr>
          <w:rFonts w:ascii="Times New Roman" w:eastAsia="Times New Roman" w:hAnsi="Times New Roman" w:cs="Times New Roman"/>
        </w:rPr>
      </w:pPr>
      <w:r>
        <w:rPr>
          <w:rFonts w:ascii="Times New Roman" w:hAnsi="Times New Roman"/>
          <w:b/>
        </w:rPr>
        <w:t>Tableau 3</w:t>
      </w:r>
      <w:r>
        <w:rPr>
          <w:rFonts w:ascii="Times New Roman" w:hAnsi="Times New Roman"/>
          <w:b/>
        </w:rPr>
        <w:tab/>
        <w:t>Étude D2302 (TRANSFORMS) : principaux résultats</w:t>
      </w:r>
    </w:p>
    <w:p w14:paraId="22BCD170" w14:textId="77777777" w:rsidR="00A86FF1" w:rsidRPr="005E3BF6" w:rsidRDefault="00A86FF1" w:rsidP="00CB615C">
      <w:pPr>
        <w:keepNext/>
        <w:keepLines/>
        <w:widowControl/>
        <w:tabs>
          <w:tab w:val="left" w:pos="1340"/>
        </w:tabs>
        <w:spacing w:after="0" w:line="240" w:lineRule="auto"/>
        <w:ind w:left="101"/>
        <w:rPr>
          <w:rFonts w:ascii="Times New Roman" w:eastAsia="Times New Roman" w:hAnsi="Times New Roman" w:cs="Times New Roman"/>
        </w:rPr>
      </w:pPr>
    </w:p>
    <w:tbl>
      <w:tblPr>
        <w:tblStyle w:val="Grilledutableau"/>
        <w:tblW w:w="0" w:type="auto"/>
        <w:tblInd w:w="-5" w:type="dxa"/>
        <w:tblLook w:val="04A0" w:firstRow="1" w:lastRow="0" w:firstColumn="1" w:lastColumn="0" w:noHBand="0" w:noVBand="1"/>
      </w:tblPr>
      <w:tblGrid>
        <w:gridCol w:w="5935"/>
        <w:gridCol w:w="1820"/>
        <w:gridCol w:w="1311"/>
      </w:tblGrid>
      <w:tr w:rsidR="00E37FC5" w14:paraId="5ED71C0F" w14:textId="77777777" w:rsidTr="00E4464A">
        <w:trPr>
          <w:trHeight w:hRule="exact" w:val="781"/>
          <w:tblHeader/>
        </w:trPr>
        <w:tc>
          <w:tcPr>
            <w:tcW w:w="5935" w:type="dxa"/>
            <w:hideMark/>
          </w:tcPr>
          <w:p w14:paraId="40BB7BD2"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 </w:t>
            </w:r>
          </w:p>
        </w:tc>
        <w:tc>
          <w:tcPr>
            <w:tcW w:w="1820" w:type="dxa"/>
            <w:hideMark/>
          </w:tcPr>
          <w:p w14:paraId="738A01BA" w14:textId="15EE83F1" w:rsidR="00A86FF1" w:rsidRPr="005E3BF6" w:rsidRDefault="00080994" w:rsidP="00CB615C">
            <w:pPr>
              <w:keepNext/>
              <w:keepLines/>
              <w:widowControl/>
              <w:tabs>
                <w:tab w:val="left" w:pos="1340"/>
              </w:tabs>
              <w:ind w:left="101"/>
              <w:rPr>
                <w:rFonts w:ascii="Times New Roman" w:eastAsia="Times New Roman" w:hAnsi="Times New Roman" w:cs="Times New Roman"/>
                <w:b/>
                <w:bCs/>
              </w:rPr>
            </w:pPr>
            <w:proofErr w:type="spellStart"/>
            <w:r>
              <w:rPr>
                <w:rFonts w:ascii="Times New Roman" w:hAnsi="Times New Roman"/>
                <w:b/>
              </w:rPr>
              <w:t>Fingolimod</w:t>
            </w:r>
            <w:proofErr w:type="spellEnd"/>
            <w:r>
              <w:rPr>
                <w:rFonts w:ascii="Times New Roman" w:hAnsi="Times New Roman"/>
                <w:b/>
              </w:rPr>
              <w:t xml:space="preserve"> 0,5 mg</w:t>
            </w:r>
          </w:p>
        </w:tc>
        <w:tc>
          <w:tcPr>
            <w:tcW w:w="1311" w:type="dxa"/>
            <w:hideMark/>
          </w:tcPr>
          <w:p w14:paraId="10711FA1" w14:textId="77777777" w:rsidR="00A86FF1" w:rsidRPr="005E3BF6" w:rsidRDefault="00080994" w:rsidP="00E4464A">
            <w:pPr>
              <w:keepNext/>
              <w:keepLines/>
              <w:widowControl/>
              <w:tabs>
                <w:tab w:val="left" w:pos="1499"/>
              </w:tabs>
              <w:ind w:left="101" w:right="-87"/>
              <w:rPr>
                <w:rFonts w:ascii="Times New Roman" w:eastAsia="Times New Roman" w:hAnsi="Times New Roman" w:cs="Times New Roman"/>
                <w:b/>
                <w:bCs/>
              </w:rPr>
            </w:pPr>
            <w:r>
              <w:rPr>
                <w:rFonts w:ascii="Times New Roman" w:hAnsi="Times New Roman"/>
                <w:b/>
              </w:rPr>
              <w:t>Interféron bêta-1a, 30 µg</w:t>
            </w:r>
          </w:p>
        </w:tc>
      </w:tr>
      <w:tr w:rsidR="00E37FC5" w14:paraId="5D478450" w14:textId="77777777" w:rsidTr="00E4464A">
        <w:trPr>
          <w:trHeight w:hRule="exact" w:val="300"/>
        </w:trPr>
        <w:tc>
          <w:tcPr>
            <w:tcW w:w="5935" w:type="dxa"/>
            <w:hideMark/>
          </w:tcPr>
          <w:p w14:paraId="7D5C4A9B" w14:textId="77777777" w:rsidR="00A86FF1" w:rsidRPr="005E3BF6" w:rsidRDefault="00080994" w:rsidP="00CB615C">
            <w:pPr>
              <w:keepNext/>
              <w:keepLines/>
              <w:widowControl/>
              <w:tabs>
                <w:tab w:val="left" w:pos="1340"/>
              </w:tabs>
              <w:ind w:left="101"/>
              <w:rPr>
                <w:rFonts w:ascii="Times New Roman" w:eastAsia="Times New Roman" w:hAnsi="Times New Roman" w:cs="Times New Roman"/>
                <w:b/>
                <w:bCs/>
              </w:rPr>
            </w:pPr>
            <w:r>
              <w:rPr>
                <w:rFonts w:ascii="Times New Roman" w:hAnsi="Times New Roman"/>
                <w:b/>
              </w:rPr>
              <w:t>Critères cliniques</w:t>
            </w:r>
          </w:p>
        </w:tc>
        <w:tc>
          <w:tcPr>
            <w:tcW w:w="1820" w:type="dxa"/>
            <w:hideMark/>
          </w:tcPr>
          <w:p w14:paraId="58A7105F"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 </w:t>
            </w:r>
          </w:p>
        </w:tc>
        <w:tc>
          <w:tcPr>
            <w:tcW w:w="1311" w:type="dxa"/>
            <w:hideMark/>
          </w:tcPr>
          <w:p w14:paraId="1C2BF44A"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 </w:t>
            </w:r>
          </w:p>
        </w:tc>
      </w:tr>
      <w:tr w:rsidR="00E37FC5" w14:paraId="34A2EAED" w14:textId="77777777" w:rsidTr="00E4464A">
        <w:trPr>
          <w:trHeight w:hRule="exact" w:val="300"/>
        </w:trPr>
        <w:tc>
          <w:tcPr>
            <w:tcW w:w="5935" w:type="dxa"/>
            <w:hideMark/>
          </w:tcPr>
          <w:p w14:paraId="1BABCB34"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Taux annualisé de poussées (critère principal)</w:t>
            </w:r>
          </w:p>
        </w:tc>
        <w:tc>
          <w:tcPr>
            <w:tcW w:w="1820" w:type="dxa"/>
            <w:hideMark/>
          </w:tcPr>
          <w:p w14:paraId="289F5113"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0,16**</w:t>
            </w:r>
          </w:p>
        </w:tc>
        <w:tc>
          <w:tcPr>
            <w:tcW w:w="1311" w:type="dxa"/>
            <w:hideMark/>
          </w:tcPr>
          <w:p w14:paraId="02F60ED0"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0,33</w:t>
            </w:r>
          </w:p>
        </w:tc>
      </w:tr>
      <w:tr w:rsidR="00E37FC5" w14:paraId="7FD4CB7A" w14:textId="77777777" w:rsidTr="00E4464A">
        <w:trPr>
          <w:trHeight w:val="310"/>
        </w:trPr>
        <w:tc>
          <w:tcPr>
            <w:tcW w:w="5935" w:type="dxa"/>
            <w:hideMark/>
          </w:tcPr>
          <w:p w14:paraId="691B43C4" w14:textId="52DBC81E"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Pourcentage de patients libres de poussée à 12 mois</w:t>
            </w:r>
          </w:p>
        </w:tc>
        <w:tc>
          <w:tcPr>
            <w:tcW w:w="1820" w:type="dxa"/>
            <w:hideMark/>
          </w:tcPr>
          <w:p w14:paraId="5603937D"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83 %**</w:t>
            </w:r>
          </w:p>
        </w:tc>
        <w:tc>
          <w:tcPr>
            <w:tcW w:w="1311" w:type="dxa"/>
            <w:hideMark/>
          </w:tcPr>
          <w:p w14:paraId="623E01B8"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71 %</w:t>
            </w:r>
          </w:p>
        </w:tc>
      </w:tr>
      <w:tr w:rsidR="00E37FC5" w14:paraId="0B336436" w14:textId="77777777" w:rsidTr="00E4464A">
        <w:trPr>
          <w:trHeight w:val="841"/>
        </w:trPr>
        <w:tc>
          <w:tcPr>
            <w:tcW w:w="5935" w:type="dxa"/>
            <w:hideMark/>
          </w:tcPr>
          <w:p w14:paraId="218F0D25" w14:textId="77777777" w:rsidR="00A86FF1" w:rsidRPr="005E3BF6" w:rsidRDefault="00080994" w:rsidP="00E4464A">
            <w:pPr>
              <w:widowControl/>
              <w:tabs>
                <w:tab w:val="left" w:pos="1340"/>
              </w:tabs>
              <w:ind w:left="102" w:right="-101"/>
              <w:rPr>
                <w:rFonts w:ascii="Times New Roman" w:eastAsia="Times New Roman" w:hAnsi="Times New Roman" w:cs="Times New Roman"/>
              </w:rPr>
            </w:pPr>
            <w:r>
              <w:rPr>
                <w:rFonts w:ascii="Times New Roman" w:hAnsi="Times New Roman"/>
              </w:rPr>
              <w:t>Pourcentage de patients présentant une progression du handicap</w:t>
            </w:r>
            <w:r>
              <w:rPr>
                <w:rFonts w:ascii="Times New Roman" w:hAnsi="Times New Roman"/>
              </w:rPr>
              <w:br/>
              <w:t>confirmée à 3 mois†</w:t>
            </w:r>
            <w:r>
              <w:rPr>
                <w:rFonts w:ascii="Times New Roman" w:hAnsi="Times New Roman"/>
              </w:rPr>
              <w:br/>
              <w:t>Rapport de risque (IC95 %)</w:t>
            </w:r>
          </w:p>
        </w:tc>
        <w:tc>
          <w:tcPr>
            <w:tcW w:w="1820" w:type="dxa"/>
            <w:hideMark/>
          </w:tcPr>
          <w:p w14:paraId="07F807CE" w14:textId="4790F7FF" w:rsidR="00A86FF1" w:rsidRPr="005E3BF6" w:rsidRDefault="00080994" w:rsidP="00E4464A">
            <w:pPr>
              <w:widowControl/>
              <w:ind w:left="102" w:right="-61"/>
              <w:rPr>
                <w:rFonts w:ascii="Times New Roman" w:eastAsia="Times New Roman" w:hAnsi="Times New Roman" w:cs="Times New Roman"/>
              </w:rPr>
            </w:pPr>
            <w:r>
              <w:rPr>
                <w:rFonts w:ascii="Times New Roman" w:hAnsi="Times New Roman"/>
              </w:rPr>
              <w:t>6 %</w:t>
            </w:r>
            <w:r>
              <w:rPr>
                <w:rFonts w:ascii="Times New Roman" w:hAnsi="Times New Roman"/>
              </w:rPr>
              <w:br/>
            </w:r>
            <w:r>
              <w:rPr>
                <w:rFonts w:ascii="Times New Roman" w:hAnsi="Times New Roman"/>
              </w:rPr>
              <w:br/>
              <w:t>0,71 (0,42 ; 1,21)</w:t>
            </w:r>
          </w:p>
        </w:tc>
        <w:tc>
          <w:tcPr>
            <w:tcW w:w="1311" w:type="dxa"/>
            <w:hideMark/>
          </w:tcPr>
          <w:p w14:paraId="515028A0" w14:textId="77777777" w:rsidR="00A86FF1" w:rsidRPr="005E3BF6" w:rsidRDefault="00080994" w:rsidP="00E4464A">
            <w:pPr>
              <w:widowControl/>
              <w:tabs>
                <w:tab w:val="left" w:pos="1340"/>
              </w:tabs>
              <w:ind w:left="102"/>
              <w:rPr>
                <w:rFonts w:ascii="Times New Roman" w:eastAsia="Times New Roman" w:hAnsi="Times New Roman" w:cs="Times New Roman"/>
              </w:rPr>
            </w:pPr>
            <w:r>
              <w:rPr>
                <w:rFonts w:ascii="Times New Roman" w:hAnsi="Times New Roman"/>
              </w:rPr>
              <w:t>8 %</w:t>
            </w:r>
          </w:p>
        </w:tc>
      </w:tr>
      <w:tr w:rsidR="00E37FC5" w14:paraId="6ABF4EF0" w14:textId="77777777" w:rsidTr="00E4464A">
        <w:trPr>
          <w:trHeight w:hRule="exact" w:val="300"/>
        </w:trPr>
        <w:tc>
          <w:tcPr>
            <w:tcW w:w="5935" w:type="dxa"/>
            <w:hideMark/>
          </w:tcPr>
          <w:p w14:paraId="4D98162D" w14:textId="77777777" w:rsidR="00A86FF1" w:rsidRPr="005E3BF6" w:rsidRDefault="00080994" w:rsidP="00CB615C">
            <w:pPr>
              <w:keepNext/>
              <w:keepLines/>
              <w:widowControl/>
              <w:tabs>
                <w:tab w:val="left" w:pos="1340"/>
              </w:tabs>
              <w:ind w:left="101"/>
              <w:rPr>
                <w:rFonts w:ascii="Times New Roman" w:eastAsia="Times New Roman" w:hAnsi="Times New Roman" w:cs="Times New Roman"/>
                <w:b/>
                <w:bCs/>
              </w:rPr>
            </w:pPr>
            <w:r>
              <w:rPr>
                <w:rFonts w:ascii="Times New Roman" w:hAnsi="Times New Roman"/>
                <w:b/>
              </w:rPr>
              <w:lastRenderedPageBreak/>
              <w:t>Critères IRM</w:t>
            </w:r>
          </w:p>
        </w:tc>
        <w:tc>
          <w:tcPr>
            <w:tcW w:w="1820" w:type="dxa"/>
            <w:hideMark/>
          </w:tcPr>
          <w:p w14:paraId="5E979CC7"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 </w:t>
            </w:r>
          </w:p>
        </w:tc>
        <w:tc>
          <w:tcPr>
            <w:tcW w:w="1311" w:type="dxa"/>
            <w:hideMark/>
          </w:tcPr>
          <w:p w14:paraId="796675BA"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 </w:t>
            </w:r>
          </w:p>
        </w:tc>
      </w:tr>
      <w:tr w:rsidR="00E37FC5" w14:paraId="2C0610CE" w14:textId="77777777" w:rsidTr="00E4464A">
        <w:trPr>
          <w:trHeight w:hRule="exact" w:val="600"/>
        </w:trPr>
        <w:tc>
          <w:tcPr>
            <w:tcW w:w="5935" w:type="dxa"/>
            <w:hideMark/>
          </w:tcPr>
          <w:p w14:paraId="48443C75" w14:textId="54990DA0"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Nombre de nouvelles lésions / lésions élargies en T2 sur 12 mois [médiane (moyenne)]</w:t>
            </w:r>
          </w:p>
        </w:tc>
        <w:tc>
          <w:tcPr>
            <w:tcW w:w="1820" w:type="dxa"/>
            <w:hideMark/>
          </w:tcPr>
          <w:p w14:paraId="7CD02439"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0,0 (1,</w:t>
            </w:r>
            <w:proofErr w:type="gramStart"/>
            <w:r>
              <w:rPr>
                <w:rFonts w:ascii="Times New Roman" w:hAnsi="Times New Roman"/>
              </w:rPr>
              <w:t>7)*</w:t>
            </w:r>
            <w:proofErr w:type="gramEnd"/>
          </w:p>
        </w:tc>
        <w:tc>
          <w:tcPr>
            <w:tcW w:w="1311" w:type="dxa"/>
            <w:hideMark/>
          </w:tcPr>
          <w:p w14:paraId="580AA919"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1,0 (2,6)</w:t>
            </w:r>
          </w:p>
        </w:tc>
      </w:tr>
      <w:tr w:rsidR="00E37FC5" w14:paraId="5439714D" w14:textId="77777777" w:rsidTr="00E4464A">
        <w:trPr>
          <w:trHeight w:hRule="exact" w:val="510"/>
        </w:trPr>
        <w:tc>
          <w:tcPr>
            <w:tcW w:w="5935" w:type="dxa"/>
            <w:hideMark/>
          </w:tcPr>
          <w:p w14:paraId="7FBF77D0" w14:textId="0EAC8E1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 xml:space="preserve">Nombre de lésions prenant le Gd au </w:t>
            </w:r>
            <w:proofErr w:type="spellStart"/>
            <w:r>
              <w:rPr>
                <w:rFonts w:ascii="Times New Roman" w:hAnsi="Times New Roman"/>
              </w:rPr>
              <w:t>mois</w:t>
            </w:r>
            <w:proofErr w:type="spellEnd"/>
            <w:r>
              <w:rPr>
                <w:rFonts w:ascii="Times New Roman" w:hAnsi="Times New Roman"/>
              </w:rPr>
              <w:t> 12 [médiane (moyenne)]</w:t>
            </w:r>
          </w:p>
        </w:tc>
        <w:tc>
          <w:tcPr>
            <w:tcW w:w="1820" w:type="dxa"/>
            <w:hideMark/>
          </w:tcPr>
          <w:p w14:paraId="6F64639E"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0,0 (0,</w:t>
            </w:r>
            <w:proofErr w:type="gramStart"/>
            <w:r>
              <w:rPr>
                <w:rFonts w:ascii="Times New Roman" w:hAnsi="Times New Roman"/>
              </w:rPr>
              <w:t>2)*</w:t>
            </w:r>
            <w:proofErr w:type="gramEnd"/>
            <w:r>
              <w:rPr>
                <w:rFonts w:ascii="Times New Roman" w:hAnsi="Times New Roman"/>
              </w:rPr>
              <w:t>*</w:t>
            </w:r>
          </w:p>
        </w:tc>
        <w:tc>
          <w:tcPr>
            <w:tcW w:w="1311" w:type="dxa"/>
            <w:hideMark/>
          </w:tcPr>
          <w:p w14:paraId="794E8461"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0,0 (0,5)</w:t>
            </w:r>
          </w:p>
        </w:tc>
      </w:tr>
      <w:tr w:rsidR="00E37FC5" w14:paraId="54E03574" w14:textId="77777777" w:rsidTr="00E4464A">
        <w:trPr>
          <w:trHeight w:hRule="exact" w:val="591"/>
        </w:trPr>
        <w:tc>
          <w:tcPr>
            <w:tcW w:w="5935" w:type="dxa"/>
            <w:tcBorders>
              <w:bottom w:val="single" w:sz="4" w:space="0" w:color="auto"/>
            </w:tcBorders>
            <w:hideMark/>
          </w:tcPr>
          <w:p w14:paraId="3ABC7EC0" w14:textId="0CD3CF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 de variation du volume cérébral sur 12 mois [médiane (moyenne)]</w:t>
            </w:r>
          </w:p>
        </w:tc>
        <w:tc>
          <w:tcPr>
            <w:tcW w:w="1820" w:type="dxa"/>
            <w:tcBorders>
              <w:bottom w:val="single" w:sz="4" w:space="0" w:color="auto"/>
            </w:tcBorders>
            <w:hideMark/>
          </w:tcPr>
          <w:p w14:paraId="6C57552D"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-0,2 (-0,</w:t>
            </w:r>
            <w:proofErr w:type="gramStart"/>
            <w:r>
              <w:rPr>
                <w:rFonts w:ascii="Times New Roman" w:hAnsi="Times New Roman"/>
              </w:rPr>
              <w:t>3)*</w:t>
            </w:r>
            <w:proofErr w:type="gramEnd"/>
            <w:r>
              <w:rPr>
                <w:rFonts w:ascii="Times New Roman" w:hAnsi="Times New Roman"/>
              </w:rPr>
              <w:t>*</w:t>
            </w:r>
          </w:p>
        </w:tc>
        <w:tc>
          <w:tcPr>
            <w:tcW w:w="1311" w:type="dxa"/>
            <w:tcBorders>
              <w:bottom w:val="single" w:sz="4" w:space="0" w:color="auto"/>
            </w:tcBorders>
            <w:hideMark/>
          </w:tcPr>
          <w:p w14:paraId="6D6B9FD9"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-0,4 (-0,5)</w:t>
            </w:r>
          </w:p>
        </w:tc>
      </w:tr>
      <w:tr w:rsidR="00E37FC5" w14:paraId="269F0BEE" w14:textId="77777777" w:rsidTr="00E4464A">
        <w:trPr>
          <w:trHeight w:hRule="exact" w:val="554"/>
        </w:trPr>
        <w:tc>
          <w:tcPr>
            <w:tcW w:w="9066" w:type="dxa"/>
            <w:gridSpan w:val="3"/>
            <w:tcBorders>
              <w:top w:val="single" w:sz="4" w:space="0" w:color="auto"/>
              <w:left w:val="single" w:sz="4" w:space="0" w:color="auto"/>
              <w:bottom w:val="nil"/>
              <w:right w:val="single" w:sz="4" w:space="0" w:color="auto"/>
            </w:tcBorders>
            <w:hideMark/>
          </w:tcPr>
          <w:p w14:paraId="386F7317" w14:textId="34CACA2B"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 Progression du handicap définie comme une augmentation de 1 point du score EDSS confirmée 3 mois plus tard.</w:t>
            </w:r>
          </w:p>
        </w:tc>
      </w:tr>
      <w:tr w:rsidR="00E37FC5" w14:paraId="1D8669BD" w14:textId="77777777" w:rsidTr="00E4464A">
        <w:trPr>
          <w:trHeight w:val="273"/>
        </w:trPr>
        <w:tc>
          <w:tcPr>
            <w:tcW w:w="9066" w:type="dxa"/>
            <w:gridSpan w:val="3"/>
            <w:tcBorders>
              <w:top w:val="nil"/>
              <w:left w:val="single" w:sz="4" w:space="0" w:color="auto"/>
              <w:bottom w:val="nil"/>
              <w:right w:val="single" w:sz="4" w:space="0" w:color="auto"/>
            </w:tcBorders>
            <w:hideMark/>
          </w:tcPr>
          <w:p w14:paraId="3E996362" w14:textId="16CCE99D"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 p &lt; 0,01, **p &lt; 0,001 par rapport à l’interféron bêta-1a</w:t>
            </w:r>
          </w:p>
        </w:tc>
      </w:tr>
      <w:tr w:rsidR="00E37FC5" w14:paraId="553A7DB9" w14:textId="77777777" w:rsidTr="00E4464A">
        <w:trPr>
          <w:trHeight w:val="277"/>
        </w:trPr>
        <w:tc>
          <w:tcPr>
            <w:tcW w:w="9066" w:type="dxa"/>
            <w:gridSpan w:val="3"/>
            <w:tcBorders>
              <w:top w:val="nil"/>
              <w:left w:val="single" w:sz="4" w:space="0" w:color="auto"/>
              <w:bottom w:val="single" w:sz="4" w:space="0" w:color="auto"/>
              <w:right w:val="single" w:sz="4" w:space="0" w:color="auto"/>
            </w:tcBorders>
            <w:hideMark/>
          </w:tcPr>
          <w:p w14:paraId="489347E8" w14:textId="77777777" w:rsidR="00A86FF1" w:rsidRPr="005E3BF6" w:rsidRDefault="00080994" w:rsidP="00CB615C">
            <w:pPr>
              <w:keepNext/>
              <w:keepLines/>
              <w:widowControl/>
              <w:tabs>
                <w:tab w:val="left" w:pos="1340"/>
              </w:tabs>
              <w:ind w:left="101"/>
              <w:rPr>
                <w:rFonts w:ascii="Times New Roman" w:eastAsia="Times New Roman" w:hAnsi="Times New Roman" w:cs="Times New Roman"/>
              </w:rPr>
            </w:pPr>
            <w:r>
              <w:rPr>
                <w:rFonts w:ascii="Times New Roman" w:hAnsi="Times New Roman"/>
              </w:rPr>
              <w:t>Toutes les analyses des critères d’évaluation cliniques ont été effectuées en intention de traiter. L’ensemble des données évaluables a été utilisé pour les analyses des critères IRM.</w:t>
            </w:r>
          </w:p>
        </w:tc>
      </w:tr>
    </w:tbl>
    <w:p w14:paraId="3FF6185F" w14:textId="77777777" w:rsidR="00A86FF1" w:rsidRPr="005E3BF6" w:rsidRDefault="00A86FF1" w:rsidP="00E4464A">
      <w:pPr>
        <w:widowControl/>
        <w:tabs>
          <w:tab w:val="left" w:pos="1340"/>
        </w:tabs>
        <w:spacing w:after="0" w:line="240" w:lineRule="auto"/>
        <w:rPr>
          <w:rFonts w:ascii="Times New Roman" w:eastAsia="Times New Roman" w:hAnsi="Times New Roman" w:cs="Times New Roman"/>
        </w:rPr>
      </w:pPr>
    </w:p>
    <w:p w14:paraId="5F11B925" w14:textId="2DB763E3" w:rsidR="001C7C0E" w:rsidRPr="005E3BF6" w:rsidRDefault="00080994" w:rsidP="00E4464A">
      <w:pPr>
        <w:widowControl/>
        <w:spacing w:after="0" w:line="240" w:lineRule="auto"/>
        <w:rPr>
          <w:rFonts w:ascii="Times New Roman" w:eastAsia="Times New Roman" w:hAnsi="Times New Roman" w:cs="Times New Roman"/>
        </w:rPr>
      </w:pPr>
      <w:r>
        <w:rPr>
          <w:rFonts w:ascii="Times New Roman" w:hAnsi="Times New Roman"/>
        </w:rPr>
        <w:t xml:space="preserve">Les patients ayant achevé la période principale de 12 mois de l’étude TRANSFORMS avaient la possibilité d’entrer dans une étude d’extension en aveugle de dose (D2302E1) et de recevoir un traitement par </w:t>
      </w:r>
      <w:proofErr w:type="spellStart"/>
      <w:r>
        <w:rPr>
          <w:rFonts w:ascii="Times New Roman" w:hAnsi="Times New Roman"/>
        </w:rPr>
        <w:t>fingolimod</w:t>
      </w:r>
      <w:proofErr w:type="spellEnd"/>
      <w:r>
        <w:rPr>
          <w:rFonts w:ascii="Times New Roman" w:hAnsi="Times New Roman"/>
        </w:rPr>
        <w:t xml:space="preserve">. Au total, 1 030 patients ont été inclus, cependant 3 d’entre eux n’ont pas reçu de traitement (n = 356 ont poursuivi à la dose de 0,5 mg, 330 ont poursuivi à la dose de 1,25 mg, 167 sont passés de l’interféron bêta-1a à une dose de 0,5 mg et 174 sont passés de l’interféron bêta-1a à une dose de 1,25 mg). Après 12 mois (mois 24), 882 patients (86 %) étaient toujours dans l’étude. Entre les mois 12 et 24, le TAP des patients restés sous </w:t>
      </w:r>
      <w:proofErr w:type="spellStart"/>
      <w:r>
        <w:rPr>
          <w:rFonts w:ascii="Times New Roman" w:hAnsi="Times New Roman"/>
        </w:rPr>
        <w:t>fingolimod</w:t>
      </w:r>
      <w:proofErr w:type="spellEnd"/>
      <w:r>
        <w:rPr>
          <w:rFonts w:ascii="Times New Roman" w:hAnsi="Times New Roman"/>
        </w:rPr>
        <w:t xml:space="preserve"> 0,5 mg après l’avoir reçu à cette dose dans l’étude principale était de 0,20 (0,19 dans l’étude principale). Le TAP des patients qui sont passés de l’interféron bêta-1a au </w:t>
      </w:r>
      <w:proofErr w:type="spellStart"/>
      <w:r>
        <w:rPr>
          <w:rFonts w:ascii="Times New Roman" w:hAnsi="Times New Roman"/>
        </w:rPr>
        <w:t>fingolimod</w:t>
      </w:r>
      <w:proofErr w:type="spellEnd"/>
      <w:r>
        <w:rPr>
          <w:rFonts w:ascii="Times New Roman" w:hAnsi="Times New Roman"/>
        </w:rPr>
        <w:t xml:space="preserve"> 0,5 mg était de 0,33 (0,48 dans l’étude principale).</w:t>
      </w:r>
    </w:p>
    <w:p w14:paraId="45F8A8F7" w14:textId="77777777" w:rsidR="001C7C0E" w:rsidRPr="005E3BF6" w:rsidRDefault="001C7C0E" w:rsidP="00CB615C">
      <w:pPr>
        <w:widowControl/>
        <w:spacing w:after="0" w:line="240" w:lineRule="auto"/>
        <w:rPr>
          <w:rFonts w:ascii="Times New Roman" w:hAnsi="Times New Roman" w:cs="Times New Roman"/>
        </w:rPr>
      </w:pPr>
    </w:p>
    <w:p w14:paraId="6F76F47A" w14:textId="77777777"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Les résultats combinés des études D2301 et D2302 ont montré une réduction statistiquement significative du taux annualisé de poussées par rapport au comparateur dans les sous-groupes définis selon le sexe, l’âge, le traitement antérieur de la sclérose en plaques, l’activité de la maladie ou le niveau de handicap initial.</w:t>
      </w:r>
    </w:p>
    <w:p w14:paraId="418DE9FA" w14:textId="77777777" w:rsidR="001C7C0E" w:rsidRPr="005E3BF6" w:rsidRDefault="001C7C0E" w:rsidP="00CB615C">
      <w:pPr>
        <w:widowControl/>
        <w:spacing w:after="0" w:line="240" w:lineRule="auto"/>
        <w:rPr>
          <w:rFonts w:ascii="Times New Roman" w:hAnsi="Times New Roman" w:cs="Times New Roman"/>
        </w:rPr>
      </w:pPr>
    </w:p>
    <w:p w14:paraId="7C55E6D2" w14:textId="77777777" w:rsidR="001C7C0E" w:rsidRDefault="00080994" w:rsidP="00CB615C">
      <w:pPr>
        <w:widowControl/>
        <w:spacing w:after="0" w:line="240" w:lineRule="auto"/>
        <w:rPr>
          <w:rFonts w:ascii="Times New Roman" w:hAnsi="Times New Roman"/>
        </w:rPr>
      </w:pPr>
      <w:r>
        <w:rPr>
          <w:rFonts w:ascii="Times New Roman" w:hAnsi="Times New Roman"/>
        </w:rPr>
        <w:t>Des analyses complémentaires des données des études cliniques ont également démontré l’efficacité du traitement dans des sous-groupes de patients présentant une forme très active de sclérose en plaques rémittente-récurrente.</w:t>
      </w:r>
    </w:p>
    <w:p w14:paraId="6A5C871F" w14:textId="77777777" w:rsidR="00E4464A" w:rsidRPr="005E3BF6" w:rsidRDefault="00E4464A" w:rsidP="00CB615C">
      <w:pPr>
        <w:widowControl/>
        <w:spacing w:after="0" w:line="240" w:lineRule="auto"/>
        <w:rPr>
          <w:rFonts w:ascii="Times New Roman" w:eastAsia="Times New Roman" w:hAnsi="Times New Roman" w:cs="Times New Roman"/>
        </w:rPr>
      </w:pPr>
    </w:p>
    <w:p w14:paraId="37514D37" w14:textId="77777777" w:rsidR="001C7C0E" w:rsidRPr="005E3BF6" w:rsidRDefault="00080994" w:rsidP="00CB615C">
      <w:pPr>
        <w:keepNext/>
        <w:keepLines/>
        <w:widowControl/>
        <w:spacing w:after="0" w:line="240" w:lineRule="auto"/>
        <w:rPr>
          <w:rFonts w:ascii="Times New Roman" w:eastAsia="Times New Roman" w:hAnsi="Times New Roman" w:cs="Times New Roman"/>
        </w:rPr>
      </w:pPr>
      <w:r>
        <w:rPr>
          <w:rFonts w:ascii="Times New Roman" w:hAnsi="Times New Roman"/>
          <w:u w:val="single" w:color="000000"/>
        </w:rPr>
        <w:t>Population pédiatrique</w:t>
      </w:r>
    </w:p>
    <w:p w14:paraId="707C5CE9" w14:textId="77777777" w:rsidR="00F02618" w:rsidRDefault="00F02618" w:rsidP="00CB615C">
      <w:pPr>
        <w:keepNext/>
        <w:keepLines/>
        <w:widowControl/>
        <w:spacing w:after="0" w:line="240" w:lineRule="auto"/>
        <w:rPr>
          <w:rFonts w:ascii="Times New Roman" w:eastAsia="Times New Roman" w:hAnsi="Times New Roman" w:cs="Times New Roman"/>
          <w:spacing w:val="2"/>
        </w:rPr>
      </w:pPr>
    </w:p>
    <w:p w14:paraId="7C1EBEFC" w14:textId="6F7FC544" w:rsidR="001C7C0E" w:rsidRPr="005E3BF6" w:rsidRDefault="00080994" w:rsidP="00CB615C">
      <w:pPr>
        <w:keepNext/>
        <w:keepLines/>
        <w:widowControl/>
        <w:spacing w:after="0" w:line="240" w:lineRule="auto"/>
        <w:rPr>
          <w:rFonts w:ascii="Times New Roman" w:eastAsia="Times New Roman" w:hAnsi="Times New Roman" w:cs="Times New Roman"/>
        </w:rPr>
      </w:pPr>
      <w:r>
        <w:rPr>
          <w:rFonts w:ascii="Times New Roman" w:hAnsi="Times New Roman"/>
        </w:rPr>
        <w:t xml:space="preserve">L’efficacité et la sécurité d’emploi de doses quotidiennes de </w:t>
      </w:r>
      <w:proofErr w:type="spellStart"/>
      <w:r>
        <w:rPr>
          <w:rFonts w:ascii="Times New Roman" w:hAnsi="Times New Roman"/>
        </w:rPr>
        <w:t>fingolimod</w:t>
      </w:r>
      <w:proofErr w:type="spellEnd"/>
      <w:r>
        <w:rPr>
          <w:rFonts w:ascii="Times New Roman" w:hAnsi="Times New Roman"/>
        </w:rPr>
        <w:t xml:space="preserve"> 0,25 mg ou 0,5 mg (dose sélectionnée sur la base du poids corporel et des mesures d’exposition) ont été établies chez les patients pédiatriques âgés de 10 à &lt; 18 ans atteints de sclérose en plaques rémittente-récurrente.</w:t>
      </w:r>
    </w:p>
    <w:p w14:paraId="4291B72B" w14:textId="77777777" w:rsidR="001C7C0E" w:rsidRPr="005E3BF6" w:rsidRDefault="001C7C0E" w:rsidP="00CB615C">
      <w:pPr>
        <w:keepNext/>
        <w:keepLines/>
        <w:widowControl/>
        <w:spacing w:after="0" w:line="240" w:lineRule="auto"/>
        <w:rPr>
          <w:rFonts w:ascii="Times New Roman" w:hAnsi="Times New Roman" w:cs="Times New Roman"/>
        </w:rPr>
      </w:pPr>
    </w:p>
    <w:p w14:paraId="6B2CBC91" w14:textId="17D04ABC" w:rsidR="001C7C0E" w:rsidRPr="005E3BF6" w:rsidRDefault="00080994" w:rsidP="00CB615C">
      <w:pPr>
        <w:keepNext/>
        <w:keepLines/>
        <w:widowControl/>
        <w:spacing w:after="0" w:line="240" w:lineRule="auto"/>
        <w:rPr>
          <w:rFonts w:ascii="Times New Roman" w:eastAsia="Times New Roman" w:hAnsi="Times New Roman" w:cs="Times New Roman"/>
        </w:rPr>
      </w:pPr>
      <w:r>
        <w:rPr>
          <w:rFonts w:ascii="Times New Roman" w:hAnsi="Times New Roman"/>
        </w:rPr>
        <w:t xml:space="preserve">L’étude D2311 (PARADIGMS) était une étude en double aveugle, avec double placebo, contrôlée avec comparateur actif, d’une durée flexible pouvant aller jusqu’à 24 mois, conduite chez 215 patients âgés de 10 à &lt; 18 ans (n = 107 sous </w:t>
      </w:r>
      <w:proofErr w:type="spellStart"/>
      <w:r>
        <w:rPr>
          <w:rFonts w:ascii="Times New Roman" w:hAnsi="Times New Roman"/>
        </w:rPr>
        <w:t>fingolimod</w:t>
      </w:r>
      <w:proofErr w:type="spellEnd"/>
      <w:r>
        <w:rPr>
          <w:rFonts w:ascii="Times New Roman" w:hAnsi="Times New Roman"/>
        </w:rPr>
        <w:t>, 108 sous interféron bêta-1a 30 µg en injection intramusculaire une fois par semaine).</w:t>
      </w:r>
    </w:p>
    <w:p w14:paraId="2E4AFF9D" w14:textId="77777777" w:rsidR="001C7C0E" w:rsidRPr="005E3BF6" w:rsidRDefault="001C7C0E" w:rsidP="00E4464A">
      <w:pPr>
        <w:widowControl/>
        <w:spacing w:after="0" w:line="240" w:lineRule="auto"/>
        <w:rPr>
          <w:rFonts w:ascii="Times New Roman" w:hAnsi="Times New Roman" w:cs="Times New Roman"/>
        </w:rPr>
      </w:pPr>
    </w:p>
    <w:p w14:paraId="0E3CE41C" w14:textId="02CB9BD0" w:rsidR="001C7C0E" w:rsidRPr="005E3BF6" w:rsidRDefault="00080994" w:rsidP="00E4464A">
      <w:pPr>
        <w:widowControl/>
        <w:spacing w:after="0" w:line="240" w:lineRule="auto"/>
        <w:rPr>
          <w:rFonts w:ascii="Times New Roman" w:eastAsia="Times New Roman" w:hAnsi="Times New Roman" w:cs="Times New Roman"/>
        </w:rPr>
      </w:pPr>
      <w:r>
        <w:rPr>
          <w:rFonts w:ascii="Times New Roman" w:hAnsi="Times New Roman"/>
        </w:rPr>
        <w:t xml:space="preserve">Les valeurs médianes des caractéristiques initiales étaient : 16 ans pour l’âge, 1,5 an pour l’ancienneté médiane de la maladie et 1,5 pour le score EDSS. La majorité des patients étaient de stade Tanner 2 ou plus (94,4 %) et pesaient &gt; 40 kg (95,3 %). Dans l’ensemble, 180 (84 %) patients ont terminé la période principale de l’étude sous traitement (n = 99 [92,5 %] sous </w:t>
      </w:r>
      <w:proofErr w:type="spellStart"/>
      <w:r>
        <w:rPr>
          <w:rFonts w:ascii="Times New Roman" w:hAnsi="Times New Roman"/>
        </w:rPr>
        <w:t>fingolimod</w:t>
      </w:r>
      <w:proofErr w:type="spellEnd"/>
      <w:r>
        <w:rPr>
          <w:rFonts w:ascii="Times New Roman" w:hAnsi="Times New Roman"/>
        </w:rPr>
        <w:t>, 81 [75 %] sous interféron bêta-1a). Les résultats de l’étude sont présentés dans le tableau 4.</w:t>
      </w:r>
    </w:p>
    <w:p w14:paraId="5107B0E1" w14:textId="77777777" w:rsidR="001C7C0E" w:rsidRPr="005E3BF6" w:rsidRDefault="001C7C0E" w:rsidP="00E4464A">
      <w:pPr>
        <w:widowControl/>
        <w:spacing w:after="0" w:line="240" w:lineRule="auto"/>
        <w:rPr>
          <w:rFonts w:ascii="Times New Roman" w:hAnsi="Times New Roman" w:cs="Times New Roman"/>
        </w:rPr>
      </w:pPr>
    </w:p>
    <w:p w14:paraId="2F19961C" w14:textId="77777777" w:rsidR="001C7C0E" w:rsidRPr="005E3BF6" w:rsidRDefault="00080994" w:rsidP="00CB615C">
      <w:pPr>
        <w:keepNext/>
        <w:keepLines/>
        <w:widowControl/>
        <w:tabs>
          <w:tab w:val="left" w:pos="1134"/>
        </w:tabs>
        <w:spacing w:after="0" w:line="240" w:lineRule="auto"/>
        <w:rPr>
          <w:rFonts w:ascii="Times New Roman" w:eastAsia="Times New Roman" w:hAnsi="Times New Roman" w:cs="Times New Roman"/>
        </w:rPr>
      </w:pPr>
      <w:r>
        <w:rPr>
          <w:rFonts w:ascii="Times New Roman" w:hAnsi="Times New Roman"/>
          <w:b/>
        </w:rPr>
        <w:lastRenderedPageBreak/>
        <w:t>Tableau 4</w:t>
      </w:r>
      <w:r>
        <w:rPr>
          <w:rFonts w:ascii="Times New Roman" w:hAnsi="Times New Roman"/>
          <w:b/>
        </w:rPr>
        <w:tab/>
        <w:t>Étude D2311 (PARADIGMS) : principaux résultats</w:t>
      </w:r>
    </w:p>
    <w:p w14:paraId="03A07902" w14:textId="77777777" w:rsidR="001C7C0E" w:rsidRPr="005E3BF6" w:rsidRDefault="001C7C0E" w:rsidP="00CB615C">
      <w:pPr>
        <w:keepNext/>
        <w:keepLines/>
        <w:widowControl/>
        <w:spacing w:after="0" w:line="240" w:lineRule="auto"/>
        <w:rPr>
          <w:rFonts w:ascii="Times New Roman" w:hAnsi="Times New Roman" w:cs="Times New Roman"/>
        </w:rPr>
      </w:pPr>
    </w:p>
    <w:tbl>
      <w:tblPr>
        <w:tblW w:w="9072" w:type="dxa"/>
        <w:tblLayout w:type="fixed"/>
        <w:tblCellMar>
          <w:top w:w="28" w:type="dxa"/>
          <w:bottom w:w="28" w:type="dxa"/>
        </w:tblCellMar>
        <w:tblLook w:val="01E0" w:firstRow="1" w:lastRow="1" w:firstColumn="1" w:lastColumn="1" w:noHBand="0" w:noVBand="0"/>
      </w:tblPr>
      <w:tblGrid>
        <w:gridCol w:w="5059"/>
        <w:gridCol w:w="2107"/>
        <w:gridCol w:w="1906"/>
      </w:tblGrid>
      <w:tr w:rsidR="00E37FC5" w14:paraId="5911F95E" w14:textId="77777777" w:rsidTr="00373A92">
        <w:trPr>
          <w:cantSplit/>
          <w:tblHeader/>
        </w:trPr>
        <w:tc>
          <w:tcPr>
            <w:tcW w:w="5059" w:type="dxa"/>
            <w:tcBorders>
              <w:top w:val="single" w:sz="4" w:space="0" w:color="000000"/>
              <w:left w:val="single" w:sz="4" w:space="0" w:color="000000"/>
              <w:bottom w:val="single" w:sz="4" w:space="0" w:color="000000"/>
              <w:right w:val="single" w:sz="4" w:space="0" w:color="000000"/>
            </w:tcBorders>
          </w:tcPr>
          <w:p w14:paraId="3E4EE41E" w14:textId="77777777" w:rsidR="001C7C0E" w:rsidRPr="005E3BF6" w:rsidRDefault="001C7C0E" w:rsidP="00373A92">
            <w:pPr>
              <w:keepNext/>
              <w:widowControl/>
              <w:suppressAutoHyphens/>
              <w:spacing w:after="0" w:line="240" w:lineRule="auto"/>
              <w:rPr>
                <w:rFonts w:ascii="Times New Roman" w:hAnsi="Times New Roman" w:cs="Times New Roman"/>
              </w:rPr>
            </w:pPr>
          </w:p>
        </w:tc>
        <w:tc>
          <w:tcPr>
            <w:tcW w:w="2107" w:type="dxa"/>
            <w:tcBorders>
              <w:top w:val="single" w:sz="4" w:space="0" w:color="000000"/>
              <w:left w:val="single" w:sz="4" w:space="0" w:color="000000"/>
              <w:bottom w:val="single" w:sz="4" w:space="0" w:color="000000"/>
              <w:right w:val="single" w:sz="4" w:space="0" w:color="000000"/>
            </w:tcBorders>
          </w:tcPr>
          <w:p w14:paraId="73923B0C"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proofErr w:type="spellStart"/>
            <w:r>
              <w:rPr>
                <w:rFonts w:ascii="Times New Roman" w:hAnsi="Times New Roman"/>
                <w:b/>
              </w:rPr>
              <w:t>Fingolimod</w:t>
            </w:r>
            <w:proofErr w:type="spellEnd"/>
          </w:p>
          <w:p w14:paraId="4BF027A1" w14:textId="2400A8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b/>
              </w:rPr>
              <w:t>0,25 mg ou 0,5 mg</w:t>
            </w:r>
          </w:p>
        </w:tc>
        <w:tc>
          <w:tcPr>
            <w:tcW w:w="1906" w:type="dxa"/>
            <w:tcBorders>
              <w:top w:val="single" w:sz="4" w:space="0" w:color="000000"/>
              <w:left w:val="single" w:sz="4" w:space="0" w:color="000000"/>
              <w:bottom w:val="single" w:sz="4" w:space="0" w:color="000000"/>
              <w:right w:val="single" w:sz="4" w:space="0" w:color="000000"/>
            </w:tcBorders>
          </w:tcPr>
          <w:p w14:paraId="572D3775"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b/>
              </w:rPr>
              <w:t>Interféron bêta-1a</w:t>
            </w:r>
          </w:p>
          <w:p w14:paraId="7CB579E3" w14:textId="58253142"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b/>
              </w:rPr>
              <w:t>30 µg</w:t>
            </w:r>
          </w:p>
        </w:tc>
      </w:tr>
      <w:tr w:rsidR="00E37FC5" w14:paraId="0F1DE31C" w14:textId="77777777" w:rsidTr="00373A92">
        <w:trPr>
          <w:cantSplit/>
        </w:trPr>
        <w:tc>
          <w:tcPr>
            <w:tcW w:w="5059" w:type="dxa"/>
            <w:tcBorders>
              <w:top w:val="single" w:sz="4" w:space="0" w:color="000000"/>
              <w:left w:val="single" w:sz="4" w:space="0" w:color="000000"/>
              <w:bottom w:val="single" w:sz="4" w:space="0" w:color="000000"/>
              <w:right w:val="single" w:sz="4" w:space="0" w:color="000000"/>
            </w:tcBorders>
          </w:tcPr>
          <w:p w14:paraId="21986763" w14:textId="77777777" w:rsidR="001C7C0E" w:rsidRPr="005E3BF6" w:rsidRDefault="00080994" w:rsidP="00373A92">
            <w:pPr>
              <w:keepNext/>
              <w:widowControl/>
              <w:suppressAutoHyphens/>
              <w:spacing w:after="0" w:line="240" w:lineRule="auto"/>
              <w:rPr>
                <w:rFonts w:ascii="Times New Roman" w:eastAsia="Times New Roman" w:hAnsi="Times New Roman" w:cs="Times New Roman"/>
              </w:rPr>
            </w:pPr>
            <w:r>
              <w:rPr>
                <w:rFonts w:ascii="Times New Roman" w:hAnsi="Times New Roman"/>
                <w:b/>
              </w:rPr>
              <w:t>Critères cliniques</w:t>
            </w:r>
          </w:p>
        </w:tc>
        <w:tc>
          <w:tcPr>
            <w:tcW w:w="2107" w:type="dxa"/>
            <w:tcBorders>
              <w:top w:val="single" w:sz="4" w:space="0" w:color="000000"/>
              <w:left w:val="single" w:sz="4" w:space="0" w:color="000000"/>
              <w:bottom w:val="single" w:sz="4" w:space="0" w:color="000000"/>
              <w:right w:val="single" w:sz="4" w:space="0" w:color="000000"/>
            </w:tcBorders>
          </w:tcPr>
          <w:p w14:paraId="6EC30B71"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rPr>
              <w:t>N = 107</w:t>
            </w:r>
          </w:p>
        </w:tc>
        <w:tc>
          <w:tcPr>
            <w:tcW w:w="1906" w:type="dxa"/>
            <w:tcBorders>
              <w:top w:val="single" w:sz="4" w:space="0" w:color="000000"/>
              <w:left w:val="single" w:sz="4" w:space="0" w:color="000000"/>
              <w:bottom w:val="single" w:sz="4" w:space="0" w:color="000000"/>
              <w:right w:val="single" w:sz="4" w:space="0" w:color="000000"/>
            </w:tcBorders>
          </w:tcPr>
          <w:p w14:paraId="4B9ADD05"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rPr>
              <w:t>N = 107#</w:t>
            </w:r>
          </w:p>
        </w:tc>
      </w:tr>
      <w:tr w:rsidR="00E37FC5" w14:paraId="0EB0FE12" w14:textId="77777777" w:rsidTr="00373A92">
        <w:trPr>
          <w:cantSplit/>
        </w:trPr>
        <w:tc>
          <w:tcPr>
            <w:tcW w:w="5059" w:type="dxa"/>
            <w:tcBorders>
              <w:top w:val="single" w:sz="4" w:space="0" w:color="000000"/>
              <w:left w:val="single" w:sz="4" w:space="0" w:color="000000"/>
              <w:bottom w:val="single" w:sz="4" w:space="0" w:color="000000"/>
              <w:right w:val="single" w:sz="4" w:space="0" w:color="000000"/>
            </w:tcBorders>
          </w:tcPr>
          <w:p w14:paraId="089E57EE" w14:textId="77777777" w:rsidR="001C7C0E" w:rsidRPr="005E3BF6" w:rsidRDefault="00080994" w:rsidP="00373A92">
            <w:pPr>
              <w:keepNext/>
              <w:widowControl/>
              <w:suppressAutoHyphens/>
              <w:spacing w:after="0" w:line="240" w:lineRule="auto"/>
              <w:rPr>
                <w:rFonts w:ascii="Times New Roman" w:eastAsia="Times New Roman" w:hAnsi="Times New Roman" w:cs="Times New Roman"/>
              </w:rPr>
            </w:pPr>
            <w:r>
              <w:rPr>
                <w:rFonts w:ascii="Times New Roman" w:hAnsi="Times New Roman"/>
              </w:rPr>
              <w:t>Taux annualisé de poussées (critère principal)</w:t>
            </w:r>
          </w:p>
        </w:tc>
        <w:tc>
          <w:tcPr>
            <w:tcW w:w="2107" w:type="dxa"/>
            <w:tcBorders>
              <w:top w:val="single" w:sz="4" w:space="0" w:color="000000"/>
              <w:left w:val="single" w:sz="4" w:space="0" w:color="000000"/>
              <w:bottom w:val="single" w:sz="4" w:space="0" w:color="000000"/>
              <w:right w:val="single" w:sz="4" w:space="0" w:color="000000"/>
            </w:tcBorders>
          </w:tcPr>
          <w:p w14:paraId="3DA00620"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rPr>
              <w:t>0,122**</w:t>
            </w:r>
          </w:p>
        </w:tc>
        <w:tc>
          <w:tcPr>
            <w:tcW w:w="1906" w:type="dxa"/>
            <w:tcBorders>
              <w:top w:val="single" w:sz="4" w:space="0" w:color="000000"/>
              <w:left w:val="single" w:sz="4" w:space="0" w:color="000000"/>
              <w:bottom w:val="single" w:sz="4" w:space="0" w:color="000000"/>
              <w:right w:val="single" w:sz="4" w:space="0" w:color="000000"/>
            </w:tcBorders>
          </w:tcPr>
          <w:p w14:paraId="3F17CA19"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rPr>
              <w:t>0,675</w:t>
            </w:r>
          </w:p>
        </w:tc>
      </w:tr>
      <w:tr w:rsidR="00E37FC5" w14:paraId="5DA97304" w14:textId="77777777" w:rsidTr="00373A92">
        <w:trPr>
          <w:cantSplit/>
        </w:trPr>
        <w:tc>
          <w:tcPr>
            <w:tcW w:w="5059" w:type="dxa"/>
            <w:tcBorders>
              <w:top w:val="single" w:sz="4" w:space="0" w:color="000000"/>
              <w:left w:val="single" w:sz="4" w:space="0" w:color="000000"/>
              <w:bottom w:val="single" w:sz="4" w:space="0" w:color="000000"/>
              <w:right w:val="single" w:sz="4" w:space="0" w:color="000000"/>
            </w:tcBorders>
          </w:tcPr>
          <w:p w14:paraId="370FBBFA" w14:textId="25DFA1BF" w:rsidR="001C7C0E" w:rsidRPr="005E3BF6" w:rsidRDefault="00080994" w:rsidP="00373A92">
            <w:pPr>
              <w:widowControl/>
              <w:suppressAutoHyphens/>
              <w:spacing w:after="0" w:line="240" w:lineRule="auto"/>
              <w:rPr>
                <w:rFonts w:ascii="Times New Roman" w:eastAsia="Times New Roman" w:hAnsi="Times New Roman" w:cs="Times New Roman"/>
              </w:rPr>
            </w:pPr>
            <w:r>
              <w:rPr>
                <w:rFonts w:ascii="Times New Roman" w:hAnsi="Times New Roman"/>
              </w:rPr>
              <w:t>Pourcentage de patients libres de poussée à 24 mois</w:t>
            </w:r>
          </w:p>
        </w:tc>
        <w:tc>
          <w:tcPr>
            <w:tcW w:w="2107" w:type="dxa"/>
            <w:tcBorders>
              <w:top w:val="single" w:sz="4" w:space="0" w:color="000000"/>
              <w:left w:val="single" w:sz="4" w:space="0" w:color="000000"/>
              <w:bottom w:val="single" w:sz="4" w:space="0" w:color="000000"/>
              <w:right w:val="single" w:sz="4" w:space="0" w:color="000000"/>
            </w:tcBorders>
          </w:tcPr>
          <w:p w14:paraId="71AB2B93" w14:textId="77777777" w:rsidR="001C7C0E" w:rsidRPr="005E3BF6" w:rsidRDefault="00080994" w:rsidP="00373A92">
            <w:pPr>
              <w:widowControl/>
              <w:suppressAutoHyphens/>
              <w:spacing w:after="0" w:line="240" w:lineRule="auto"/>
              <w:ind w:left="102"/>
              <w:rPr>
                <w:rFonts w:ascii="Times New Roman" w:eastAsia="Times New Roman" w:hAnsi="Times New Roman" w:cs="Times New Roman"/>
              </w:rPr>
            </w:pPr>
            <w:r>
              <w:rPr>
                <w:rFonts w:ascii="Times New Roman" w:hAnsi="Times New Roman"/>
              </w:rPr>
              <w:t>85,7**</w:t>
            </w:r>
          </w:p>
        </w:tc>
        <w:tc>
          <w:tcPr>
            <w:tcW w:w="1906" w:type="dxa"/>
            <w:tcBorders>
              <w:top w:val="single" w:sz="4" w:space="0" w:color="000000"/>
              <w:left w:val="single" w:sz="4" w:space="0" w:color="000000"/>
              <w:bottom w:val="single" w:sz="4" w:space="0" w:color="000000"/>
              <w:right w:val="single" w:sz="4" w:space="0" w:color="000000"/>
            </w:tcBorders>
          </w:tcPr>
          <w:p w14:paraId="4EB3AABA" w14:textId="77777777" w:rsidR="001C7C0E" w:rsidRPr="005E3BF6" w:rsidRDefault="00080994" w:rsidP="00373A92">
            <w:pPr>
              <w:widowControl/>
              <w:suppressAutoHyphens/>
              <w:spacing w:after="0" w:line="240" w:lineRule="auto"/>
              <w:ind w:left="102"/>
              <w:rPr>
                <w:rFonts w:ascii="Times New Roman" w:eastAsia="Times New Roman" w:hAnsi="Times New Roman" w:cs="Times New Roman"/>
              </w:rPr>
            </w:pPr>
            <w:r>
              <w:rPr>
                <w:rFonts w:ascii="Times New Roman" w:hAnsi="Times New Roman"/>
              </w:rPr>
              <w:t>38,8</w:t>
            </w:r>
          </w:p>
        </w:tc>
      </w:tr>
      <w:tr w:rsidR="00E37FC5" w14:paraId="5B9B1517" w14:textId="77777777" w:rsidTr="00373A92">
        <w:trPr>
          <w:cantSplit/>
        </w:trPr>
        <w:tc>
          <w:tcPr>
            <w:tcW w:w="5059" w:type="dxa"/>
            <w:tcBorders>
              <w:top w:val="single" w:sz="4" w:space="0" w:color="000000"/>
              <w:left w:val="single" w:sz="4" w:space="0" w:color="000000"/>
              <w:bottom w:val="single" w:sz="4" w:space="0" w:color="000000"/>
              <w:right w:val="single" w:sz="4" w:space="0" w:color="000000"/>
            </w:tcBorders>
          </w:tcPr>
          <w:p w14:paraId="48AE4B4D" w14:textId="77777777" w:rsidR="001C7C0E" w:rsidRPr="005E3BF6" w:rsidRDefault="00080994" w:rsidP="00373A92">
            <w:pPr>
              <w:keepNext/>
              <w:widowControl/>
              <w:suppressAutoHyphens/>
              <w:spacing w:after="0" w:line="240" w:lineRule="auto"/>
              <w:rPr>
                <w:rFonts w:ascii="Times New Roman" w:eastAsia="Times New Roman" w:hAnsi="Times New Roman" w:cs="Times New Roman"/>
              </w:rPr>
            </w:pPr>
            <w:r>
              <w:rPr>
                <w:rFonts w:ascii="Times New Roman" w:hAnsi="Times New Roman"/>
                <w:b/>
              </w:rPr>
              <w:t>Critères IRM</w:t>
            </w:r>
          </w:p>
        </w:tc>
        <w:tc>
          <w:tcPr>
            <w:tcW w:w="2107" w:type="dxa"/>
            <w:tcBorders>
              <w:top w:val="single" w:sz="4" w:space="0" w:color="000000"/>
              <w:left w:val="single" w:sz="4" w:space="0" w:color="000000"/>
              <w:bottom w:val="single" w:sz="4" w:space="0" w:color="000000"/>
              <w:right w:val="single" w:sz="4" w:space="0" w:color="000000"/>
            </w:tcBorders>
          </w:tcPr>
          <w:p w14:paraId="618BA38F" w14:textId="77777777" w:rsidR="001C7C0E" w:rsidRPr="005E3BF6" w:rsidRDefault="001C7C0E" w:rsidP="00373A92">
            <w:pPr>
              <w:keepNext/>
              <w:widowControl/>
              <w:suppressAutoHyphens/>
              <w:spacing w:after="0" w:line="240" w:lineRule="auto"/>
              <w:rPr>
                <w:rFonts w:ascii="Times New Roman" w:hAnsi="Times New Roman" w:cs="Times New Roman"/>
              </w:rPr>
            </w:pPr>
          </w:p>
        </w:tc>
        <w:tc>
          <w:tcPr>
            <w:tcW w:w="1906" w:type="dxa"/>
            <w:tcBorders>
              <w:top w:val="single" w:sz="4" w:space="0" w:color="000000"/>
              <w:left w:val="single" w:sz="4" w:space="0" w:color="000000"/>
              <w:bottom w:val="single" w:sz="4" w:space="0" w:color="000000"/>
              <w:right w:val="single" w:sz="4" w:space="0" w:color="000000"/>
            </w:tcBorders>
          </w:tcPr>
          <w:p w14:paraId="450E95F1" w14:textId="77777777" w:rsidR="001C7C0E" w:rsidRPr="005E3BF6" w:rsidRDefault="001C7C0E" w:rsidP="00373A92">
            <w:pPr>
              <w:keepNext/>
              <w:widowControl/>
              <w:suppressAutoHyphens/>
              <w:spacing w:after="0" w:line="240" w:lineRule="auto"/>
              <w:rPr>
                <w:rFonts w:ascii="Times New Roman" w:hAnsi="Times New Roman" w:cs="Times New Roman"/>
              </w:rPr>
            </w:pPr>
          </w:p>
        </w:tc>
      </w:tr>
      <w:tr w:rsidR="00E37FC5" w14:paraId="4B9E701A" w14:textId="77777777" w:rsidTr="00373A92">
        <w:trPr>
          <w:cantSplit/>
        </w:trPr>
        <w:tc>
          <w:tcPr>
            <w:tcW w:w="5059" w:type="dxa"/>
            <w:tcBorders>
              <w:top w:val="single" w:sz="4" w:space="0" w:color="000000"/>
              <w:left w:val="single" w:sz="4" w:space="0" w:color="000000"/>
              <w:bottom w:val="single" w:sz="4" w:space="0" w:color="000000"/>
              <w:right w:val="single" w:sz="4" w:space="0" w:color="000000"/>
            </w:tcBorders>
          </w:tcPr>
          <w:p w14:paraId="67850BB0" w14:textId="77777777" w:rsidR="001C7C0E" w:rsidRPr="005E3BF6" w:rsidRDefault="00080994" w:rsidP="00373A92">
            <w:pPr>
              <w:keepNext/>
              <w:widowControl/>
              <w:suppressAutoHyphens/>
              <w:spacing w:after="0" w:line="240" w:lineRule="auto"/>
              <w:rPr>
                <w:rFonts w:ascii="Times New Roman" w:eastAsia="Times New Roman" w:hAnsi="Times New Roman" w:cs="Times New Roman"/>
              </w:rPr>
            </w:pPr>
            <w:r>
              <w:rPr>
                <w:rFonts w:ascii="Times New Roman" w:hAnsi="Times New Roman"/>
              </w:rPr>
              <w:t>Taux annualisé de nouvelles lésions / lésions élargies en T2</w:t>
            </w:r>
          </w:p>
        </w:tc>
        <w:tc>
          <w:tcPr>
            <w:tcW w:w="2107" w:type="dxa"/>
            <w:tcBorders>
              <w:top w:val="single" w:sz="4" w:space="0" w:color="000000"/>
              <w:left w:val="single" w:sz="4" w:space="0" w:color="000000"/>
              <w:bottom w:val="single" w:sz="4" w:space="0" w:color="000000"/>
              <w:right w:val="single" w:sz="4" w:space="0" w:color="000000"/>
            </w:tcBorders>
          </w:tcPr>
          <w:p w14:paraId="761E5433"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proofErr w:type="gramStart"/>
            <w:r>
              <w:rPr>
                <w:rFonts w:ascii="Times New Roman" w:hAnsi="Times New Roman"/>
              </w:rPr>
              <w:t>n</w:t>
            </w:r>
            <w:proofErr w:type="gramEnd"/>
            <w:r>
              <w:rPr>
                <w:rFonts w:ascii="Times New Roman" w:hAnsi="Times New Roman"/>
              </w:rPr>
              <w:t> = 106</w:t>
            </w:r>
          </w:p>
        </w:tc>
        <w:tc>
          <w:tcPr>
            <w:tcW w:w="1906" w:type="dxa"/>
            <w:tcBorders>
              <w:top w:val="single" w:sz="4" w:space="0" w:color="000000"/>
              <w:left w:val="single" w:sz="4" w:space="0" w:color="000000"/>
              <w:bottom w:val="single" w:sz="4" w:space="0" w:color="000000"/>
              <w:right w:val="single" w:sz="4" w:space="0" w:color="000000"/>
            </w:tcBorders>
          </w:tcPr>
          <w:p w14:paraId="04910CA3"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proofErr w:type="gramStart"/>
            <w:r>
              <w:rPr>
                <w:rFonts w:ascii="Times New Roman" w:hAnsi="Times New Roman"/>
              </w:rPr>
              <w:t>n</w:t>
            </w:r>
            <w:proofErr w:type="gramEnd"/>
            <w:r>
              <w:rPr>
                <w:rFonts w:ascii="Times New Roman" w:hAnsi="Times New Roman"/>
              </w:rPr>
              <w:t> = 102</w:t>
            </w:r>
          </w:p>
        </w:tc>
      </w:tr>
      <w:tr w:rsidR="00E37FC5" w14:paraId="4DF5FC36" w14:textId="77777777" w:rsidTr="00373A92">
        <w:trPr>
          <w:cantSplit/>
        </w:trPr>
        <w:tc>
          <w:tcPr>
            <w:tcW w:w="5059" w:type="dxa"/>
            <w:tcBorders>
              <w:top w:val="single" w:sz="4" w:space="0" w:color="000000"/>
              <w:left w:val="single" w:sz="4" w:space="0" w:color="000000"/>
              <w:bottom w:val="single" w:sz="4" w:space="0" w:color="000000"/>
              <w:right w:val="single" w:sz="4" w:space="0" w:color="000000"/>
            </w:tcBorders>
          </w:tcPr>
          <w:p w14:paraId="183F79B4" w14:textId="77777777" w:rsidR="001C7C0E" w:rsidRPr="005E3BF6" w:rsidRDefault="00080994" w:rsidP="00373A92">
            <w:pPr>
              <w:keepNext/>
              <w:widowControl/>
              <w:suppressAutoHyphens/>
              <w:spacing w:after="0" w:line="240" w:lineRule="auto"/>
              <w:rPr>
                <w:rFonts w:ascii="Times New Roman" w:eastAsia="Times New Roman" w:hAnsi="Times New Roman" w:cs="Times New Roman"/>
              </w:rPr>
            </w:pPr>
            <w:r>
              <w:rPr>
                <w:rFonts w:ascii="Times New Roman" w:hAnsi="Times New Roman"/>
              </w:rPr>
              <w:t>Moyenne ajustée</w:t>
            </w:r>
          </w:p>
        </w:tc>
        <w:tc>
          <w:tcPr>
            <w:tcW w:w="2107" w:type="dxa"/>
            <w:tcBorders>
              <w:top w:val="single" w:sz="4" w:space="0" w:color="000000"/>
              <w:left w:val="single" w:sz="4" w:space="0" w:color="000000"/>
              <w:bottom w:val="single" w:sz="4" w:space="0" w:color="000000"/>
              <w:right w:val="single" w:sz="4" w:space="0" w:color="000000"/>
            </w:tcBorders>
          </w:tcPr>
          <w:p w14:paraId="562CA337"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rPr>
              <w:t>4,393**</w:t>
            </w:r>
          </w:p>
        </w:tc>
        <w:tc>
          <w:tcPr>
            <w:tcW w:w="1906" w:type="dxa"/>
            <w:tcBorders>
              <w:top w:val="single" w:sz="4" w:space="0" w:color="000000"/>
              <w:left w:val="single" w:sz="4" w:space="0" w:color="000000"/>
              <w:bottom w:val="single" w:sz="4" w:space="0" w:color="000000"/>
              <w:right w:val="single" w:sz="4" w:space="0" w:color="000000"/>
            </w:tcBorders>
          </w:tcPr>
          <w:p w14:paraId="097E50FF"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rPr>
              <w:t>9,269</w:t>
            </w:r>
          </w:p>
        </w:tc>
      </w:tr>
      <w:tr w:rsidR="00E37FC5" w14:paraId="01819995" w14:textId="77777777" w:rsidTr="00373A92">
        <w:trPr>
          <w:cantSplit/>
        </w:trPr>
        <w:tc>
          <w:tcPr>
            <w:tcW w:w="5059" w:type="dxa"/>
            <w:tcBorders>
              <w:top w:val="single" w:sz="4" w:space="0" w:color="000000"/>
              <w:left w:val="single" w:sz="4" w:space="0" w:color="000000"/>
              <w:bottom w:val="single" w:sz="4" w:space="0" w:color="000000"/>
              <w:right w:val="single" w:sz="4" w:space="0" w:color="000000"/>
            </w:tcBorders>
          </w:tcPr>
          <w:p w14:paraId="70D97895" w14:textId="77777777" w:rsidR="001C7C0E" w:rsidRPr="005E3BF6" w:rsidRDefault="00080994" w:rsidP="00373A92">
            <w:pPr>
              <w:keepNext/>
              <w:widowControl/>
              <w:suppressAutoHyphens/>
              <w:spacing w:after="0" w:line="240" w:lineRule="auto"/>
              <w:rPr>
                <w:rFonts w:ascii="Times New Roman" w:eastAsia="Times New Roman" w:hAnsi="Times New Roman" w:cs="Times New Roman"/>
              </w:rPr>
            </w:pPr>
            <w:r>
              <w:rPr>
                <w:rFonts w:ascii="Times New Roman" w:hAnsi="Times New Roman"/>
              </w:rPr>
              <w:t xml:space="preserve">Nombre de lésions en T1 prenant le Gd par examen au </w:t>
            </w:r>
            <w:proofErr w:type="spellStart"/>
            <w:r>
              <w:rPr>
                <w:rFonts w:ascii="Times New Roman" w:hAnsi="Times New Roman"/>
              </w:rPr>
              <w:t>mois</w:t>
            </w:r>
            <w:proofErr w:type="spellEnd"/>
            <w:r>
              <w:rPr>
                <w:rFonts w:ascii="Times New Roman" w:hAnsi="Times New Roman"/>
              </w:rPr>
              <w:t> 24</w:t>
            </w:r>
          </w:p>
        </w:tc>
        <w:tc>
          <w:tcPr>
            <w:tcW w:w="2107" w:type="dxa"/>
            <w:tcBorders>
              <w:top w:val="single" w:sz="4" w:space="0" w:color="000000"/>
              <w:left w:val="single" w:sz="4" w:space="0" w:color="000000"/>
              <w:bottom w:val="single" w:sz="4" w:space="0" w:color="000000"/>
              <w:right w:val="single" w:sz="4" w:space="0" w:color="000000"/>
            </w:tcBorders>
          </w:tcPr>
          <w:p w14:paraId="61F3EB95" w14:textId="452B5092"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proofErr w:type="gramStart"/>
            <w:r>
              <w:rPr>
                <w:rFonts w:ascii="Times New Roman" w:hAnsi="Times New Roman"/>
              </w:rPr>
              <w:t>n</w:t>
            </w:r>
            <w:proofErr w:type="gramEnd"/>
            <w:r>
              <w:rPr>
                <w:rFonts w:ascii="Times New Roman" w:hAnsi="Times New Roman"/>
              </w:rPr>
              <w:t> = </w:t>
            </w:r>
            <w:r w:rsidR="00AD26CF">
              <w:rPr>
                <w:rFonts w:ascii="Times New Roman" w:hAnsi="Times New Roman"/>
              </w:rPr>
              <w:t>106</w:t>
            </w:r>
          </w:p>
        </w:tc>
        <w:tc>
          <w:tcPr>
            <w:tcW w:w="1906" w:type="dxa"/>
            <w:tcBorders>
              <w:top w:val="single" w:sz="4" w:space="0" w:color="000000"/>
              <w:left w:val="single" w:sz="4" w:space="0" w:color="000000"/>
              <w:bottom w:val="single" w:sz="4" w:space="0" w:color="000000"/>
              <w:right w:val="single" w:sz="4" w:space="0" w:color="000000"/>
            </w:tcBorders>
          </w:tcPr>
          <w:p w14:paraId="65A18BEB" w14:textId="29BEC602"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proofErr w:type="gramStart"/>
            <w:r>
              <w:rPr>
                <w:rFonts w:ascii="Times New Roman" w:hAnsi="Times New Roman"/>
              </w:rPr>
              <w:t>n</w:t>
            </w:r>
            <w:proofErr w:type="gramEnd"/>
            <w:r>
              <w:rPr>
                <w:rFonts w:ascii="Times New Roman" w:hAnsi="Times New Roman"/>
              </w:rPr>
              <w:t> = </w:t>
            </w:r>
            <w:r w:rsidR="00AD26CF">
              <w:rPr>
                <w:rFonts w:ascii="Times New Roman" w:hAnsi="Times New Roman"/>
              </w:rPr>
              <w:t>101</w:t>
            </w:r>
          </w:p>
        </w:tc>
      </w:tr>
      <w:tr w:rsidR="00E37FC5" w14:paraId="6C21BA1E" w14:textId="77777777" w:rsidTr="00373A92">
        <w:trPr>
          <w:cantSplit/>
        </w:trPr>
        <w:tc>
          <w:tcPr>
            <w:tcW w:w="5059" w:type="dxa"/>
            <w:tcBorders>
              <w:top w:val="single" w:sz="4" w:space="0" w:color="000000"/>
              <w:left w:val="single" w:sz="4" w:space="0" w:color="000000"/>
              <w:bottom w:val="single" w:sz="4" w:space="0" w:color="000000"/>
              <w:right w:val="single" w:sz="4" w:space="0" w:color="000000"/>
            </w:tcBorders>
          </w:tcPr>
          <w:p w14:paraId="63ED891F" w14:textId="77777777" w:rsidR="001C7C0E" w:rsidRPr="005E3BF6" w:rsidRDefault="00080994" w:rsidP="00373A92">
            <w:pPr>
              <w:keepNext/>
              <w:widowControl/>
              <w:suppressAutoHyphens/>
              <w:spacing w:after="0" w:line="240" w:lineRule="auto"/>
              <w:rPr>
                <w:rFonts w:ascii="Times New Roman" w:eastAsia="Times New Roman" w:hAnsi="Times New Roman" w:cs="Times New Roman"/>
              </w:rPr>
            </w:pPr>
            <w:r>
              <w:rPr>
                <w:rFonts w:ascii="Times New Roman" w:hAnsi="Times New Roman"/>
              </w:rPr>
              <w:t>Moyenne ajustée</w:t>
            </w:r>
          </w:p>
        </w:tc>
        <w:tc>
          <w:tcPr>
            <w:tcW w:w="2107" w:type="dxa"/>
            <w:tcBorders>
              <w:top w:val="single" w:sz="4" w:space="0" w:color="000000"/>
              <w:left w:val="single" w:sz="4" w:space="0" w:color="000000"/>
              <w:bottom w:val="single" w:sz="4" w:space="0" w:color="000000"/>
              <w:right w:val="single" w:sz="4" w:space="0" w:color="000000"/>
            </w:tcBorders>
          </w:tcPr>
          <w:p w14:paraId="2AB2599C"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rPr>
              <w:t>0,436**</w:t>
            </w:r>
          </w:p>
        </w:tc>
        <w:tc>
          <w:tcPr>
            <w:tcW w:w="1906" w:type="dxa"/>
            <w:tcBorders>
              <w:top w:val="single" w:sz="4" w:space="0" w:color="000000"/>
              <w:left w:val="single" w:sz="4" w:space="0" w:color="000000"/>
              <w:bottom w:val="single" w:sz="4" w:space="0" w:color="000000"/>
              <w:right w:val="single" w:sz="4" w:space="0" w:color="000000"/>
            </w:tcBorders>
          </w:tcPr>
          <w:p w14:paraId="17247178"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rPr>
              <w:t>1,282</w:t>
            </w:r>
          </w:p>
        </w:tc>
      </w:tr>
      <w:tr w:rsidR="00E37FC5" w14:paraId="097437CE" w14:textId="77777777" w:rsidTr="00373A92">
        <w:trPr>
          <w:cantSplit/>
        </w:trPr>
        <w:tc>
          <w:tcPr>
            <w:tcW w:w="5059" w:type="dxa"/>
            <w:tcBorders>
              <w:top w:val="single" w:sz="4" w:space="0" w:color="000000"/>
              <w:left w:val="single" w:sz="4" w:space="0" w:color="000000"/>
              <w:bottom w:val="single" w:sz="4" w:space="0" w:color="000000"/>
              <w:right w:val="single" w:sz="4" w:space="0" w:color="000000"/>
            </w:tcBorders>
          </w:tcPr>
          <w:p w14:paraId="64EE1392" w14:textId="0F4CF508" w:rsidR="001C7C0E" w:rsidRPr="005E3BF6" w:rsidRDefault="00080994" w:rsidP="00373A92">
            <w:pPr>
              <w:keepNext/>
              <w:widowControl/>
              <w:suppressAutoHyphens/>
              <w:spacing w:after="0" w:line="240" w:lineRule="auto"/>
              <w:rPr>
                <w:rFonts w:ascii="Times New Roman" w:eastAsia="Times New Roman" w:hAnsi="Times New Roman" w:cs="Times New Roman"/>
              </w:rPr>
            </w:pPr>
            <w:r>
              <w:rPr>
                <w:rFonts w:ascii="Times New Roman" w:hAnsi="Times New Roman"/>
              </w:rPr>
              <w:t>Taux annualisé d’atrophie cérébrale entre l’inclusion et le mois 24</w:t>
            </w:r>
          </w:p>
        </w:tc>
        <w:tc>
          <w:tcPr>
            <w:tcW w:w="2107" w:type="dxa"/>
            <w:tcBorders>
              <w:top w:val="single" w:sz="4" w:space="0" w:color="000000"/>
              <w:left w:val="single" w:sz="4" w:space="0" w:color="000000"/>
              <w:bottom w:val="single" w:sz="4" w:space="0" w:color="000000"/>
              <w:right w:val="single" w:sz="4" w:space="0" w:color="000000"/>
            </w:tcBorders>
          </w:tcPr>
          <w:p w14:paraId="1C71BFDA"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proofErr w:type="gramStart"/>
            <w:r>
              <w:rPr>
                <w:rFonts w:ascii="Times New Roman" w:hAnsi="Times New Roman"/>
              </w:rPr>
              <w:t>n</w:t>
            </w:r>
            <w:proofErr w:type="gramEnd"/>
            <w:r>
              <w:rPr>
                <w:rFonts w:ascii="Times New Roman" w:hAnsi="Times New Roman"/>
              </w:rPr>
              <w:t> = 96</w:t>
            </w:r>
          </w:p>
        </w:tc>
        <w:tc>
          <w:tcPr>
            <w:tcW w:w="1906" w:type="dxa"/>
            <w:tcBorders>
              <w:top w:val="single" w:sz="4" w:space="0" w:color="000000"/>
              <w:left w:val="single" w:sz="4" w:space="0" w:color="000000"/>
              <w:bottom w:val="single" w:sz="4" w:space="0" w:color="000000"/>
              <w:right w:val="single" w:sz="4" w:space="0" w:color="000000"/>
            </w:tcBorders>
          </w:tcPr>
          <w:p w14:paraId="52D9D2AE"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proofErr w:type="gramStart"/>
            <w:r>
              <w:rPr>
                <w:rFonts w:ascii="Times New Roman" w:hAnsi="Times New Roman"/>
              </w:rPr>
              <w:t>n</w:t>
            </w:r>
            <w:proofErr w:type="gramEnd"/>
            <w:r>
              <w:rPr>
                <w:rFonts w:ascii="Times New Roman" w:hAnsi="Times New Roman"/>
              </w:rPr>
              <w:t> = 89</w:t>
            </w:r>
          </w:p>
        </w:tc>
      </w:tr>
      <w:tr w:rsidR="00E37FC5" w14:paraId="7CC3E4FF" w14:textId="77777777" w:rsidTr="00373A92">
        <w:trPr>
          <w:cantSplit/>
        </w:trPr>
        <w:tc>
          <w:tcPr>
            <w:tcW w:w="5059" w:type="dxa"/>
            <w:tcBorders>
              <w:top w:val="single" w:sz="4" w:space="0" w:color="000000"/>
              <w:left w:val="single" w:sz="4" w:space="0" w:color="000000"/>
              <w:bottom w:val="single" w:sz="4" w:space="0" w:color="000000"/>
              <w:right w:val="single" w:sz="4" w:space="0" w:color="000000"/>
            </w:tcBorders>
          </w:tcPr>
          <w:p w14:paraId="4A8D7E1A" w14:textId="77777777" w:rsidR="001C7C0E" w:rsidRPr="005E3BF6" w:rsidRDefault="00080994" w:rsidP="00373A92">
            <w:pPr>
              <w:keepNext/>
              <w:widowControl/>
              <w:suppressAutoHyphens/>
              <w:spacing w:after="0" w:line="240" w:lineRule="auto"/>
              <w:rPr>
                <w:rFonts w:ascii="Times New Roman" w:eastAsia="Times New Roman" w:hAnsi="Times New Roman" w:cs="Times New Roman"/>
              </w:rPr>
            </w:pPr>
            <w:r>
              <w:rPr>
                <w:rFonts w:ascii="Times New Roman" w:hAnsi="Times New Roman"/>
              </w:rPr>
              <w:t>Moyenne des moindres carrés</w:t>
            </w:r>
          </w:p>
        </w:tc>
        <w:tc>
          <w:tcPr>
            <w:tcW w:w="2107" w:type="dxa"/>
            <w:tcBorders>
              <w:top w:val="single" w:sz="4" w:space="0" w:color="000000"/>
              <w:left w:val="single" w:sz="4" w:space="0" w:color="000000"/>
              <w:bottom w:val="single" w:sz="4" w:space="0" w:color="000000"/>
              <w:right w:val="single" w:sz="4" w:space="0" w:color="000000"/>
            </w:tcBorders>
          </w:tcPr>
          <w:p w14:paraId="312B81FD"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rPr>
              <w:t>-0,48*</w:t>
            </w:r>
          </w:p>
        </w:tc>
        <w:tc>
          <w:tcPr>
            <w:tcW w:w="1906" w:type="dxa"/>
            <w:tcBorders>
              <w:top w:val="single" w:sz="4" w:space="0" w:color="000000"/>
              <w:left w:val="single" w:sz="4" w:space="0" w:color="000000"/>
              <w:bottom w:val="single" w:sz="4" w:space="0" w:color="000000"/>
              <w:right w:val="single" w:sz="4" w:space="0" w:color="000000"/>
            </w:tcBorders>
          </w:tcPr>
          <w:p w14:paraId="6D2698E1" w14:textId="77777777" w:rsidR="001C7C0E" w:rsidRPr="005E3BF6" w:rsidRDefault="00080994" w:rsidP="00373A92">
            <w:pPr>
              <w:keepNext/>
              <w:widowControl/>
              <w:suppressAutoHyphens/>
              <w:spacing w:after="0" w:line="240" w:lineRule="auto"/>
              <w:ind w:left="102"/>
              <w:rPr>
                <w:rFonts w:ascii="Times New Roman" w:eastAsia="Times New Roman" w:hAnsi="Times New Roman" w:cs="Times New Roman"/>
              </w:rPr>
            </w:pPr>
            <w:r>
              <w:rPr>
                <w:rFonts w:ascii="Times New Roman" w:hAnsi="Times New Roman"/>
              </w:rPr>
              <w:t>-0,80</w:t>
            </w:r>
          </w:p>
        </w:tc>
      </w:tr>
      <w:tr w:rsidR="00E37FC5" w14:paraId="0A4D26AE" w14:textId="77777777" w:rsidTr="00373A92">
        <w:trPr>
          <w:cantSplit/>
        </w:trPr>
        <w:tc>
          <w:tcPr>
            <w:tcW w:w="9072" w:type="dxa"/>
            <w:gridSpan w:val="3"/>
            <w:tcBorders>
              <w:top w:val="single" w:sz="4" w:space="0" w:color="000000"/>
              <w:left w:val="single" w:sz="4" w:space="0" w:color="000000"/>
              <w:bottom w:val="single" w:sz="4" w:space="0" w:color="000000"/>
              <w:right w:val="single" w:sz="4" w:space="0" w:color="000000"/>
            </w:tcBorders>
          </w:tcPr>
          <w:p w14:paraId="0235152F" w14:textId="77777777" w:rsidR="001C7C0E" w:rsidRPr="005E3BF6" w:rsidRDefault="00080994" w:rsidP="00373A92">
            <w:pPr>
              <w:widowControl/>
              <w:tabs>
                <w:tab w:val="left" w:pos="660"/>
              </w:tabs>
              <w:suppressAutoHyphens/>
              <w:spacing w:after="0" w:line="240" w:lineRule="auto"/>
              <w:ind w:left="669" w:hanging="566"/>
              <w:rPr>
                <w:rFonts w:ascii="Times New Roman" w:eastAsia="Times New Roman" w:hAnsi="Times New Roman" w:cs="Times New Roman"/>
              </w:rPr>
            </w:pPr>
            <w:r>
              <w:rPr>
                <w:rFonts w:ascii="Times New Roman" w:hAnsi="Times New Roman"/>
              </w:rPr>
              <w:t>#</w:t>
            </w:r>
            <w:r>
              <w:rPr>
                <w:rFonts w:ascii="Times New Roman" w:hAnsi="Times New Roman"/>
              </w:rPr>
              <w:tab/>
              <w:t>Un patient randomisé ayant reçu l’interféron bêta-1a en injection intramusculaire était incapable d’avaler le médicament double placebo et a été retiré de l’étude. Le patient a été exclu de la population totale d’analyse et de la population de tolérance.</w:t>
            </w:r>
          </w:p>
          <w:p w14:paraId="497A5A01" w14:textId="4E7DE1B9" w:rsidR="001C7C0E" w:rsidRPr="005E3BF6" w:rsidRDefault="00080994" w:rsidP="00373A92">
            <w:pPr>
              <w:keepNext/>
              <w:widowControl/>
              <w:tabs>
                <w:tab w:val="left" w:pos="660"/>
              </w:tabs>
              <w:suppressAutoHyphens/>
              <w:spacing w:after="0" w:line="240" w:lineRule="auto"/>
              <w:ind w:left="102"/>
              <w:rPr>
                <w:rFonts w:ascii="Times New Roman" w:eastAsia="Times New Roman" w:hAnsi="Times New Roman" w:cs="Times New Roman"/>
              </w:rPr>
            </w:pPr>
            <w:r>
              <w:rPr>
                <w:rFonts w:ascii="Times New Roman" w:hAnsi="Times New Roman"/>
              </w:rPr>
              <w:t>*</w:t>
            </w:r>
            <w:r>
              <w:rPr>
                <w:rFonts w:ascii="Times New Roman" w:hAnsi="Times New Roman"/>
              </w:rPr>
              <w:tab/>
              <w:t>p &lt; 0,05, ** p &lt; 0,001 par rapport à l’interféron bêta-1a.</w:t>
            </w:r>
          </w:p>
          <w:p w14:paraId="75DBBF77" w14:textId="77777777" w:rsidR="001C7C0E" w:rsidRPr="005E3BF6" w:rsidRDefault="00080994" w:rsidP="00373A92">
            <w:pPr>
              <w:widowControl/>
              <w:suppressAutoHyphens/>
              <w:spacing w:after="0" w:line="240" w:lineRule="auto"/>
              <w:ind w:left="102"/>
              <w:rPr>
                <w:rFonts w:ascii="Times New Roman" w:eastAsia="Times New Roman" w:hAnsi="Times New Roman" w:cs="Times New Roman"/>
              </w:rPr>
            </w:pPr>
            <w:r>
              <w:rPr>
                <w:rFonts w:ascii="Times New Roman" w:hAnsi="Times New Roman"/>
              </w:rPr>
              <w:t>Toutes les analyses des critères cliniques ont été effectuées sur la population totale d’analyse.</w:t>
            </w:r>
          </w:p>
        </w:tc>
      </w:tr>
    </w:tbl>
    <w:p w14:paraId="7E24D863" w14:textId="77777777" w:rsidR="009E245E" w:rsidRPr="005E3BF6" w:rsidRDefault="009E245E" w:rsidP="00CB615C">
      <w:pPr>
        <w:widowControl/>
        <w:spacing w:after="0" w:line="240" w:lineRule="auto"/>
        <w:rPr>
          <w:rFonts w:ascii="Times New Roman" w:hAnsi="Times New Roman" w:cs="Times New Roman"/>
        </w:rPr>
      </w:pPr>
    </w:p>
    <w:p w14:paraId="1DC686AF" w14:textId="77777777" w:rsidR="001C7C0E" w:rsidRPr="005E3BF6" w:rsidRDefault="00080994" w:rsidP="00CB615C">
      <w:pPr>
        <w:widowControl/>
        <w:tabs>
          <w:tab w:val="left" w:pos="567"/>
        </w:tabs>
        <w:spacing w:after="0" w:line="240" w:lineRule="auto"/>
        <w:rPr>
          <w:rFonts w:ascii="Times New Roman" w:eastAsia="Times New Roman" w:hAnsi="Times New Roman" w:cs="Times New Roman"/>
        </w:rPr>
      </w:pPr>
      <w:r>
        <w:rPr>
          <w:rFonts w:ascii="Times New Roman" w:hAnsi="Times New Roman"/>
          <w:b/>
        </w:rPr>
        <w:t>5.2</w:t>
      </w:r>
      <w:r>
        <w:rPr>
          <w:rFonts w:ascii="Times New Roman" w:hAnsi="Times New Roman"/>
          <w:b/>
        </w:rPr>
        <w:tab/>
        <w:t>Propriétés pharmacocinétiques</w:t>
      </w:r>
    </w:p>
    <w:p w14:paraId="6429A17E" w14:textId="77777777" w:rsidR="001C7C0E" w:rsidRPr="005E3BF6" w:rsidRDefault="001C7C0E" w:rsidP="00CB615C">
      <w:pPr>
        <w:widowControl/>
        <w:spacing w:after="0" w:line="240" w:lineRule="auto"/>
        <w:rPr>
          <w:rFonts w:ascii="Times New Roman" w:hAnsi="Times New Roman" w:cs="Times New Roman"/>
        </w:rPr>
      </w:pPr>
    </w:p>
    <w:p w14:paraId="2C254846" w14:textId="3D5B5EDF"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Les données pharmacocinétiques ont été obtenues chez des volontaires sains adultes, des patients transplantés rénaux adultes et des patients adultes atteints de sclérose en plaques.</w:t>
      </w:r>
    </w:p>
    <w:p w14:paraId="75536E25" w14:textId="77777777" w:rsidR="00982615" w:rsidRPr="005E3BF6" w:rsidRDefault="00982615" w:rsidP="00CB615C">
      <w:pPr>
        <w:widowControl/>
        <w:spacing w:after="0" w:line="240" w:lineRule="auto"/>
        <w:rPr>
          <w:rFonts w:ascii="Times New Roman" w:eastAsia="Times New Roman" w:hAnsi="Times New Roman" w:cs="Times New Roman"/>
        </w:rPr>
      </w:pPr>
    </w:p>
    <w:p w14:paraId="2D5275AE" w14:textId="4F7B69A9" w:rsidR="00C96D23"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 xml:space="preserve">Le métabolite pharmacologiquement actif à l’origine de l’efficacité est le phosphate de </w:t>
      </w:r>
      <w:proofErr w:type="spellStart"/>
      <w:r>
        <w:rPr>
          <w:rFonts w:ascii="Times New Roman" w:hAnsi="Times New Roman"/>
        </w:rPr>
        <w:t>fingolimod</w:t>
      </w:r>
      <w:proofErr w:type="spellEnd"/>
      <w:r>
        <w:rPr>
          <w:rFonts w:ascii="Times New Roman" w:hAnsi="Times New Roman"/>
        </w:rPr>
        <w:t>.</w:t>
      </w:r>
    </w:p>
    <w:p w14:paraId="4F795C4B" w14:textId="77777777" w:rsidR="00C96D23" w:rsidRPr="005E3BF6" w:rsidRDefault="00C96D23" w:rsidP="00CB615C">
      <w:pPr>
        <w:widowControl/>
        <w:spacing w:after="0" w:line="240" w:lineRule="auto"/>
        <w:rPr>
          <w:rFonts w:ascii="Times New Roman" w:eastAsia="Times New Roman" w:hAnsi="Times New Roman" w:cs="Times New Roman"/>
        </w:rPr>
      </w:pPr>
    </w:p>
    <w:p w14:paraId="7DD6790B" w14:textId="77777777"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u w:val="single" w:color="000000"/>
        </w:rPr>
        <w:t>Absorption</w:t>
      </w:r>
    </w:p>
    <w:p w14:paraId="05A5BAD2" w14:textId="77777777" w:rsidR="00981C96" w:rsidRDefault="00981C96" w:rsidP="00CB615C">
      <w:pPr>
        <w:widowControl/>
        <w:spacing w:after="0" w:line="240" w:lineRule="auto"/>
        <w:rPr>
          <w:rFonts w:ascii="Times New Roman" w:eastAsia="Times New Roman" w:hAnsi="Times New Roman" w:cs="Times New Roman"/>
          <w:position w:val="2"/>
        </w:rPr>
      </w:pPr>
    </w:p>
    <w:p w14:paraId="049749CD" w14:textId="1DEA142A" w:rsidR="002E70FA"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est absorbé lentement (</w:t>
      </w:r>
      <w:proofErr w:type="spellStart"/>
      <w:r>
        <w:rPr>
          <w:rFonts w:ascii="Times New Roman" w:hAnsi="Times New Roman"/>
        </w:rPr>
        <w:t>tmax</w:t>
      </w:r>
      <w:proofErr w:type="spellEnd"/>
      <w:r>
        <w:rPr>
          <w:rFonts w:ascii="Times New Roman" w:hAnsi="Times New Roman"/>
        </w:rPr>
        <w:t xml:space="preserve"> de 12 à 16 heures) et de façon importante (≥ 85 %). La biodisponibilité orale absolue apparente est de 93 % (intervalle de confiance à 95 % : 79-111 %). Après administration une fois par jour, l’état d’équilibre des concentrations sanguines est atteint en 1 à 2 mois et les concentrations à l’état d’équilibre sont environ 10 fois supérieures à celles observées après la dose initiale.</w:t>
      </w:r>
    </w:p>
    <w:p w14:paraId="3AF6FFDC" w14:textId="77777777" w:rsidR="002E70FA" w:rsidRPr="005E3BF6" w:rsidRDefault="002E70FA" w:rsidP="00CB615C">
      <w:pPr>
        <w:widowControl/>
        <w:spacing w:after="0" w:line="240" w:lineRule="auto"/>
        <w:rPr>
          <w:rFonts w:ascii="Times New Roman" w:eastAsia="Times New Roman" w:hAnsi="Times New Roman" w:cs="Times New Roman"/>
        </w:rPr>
      </w:pPr>
    </w:p>
    <w:p w14:paraId="30C27237" w14:textId="1E7205A0"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L’alimentation ne modifie pas la C</w:t>
      </w:r>
      <w:r>
        <w:rPr>
          <w:rFonts w:ascii="Times New Roman" w:hAnsi="Times New Roman"/>
          <w:vertAlign w:val="subscript"/>
        </w:rPr>
        <w:t>max</w:t>
      </w:r>
      <w:r>
        <w:rPr>
          <w:rFonts w:ascii="Times New Roman" w:hAnsi="Times New Roman"/>
        </w:rPr>
        <w:t xml:space="preserve"> ou l’ASC (exposition) du </w:t>
      </w:r>
      <w:proofErr w:type="spellStart"/>
      <w:r>
        <w:rPr>
          <w:rFonts w:ascii="Times New Roman" w:hAnsi="Times New Roman"/>
        </w:rPr>
        <w:t>fingolimod</w:t>
      </w:r>
      <w:proofErr w:type="spellEnd"/>
      <w:r>
        <w:rPr>
          <w:rFonts w:ascii="Times New Roman" w:hAnsi="Times New Roman"/>
        </w:rPr>
        <w:t>. La C</w:t>
      </w:r>
      <w:r>
        <w:rPr>
          <w:rFonts w:ascii="Times New Roman" w:hAnsi="Times New Roman"/>
          <w:vertAlign w:val="subscript"/>
        </w:rPr>
        <w:t>max</w:t>
      </w:r>
      <w:r>
        <w:rPr>
          <w:rFonts w:ascii="Times New Roman" w:hAnsi="Times New Roman"/>
        </w:rPr>
        <w:t xml:space="preserve"> du phosphate de </w:t>
      </w:r>
      <w:proofErr w:type="spellStart"/>
      <w:r>
        <w:rPr>
          <w:rFonts w:ascii="Times New Roman" w:hAnsi="Times New Roman"/>
        </w:rPr>
        <w:t>fingolimod</w:t>
      </w:r>
      <w:proofErr w:type="spellEnd"/>
      <w:r>
        <w:rPr>
          <w:rFonts w:ascii="Times New Roman" w:hAnsi="Times New Roman"/>
        </w:rPr>
        <w:t xml:space="preserve"> est légèrement diminuée de 34 % mais l’ASC n’est pas modifiée. Par conséquent, </w:t>
      </w:r>
      <w:proofErr w:type="spellStart"/>
      <w:r>
        <w:rPr>
          <w:rFonts w:ascii="Times New Roman" w:hAnsi="Times New Roman"/>
        </w:rPr>
        <w:t>Fingolimod</w:t>
      </w:r>
      <w:proofErr w:type="spellEnd"/>
      <w:r>
        <w:rPr>
          <w:rFonts w:ascii="Times New Roman" w:hAnsi="Times New Roman"/>
        </w:rPr>
        <w:t xml:space="preserve"> Mylan peut être pris au cours ou en dehors des repas (voir rubrique 4.2).</w:t>
      </w:r>
    </w:p>
    <w:p w14:paraId="2EA472E9" w14:textId="77777777" w:rsidR="001C7C0E" w:rsidRPr="005E3BF6" w:rsidRDefault="001C7C0E" w:rsidP="00CB615C">
      <w:pPr>
        <w:widowControl/>
        <w:spacing w:after="0" w:line="240" w:lineRule="auto"/>
        <w:rPr>
          <w:rFonts w:ascii="Times New Roman" w:hAnsi="Times New Roman" w:cs="Times New Roman"/>
        </w:rPr>
      </w:pPr>
    </w:p>
    <w:p w14:paraId="75D920B2"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Distribution</w:t>
      </w:r>
    </w:p>
    <w:p w14:paraId="169BCA4D" w14:textId="77777777" w:rsidR="00981C96" w:rsidRDefault="00981C96" w:rsidP="00CB615C">
      <w:pPr>
        <w:widowControl/>
        <w:spacing w:after="0" w:line="240" w:lineRule="auto"/>
        <w:ind w:left="1"/>
        <w:rPr>
          <w:rFonts w:ascii="Times New Roman" w:eastAsia="Times New Roman" w:hAnsi="Times New Roman" w:cs="Times New Roman"/>
        </w:rPr>
      </w:pPr>
    </w:p>
    <w:p w14:paraId="0C937C81" w14:textId="618AC7A5"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se distribue de façon importante dans les érythrocytes, la fraction liée aux cellules sanguines étant de 86 % ; celle du phosphate de </w:t>
      </w:r>
      <w:proofErr w:type="spellStart"/>
      <w:r>
        <w:rPr>
          <w:rFonts w:ascii="Times New Roman" w:hAnsi="Times New Roman"/>
        </w:rPr>
        <w:t>fingolimod</w:t>
      </w:r>
      <w:proofErr w:type="spellEnd"/>
      <w:r>
        <w:rPr>
          <w:rFonts w:ascii="Times New Roman" w:hAnsi="Times New Roman"/>
        </w:rPr>
        <w:t xml:space="preserve"> est plus faible (&lt; 17 %). Le </w:t>
      </w:r>
      <w:proofErr w:type="spellStart"/>
      <w:r>
        <w:rPr>
          <w:rFonts w:ascii="Times New Roman" w:hAnsi="Times New Roman"/>
        </w:rPr>
        <w:t>fingolimod</w:t>
      </w:r>
      <w:proofErr w:type="spellEnd"/>
      <w:r>
        <w:rPr>
          <w:rFonts w:ascii="Times New Roman" w:hAnsi="Times New Roman"/>
        </w:rPr>
        <w:t xml:space="preserve"> et le phosphate de </w:t>
      </w:r>
      <w:proofErr w:type="spellStart"/>
      <w:r>
        <w:rPr>
          <w:rFonts w:ascii="Times New Roman" w:hAnsi="Times New Roman"/>
        </w:rPr>
        <w:t>fingolimod</w:t>
      </w:r>
      <w:proofErr w:type="spellEnd"/>
      <w:r>
        <w:rPr>
          <w:rFonts w:ascii="Times New Roman" w:hAnsi="Times New Roman"/>
        </w:rPr>
        <w:t xml:space="preserve"> sont fortement liés aux protéines (à plus de 99 %).</w:t>
      </w:r>
    </w:p>
    <w:p w14:paraId="111C1E75" w14:textId="77777777" w:rsidR="001C7C0E" w:rsidRPr="005E3BF6" w:rsidRDefault="001C7C0E" w:rsidP="00CB615C">
      <w:pPr>
        <w:widowControl/>
        <w:spacing w:after="0" w:line="240" w:lineRule="auto"/>
        <w:rPr>
          <w:rFonts w:ascii="Times New Roman" w:hAnsi="Times New Roman" w:cs="Times New Roman"/>
        </w:rPr>
      </w:pPr>
    </w:p>
    <w:p w14:paraId="7EC92DD1" w14:textId="7369754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est largement distribué dans les tissus corporels, avec un volume de distribution d’environ 1 200 ± 260 litres. Une étude chez quatre volontaires sains ayant reçu une dose intraveineuse unique d’un analogue radiomarqué du </w:t>
      </w:r>
      <w:proofErr w:type="spellStart"/>
      <w:r>
        <w:rPr>
          <w:rFonts w:ascii="Times New Roman" w:hAnsi="Times New Roman"/>
        </w:rPr>
        <w:t>fingolimod</w:t>
      </w:r>
      <w:proofErr w:type="spellEnd"/>
      <w:r>
        <w:rPr>
          <w:rFonts w:ascii="Times New Roman" w:hAnsi="Times New Roman"/>
        </w:rPr>
        <w:t xml:space="preserve"> a montré qu’il pénétrait dans le cerveau. Dans une étude chez 13 patients de sexe masculin atteints de sclérose en plaques ayant reçu du </w:t>
      </w:r>
      <w:proofErr w:type="spellStart"/>
      <w:r>
        <w:rPr>
          <w:rFonts w:ascii="Times New Roman" w:hAnsi="Times New Roman"/>
        </w:rPr>
        <w:t>fingolimod</w:t>
      </w:r>
      <w:proofErr w:type="spellEnd"/>
      <w:r>
        <w:rPr>
          <w:rFonts w:ascii="Times New Roman" w:hAnsi="Times New Roman"/>
        </w:rPr>
        <w:t xml:space="preserve"> 0,5 mg/j, la quantité moyenne de </w:t>
      </w:r>
      <w:proofErr w:type="spellStart"/>
      <w:r>
        <w:rPr>
          <w:rFonts w:ascii="Times New Roman" w:hAnsi="Times New Roman"/>
        </w:rPr>
        <w:t>fingolimod</w:t>
      </w:r>
      <w:proofErr w:type="spellEnd"/>
      <w:r>
        <w:rPr>
          <w:rFonts w:ascii="Times New Roman" w:hAnsi="Times New Roman"/>
        </w:rPr>
        <w:t xml:space="preserve"> (et de phosphate de </w:t>
      </w:r>
      <w:proofErr w:type="spellStart"/>
      <w:r>
        <w:rPr>
          <w:rFonts w:ascii="Times New Roman" w:hAnsi="Times New Roman"/>
        </w:rPr>
        <w:t>fingolimod</w:t>
      </w:r>
      <w:proofErr w:type="spellEnd"/>
      <w:r>
        <w:rPr>
          <w:rFonts w:ascii="Times New Roman" w:hAnsi="Times New Roman"/>
        </w:rPr>
        <w:t xml:space="preserve">) dans le </w:t>
      </w:r>
      <w:r>
        <w:rPr>
          <w:rFonts w:ascii="Times New Roman" w:hAnsi="Times New Roman"/>
        </w:rPr>
        <w:lastRenderedPageBreak/>
        <w:t>liquide séminal, à l’état d’équilibre, était approximativement 10 000 fois inférieure à la dose orale administrée (0,5 mg).</w:t>
      </w:r>
    </w:p>
    <w:p w14:paraId="06EF976D" w14:textId="77777777" w:rsidR="001C7C0E" w:rsidRPr="005E3BF6" w:rsidRDefault="001C7C0E" w:rsidP="00CB615C">
      <w:pPr>
        <w:widowControl/>
        <w:spacing w:after="0" w:line="240" w:lineRule="auto"/>
        <w:rPr>
          <w:rFonts w:ascii="Times New Roman" w:hAnsi="Times New Roman" w:cs="Times New Roman"/>
        </w:rPr>
      </w:pPr>
    </w:p>
    <w:p w14:paraId="3090E4AD"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Biotransformation</w:t>
      </w:r>
    </w:p>
    <w:p w14:paraId="0A0E46AE" w14:textId="77777777" w:rsidR="00981C96" w:rsidRDefault="00981C96" w:rsidP="00CB615C">
      <w:pPr>
        <w:widowControl/>
        <w:spacing w:after="0" w:line="240" w:lineRule="auto"/>
        <w:ind w:left="1"/>
        <w:rPr>
          <w:rFonts w:ascii="Times New Roman" w:eastAsia="Times New Roman" w:hAnsi="Times New Roman" w:cs="Times New Roman"/>
        </w:rPr>
      </w:pPr>
    </w:p>
    <w:p w14:paraId="6B59F5EA" w14:textId="71ACB7A6"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Chez l’homme, le </w:t>
      </w:r>
      <w:proofErr w:type="spellStart"/>
      <w:r>
        <w:rPr>
          <w:rFonts w:ascii="Times New Roman" w:hAnsi="Times New Roman"/>
        </w:rPr>
        <w:t>fingolimod</w:t>
      </w:r>
      <w:proofErr w:type="spellEnd"/>
      <w:r>
        <w:rPr>
          <w:rFonts w:ascii="Times New Roman" w:hAnsi="Times New Roman"/>
        </w:rPr>
        <w:t xml:space="preserve"> est transformé par phosphorylation stéréosélective réversible en énantiomère(S) de phosphate de </w:t>
      </w:r>
      <w:proofErr w:type="spellStart"/>
      <w:r>
        <w:rPr>
          <w:rFonts w:ascii="Times New Roman" w:hAnsi="Times New Roman"/>
        </w:rPr>
        <w:t>fingolimod</w:t>
      </w:r>
      <w:proofErr w:type="spellEnd"/>
      <w:r>
        <w:rPr>
          <w:rFonts w:ascii="Times New Roman" w:hAnsi="Times New Roman"/>
        </w:rPr>
        <w:t xml:space="preserve"> pharmacologiquement actif. Le </w:t>
      </w:r>
      <w:proofErr w:type="spellStart"/>
      <w:r>
        <w:rPr>
          <w:rFonts w:ascii="Times New Roman" w:hAnsi="Times New Roman"/>
        </w:rPr>
        <w:t>fingolimod</w:t>
      </w:r>
      <w:proofErr w:type="spellEnd"/>
      <w:r>
        <w:rPr>
          <w:rFonts w:ascii="Times New Roman" w:hAnsi="Times New Roman"/>
        </w:rPr>
        <w:t xml:space="preserve"> est éliminé par métabolisme oxydatif, catalysé essentiellement par le CYP4F2 et possiblement d’autres isoenzymes, puis dégradation similaire à celles des acides gras en métabolites inactifs. La formation d’analogues du </w:t>
      </w:r>
      <w:proofErr w:type="spellStart"/>
      <w:r>
        <w:rPr>
          <w:rFonts w:ascii="Times New Roman" w:hAnsi="Times New Roman"/>
        </w:rPr>
        <w:t>fingolimod</w:t>
      </w:r>
      <w:proofErr w:type="spellEnd"/>
      <w:r>
        <w:rPr>
          <w:rFonts w:ascii="Times New Roman" w:hAnsi="Times New Roman"/>
        </w:rPr>
        <w:t xml:space="preserve"> de type céramide non polaires pharmacologiquement inactifs a également été observée. L’isoenzyme principale impliquée dans le métabolisme du </w:t>
      </w:r>
      <w:proofErr w:type="spellStart"/>
      <w:r>
        <w:rPr>
          <w:rFonts w:ascii="Times New Roman" w:hAnsi="Times New Roman"/>
        </w:rPr>
        <w:t>fingolimod</w:t>
      </w:r>
      <w:proofErr w:type="spellEnd"/>
      <w:r>
        <w:rPr>
          <w:rFonts w:ascii="Times New Roman" w:hAnsi="Times New Roman"/>
        </w:rPr>
        <w:t xml:space="preserve"> est partiellement identifiée et peut être soit le CYP4F2 ou le CYP3A4.</w:t>
      </w:r>
    </w:p>
    <w:p w14:paraId="753C0997" w14:textId="77777777" w:rsidR="001C7C0E" w:rsidRPr="005E3BF6" w:rsidRDefault="001C7C0E" w:rsidP="00CB615C">
      <w:pPr>
        <w:widowControl/>
        <w:spacing w:after="0" w:line="240" w:lineRule="auto"/>
        <w:rPr>
          <w:rFonts w:ascii="Times New Roman" w:hAnsi="Times New Roman" w:cs="Times New Roman"/>
        </w:rPr>
      </w:pPr>
    </w:p>
    <w:p w14:paraId="1B48E22A" w14:textId="5CE02F42"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Après administration orale d’une dose unique de </w:t>
      </w:r>
      <w:proofErr w:type="spellStart"/>
      <w:r>
        <w:rPr>
          <w:rFonts w:ascii="Times New Roman" w:hAnsi="Times New Roman"/>
        </w:rPr>
        <w:t>fingolimod</w:t>
      </w:r>
      <w:proofErr w:type="spellEnd"/>
      <w:r>
        <w:rPr>
          <w:rFonts w:ascii="Times New Roman" w:hAnsi="Times New Roman"/>
        </w:rPr>
        <w:t xml:space="preserve"> marqué au </w:t>
      </w:r>
      <w:r>
        <w:rPr>
          <w:rFonts w:ascii="Times New Roman" w:hAnsi="Times New Roman"/>
          <w:vertAlign w:val="superscript"/>
        </w:rPr>
        <w:t>14</w:t>
      </w:r>
      <w:r>
        <w:rPr>
          <w:rFonts w:ascii="Times New Roman" w:hAnsi="Times New Roman"/>
        </w:rPr>
        <w:t xml:space="preserve">C, les principaux composés apparentés au </w:t>
      </w:r>
      <w:proofErr w:type="spellStart"/>
      <w:r>
        <w:rPr>
          <w:rFonts w:ascii="Times New Roman" w:hAnsi="Times New Roman"/>
        </w:rPr>
        <w:t>fingolimod</w:t>
      </w:r>
      <w:proofErr w:type="spellEnd"/>
      <w:r>
        <w:rPr>
          <w:rFonts w:ascii="Times New Roman" w:hAnsi="Times New Roman"/>
        </w:rPr>
        <w:t xml:space="preserve"> dans le sang, évalués par leur contribution à l’ASC de la radioactivité totale jusqu’au 34</w:t>
      </w:r>
      <w:r>
        <w:rPr>
          <w:rFonts w:ascii="Times New Roman" w:hAnsi="Times New Roman"/>
          <w:vertAlign w:val="superscript"/>
        </w:rPr>
        <w:t>e</w:t>
      </w:r>
      <w:r>
        <w:rPr>
          <w:rFonts w:ascii="Times New Roman" w:hAnsi="Times New Roman"/>
        </w:rPr>
        <w:t xml:space="preserve"> jour post-dose, sont le </w:t>
      </w:r>
      <w:proofErr w:type="spellStart"/>
      <w:r>
        <w:rPr>
          <w:rFonts w:ascii="Times New Roman" w:hAnsi="Times New Roman"/>
        </w:rPr>
        <w:t>fingolimod</w:t>
      </w:r>
      <w:proofErr w:type="spellEnd"/>
      <w:r>
        <w:rPr>
          <w:rFonts w:ascii="Times New Roman" w:hAnsi="Times New Roman"/>
        </w:rPr>
        <w:t xml:space="preserve"> (23 %), le phosphate de </w:t>
      </w:r>
      <w:proofErr w:type="spellStart"/>
      <w:r>
        <w:rPr>
          <w:rFonts w:ascii="Times New Roman" w:hAnsi="Times New Roman"/>
        </w:rPr>
        <w:t>fingolimod</w:t>
      </w:r>
      <w:proofErr w:type="spellEnd"/>
      <w:r>
        <w:rPr>
          <w:rFonts w:ascii="Times New Roman" w:hAnsi="Times New Roman"/>
        </w:rPr>
        <w:t xml:space="preserve"> (10 %) et les métabolites inactifs (métabolite acide carboxylique M3 [8 %], métabolite céramide M29 [9 %] et métabolite céramide M30 [7 %]).</w:t>
      </w:r>
    </w:p>
    <w:p w14:paraId="561925EB" w14:textId="77777777" w:rsidR="001C7C0E" w:rsidRPr="005E3BF6" w:rsidRDefault="001C7C0E" w:rsidP="00CB615C">
      <w:pPr>
        <w:widowControl/>
        <w:spacing w:after="0" w:line="240" w:lineRule="auto"/>
        <w:rPr>
          <w:rFonts w:ascii="Times New Roman" w:hAnsi="Times New Roman" w:cs="Times New Roman"/>
        </w:rPr>
      </w:pPr>
    </w:p>
    <w:p w14:paraId="1DD09F36"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Élimination</w:t>
      </w:r>
    </w:p>
    <w:p w14:paraId="64334235" w14:textId="77777777" w:rsidR="00981C96" w:rsidRDefault="00981C96" w:rsidP="00CB615C">
      <w:pPr>
        <w:widowControl/>
        <w:spacing w:after="0" w:line="240" w:lineRule="auto"/>
        <w:ind w:left="1"/>
        <w:rPr>
          <w:rFonts w:ascii="Times New Roman" w:eastAsia="Times New Roman" w:hAnsi="Times New Roman" w:cs="Times New Roman"/>
          <w:position w:val="2"/>
        </w:rPr>
      </w:pPr>
    </w:p>
    <w:p w14:paraId="1768BAF6" w14:textId="215F5CF5"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clairance sanguine du </w:t>
      </w:r>
      <w:proofErr w:type="spellStart"/>
      <w:r>
        <w:rPr>
          <w:rFonts w:ascii="Times New Roman" w:hAnsi="Times New Roman"/>
        </w:rPr>
        <w:t>fingolimod</w:t>
      </w:r>
      <w:proofErr w:type="spellEnd"/>
      <w:r>
        <w:rPr>
          <w:rFonts w:ascii="Times New Roman" w:hAnsi="Times New Roman"/>
        </w:rPr>
        <w:t xml:space="preserve"> est de 6,3 ± 2,3 L/h et la demi-vie</w:t>
      </w:r>
      <w:r w:rsidR="00AD26CF">
        <w:rPr>
          <w:rFonts w:ascii="Times New Roman" w:hAnsi="Times New Roman"/>
        </w:rPr>
        <w:t xml:space="preserve"> d’élimination</w:t>
      </w:r>
      <w:r>
        <w:rPr>
          <w:rFonts w:ascii="Times New Roman" w:hAnsi="Times New Roman"/>
        </w:rPr>
        <w:t xml:space="preserve"> terminale apparente moyenne (t</w:t>
      </w:r>
      <w:r>
        <w:rPr>
          <w:rFonts w:ascii="Times New Roman" w:hAnsi="Times New Roman"/>
          <w:vertAlign w:val="subscript"/>
        </w:rPr>
        <w:t>1/2</w:t>
      </w:r>
      <w:r>
        <w:rPr>
          <w:rFonts w:ascii="Times New Roman" w:hAnsi="Times New Roman"/>
        </w:rPr>
        <w:t xml:space="preserve">) est de 6 à 9 jours. Les concentrations sanguines de </w:t>
      </w:r>
      <w:proofErr w:type="spellStart"/>
      <w:r>
        <w:rPr>
          <w:rFonts w:ascii="Times New Roman" w:hAnsi="Times New Roman"/>
        </w:rPr>
        <w:t>fingolimod</w:t>
      </w:r>
      <w:proofErr w:type="spellEnd"/>
      <w:r>
        <w:rPr>
          <w:rFonts w:ascii="Times New Roman" w:hAnsi="Times New Roman"/>
        </w:rPr>
        <w:t xml:space="preserve"> et de phosphate de </w:t>
      </w:r>
      <w:proofErr w:type="spellStart"/>
      <w:r>
        <w:rPr>
          <w:rFonts w:ascii="Times New Roman" w:hAnsi="Times New Roman"/>
        </w:rPr>
        <w:t>fingolimod</w:t>
      </w:r>
      <w:proofErr w:type="spellEnd"/>
      <w:r>
        <w:rPr>
          <w:rFonts w:ascii="Times New Roman" w:hAnsi="Times New Roman"/>
        </w:rPr>
        <w:t xml:space="preserve"> diminuent parallèlement pendant la phase terminale, avec des demi-vies comparables pour les deux composés.</w:t>
      </w:r>
    </w:p>
    <w:p w14:paraId="27D93521" w14:textId="77777777" w:rsidR="001C7C0E" w:rsidRPr="005E3BF6" w:rsidRDefault="001C7C0E" w:rsidP="00CB615C">
      <w:pPr>
        <w:widowControl/>
        <w:spacing w:after="0" w:line="240" w:lineRule="auto"/>
        <w:rPr>
          <w:rFonts w:ascii="Times New Roman" w:hAnsi="Times New Roman" w:cs="Times New Roman"/>
        </w:rPr>
      </w:pPr>
    </w:p>
    <w:p w14:paraId="52D7EA96" w14:textId="1C9F863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Après administration orale, environ 81 % de la dose sont excrétés lentement dans les urines sous forme de métabolites inactifs. Le </w:t>
      </w:r>
      <w:proofErr w:type="spellStart"/>
      <w:r>
        <w:rPr>
          <w:rFonts w:ascii="Times New Roman" w:hAnsi="Times New Roman"/>
        </w:rPr>
        <w:t>fingolimod</w:t>
      </w:r>
      <w:proofErr w:type="spellEnd"/>
      <w:r>
        <w:rPr>
          <w:rFonts w:ascii="Times New Roman" w:hAnsi="Times New Roman"/>
        </w:rPr>
        <w:t xml:space="preserve"> et le phosphate de </w:t>
      </w:r>
      <w:proofErr w:type="spellStart"/>
      <w:r>
        <w:rPr>
          <w:rFonts w:ascii="Times New Roman" w:hAnsi="Times New Roman"/>
        </w:rPr>
        <w:t>fingolimod</w:t>
      </w:r>
      <w:proofErr w:type="spellEnd"/>
      <w:r>
        <w:rPr>
          <w:rFonts w:ascii="Times New Roman" w:hAnsi="Times New Roman"/>
        </w:rPr>
        <w:t xml:space="preserve"> ne sont pas éliminés sous forme inchangée dans les urines mais sont les principaux composants retrouvés dans les fèces, à des quantités représentant pour chacun moins de 2,5 % de la dose. Après 34 jours, 89 % de la dose administrée sont retrouvés.</w:t>
      </w:r>
    </w:p>
    <w:p w14:paraId="404F4DCA" w14:textId="77777777" w:rsidR="001C7C0E" w:rsidRPr="005E3BF6" w:rsidRDefault="001C7C0E" w:rsidP="00CB615C">
      <w:pPr>
        <w:widowControl/>
        <w:spacing w:after="0" w:line="240" w:lineRule="auto"/>
        <w:rPr>
          <w:rFonts w:ascii="Times New Roman" w:hAnsi="Times New Roman" w:cs="Times New Roman"/>
        </w:rPr>
      </w:pPr>
    </w:p>
    <w:p w14:paraId="3D681B4B"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Linéarité</w:t>
      </w:r>
    </w:p>
    <w:p w14:paraId="4EC0C174" w14:textId="77777777" w:rsidR="00981C96" w:rsidRDefault="00981C96" w:rsidP="00CB615C">
      <w:pPr>
        <w:widowControl/>
        <w:spacing w:after="0" w:line="240" w:lineRule="auto"/>
        <w:ind w:left="1"/>
        <w:rPr>
          <w:rFonts w:ascii="Times New Roman" w:eastAsia="Times New Roman" w:hAnsi="Times New Roman" w:cs="Times New Roman"/>
        </w:rPr>
      </w:pPr>
    </w:p>
    <w:p w14:paraId="3F3F9C25" w14:textId="1D7FE6AA"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Après administrations répétées une fois par jour de doses de 0,5 mg ou 1,25 mg, les concentrations de </w:t>
      </w:r>
      <w:proofErr w:type="spellStart"/>
      <w:r>
        <w:rPr>
          <w:rFonts w:ascii="Times New Roman" w:hAnsi="Times New Roman"/>
        </w:rPr>
        <w:t>fingolimod</w:t>
      </w:r>
      <w:proofErr w:type="spellEnd"/>
      <w:r>
        <w:rPr>
          <w:rFonts w:ascii="Times New Roman" w:hAnsi="Times New Roman"/>
        </w:rPr>
        <w:t xml:space="preserve"> et de phosphate de </w:t>
      </w:r>
      <w:proofErr w:type="spellStart"/>
      <w:r>
        <w:rPr>
          <w:rFonts w:ascii="Times New Roman" w:hAnsi="Times New Roman"/>
        </w:rPr>
        <w:t>fingolimod</w:t>
      </w:r>
      <w:proofErr w:type="spellEnd"/>
      <w:r>
        <w:rPr>
          <w:rFonts w:ascii="Times New Roman" w:hAnsi="Times New Roman"/>
        </w:rPr>
        <w:t xml:space="preserve"> augmentent de façon apparemment proportionnelle à la dose.</w:t>
      </w:r>
    </w:p>
    <w:p w14:paraId="06561508" w14:textId="77777777" w:rsidR="001C7C0E" w:rsidRPr="005E3BF6" w:rsidRDefault="001C7C0E" w:rsidP="00CB615C">
      <w:pPr>
        <w:widowControl/>
        <w:spacing w:after="0" w:line="240" w:lineRule="auto"/>
        <w:rPr>
          <w:rFonts w:ascii="Times New Roman" w:hAnsi="Times New Roman" w:cs="Times New Roman"/>
        </w:rPr>
      </w:pPr>
    </w:p>
    <w:p w14:paraId="2F71825D" w14:textId="77777777" w:rsidR="001C7C0E" w:rsidRPr="005E3BF6" w:rsidRDefault="00080994" w:rsidP="00CB615C">
      <w:pPr>
        <w:keepNext/>
        <w:widowControl/>
        <w:spacing w:after="0" w:line="240" w:lineRule="auto"/>
        <w:rPr>
          <w:rFonts w:ascii="Times New Roman" w:eastAsia="Times New Roman" w:hAnsi="Times New Roman" w:cs="Times New Roman"/>
        </w:rPr>
      </w:pPr>
      <w:r>
        <w:rPr>
          <w:rFonts w:ascii="Times New Roman" w:hAnsi="Times New Roman"/>
          <w:u w:val="single" w:color="000000"/>
        </w:rPr>
        <w:t>Populations particulières</w:t>
      </w:r>
    </w:p>
    <w:p w14:paraId="13FB2FE9" w14:textId="77777777" w:rsidR="00981C96" w:rsidRDefault="00981C96" w:rsidP="00CB615C">
      <w:pPr>
        <w:keepNext/>
        <w:widowControl/>
        <w:spacing w:after="0" w:line="240" w:lineRule="auto"/>
        <w:rPr>
          <w:rFonts w:ascii="Times New Roman" w:eastAsia="Times New Roman" w:hAnsi="Times New Roman" w:cs="Times New Roman"/>
          <w:spacing w:val="2"/>
        </w:rPr>
      </w:pPr>
    </w:p>
    <w:p w14:paraId="3E7986F6" w14:textId="77777777" w:rsidR="00E47442" w:rsidRPr="00E47442" w:rsidRDefault="00080994" w:rsidP="00CB615C">
      <w:pPr>
        <w:keepNext/>
        <w:widowControl/>
        <w:spacing w:after="0" w:line="240" w:lineRule="auto"/>
        <w:rPr>
          <w:rFonts w:ascii="Times New Roman" w:eastAsia="Times New Roman" w:hAnsi="Times New Roman" w:cs="Times New Roman"/>
          <w:i/>
          <w:spacing w:val="2"/>
          <w:u w:val="single"/>
        </w:rPr>
      </w:pPr>
      <w:r>
        <w:rPr>
          <w:rFonts w:ascii="Times New Roman" w:hAnsi="Times New Roman"/>
          <w:i/>
          <w:u w:val="single"/>
        </w:rPr>
        <w:t>Sexe, origine ethnique et insuffisance rénale</w:t>
      </w:r>
    </w:p>
    <w:p w14:paraId="769B7C24" w14:textId="0C9EADAD" w:rsidR="001C7C0E" w:rsidRPr="005E3BF6" w:rsidRDefault="00080994" w:rsidP="00CB615C">
      <w:pPr>
        <w:keepNext/>
        <w:widowControl/>
        <w:spacing w:after="0" w:line="240" w:lineRule="auto"/>
        <w:rPr>
          <w:rFonts w:ascii="Times New Roman" w:eastAsia="Times New Roman" w:hAnsi="Times New Roman" w:cs="Times New Roman"/>
        </w:rPr>
      </w:pPr>
      <w:r>
        <w:rPr>
          <w:rFonts w:ascii="Times New Roman" w:hAnsi="Times New Roman"/>
        </w:rPr>
        <w:t xml:space="preserve">La pharmacocinétique du </w:t>
      </w:r>
      <w:proofErr w:type="spellStart"/>
      <w:r>
        <w:rPr>
          <w:rFonts w:ascii="Times New Roman" w:hAnsi="Times New Roman"/>
        </w:rPr>
        <w:t>fingolimod</w:t>
      </w:r>
      <w:proofErr w:type="spellEnd"/>
      <w:r>
        <w:rPr>
          <w:rFonts w:ascii="Times New Roman" w:hAnsi="Times New Roman"/>
        </w:rPr>
        <w:t xml:space="preserve"> et du phosphate de </w:t>
      </w:r>
      <w:proofErr w:type="spellStart"/>
      <w:r>
        <w:rPr>
          <w:rFonts w:ascii="Times New Roman" w:hAnsi="Times New Roman"/>
        </w:rPr>
        <w:t>fingolimod</w:t>
      </w:r>
      <w:proofErr w:type="spellEnd"/>
      <w:r>
        <w:rPr>
          <w:rFonts w:ascii="Times New Roman" w:hAnsi="Times New Roman"/>
        </w:rPr>
        <w:t xml:space="preserve"> n’est pas différente entre les hommes et les femmes, entre les différents groupes ethniques ou chez les patients présentant une insuffisance rénale légère à sévère.</w:t>
      </w:r>
    </w:p>
    <w:p w14:paraId="45F672EE" w14:textId="77777777" w:rsidR="001C7C0E" w:rsidRPr="005E3BF6" w:rsidRDefault="001C7C0E" w:rsidP="00CB615C">
      <w:pPr>
        <w:widowControl/>
        <w:spacing w:after="0" w:line="240" w:lineRule="auto"/>
        <w:rPr>
          <w:rFonts w:ascii="Times New Roman" w:hAnsi="Times New Roman" w:cs="Times New Roman"/>
        </w:rPr>
      </w:pPr>
    </w:p>
    <w:p w14:paraId="7389D51A" w14:textId="77777777" w:rsidR="00E47442" w:rsidRPr="00E47442" w:rsidRDefault="00080994" w:rsidP="00CB615C">
      <w:pPr>
        <w:widowControl/>
        <w:spacing w:after="0" w:line="240" w:lineRule="auto"/>
        <w:ind w:left="1"/>
        <w:rPr>
          <w:rFonts w:ascii="Times New Roman" w:eastAsia="Times New Roman" w:hAnsi="Times New Roman" w:cs="Times New Roman"/>
          <w:i/>
          <w:spacing w:val="2"/>
          <w:u w:val="single"/>
        </w:rPr>
      </w:pPr>
      <w:r>
        <w:rPr>
          <w:rFonts w:ascii="Times New Roman" w:hAnsi="Times New Roman"/>
          <w:i/>
          <w:u w:val="single"/>
        </w:rPr>
        <w:t>Insuffisance hépatique</w:t>
      </w:r>
    </w:p>
    <w:p w14:paraId="1AA3E60F" w14:textId="3AB958A0"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Aucune modification de la C</w:t>
      </w:r>
      <w:r>
        <w:rPr>
          <w:rFonts w:ascii="Times New Roman" w:hAnsi="Times New Roman"/>
          <w:vertAlign w:val="subscript"/>
        </w:rPr>
        <w:t>max</w:t>
      </w:r>
      <w:r>
        <w:rPr>
          <w:rFonts w:ascii="Times New Roman" w:hAnsi="Times New Roman"/>
        </w:rPr>
        <w:t xml:space="preserve"> du </w:t>
      </w:r>
      <w:proofErr w:type="spellStart"/>
      <w:r>
        <w:rPr>
          <w:rFonts w:ascii="Times New Roman" w:hAnsi="Times New Roman"/>
        </w:rPr>
        <w:t>fingolimod</w:t>
      </w:r>
      <w:proofErr w:type="spellEnd"/>
      <w:r>
        <w:rPr>
          <w:rFonts w:ascii="Times New Roman" w:hAnsi="Times New Roman"/>
        </w:rPr>
        <w:t xml:space="preserve"> n’est observée chez les patients présentant une insuffisance hépatique légère, modérée ou sévère (classes A, B et C de Child-</w:t>
      </w:r>
      <w:proofErr w:type="spellStart"/>
      <w:r>
        <w:rPr>
          <w:rFonts w:ascii="Times New Roman" w:hAnsi="Times New Roman"/>
        </w:rPr>
        <w:t>Pugh</w:t>
      </w:r>
      <w:proofErr w:type="spellEnd"/>
      <w:r>
        <w:rPr>
          <w:rFonts w:ascii="Times New Roman" w:hAnsi="Times New Roman"/>
        </w:rPr>
        <w:t xml:space="preserve">), mais l’ASC du </w:t>
      </w:r>
      <w:proofErr w:type="spellStart"/>
      <w:r>
        <w:rPr>
          <w:rFonts w:ascii="Times New Roman" w:hAnsi="Times New Roman"/>
        </w:rPr>
        <w:t>fingolimod</w:t>
      </w:r>
      <w:proofErr w:type="spellEnd"/>
      <w:r>
        <w:rPr>
          <w:rFonts w:ascii="Times New Roman" w:hAnsi="Times New Roman"/>
        </w:rPr>
        <w:t xml:space="preserve"> est augmentée de respectivement 12 %, 44 % et 103 %. Chez les patients atteints d’une insuffisance hépatique sévère (classe C de Child </w:t>
      </w:r>
      <w:proofErr w:type="spellStart"/>
      <w:r>
        <w:rPr>
          <w:rFonts w:ascii="Times New Roman" w:hAnsi="Times New Roman"/>
        </w:rPr>
        <w:t>Pugh</w:t>
      </w:r>
      <w:proofErr w:type="spellEnd"/>
      <w:r>
        <w:rPr>
          <w:rFonts w:ascii="Times New Roman" w:hAnsi="Times New Roman"/>
        </w:rPr>
        <w:t>), la C</w:t>
      </w:r>
      <w:r>
        <w:rPr>
          <w:rFonts w:ascii="Times New Roman" w:hAnsi="Times New Roman"/>
          <w:vertAlign w:val="subscript"/>
        </w:rPr>
        <w:t>max</w:t>
      </w:r>
      <w:r>
        <w:rPr>
          <w:rFonts w:ascii="Times New Roman" w:hAnsi="Times New Roman"/>
        </w:rPr>
        <w:t xml:space="preserve"> du phosphate de </w:t>
      </w:r>
      <w:proofErr w:type="spellStart"/>
      <w:r>
        <w:rPr>
          <w:rFonts w:ascii="Times New Roman" w:hAnsi="Times New Roman"/>
        </w:rPr>
        <w:t>fingolimod</w:t>
      </w:r>
      <w:proofErr w:type="spellEnd"/>
      <w:r>
        <w:rPr>
          <w:rFonts w:ascii="Times New Roman" w:hAnsi="Times New Roman"/>
        </w:rPr>
        <w:t xml:space="preserve"> est diminuée de 22 % et l’ASC n’est pas modifiée significativement. La pharmacocinétique du phosphate de </w:t>
      </w:r>
      <w:proofErr w:type="spellStart"/>
      <w:r>
        <w:rPr>
          <w:rFonts w:ascii="Times New Roman" w:hAnsi="Times New Roman"/>
        </w:rPr>
        <w:t>fingolimod</w:t>
      </w:r>
      <w:proofErr w:type="spellEnd"/>
      <w:r>
        <w:rPr>
          <w:rFonts w:ascii="Times New Roman" w:hAnsi="Times New Roman"/>
        </w:rPr>
        <w:t xml:space="preserve"> n’a pas été étudiée chez les patients présentant une insuffisance hépatique légère ou modérée. La demi-vie d’élimination apparente du </w:t>
      </w:r>
      <w:proofErr w:type="spellStart"/>
      <w:r>
        <w:rPr>
          <w:rFonts w:ascii="Times New Roman" w:hAnsi="Times New Roman"/>
        </w:rPr>
        <w:t>fingolimod</w:t>
      </w:r>
      <w:proofErr w:type="spellEnd"/>
      <w:r>
        <w:rPr>
          <w:rFonts w:ascii="Times New Roman" w:hAnsi="Times New Roman"/>
        </w:rPr>
        <w:t xml:space="preserve"> n’est pas modifiée chez les patients présentant une insuffisance hépatique légère, mais elle est prolongée d’environ 50 % chez les patients atteints d’insuffisance hépatique modérée ou sévère.</w:t>
      </w:r>
    </w:p>
    <w:p w14:paraId="1CBD9FDF" w14:textId="77777777" w:rsidR="001C7C0E" w:rsidRPr="005E3BF6" w:rsidRDefault="001C7C0E" w:rsidP="00CB615C">
      <w:pPr>
        <w:widowControl/>
        <w:spacing w:after="0" w:line="240" w:lineRule="auto"/>
        <w:rPr>
          <w:rFonts w:ascii="Times New Roman" w:hAnsi="Times New Roman" w:cs="Times New Roman"/>
        </w:rPr>
      </w:pPr>
    </w:p>
    <w:p w14:paraId="31AB005C" w14:textId="55F55AFA"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lastRenderedPageBreak/>
        <w:t xml:space="preserve">Le </w:t>
      </w:r>
      <w:proofErr w:type="spellStart"/>
      <w:r>
        <w:rPr>
          <w:rFonts w:ascii="Times New Roman" w:hAnsi="Times New Roman"/>
        </w:rPr>
        <w:t>fingolimod</w:t>
      </w:r>
      <w:proofErr w:type="spellEnd"/>
      <w:r>
        <w:rPr>
          <w:rFonts w:ascii="Times New Roman" w:hAnsi="Times New Roman"/>
        </w:rPr>
        <w:t xml:space="preserve"> ne doit pas être administré chez les patients atteints d’une insuffisance hépatique sévère (classe C de Child-</w:t>
      </w:r>
      <w:proofErr w:type="spellStart"/>
      <w:r>
        <w:rPr>
          <w:rFonts w:ascii="Times New Roman" w:hAnsi="Times New Roman"/>
        </w:rPr>
        <w:t>Pugh</w:t>
      </w:r>
      <w:proofErr w:type="spellEnd"/>
      <w:r>
        <w:rPr>
          <w:rFonts w:ascii="Times New Roman" w:hAnsi="Times New Roman"/>
        </w:rPr>
        <w:t>) (voir rubrique 4.3). Il doit être instauré avec prudence chez les patients présentant une insuffisance hépatique légère ou modérée (voir rubrique 4.2).</w:t>
      </w:r>
    </w:p>
    <w:p w14:paraId="083994CE" w14:textId="77777777" w:rsidR="001C7C0E" w:rsidRPr="005E3BF6" w:rsidRDefault="001C7C0E" w:rsidP="00CB615C">
      <w:pPr>
        <w:widowControl/>
        <w:spacing w:after="0" w:line="240" w:lineRule="auto"/>
        <w:rPr>
          <w:rFonts w:ascii="Times New Roman" w:hAnsi="Times New Roman" w:cs="Times New Roman"/>
        </w:rPr>
      </w:pPr>
    </w:p>
    <w:p w14:paraId="1FC0B009" w14:textId="77777777" w:rsidR="00E47442" w:rsidRPr="00E47442" w:rsidRDefault="00080994" w:rsidP="00CB615C">
      <w:pPr>
        <w:widowControl/>
        <w:spacing w:after="0" w:line="240" w:lineRule="auto"/>
        <w:ind w:left="1"/>
        <w:rPr>
          <w:rFonts w:ascii="Times New Roman" w:eastAsia="Times New Roman" w:hAnsi="Times New Roman" w:cs="Times New Roman"/>
          <w:i/>
          <w:spacing w:val="-1"/>
          <w:u w:val="single"/>
        </w:rPr>
      </w:pPr>
      <w:r>
        <w:rPr>
          <w:rFonts w:ascii="Times New Roman" w:hAnsi="Times New Roman"/>
          <w:i/>
          <w:u w:val="single"/>
        </w:rPr>
        <w:t>Patients âgés</w:t>
      </w:r>
    </w:p>
    <w:p w14:paraId="240E4BF9" w14:textId="3CBBCF8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L’expérience clinique et les données pharmacocinétiques chez les patients de plus de 65 ans sont limitées. </w:t>
      </w:r>
      <w:proofErr w:type="spellStart"/>
      <w:r>
        <w:rPr>
          <w:rFonts w:ascii="Times New Roman" w:hAnsi="Times New Roman"/>
        </w:rPr>
        <w:t>Fingolimod</w:t>
      </w:r>
      <w:proofErr w:type="spellEnd"/>
      <w:r>
        <w:rPr>
          <w:rFonts w:ascii="Times New Roman" w:hAnsi="Times New Roman"/>
        </w:rPr>
        <w:t xml:space="preserve"> Mylan doit être administré avec prudence chez les patients âgés de 65 ans ou plus (voir rubrique 4.2).</w:t>
      </w:r>
    </w:p>
    <w:p w14:paraId="53855E95" w14:textId="77777777" w:rsidR="001C7C0E" w:rsidRPr="005E3BF6" w:rsidRDefault="001C7C0E" w:rsidP="00CB615C">
      <w:pPr>
        <w:widowControl/>
        <w:spacing w:after="0" w:line="240" w:lineRule="auto"/>
        <w:rPr>
          <w:rFonts w:ascii="Times New Roman" w:hAnsi="Times New Roman" w:cs="Times New Roman"/>
        </w:rPr>
      </w:pPr>
    </w:p>
    <w:p w14:paraId="3E8A4CC6"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Population pédiatrique</w:t>
      </w:r>
    </w:p>
    <w:p w14:paraId="42A8224F" w14:textId="77777777" w:rsidR="00981C96" w:rsidRDefault="00981C96" w:rsidP="00CB615C">
      <w:pPr>
        <w:widowControl/>
        <w:spacing w:after="0" w:line="240" w:lineRule="auto"/>
        <w:ind w:left="1"/>
        <w:rPr>
          <w:rFonts w:ascii="Times New Roman" w:eastAsia="Times New Roman" w:hAnsi="Times New Roman" w:cs="Times New Roman"/>
          <w:spacing w:val="-4"/>
        </w:rPr>
      </w:pPr>
    </w:p>
    <w:p w14:paraId="340EDD17" w14:textId="0C160B7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Chez les patients pédiatriques (âgés de 10 ans ou plus), les concentrations de phosphate de </w:t>
      </w:r>
      <w:proofErr w:type="spellStart"/>
      <w:r>
        <w:rPr>
          <w:rFonts w:ascii="Times New Roman" w:hAnsi="Times New Roman"/>
        </w:rPr>
        <w:t>fingolimod</w:t>
      </w:r>
      <w:proofErr w:type="spellEnd"/>
      <w:r>
        <w:rPr>
          <w:rFonts w:ascii="Times New Roman" w:hAnsi="Times New Roman"/>
        </w:rPr>
        <w:t xml:space="preserve"> augmentent de façon apparemment proportionnelle à la dose entre 0,25 mg et 0,5 mg.</w:t>
      </w:r>
    </w:p>
    <w:p w14:paraId="39448BFB" w14:textId="77777777" w:rsidR="001C7C0E" w:rsidRPr="005E3BF6" w:rsidRDefault="001C7C0E" w:rsidP="00CB615C">
      <w:pPr>
        <w:widowControl/>
        <w:spacing w:after="0" w:line="240" w:lineRule="auto"/>
        <w:rPr>
          <w:rFonts w:ascii="Times New Roman" w:hAnsi="Times New Roman" w:cs="Times New Roman"/>
        </w:rPr>
      </w:pPr>
    </w:p>
    <w:p w14:paraId="15BAE0BF" w14:textId="44C1E93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concentration de phosphate de </w:t>
      </w:r>
      <w:proofErr w:type="spellStart"/>
      <w:r>
        <w:rPr>
          <w:rFonts w:ascii="Times New Roman" w:hAnsi="Times New Roman"/>
        </w:rPr>
        <w:t>fingolimod</w:t>
      </w:r>
      <w:proofErr w:type="spellEnd"/>
      <w:r>
        <w:rPr>
          <w:rFonts w:ascii="Times New Roman" w:hAnsi="Times New Roman"/>
        </w:rPr>
        <w:t xml:space="preserve"> à l’état d’équilibre est environ 25 % plus faible chez les patients pédiatriques (âgés de 10 ans ou plus) après l’administration quotidienne de 0,25 mg ou 0,5 mg de </w:t>
      </w:r>
      <w:proofErr w:type="spellStart"/>
      <w:r>
        <w:rPr>
          <w:rFonts w:ascii="Times New Roman" w:hAnsi="Times New Roman"/>
        </w:rPr>
        <w:t>fingolimod</w:t>
      </w:r>
      <w:proofErr w:type="spellEnd"/>
      <w:r>
        <w:rPr>
          <w:rFonts w:ascii="Times New Roman" w:hAnsi="Times New Roman"/>
        </w:rPr>
        <w:t xml:space="preserve"> que la concentration atteinte chez les patients adultes traités par </w:t>
      </w:r>
      <w:proofErr w:type="spellStart"/>
      <w:r>
        <w:rPr>
          <w:rFonts w:ascii="Times New Roman" w:hAnsi="Times New Roman"/>
        </w:rPr>
        <w:t>fingolimod</w:t>
      </w:r>
      <w:proofErr w:type="spellEnd"/>
      <w:r>
        <w:rPr>
          <w:rFonts w:ascii="Times New Roman" w:hAnsi="Times New Roman"/>
        </w:rPr>
        <w:t xml:space="preserve"> 0,5 mg une fois par jour.</w:t>
      </w:r>
    </w:p>
    <w:p w14:paraId="3D4CBA95" w14:textId="77777777" w:rsidR="001C7C0E" w:rsidRPr="005E3BF6" w:rsidRDefault="001C7C0E" w:rsidP="00CB615C">
      <w:pPr>
        <w:widowControl/>
        <w:spacing w:after="0" w:line="240" w:lineRule="auto"/>
        <w:rPr>
          <w:rFonts w:ascii="Times New Roman" w:hAnsi="Times New Roman" w:cs="Times New Roman"/>
        </w:rPr>
      </w:pPr>
    </w:p>
    <w:p w14:paraId="439EACA3" w14:textId="5E1D6DF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Aucune donnée n’est disponible chez les patients pédiatriques âgés de moins de 10 ans.</w:t>
      </w:r>
    </w:p>
    <w:p w14:paraId="3951C022" w14:textId="77777777" w:rsidR="001C7C0E" w:rsidRPr="005E3BF6" w:rsidRDefault="001C7C0E" w:rsidP="00CB615C">
      <w:pPr>
        <w:widowControl/>
        <w:spacing w:after="0" w:line="240" w:lineRule="auto"/>
        <w:rPr>
          <w:rFonts w:ascii="Times New Roman" w:hAnsi="Times New Roman" w:cs="Times New Roman"/>
        </w:rPr>
      </w:pPr>
    </w:p>
    <w:p w14:paraId="1044A6CE"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5.3</w:t>
      </w:r>
      <w:r>
        <w:rPr>
          <w:rFonts w:ascii="Times New Roman" w:hAnsi="Times New Roman"/>
          <w:b/>
        </w:rPr>
        <w:tab/>
        <w:t>Données de sécurité préclinique</w:t>
      </w:r>
    </w:p>
    <w:p w14:paraId="34BFE722" w14:textId="77777777" w:rsidR="001C7C0E" w:rsidRPr="005E3BF6" w:rsidRDefault="001C7C0E" w:rsidP="00CB615C">
      <w:pPr>
        <w:widowControl/>
        <w:spacing w:after="0" w:line="240" w:lineRule="auto"/>
        <w:rPr>
          <w:rFonts w:ascii="Times New Roman" w:hAnsi="Times New Roman" w:cs="Times New Roman"/>
        </w:rPr>
      </w:pPr>
    </w:p>
    <w:p w14:paraId="4112C2F7" w14:textId="2A0FE43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profil de sécurité préclinique du </w:t>
      </w:r>
      <w:proofErr w:type="spellStart"/>
      <w:r>
        <w:rPr>
          <w:rFonts w:ascii="Times New Roman" w:hAnsi="Times New Roman"/>
        </w:rPr>
        <w:t>fingolimod</w:t>
      </w:r>
      <w:proofErr w:type="spellEnd"/>
      <w:r>
        <w:rPr>
          <w:rFonts w:ascii="Times New Roman" w:hAnsi="Times New Roman"/>
        </w:rPr>
        <w:t xml:space="preserve"> a été évalué chez la souris, le rat, le chien et le singe. Les principaux organes cibles ont été le système lymphoïde (lymphopénie et atrophie lymphoïde), les poumons (augmentation du poids, hypertrophie du muscle lisse à la jonction </w:t>
      </w:r>
      <w:proofErr w:type="spellStart"/>
      <w:r>
        <w:rPr>
          <w:rFonts w:ascii="Times New Roman" w:hAnsi="Times New Roman"/>
        </w:rPr>
        <w:t>bronchiolo</w:t>
      </w:r>
      <w:proofErr w:type="spellEnd"/>
      <w:r>
        <w:rPr>
          <w:rFonts w:ascii="Times New Roman" w:hAnsi="Times New Roman"/>
        </w:rPr>
        <w:t>-alvéolaire) et le cœur (effet chronotrope négatif, augmentation de la pression artérielle, anomalies périvasculaires et dégénérescence myocardique) chez plusieurs espèces, les vaisseaux sanguins (</w:t>
      </w:r>
      <w:proofErr w:type="spellStart"/>
      <w:r>
        <w:rPr>
          <w:rFonts w:ascii="Times New Roman" w:hAnsi="Times New Roman"/>
        </w:rPr>
        <w:t>vasculopathie</w:t>
      </w:r>
      <w:proofErr w:type="spellEnd"/>
      <w:r>
        <w:rPr>
          <w:rFonts w:ascii="Times New Roman" w:hAnsi="Times New Roman"/>
        </w:rPr>
        <w:t>) chez le rat seulement dans une étude de 2 ans à des doses de 0,15 mg/kg et plus représentant environ 4 fois l’exposition systémique humaine (ASC) à la dose quotidienne de 0,5 mg.</w:t>
      </w:r>
    </w:p>
    <w:p w14:paraId="07CE5FBE" w14:textId="77777777" w:rsidR="001C7C0E" w:rsidRPr="005E3BF6" w:rsidRDefault="001C7C0E" w:rsidP="00CB615C">
      <w:pPr>
        <w:widowControl/>
        <w:spacing w:after="0" w:line="240" w:lineRule="auto"/>
        <w:rPr>
          <w:rFonts w:ascii="Times New Roman" w:hAnsi="Times New Roman" w:cs="Times New Roman"/>
        </w:rPr>
      </w:pPr>
    </w:p>
    <w:p w14:paraId="133B9F9E" w14:textId="2CDCF84F"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Aucun signe de carcinogénicité n’a été observé dans une étude de 2 ans chez le rat à des doses orales de </w:t>
      </w:r>
      <w:proofErr w:type="spellStart"/>
      <w:r>
        <w:rPr>
          <w:rFonts w:ascii="Times New Roman" w:hAnsi="Times New Roman"/>
        </w:rPr>
        <w:t>fingolimod</w:t>
      </w:r>
      <w:proofErr w:type="spellEnd"/>
      <w:r>
        <w:rPr>
          <w:rFonts w:ascii="Times New Roman" w:hAnsi="Times New Roman"/>
        </w:rPr>
        <w:t xml:space="preserve"> allant jusqu’à la dose maximale tolérée de 2,5 mg/kg, représentant environ 50 fois l’exposition systémique humaine (ASC) à la dose de 0,5 mg. Cependant, dans une étude de 2 ans chez la souris, une incidence accrue de lymphomes malins a été observée à des doses supérieures ou égales à 0,25 mg/kg, représentant environ 6 fois l’exposition systémique humaine (ASC) pour une dose quotidienne de 0,5 mg.</w:t>
      </w:r>
    </w:p>
    <w:p w14:paraId="71672E96" w14:textId="77777777" w:rsidR="001C7C0E" w:rsidRPr="005E3BF6" w:rsidRDefault="001C7C0E" w:rsidP="00CB615C">
      <w:pPr>
        <w:widowControl/>
        <w:spacing w:after="0" w:line="240" w:lineRule="auto"/>
        <w:rPr>
          <w:rFonts w:ascii="Times New Roman" w:hAnsi="Times New Roman" w:cs="Times New Roman"/>
        </w:rPr>
      </w:pPr>
    </w:p>
    <w:p w14:paraId="1E73278E"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n’a pas été mutagène ni clastogène dans les études animales.</w:t>
      </w:r>
    </w:p>
    <w:p w14:paraId="42C13E30" w14:textId="77777777" w:rsidR="001C7C0E" w:rsidRPr="005E3BF6" w:rsidRDefault="001C7C0E" w:rsidP="00CB615C">
      <w:pPr>
        <w:widowControl/>
        <w:spacing w:after="0" w:line="240" w:lineRule="auto"/>
        <w:rPr>
          <w:rFonts w:ascii="Times New Roman" w:hAnsi="Times New Roman" w:cs="Times New Roman"/>
        </w:rPr>
      </w:pPr>
    </w:p>
    <w:p w14:paraId="0A7B9BD8" w14:textId="20570E98"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Il n’a pas eu d’effet sur le nombre ou la motilité des spermatozoïdes, ni sur la fertilité de rats mâles et femelles aux doses maximales testées (10 mg/kg), représentant environ 150 fois l’exposition systémique humaine (ASC) pour une dose quotidienne de 0,5 mg.</w:t>
      </w:r>
    </w:p>
    <w:p w14:paraId="4316703B" w14:textId="77777777" w:rsidR="001C7C0E" w:rsidRPr="005E3BF6" w:rsidRDefault="001C7C0E" w:rsidP="00CB615C">
      <w:pPr>
        <w:widowControl/>
        <w:spacing w:after="0" w:line="240" w:lineRule="auto"/>
        <w:rPr>
          <w:rFonts w:ascii="Times New Roman" w:hAnsi="Times New Roman" w:cs="Times New Roman"/>
        </w:rPr>
      </w:pPr>
    </w:p>
    <w:p w14:paraId="4EDC5B34" w14:textId="10C510AA"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Chez le rat, le </w:t>
      </w:r>
      <w:proofErr w:type="spellStart"/>
      <w:r>
        <w:rPr>
          <w:rFonts w:ascii="Times New Roman" w:hAnsi="Times New Roman"/>
        </w:rPr>
        <w:t>fingolimod</w:t>
      </w:r>
      <w:proofErr w:type="spellEnd"/>
      <w:r>
        <w:rPr>
          <w:rFonts w:ascii="Times New Roman" w:hAnsi="Times New Roman"/>
        </w:rPr>
        <w:t xml:space="preserve"> a été tératogène à des doses égales ou supérieures à 0,1 mg/kg. L’exposition de ce médicament à cette dose chez le rat était comparable à celle des patients à la dose thérapeutique (0,5 mg). Les malformations viscérales les plus fréquentes chez les fœtus ont été une persistance du canal artériel et une malformation du septum interventriculaire. Le potentiel tératogène chez le lapin n’a pas pu être évalué totalement ; cependant il a été observé une augmentation de la mortalité embryonnaire et fœtale à des doses ≥ 1,5 mg/kg et une diminution des fœtus viables et un retard de développement fœtal à la dose de 5 mg/kg. L’exposition de ce médicament à ces doses chez le lapin était comparable à celle des patients.</w:t>
      </w:r>
    </w:p>
    <w:p w14:paraId="76A3B693" w14:textId="77777777" w:rsidR="001C7C0E" w:rsidRPr="005E3BF6" w:rsidRDefault="001C7C0E" w:rsidP="00CB615C">
      <w:pPr>
        <w:widowControl/>
        <w:spacing w:after="0" w:line="240" w:lineRule="auto"/>
        <w:rPr>
          <w:rFonts w:ascii="Times New Roman" w:hAnsi="Times New Roman" w:cs="Times New Roman"/>
        </w:rPr>
      </w:pPr>
    </w:p>
    <w:p w14:paraId="01A019B2" w14:textId="04F561B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Chez le rat, la survie des petits de la génération F1 a diminué dans la période du post-partum précoce à des doses n’ayant pas entraîné de toxicité maternelle. Cependant, le traitement par </w:t>
      </w:r>
      <w:proofErr w:type="spellStart"/>
      <w:r>
        <w:rPr>
          <w:rFonts w:ascii="Times New Roman" w:hAnsi="Times New Roman"/>
        </w:rPr>
        <w:t>fingolimod</w:t>
      </w:r>
      <w:proofErr w:type="spellEnd"/>
      <w:r>
        <w:rPr>
          <w:rFonts w:ascii="Times New Roman" w:hAnsi="Times New Roman"/>
        </w:rPr>
        <w:t xml:space="preserve"> n’a pas eu d’effet sur le poids, le développement, le comportement et la fertilité de la portée F1. Il a été excrété dans le lait des animaux traités pendant la lactation à des concentrations 2 à 3 fois supérieures </w:t>
      </w:r>
      <w:r>
        <w:rPr>
          <w:rFonts w:ascii="Times New Roman" w:hAnsi="Times New Roman"/>
        </w:rPr>
        <w:lastRenderedPageBreak/>
        <w:t xml:space="preserve">aux concentrations plasmatiques maternelles. Le </w:t>
      </w:r>
      <w:proofErr w:type="spellStart"/>
      <w:r>
        <w:rPr>
          <w:rFonts w:ascii="Times New Roman" w:hAnsi="Times New Roman"/>
        </w:rPr>
        <w:t>fingolimod</w:t>
      </w:r>
      <w:proofErr w:type="spellEnd"/>
      <w:r>
        <w:rPr>
          <w:rFonts w:ascii="Times New Roman" w:hAnsi="Times New Roman"/>
        </w:rPr>
        <w:t xml:space="preserve"> et ses métabolites ont traversé la barrière placentaire chez des lapines gravides.</w:t>
      </w:r>
    </w:p>
    <w:p w14:paraId="7606718A" w14:textId="77777777" w:rsidR="001C7C0E" w:rsidRPr="005E3BF6" w:rsidRDefault="001C7C0E" w:rsidP="00CB615C">
      <w:pPr>
        <w:widowControl/>
        <w:spacing w:after="0" w:line="240" w:lineRule="auto"/>
        <w:rPr>
          <w:rFonts w:ascii="Times New Roman" w:hAnsi="Times New Roman" w:cs="Times New Roman"/>
        </w:rPr>
      </w:pPr>
    </w:p>
    <w:p w14:paraId="703EBDF5" w14:textId="77777777" w:rsidR="001C7C0E" w:rsidRPr="005E3BF6" w:rsidRDefault="00080994" w:rsidP="00E4464A">
      <w:pPr>
        <w:keepNext/>
        <w:widowControl/>
        <w:spacing w:after="0" w:line="240" w:lineRule="auto"/>
        <w:rPr>
          <w:rFonts w:ascii="Times New Roman" w:eastAsia="Times New Roman" w:hAnsi="Times New Roman" w:cs="Times New Roman"/>
        </w:rPr>
      </w:pPr>
      <w:r>
        <w:rPr>
          <w:rFonts w:ascii="Times New Roman" w:hAnsi="Times New Roman"/>
          <w:u w:val="single" w:color="000000"/>
        </w:rPr>
        <w:t>Études chez l’animal juvénile</w:t>
      </w:r>
    </w:p>
    <w:p w14:paraId="72AC5DEC" w14:textId="77777777" w:rsidR="00981C96" w:rsidRDefault="00981C96" w:rsidP="00CB615C">
      <w:pPr>
        <w:widowControl/>
        <w:spacing w:after="0" w:line="240" w:lineRule="auto"/>
        <w:ind w:left="1"/>
        <w:rPr>
          <w:rFonts w:ascii="Times New Roman" w:eastAsia="Times New Roman" w:hAnsi="Times New Roman" w:cs="Times New Roman"/>
          <w:spacing w:val="-1"/>
        </w:rPr>
      </w:pPr>
    </w:p>
    <w:p w14:paraId="43719E69" w14:textId="73D7645D" w:rsidR="001C7C0E" w:rsidRPr="005E3BF6" w:rsidRDefault="00080994" w:rsidP="00CB615C">
      <w:pPr>
        <w:widowControl/>
        <w:spacing w:after="0" w:line="240" w:lineRule="auto"/>
        <w:ind w:left="1"/>
        <w:rPr>
          <w:rFonts w:ascii="Times New Roman" w:hAnsi="Times New Roman" w:cs="Times New Roman"/>
        </w:rPr>
      </w:pPr>
      <w:r>
        <w:rPr>
          <w:rFonts w:ascii="Times New Roman" w:hAnsi="Times New Roman"/>
        </w:rPr>
        <w:t>Les résultats de deux études de toxicité conduites chez des rats juvéniles ont montré de légers effets sur la réponse neurocomportementale, un retard de maturation sexuelle et une diminution de la réponse immunitaire à des stimulations répétées par l’hémocyanine de patelle (</w:t>
      </w:r>
      <w:proofErr w:type="spellStart"/>
      <w:r>
        <w:rPr>
          <w:rFonts w:ascii="Times New Roman" w:hAnsi="Times New Roman"/>
        </w:rPr>
        <w:t>keyhole</w:t>
      </w:r>
      <w:proofErr w:type="spellEnd"/>
      <w:r>
        <w:rPr>
          <w:rFonts w:ascii="Times New Roman" w:hAnsi="Times New Roman"/>
        </w:rPr>
        <w:t xml:space="preserve"> </w:t>
      </w:r>
      <w:proofErr w:type="spellStart"/>
      <w:r>
        <w:rPr>
          <w:rFonts w:ascii="Times New Roman" w:hAnsi="Times New Roman"/>
        </w:rPr>
        <w:t>limpet</w:t>
      </w:r>
      <w:proofErr w:type="spellEnd"/>
      <w:r>
        <w:rPr>
          <w:rFonts w:ascii="Times New Roman" w:hAnsi="Times New Roman"/>
        </w:rPr>
        <w:t xml:space="preserve"> </w:t>
      </w:r>
      <w:proofErr w:type="spellStart"/>
      <w:r>
        <w:rPr>
          <w:rFonts w:ascii="Times New Roman" w:hAnsi="Times New Roman"/>
        </w:rPr>
        <w:t>haemocyanin</w:t>
      </w:r>
      <w:proofErr w:type="spellEnd"/>
      <w:r>
        <w:rPr>
          <w:rFonts w:ascii="Times New Roman" w:hAnsi="Times New Roman"/>
        </w:rPr>
        <w:t xml:space="preserve">, KLH), qui n’ont pas été considérés comme indésirables. Dans l’ensemble, les effets du traitement par </w:t>
      </w:r>
      <w:proofErr w:type="spellStart"/>
      <w:r>
        <w:rPr>
          <w:rFonts w:ascii="Times New Roman" w:hAnsi="Times New Roman"/>
        </w:rPr>
        <w:t>fingolimod</w:t>
      </w:r>
      <w:proofErr w:type="spellEnd"/>
      <w:r>
        <w:rPr>
          <w:rFonts w:ascii="Times New Roman" w:hAnsi="Times New Roman"/>
        </w:rPr>
        <w:t xml:space="preserve"> chez les animaux juvéniles ont été comparables à ceux observés chez les rats adultes à des posologies similaires, à l’exception des variations de la densité minérale osseuse et de l’atteinte neurocomportementale (réduction de la réponse de sursaut au bruit) observées aux doses de 1,5 mg/kg et plus chez les animaux juvéniles et de l’absence d’hypertrophie du muscle lisse dans les poumons des animaux juvéniles.</w:t>
      </w:r>
    </w:p>
    <w:p w14:paraId="71EB9476" w14:textId="1887DAF2" w:rsidR="00C96D23" w:rsidRPr="005E3BF6" w:rsidRDefault="00C96D23" w:rsidP="00CB615C">
      <w:pPr>
        <w:widowControl/>
        <w:spacing w:after="0" w:line="240" w:lineRule="auto"/>
        <w:ind w:left="1"/>
        <w:rPr>
          <w:rFonts w:ascii="Times New Roman" w:hAnsi="Times New Roman" w:cs="Times New Roman"/>
        </w:rPr>
      </w:pPr>
    </w:p>
    <w:p w14:paraId="2EE736BA" w14:textId="77777777" w:rsidR="00AA7D33" w:rsidRPr="005E3BF6" w:rsidRDefault="00AA7D33" w:rsidP="00CB615C">
      <w:pPr>
        <w:widowControl/>
        <w:spacing w:after="0" w:line="240" w:lineRule="auto"/>
        <w:ind w:left="1"/>
        <w:rPr>
          <w:rFonts w:ascii="Times New Roman" w:hAnsi="Times New Roman" w:cs="Times New Roman"/>
        </w:rPr>
      </w:pPr>
    </w:p>
    <w:p w14:paraId="75AB56BE"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6.</w:t>
      </w:r>
      <w:r>
        <w:rPr>
          <w:rFonts w:ascii="Times New Roman" w:hAnsi="Times New Roman"/>
          <w:b/>
        </w:rPr>
        <w:tab/>
        <w:t>DONNÉES PHARMACEUTIQUES</w:t>
      </w:r>
    </w:p>
    <w:p w14:paraId="492BBC2C" w14:textId="77777777" w:rsidR="001C7C0E" w:rsidRPr="005E3BF6" w:rsidRDefault="001C7C0E" w:rsidP="00CB615C">
      <w:pPr>
        <w:widowControl/>
        <w:spacing w:after="0" w:line="240" w:lineRule="auto"/>
        <w:rPr>
          <w:rFonts w:ascii="Times New Roman" w:hAnsi="Times New Roman" w:cs="Times New Roman"/>
        </w:rPr>
      </w:pPr>
    </w:p>
    <w:p w14:paraId="2DDEB548"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6.1</w:t>
      </w:r>
      <w:r>
        <w:rPr>
          <w:rFonts w:ascii="Times New Roman" w:hAnsi="Times New Roman"/>
          <w:b/>
        </w:rPr>
        <w:tab/>
        <w:t>Liste des excipients</w:t>
      </w:r>
    </w:p>
    <w:p w14:paraId="53DD6811" w14:textId="77777777" w:rsidR="001C7C0E" w:rsidRPr="005E3BF6" w:rsidRDefault="00080994" w:rsidP="00CB615C">
      <w:pPr>
        <w:widowControl/>
        <w:spacing w:after="0" w:line="240" w:lineRule="auto"/>
        <w:rPr>
          <w:rFonts w:ascii="Times New Roman" w:hAnsi="Times New Roman" w:cs="Times New Roman"/>
        </w:rPr>
      </w:pPr>
      <w:r>
        <w:rPr>
          <w:rFonts w:ascii="Times New Roman" w:hAnsi="Times New Roman"/>
        </w:rPr>
        <w:t xml:space="preserve"> </w:t>
      </w:r>
    </w:p>
    <w:p w14:paraId="6FEE3701" w14:textId="36FC7B60" w:rsidR="00C96D23" w:rsidRPr="005E3FEB" w:rsidRDefault="00080994" w:rsidP="00CB615C">
      <w:pPr>
        <w:widowControl/>
        <w:tabs>
          <w:tab w:val="left" w:pos="5003"/>
        </w:tabs>
        <w:spacing w:after="0" w:line="240" w:lineRule="auto"/>
        <w:ind w:left="1"/>
        <w:rPr>
          <w:rFonts w:ascii="Times New Roman" w:eastAsia="Times New Roman" w:hAnsi="Times New Roman" w:cs="Times New Roman"/>
          <w:spacing w:val="1"/>
        </w:rPr>
      </w:pPr>
      <w:r>
        <w:rPr>
          <w:rFonts w:ascii="Times New Roman" w:hAnsi="Times New Roman"/>
          <w:u w:val="single" w:color="000000"/>
        </w:rPr>
        <w:t>Contenu de la gélule</w:t>
      </w:r>
    </w:p>
    <w:p w14:paraId="5535A674" w14:textId="77777777" w:rsidR="00981C96" w:rsidRDefault="00981C96" w:rsidP="00CB615C">
      <w:pPr>
        <w:widowControl/>
        <w:spacing w:after="0" w:line="240" w:lineRule="auto"/>
        <w:rPr>
          <w:rFonts w:ascii="Times New Roman" w:eastAsia="Times New Roman" w:hAnsi="Times New Roman" w:cs="Times New Roman"/>
        </w:rPr>
      </w:pPr>
    </w:p>
    <w:p w14:paraId="20C1119C" w14:textId="599C1DF2" w:rsidR="001C7C0E" w:rsidRPr="005E3BF6" w:rsidRDefault="00080994" w:rsidP="00CB615C">
      <w:pPr>
        <w:widowControl/>
        <w:spacing w:after="0" w:line="240" w:lineRule="auto"/>
        <w:rPr>
          <w:rFonts w:ascii="Times New Roman" w:eastAsia="Times New Roman" w:hAnsi="Times New Roman" w:cs="Times New Roman"/>
        </w:rPr>
      </w:pPr>
      <w:proofErr w:type="spellStart"/>
      <w:r>
        <w:rPr>
          <w:rFonts w:ascii="Times New Roman" w:hAnsi="Times New Roman"/>
        </w:rPr>
        <w:t>Hydrogénophosphate</w:t>
      </w:r>
      <w:proofErr w:type="spellEnd"/>
      <w:r>
        <w:rPr>
          <w:rFonts w:ascii="Times New Roman" w:hAnsi="Times New Roman"/>
        </w:rPr>
        <w:t xml:space="preserve"> de calcium </w:t>
      </w:r>
      <w:proofErr w:type="spellStart"/>
      <w:r>
        <w:rPr>
          <w:rFonts w:ascii="Times New Roman" w:hAnsi="Times New Roman"/>
        </w:rPr>
        <w:t>dihydraté</w:t>
      </w:r>
      <w:proofErr w:type="spellEnd"/>
    </w:p>
    <w:p w14:paraId="29CD450C" w14:textId="4522143F" w:rsidR="00CA1966"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Glycine</w:t>
      </w:r>
    </w:p>
    <w:p w14:paraId="42DE99C0" w14:textId="77777777" w:rsidR="00CA1966"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Silice colloïdale anhydre</w:t>
      </w:r>
    </w:p>
    <w:p w14:paraId="70BD4406" w14:textId="77777777" w:rsidR="00CA1966"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Stéarate de magnésium</w:t>
      </w:r>
    </w:p>
    <w:p w14:paraId="27E77BE3" w14:textId="77777777" w:rsidR="00CA1966" w:rsidRPr="005E3BF6" w:rsidRDefault="00CA1966" w:rsidP="00CB615C">
      <w:pPr>
        <w:widowControl/>
        <w:spacing w:after="0" w:line="240" w:lineRule="auto"/>
        <w:rPr>
          <w:rFonts w:ascii="Times New Roman" w:eastAsia="Times New Roman" w:hAnsi="Times New Roman" w:cs="Times New Roman"/>
        </w:rPr>
      </w:pPr>
    </w:p>
    <w:p w14:paraId="768887E8" w14:textId="77777777" w:rsidR="001C7C0E" w:rsidRPr="00FB49EF"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Enveloppe de la gélule</w:t>
      </w:r>
    </w:p>
    <w:p w14:paraId="4EF64FD9" w14:textId="77777777" w:rsidR="00981C96" w:rsidRDefault="00981C96" w:rsidP="00CB615C">
      <w:pPr>
        <w:widowControl/>
        <w:spacing w:after="0" w:line="240" w:lineRule="auto"/>
        <w:ind w:left="1"/>
        <w:rPr>
          <w:rFonts w:ascii="Times New Roman" w:eastAsia="Times New Roman" w:hAnsi="Times New Roman" w:cs="Times New Roman"/>
          <w:spacing w:val="-1"/>
        </w:rPr>
      </w:pPr>
    </w:p>
    <w:p w14:paraId="6ED2C451" w14:textId="063F8C4E"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Gélatine</w:t>
      </w:r>
    </w:p>
    <w:p w14:paraId="26C24D24" w14:textId="4CBB422F" w:rsidR="00CA1966"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Dioxyde de titane (E171)</w:t>
      </w:r>
    </w:p>
    <w:p w14:paraId="07161F58" w14:textId="5284AA29" w:rsidR="00C96D23" w:rsidRPr="00CF5E4F"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Oxyde de fer jaune (E172)</w:t>
      </w:r>
    </w:p>
    <w:p w14:paraId="76BD2E75" w14:textId="09221A6A" w:rsidR="00CA1966" w:rsidRPr="00CF5E4F"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Oxyde de fer rouge (E172)</w:t>
      </w:r>
    </w:p>
    <w:p w14:paraId="363628C2" w14:textId="77777777" w:rsidR="00C96D23" w:rsidRPr="00077970" w:rsidRDefault="00C96D23" w:rsidP="00CB615C">
      <w:pPr>
        <w:widowControl/>
        <w:spacing w:after="0" w:line="240" w:lineRule="auto"/>
        <w:ind w:left="1"/>
        <w:rPr>
          <w:rFonts w:ascii="Times New Roman" w:eastAsia="Times New Roman" w:hAnsi="Times New Roman" w:cs="Times New Roman"/>
        </w:rPr>
      </w:pPr>
    </w:p>
    <w:p w14:paraId="56C67164" w14:textId="77777777" w:rsidR="002F4BCA" w:rsidRPr="00CF5E4F" w:rsidRDefault="00080994" w:rsidP="00CB615C">
      <w:pPr>
        <w:widowControl/>
        <w:spacing w:after="0" w:line="240" w:lineRule="auto"/>
        <w:ind w:left="1"/>
        <w:rPr>
          <w:rFonts w:ascii="Times New Roman" w:eastAsia="Times New Roman" w:hAnsi="Times New Roman" w:cs="Times New Roman"/>
          <w:u w:val="single"/>
        </w:rPr>
      </w:pPr>
      <w:r>
        <w:rPr>
          <w:rFonts w:ascii="Times New Roman" w:hAnsi="Times New Roman"/>
          <w:u w:val="single"/>
        </w:rPr>
        <w:t>Encre d’impression</w:t>
      </w:r>
    </w:p>
    <w:p w14:paraId="7D55BBC9" w14:textId="77777777" w:rsidR="00981C96" w:rsidRPr="00CF5E4F" w:rsidRDefault="00981C96" w:rsidP="00CB615C">
      <w:pPr>
        <w:widowControl/>
        <w:spacing w:after="0" w:line="240" w:lineRule="auto"/>
        <w:rPr>
          <w:rFonts w:ascii="Times New Roman" w:hAnsi="Times New Roman" w:cs="Times New Roman"/>
        </w:rPr>
      </w:pPr>
    </w:p>
    <w:p w14:paraId="368EAE8D" w14:textId="070D6D6E" w:rsidR="001622C2" w:rsidRPr="00CF5E4F" w:rsidRDefault="00080994" w:rsidP="00CB615C">
      <w:pPr>
        <w:widowControl/>
        <w:spacing w:after="0" w:line="240" w:lineRule="auto"/>
        <w:rPr>
          <w:rFonts w:ascii="Times New Roman" w:hAnsi="Times New Roman" w:cs="Times New Roman"/>
        </w:rPr>
      </w:pPr>
      <w:r>
        <w:rPr>
          <w:rFonts w:ascii="Times New Roman" w:hAnsi="Times New Roman"/>
        </w:rPr>
        <w:t>Gomme-laque (E904)</w:t>
      </w:r>
    </w:p>
    <w:p w14:paraId="1A5B9361" w14:textId="5247D660" w:rsidR="001622C2" w:rsidRPr="00CF5E4F" w:rsidRDefault="00080994" w:rsidP="00CB615C">
      <w:pPr>
        <w:widowControl/>
        <w:spacing w:after="0" w:line="240" w:lineRule="auto"/>
        <w:rPr>
          <w:rFonts w:ascii="Times New Roman" w:hAnsi="Times New Roman" w:cs="Times New Roman"/>
        </w:rPr>
      </w:pPr>
      <w:r>
        <w:rPr>
          <w:rFonts w:ascii="Times New Roman" w:hAnsi="Times New Roman"/>
        </w:rPr>
        <w:t>Propylène glycol (E1520)</w:t>
      </w:r>
    </w:p>
    <w:p w14:paraId="68395F0C" w14:textId="65F7F303" w:rsidR="00CA1966" w:rsidRPr="00CF5E4F" w:rsidRDefault="00080994" w:rsidP="00CB615C">
      <w:pPr>
        <w:widowControl/>
        <w:spacing w:after="0" w:line="240" w:lineRule="auto"/>
        <w:rPr>
          <w:rFonts w:ascii="Times New Roman" w:hAnsi="Times New Roman" w:cs="Times New Roman"/>
        </w:rPr>
      </w:pPr>
      <w:r>
        <w:rPr>
          <w:rFonts w:ascii="Times New Roman" w:hAnsi="Times New Roman"/>
        </w:rPr>
        <w:t>Oxyde de fer noir (E172)</w:t>
      </w:r>
    </w:p>
    <w:p w14:paraId="30D411B0" w14:textId="1BFB8F72" w:rsidR="00CA1966" w:rsidRPr="00CF5E4F" w:rsidRDefault="00080994" w:rsidP="00CB615C">
      <w:pPr>
        <w:widowControl/>
        <w:spacing w:after="0" w:line="240" w:lineRule="auto"/>
        <w:rPr>
          <w:rFonts w:ascii="Times New Roman" w:hAnsi="Times New Roman" w:cs="Times New Roman"/>
        </w:rPr>
      </w:pPr>
      <w:r>
        <w:rPr>
          <w:rFonts w:ascii="Times New Roman" w:hAnsi="Times New Roman"/>
        </w:rPr>
        <w:t xml:space="preserve">Hydroxyde de potassium </w:t>
      </w:r>
    </w:p>
    <w:p w14:paraId="52B753E5" w14:textId="77777777" w:rsidR="0075234B" w:rsidRPr="00CF5E4F" w:rsidRDefault="0075234B" w:rsidP="00CB615C">
      <w:pPr>
        <w:widowControl/>
        <w:spacing w:after="0" w:line="240" w:lineRule="auto"/>
        <w:rPr>
          <w:rFonts w:ascii="Times New Roman" w:hAnsi="Times New Roman" w:cs="Times New Roman"/>
        </w:rPr>
      </w:pPr>
    </w:p>
    <w:p w14:paraId="5E1A528E"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6.2</w:t>
      </w:r>
      <w:r>
        <w:rPr>
          <w:rFonts w:ascii="Times New Roman" w:hAnsi="Times New Roman"/>
          <w:b/>
        </w:rPr>
        <w:tab/>
        <w:t>Incompatibilités</w:t>
      </w:r>
    </w:p>
    <w:p w14:paraId="32DDEDAD" w14:textId="77777777" w:rsidR="001C7C0E" w:rsidRPr="005E3BF6" w:rsidRDefault="001C7C0E" w:rsidP="00CB615C">
      <w:pPr>
        <w:widowControl/>
        <w:spacing w:after="0" w:line="240" w:lineRule="auto"/>
        <w:rPr>
          <w:rFonts w:ascii="Times New Roman" w:hAnsi="Times New Roman" w:cs="Times New Roman"/>
        </w:rPr>
      </w:pPr>
    </w:p>
    <w:p w14:paraId="06F3C265"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Sans objet.</w:t>
      </w:r>
    </w:p>
    <w:p w14:paraId="5075472D" w14:textId="77777777" w:rsidR="001C7C0E" w:rsidRPr="005E3BF6" w:rsidRDefault="001C7C0E" w:rsidP="00CB615C">
      <w:pPr>
        <w:widowControl/>
        <w:spacing w:after="0" w:line="240" w:lineRule="auto"/>
        <w:rPr>
          <w:rFonts w:ascii="Times New Roman" w:hAnsi="Times New Roman" w:cs="Times New Roman"/>
        </w:rPr>
      </w:pPr>
    </w:p>
    <w:p w14:paraId="3E3862D0"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6.3</w:t>
      </w:r>
      <w:r>
        <w:rPr>
          <w:rFonts w:ascii="Times New Roman" w:hAnsi="Times New Roman"/>
          <w:b/>
        </w:rPr>
        <w:tab/>
        <w:t>Durée de conservation</w:t>
      </w:r>
    </w:p>
    <w:p w14:paraId="14339AC2" w14:textId="77777777" w:rsidR="001C7C0E" w:rsidRPr="005E3BF6" w:rsidRDefault="001C7C0E" w:rsidP="00CB615C">
      <w:pPr>
        <w:widowControl/>
        <w:spacing w:after="0" w:line="240" w:lineRule="auto"/>
        <w:rPr>
          <w:rFonts w:ascii="Times New Roman" w:hAnsi="Times New Roman" w:cs="Times New Roman"/>
        </w:rPr>
      </w:pPr>
    </w:p>
    <w:p w14:paraId="1AC4CC1C" w14:textId="337215B8" w:rsidR="001C7C0E" w:rsidRDefault="007A3BAF" w:rsidP="00CB615C">
      <w:pPr>
        <w:widowControl/>
        <w:spacing w:after="0" w:line="240" w:lineRule="auto"/>
        <w:ind w:left="1"/>
        <w:rPr>
          <w:rFonts w:ascii="Times New Roman" w:eastAsia="Times New Roman" w:hAnsi="Times New Roman" w:cs="Times New Roman"/>
        </w:rPr>
      </w:pPr>
      <w:r>
        <w:rPr>
          <w:rFonts w:ascii="Times New Roman" w:hAnsi="Times New Roman"/>
        </w:rPr>
        <w:t>3 </w:t>
      </w:r>
      <w:r w:rsidR="00080994">
        <w:rPr>
          <w:rFonts w:ascii="Times New Roman" w:hAnsi="Times New Roman"/>
        </w:rPr>
        <w:t>ans</w:t>
      </w:r>
    </w:p>
    <w:p w14:paraId="2887DADF" w14:textId="77777777" w:rsidR="004A14EB" w:rsidRDefault="004A14EB" w:rsidP="00CB615C">
      <w:pPr>
        <w:widowControl/>
        <w:spacing w:after="0" w:line="240" w:lineRule="auto"/>
        <w:ind w:left="1"/>
        <w:rPr>
          <w:rFonts w:ascii="Times New Roman" w:eastAsia="Times New Roman" w:hAnsi="Times New Roman" w:cs="Times New Roman"/>
        </w:rPr>
      </w:pPr>
    </w:p>
    <w:p w14:paraId="7921640A" w14:textId="77777777"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6.4</w:t>
      </w:r>
      <w:r>
        <w:rPr>
          <w:rFonts w:ascii="Times New Roman" w:hAnsi="Times New Roman"/>
          <w:b/>
        </w:rPr>
        <w:tab/>
        <w:t>Précautions particulières de conservation</w:t>
      </w:r>
    </w:p>
    <w:p w14:paraId="177F20A1" w14:textId="77777777" w:rsidR="00981C96" w:rsidRDefault="00981C96" w:rsidP="00CB615C">
      <w:pPr>
        <w:widowControl/>
        <w:spacing w:after="0" w:line="240" w:lineRule="auto"/>
        <w:ind w:left="1"/>
        <w:rPr>
          <w:rFonts w:ascii="Times New Roman" w:eastAsia="Times New Roman" w:hAnsi="Times New Roman" w:cs="Times New Roman"/>
          <w:spacing w:val="-1"/>
        </w:rPr>
      </w:pPr>
    </w:p>
    <w:p w14:paraId="7073F73C" w14:textId="45AD5817" w:rsidR="001C7C0E" w:rsidRPr="005E3BF6" w:rsidRDefault="00CC0570" w:rsidP="00CB615C">
      <w:pPr>
        <w:widowControl/>
        <w:spacing w:after="0" w:line="240" w:lineRule="auto"/>
        <w:ind w:left="1"/>
        <w:rPr>
          <w:rFonts w:ascii="Times New Roman" w:eastAsia="Times New Roman" w:hAnsi="Times New Roman" w:cs="Times New Roman"/>
        </w:rPr>
      </w:pPr>
      <w:r w:rsidRPr="00CC0570">
        <w:rPr>
          <w:rFonts w:ascii="Times New Roman" w:hAnsi="Times New Roman"/>
        </w:rPr>
        <w:t>A</w:t>
      </w:r>
      <w:r w:rsidR="00080994">
        <w:rPr>
          <w:rFonts w:ascii="Times New Roman" w:hAnsi="Times New Roman"/>
        </w:rPr>
        <w:t xml:space="preserve"> conserver à une température ne dépassant pas 25 °C.</w:t>
      </w:r>
    </w:p>
    <w:p w14:paraId="2BE09F9A" w14:textId="784AB261" w:rsidR="001C7C0E" w:rsidRDefault="00CC0570" w:rsidP="00CB615C">
      <w:pPr>
        <w:widowControl/>
        <w:spacing w:after="0" w:line="240" w:lineRule="auto"/>
        <w:ind w:left="1"/>
        <w:rPr>
          <w:rFonts w:ascii="Times New Roman" w:eastAsia="Times New Roman" w:hAnsi="Times New Roman" w:cs="Times New Roman"/>
        </w:rPr>
      </w:pPr>
      <w:r w:rsidRPr="00CC0570">
        <w:rPr>
          <w:rFonts w:ascii="Times New Roman" w:hAnsi="Times New Roman"/>
        </w:rPr>
        <w:t>A</w:t>
      </w:r>
      <w:r w:rsidR="00080994">
        <w:rPr>
          <w:rFonts w:ascii="Times New Roman" w:hAnsi="Times New Roman"/>
        </w:rPr>
        <w:t xml:space="preserve"> conserver dans l’emballage d’origine à l’abri de l’humidité.</w:t>
      </w:r>
    </w:p>
    <w:p w14:paraId="63579283" w14:textId="77777777" w:rsidR="001C7C0E" w:rsidRPr="005E3BF6" w:rsidRDefault="001C7C0E" w:rsidP="00CB615C">
      <w:pPr>
        <w:widowControl/>
        <w:spacing w:after="0" w:line="240" w:lineRule="auto"/>
        <w:rPr>
          <w:rFonts w:ascii="Times New Roman" w:hAnsi="Times New Roman" w:cs="Times New Roman"/>
        </w:rPr>
      </w:pPr>
    </w:p>
    <w:p w14:paraId="319C94F1" w14:textId="77777777" w:rsidR="001C7C0E" w:rsidRPr="005E3BF6" w:rsidRDefault="00080994" w:rsidP="00373A92">
      <w:pPr>
        <w:keepNext/>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lastRenderedPageBreak/>
        <w:t>6.5</w:t>
      </w:r>
      <w:r>
        <w:rPr>
          <w:rFonts w:ascii="Times New Roman" w:hAnsi="Times New Roman"/>
          <w:b/>
        </w:rPr>
        <w:tab/>
        <w:t>Nature et contenu de l’emballage extérieur</w:t>
      </w:r>
    </w:p>
    <w:p w14:paraId="31892844" w14:textId="77777777" w:rsidR="00D86856" w:rsidRDefault="00D86856" w:rsidP="00373A92">
      <w:pPr>
        <w:keepNext/>
        <w:widowControl/>
        <w:spacing w:after="0" w:line="240" w:lineRule="auto"/>
        <w:rPr>
          <w:rFonts w:ascii="Times New Roman" w:hAnsi="Times New Roman" w:cs="Times New Roman"/>
        </w:rPr>
      </w:pPr>
      <w:bookmarkStart w:id="6" w:name="_Hlk2600480"/>
    </w:p>
    <w:p w14:paraId="2A1AE63B" w14:textId="77777777" w:rsidR="00467EFC" w:rsidRPr="00D86856" w:rsidRDefault="00080994" w:rsidP="00373A92">
      <w:pPr>
        <w:keepNext/>
        <w:widowControl/>
        <w:spacing w:after="0" w:line="240" w:lineRule="auto"/>
        <w:rPr>
          <w:rFonts w:ascii="Times New Roman" w:hAnsi="Times New Roman" w:cs="Times New Roman"/>
          <w:u w:val="single"/>
        </w:rPr>
      </w:pPr>
      <w:r>
        <w:rPr>
          <w:rFonts w:ascii="Times New Roman" w:hAnsi="Times New Roman"/>
          <w:u w:val="single"/>
        </w:rPr>
        <w:t>Plaquette en PVC/PCTFE-alu</w:t>
      </w:r>
    </w:p>
    <w:p w14:paraId="0B3CCB36" w14:textId="77777777" w:rsidR="00981C96" w:rsidRDefault="00981C96" w:rsidP="00CB615C">
      <w:pPr>
        <w:widowControl/>
        <w:spacing w:after="0" w:line="240" w:lineRule="auto"/>
        <w:rPr>
          <w:rFonts w:ascii="Times New Roman" w:hAnsi="Times New Roman" w:cs="Times New Roman"/>
        </w:rPr>
      </w:pPr>
    </w:p>
    <w:p w14:paraId="5DACFC90" w14:textId="77777777" w:rsidR="000D2BBD" w:rsidRDefault="00080994" w:rsidP="00CB615C">
      <w:pPr>
        <w:widowControl/>
        <w:spacing w:after="0" w:line="240" w:lineRule="auto"/>
        <w:rPr>
          <w:rFonts w:ascii="Times New Roman" w:hAnsi="Times New Roman" w:cs="Times New Roman"/>
        </w:rPr>
      </w:pPr>
      <w:r>
        <w:rPr>
          <w:rFonts w:ascii="Times New Roman" w:hAnsi="Times New Roman"/>
        </w:rPr>
        <w:t xml:space="preserve">Présentation : </w:t>
      </w:r>
    </w:p>
    <w:p w14:paraId="5EDE2B86" w14:textId="44D09F51" w:rsidR="000D2BBD" w:rsidRDefault="00080994" w:rsidP="00CB615C">
      <w:pPr>
        <w:widowControl/>
        <w:spacing w:after="0" w:line="240" w:lineRule="auto"/>
        <w:rPr>
          <w:rFonts w:ascii="Times New Roman" w:hAnsi="Times New Roman" w:cs="Times New Roman"/>
        </w:rPr>
      </w:pPr>
      <w:r>
        <w:rPr>
          <w:rFonts w:ascii="Times New Roman" w:hAnsi="Times New Roman"/>
        </w:rPr>
        <w:t>28, 30, 84 ou 98 gélules</w:t>
      </w:r>
    </w:p>
    <w:p w14:paraId="02C16059" w14:textId="4F78D627" w:rsidR="000D2BBD" w:rsidRPr="000C155C"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t>Conditionnements multiples contenant 84 (3 boîtes de 28) gélules</w:t>
      </w:r>
    </w:p>
    <w:p w14:paraId="6061D0D7" w14:textId="0012EC85" w:rsidR="000D2BBD" w:rsidRPr="000C155C"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t>Boîtes calendaires contenant 28 ou 84 gélules</w:t>
      </w:r>
    </w:p>
    <w:p w14:paraId="4F0247C7" w14:textId="681D10C3" w:rsidR="00694477" w:rsidRPr="000C155C"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t>Plaquettes unidoses contenant 7 x 1, 28 x 1, 90 x 1 ou 98 x 1 gélules</w:t>
      </w:r>
    </w:p>
    <w:p w14:paraId="0588D209" w14:textId="77777777" w:rsidR="00467EFC" w:rsidRPr="000C155C" w:rsidRDefault="00467EFC" w:rsidP="00CB615C">
      <w:pPr>
        <w:widowControl/>
        <w:spacing w:after="0" w:line="240" w:lineRule="auto"/>
        <w:rPr>
          <w:rFonts w:ascii="Times New Roman" w:hAnsi="Times New Roman" w:cs="Times New Roman"/>
          <w:u w:val="single"/>
        </w:rPr>
      </w:pPr>
    </w:p>
    <w:p w14:paraId="64FF3B26" w14:textId="119E6B58" w:rsidR="00467EFC" w:rsidRPr="000C155C" w:rsidRDefault="00080994" w:rsidP="00CB615C">
      <w:pPr>
        <w:widowControl/>
        <w:spacing w:after="0" w:line="240" w:lineRule="auto"/>
        <w:rPr>
          <w:rFonts w:ascii="Times New Roman" w:hAnsi="Times New Roman" w:cs="Times New Roman"/>
          <w:u w:val="single"/>
        </w:rPr>
      </w:pPr>
      <w:r w:rsidRPr="000C155C">
        <w:rPr>
          <w:rFonts w:ascii="Times New Roman" w:hAnsi="Times New Roman" w:cs="Times New Roman"/>
          <w:u w:val="single"/>
        </w:rPr>
        <w:t>Plaquette en PVC/PE/</w:t>
      </w:r>
      <w:proofErr w:type="spellStart"/>
      <w:r w:rsidRPr="000C155C">
        <w:rPr>
          <w:rFonts w:ascii="Times New Roman" w:hAnsi="Times New Roman" w:cs="Times New Roman"/>
          <w:u w:val="single"/>
        </w:rPr>
        <w:t>PVdC</w:t>
      </w:r>
      <w:proofErr w:type="spellEnd"/>
      <w:r w:rsidRPr="000C155C">
        <w:rPr>
          <w:rFonts w:ascii="Times New Roman" w:hAnsi="Times New Roman" w:cs="Times New Roman"/>
          <w:u w:val="single"/>
        </w:rPr>
        <w:t>-alu</w:t>
      </w:r>
    </w:p>
    <w:bookmarkEnd w:id="6"/>
    <w:p w14:paraId="2F9A2091" w14:textId="77777777" w:rsidR="00981C96" w:rsidRPr="000C155C" w:rsidRDefault="00981C96" w:rsidP="00CB615C">
      <w:pPr>
        <w:widowControl/>
        <w:spacing w:after="0" w:line="240" w:lineRule="auto"/>
        <w:rPr>
          <w:rFonts w:ascii="Times New Roman" w:hAnsi="Times New Roman" w:cs="Times New Roman"/>
        </w:rPr>
      </w:pPr>
    </w:p>
    <w:p w14:paraId="42358743" w14:textId="77777777" w:rsidR="000D2BBD" w:rsidRPr="000C155C"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t xml:space="preserve">Présentation : </w:t>
      </w:r>
    </w:p>
    <w:p w14:paraId="11F16942" w14:textId="3352E135" w:rsidR="000D2BBD" w:rsidRPr="000C155C"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t>28, 30, 84 ou 98 gélules</w:t>
      </w:r>
    </w:p>
    <w:p w14:paraId="69AD17CA" w14:textId="3D93BF51" w:rsidR="000D2BBD" w:rsidRPr="000C155C"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t xml:space="preserve">Conditionnements multiples </w:t>
      </w:r>
      <w:bookmarkStart w:id="7" w:name="_Hlk66253154"/>
      <w:r w:rsidRPr="000C155C">
        <w:rPr>
          <w:rFonts w:ascii="Times New Roman" w:hAnsi="Times New Roman" w:cs="Times New Roman"/>
        </w:rPr>
        <w:t>contenant 84 (3 boîtes de 28) gélules</w:t>
      </w:r>
      <w:bookmarkEnd w:id="7"/>
    </w:p>
    <w:p w14:paraId="1F22682E" w14:textId="13980697" w:rsidR="000D2BBD" w:rsidRPr="000C155C"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t>Boîtes calendaires contenant 28 ou 84 gélules</w:t>
      </w:r>
    </w:p>
    <w:p w14:paraId="12CC6B16" w14:textId="4E938427" w:rsidR="00157601" w:rsidRPr="000C155C"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t>Plaquettes unidoses contenant 7 x 1, 28 x 1, 90 x 1 ou 98 x 1 gélules</w:t>
      </w:r>
    </w:p>
    <w:p w14:paraId="16D09E8B" w14:textId="5C5EEDD2" w:rsidR="007053DA" w:rsidRPr="000C155C" w:rsidRDefault="007053DA" w:rsidP="00CB615C">
      <w:pPr>
        <w:widowControl/>
        <w:spacing w:after="0" w:line="240" w:lineRule="auto"/>
        <w:rPr>
          <w:rFonts w:ascii="Times New Roman" w:hAnsi="Times New Roman" w:cs="Times New Roman"/>
        </w:rPr>
      </w:pPr>
    </w:p>
    <w:p w14:paraId="40D67B63" w14:textId="05F8017B" w:rsidR="007053DA" w:rsidRPr="000C155C" w:rsidRDefault="00080994" w:rsidP="00CB615C">
      <w:pPr>
        <w:widowControl/>
        <w:spacing w:after="0" w:line="240" w:lineRule="auto"/>
        <w:rPr>
          <w:rFonts w:ascii="Times New Roman" w:hAnsi="Times New Roman" w:cs="Times New Roman"/>
          <w:u w:val="single"/>
        </w:rPr>
      </w:pPr>
      <w:r w:rsidRPr="000C155C">
        <w:rPr>
          <w:rFonts w:ascii="Times New Roman" w:hAnsi="Times New Roman" w:cs="Times New Roman"/>
          <w:u w:val="single"/>
        </w:rPr>
        <w:t>Flacon rond en PEHD de couleur blanche avec fermeture de sécurité-enfant opaque blanche munie d’un disque scellé par induction contenant de l’aluminium.</w:t>
      </w:r>
    </w:p>
    <w:p w14:paraId="20D5CE71" w14:textId="77777777" w:rsidR="00981C96" w:rsidRPr="000C155C" w:rsidRDefault="00981C96" w:rsidP="00CB615C">
      <w:pPr>
        <w:widowControl/>
        <w:spacing w:after="0" w:line="240" w:lineRule="auto"/>
        <w:rPr>
          <w:rFonts w:ascii="Times New Roman" w:hAnsi="Times New Roman" w:cs="Times New Roman"/>
        </w:rPr>
      </w:pPr>
    </w:p>
    <w:p w14:paraId="40B95A0E" w14:textId="6C6FBB9B" w:rsidR="007053DA" w:rsidRPr="000C155C"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t>Présentation : 90 ou 100 gélules.</w:t>
      </w:r>
    </w:p>
    <w:p w14:paraId="2137E8F6" w14:textId="77777777" w:rsidR="0047040C" w:rsidRPr="000C155C" w:rsidRDefault="0047040C" w:rsidP="00CB615C">
      <w:pPr>
        <w:widowControl/>
        <w:spacing w:after="0" w:line="240" w:lineRule="auto"/>
        <w:rPr>
          <w:rFonts w:ascii="Times New Roman" w:hAnsi="Times New Roman" w:cs="Times New Roman"/>
        </w:rPr>
      </w:pPr>
    </w:p>
    <w:p w14:paraId="62D8A0B8" w14:textId="372FC603" w:rsidR="001C7C0E" w:rsidRPr="000C155C" w:rsidRDefault="00080994" w:rsidP="00CB615C">
      <w:pPr>
        <w:widowControl/>
        <w:spacing w:after="0" w:line="240" w:lineRule="auto"/>
        <w:rPr>
          <w:rFonts w:ascii="Times New Roman" w:eastAsia="Times New Roman" w:hAnsi="Times New Roman" w:cs="Times New Roman"/>
        </w:rPr>
      </w:pPr>
      <w:r w:rsidRPr="000C155C">
        <w:rPr>
          <w:rFonts w:ascii="Times New Roman" w:hAnsi="Times New Roman" w:cs="Times New Roman"/>
        </w:rPr>
        <w:t>Toutes les présentations peuvent ne pas être commercialisées.</w:t>
      </w:r>
    </w:p>
    <w:p w14:paraId="2B9AA4E3" w14:textId="77777777" w:rsidR="002F4BCA" w:rsidRPr="000C155C" w:rsidRDefault="002F4BCA" w:rsidP="00CB615C">
      <w:pPr>
        <w:widowControl/>
        <w:spacing w:after="0" w:line="240" w:lineRule="auto"/>
        <w:ind w:left="1"/>
        <w:rPr>
          <w:rFonts w:ascii="Times New Roman" w:eastAsia="Times New Roman" w:hAnsi="Times New Roman" w:cs="Times New Roman"/>
        </w:rPr>
      </w:pPr>
    </w:p>
    <w:p w14:paraId="66B45D79" w14:textId="77777777" w:rsidR="001C7C0E" w:rsidRPr="000C155C" w:rsidRDefault="00080994" w:rsidP="00CB615C">
      <w:pPr>
        <w:widowControl/>
        <w:tabs>
          <w:tab w:val="left" w:pos="567"/>
        </w:tabs>
        <w:spacing w:after="0" w:line="240" w:lineRule="auto"/>
        <w:ind w:left="1"/>
        <w:rPr>
          <w:rFonts w:ascii="Times New Roman" w:eastAsia="Times New Roman" w:hAnsi="Times New Roman" w:cs="Times New Roman"/>
        </w:rPr>
      </w:pPr>
      <w:r w:rsidRPr="000C155C">
        <w:rPr>
          <w:rFonts w:ascii="Times New Roman" w:hAnsi="Times New Roman" w:cs="Times New Roman"/>
          <w:b/>
        </w:rPr>
        <w:t>6.6</w:t>
      </w:r>
      <w:r w:rsidRPr="000C155C">
        <w:rPr>
          <w:rFonts w:ascii="Times New Roman" w:hAnsi="Times New Roman" w:cs="Times New Roman"/>
          <w:b/>
        </w:rPr>
        <w:tab/>
        <w:t>Précautions particulières d’élimination</w:t>
      </w:r>
    </w:p>
    <w:p w14:paraId="3072CFF6" w14:textId="77777777" w:rsidR="001C7C0E" w:rsidRPr="000C155C" w:rsidRDefault="001C7C0E" w:rsidP="00CB615C">
      <w:pPr>
        <w:widowControl/>
        <w:spacing w:after="0" w:line="240" w:lineRule="auto"/>
        <w:rPr>
          <w:rFonts w:ascii="Times New Roman" w:hAnsi="Times New Roman" w:cs="Times New Roman"/>
        </w:rPr>
      </w:pPr>
    </w:p>
    <w:p w14:paraId="3FA0E483" w14:textId="77777777" w:rsidR="002F4BCA" w:rsidRPr="000C155C" w:rsidRDefault="00080994" w:rsidP="00CB615C">
      <w:pPr>
        <w:widowControl/>
        <w:spacing w:after="0" w:line="240" w:lineRule="auto"/>
        <w:ind w:left="1"/>
        <w:rPr>
          <w:rFonts w:ascii="Times New Roman" w:eastAsia="Times New Roman" w:hAnsi="Times New Roman" w:cs="Times New Roman"/>
        </w:rPr>
      </w:pPr>
      <w:r w:rsidRPr="000C155C">
        <w:rPr>
          <w:rFonts w:ascii="Times New Roman" w:hAnsi="Times New Roman" w:cs="Times New Roman"/>
        </w:rPr>
        <w:t>Tout médicament non utilisé ou déchet doit être éliminé conformément à la réglementation en vigueur.</w:t>
      </w:r>
    </w:p>
    <w:p w14:paraId="1A6B4EC2" w14:textId="77A2E7D4" w:rsidR="002F4BCA" w:rsidRPr="000C155C" w:rsidRDefault="002F4BCA" w:rsidP="00CB615C">
      <w:pPr>
        <w:widowControl/>
        <w:spacing w:after="0" w:line="240" w:lineRule="auto"/>
        <w:ind w:left="1"/>
        <w:rPr>
          <w:rFonts w:ascii="Times New Roman" w:eastAsia="Times New Roman" w:hAnsi="Times New Roman" w:cs="Times New Roman"/>
        </w:rPr>
      </w:pPr>
    </w:p>
    <w:p w14:paraId="3FA4B636" w14:textId="77777777" w:rsidR="00EA275D" w:rsidRPr="000C155C" w:rsidRDefault="00EA275D" w:rsidP="00CB615C">
      <w:pPr>
        <w:widowControl/>
        <w:spacing w:after="0" w:line="240" w:lineRule="auto"/>
        <w:ind w:left="1"/>
        <w:rPr>
          <w:rFonts w:ascii="Times New Roman" w:eastAsia="Times New Roman" w:hAnsi="Times New Roman" w:cs="Times New Roman"/>
        </w:rPr>
      </w:pPr>
    </w:p>
    <w:p w14:paraId="21B921CD" w14:textId="77777777" w:rsidR="001C7C0E" w:rsidRPr="000C155C" w:rsidRDefault="00080994" w:rsidP="00CB615C">
      <w:pPr>
        <w:widowControl/>
        <w:tabs>
          <w:tab w:val="left" w:pos="567"/>
        </w:tabs>
        <w:spacing w:after="0" w:line="240" w:lineRule="auto"/>
        <w:ind w:left="1"/>
        <w:rPr>
          <w:rFonts w:ascii="Times New Roman" w:eastAsia="Times New Roman" w:hAnsi="Times New Roman" w:cs="Times New Roman"/>
        </w:rPr>
      </w:pPr>
      <w:r w:rsidRPr="000C155C">
        <w:rPr>
          <w:rFonts w:ascii="Times New Roman" w:hAnsi="Times New Roman" w:cs="Times New Roman"/>
          <w:b/>
        </w:rPr>
        <w:t>7.</w:t>
      </w:r>
      <w:r w:rsidRPr="000C155C">
        <w:rPr>
          <w:rFonts w:ascii="Times New Roman" w:hAnsi="Times New Roman" w:cs="Times New Roman"/>
          <w:b/>
        </w:rPr>
        <w:tab/>
        <w:t>TITULAIRE DE L’AUTORISATION DE MISE SUR LE MARCHÉ</w:t>
      </w:r>
    </w:p>
    <w:p w14:paraId="56526739" w14:textId="77777777" w:rsidR="001C7C0E" w:rsidRPr="000C155C" w:rsidRDefault="001C7C0E" w:rsidP="00CB615C">
      <w:pPr>
        <w:widowControl/>
        <w:spacing w:after="0" w:line="240" w:lineRule="auto"/>
        <w:rPr>
          <w:rFonts w:ascii="Times New Roman" w:hAnsi="Times New Roman" w:cs="Times New Roman"/>
        </w:rPr>
      </w:pPr>
    </w:p>
    <w:p w14:paraId="3334AF15" w14:textId="5520627F" w:rsidR="007053DA" w:rsidRPr="000C155C" w:rsidRDefault="00080994" w:rsidP="00CB615C">
      <w:pPr>
        <w:widowControl/>
        <w:spacing w:after="0" w:line="240" w:lineRule="auto"/>
        <w:rPr>
          <w:rFonts w:ascii="Times New Roman" w:hAnsi="Times New Roman" w:cs="Times New Roman"/>
          <w:lang w:val="en-US"/>
        </w:rPr>
      </w:pPr>
      <w:r w:rsidRPr="000C155C">
        <w:rPr>
          <w:rFonts w:ascii="Times New Roman" w:hAnsi="Times New Roman" w:cs="Times New Roman"/>
          <w:lang w:val="en-US"/>
        </w:rPr>
        <w:t xml:space="preserve">Mylan </w:t>
      </w:r>
      <w:r w:rsidR="00D4439A" w:rsidRPr="000C155C">
        <w:rPr>
          <w:rFonts w:ascii="Times New Roman" w:hAnsi="Times New Roman" w:cs="Times New Roman"/>
          <w:lang w:val="en-US"/>
        </w:rPr>
        <w:t xml:space="preserve">Pharmaceuticals </w:t>
      </w:r>
      <w:r w:rsidRPr="000C155C">
        <w:rPr>
          <w:rFonts w:ascii="Times New Roman" w:hAnsi="Times New Roman" w:cs="Times New Roman"/>
          <w:lang w:val="en-US"/>
        </w:rPr>
        <w:t>Limited</w:t>
      </w:r>
    </w:p>
    <w:p w14:paraId="25DC1B39" w14:textId="77777777" w:rsidR="00101097" w:rsidRPr="000C155C" w:rsidRDefault="00101097" w:rsidP="00CB615C">
      <w:pPr>
        <w:widowControl/>
        <w:spacing w:after="0"/>
        <w:rPr>
          <w:rFonts w:ascii="Times New Roman" w:eastAsia="Times New Roman" w:hAnsi="Times New Roman" w:cs="Times New Roman"/>
          <w:lang w:val="en-US"/>
        </w:rPr>
      </w:pPr>
      <w:proofErr w:type="spellStart"/>
      <w:r w:rsidRPr="000C155C">
        <w:rPr>
          <w:rFonts w:ascii="Times New Roman" w:eastAsia="Times New Roman" w:hAnsi="Times New Roman" w:cs="Times New Roman"/>
          <w:lang w:val="en-US"/>
        </w:rPr>
        <w:t>Damastown</w:t>
      </w:r>
      <w:proofErr w:type="spellEnd"/>
      <w:r w:rsidRPr="000C155C">
        <w:rPr>
          <w:rFonts w:ascii="Times New Roman" w:eastAsia="Times New Roman" w:hAnsi="Times New Roman" w:cs="Times New Roman"/>
          <w:lang w:val="en-US"/>
        </w:rPr>
        <w:t xml:space="preserve"> Industrial Park, </w:t>
      </w:r>
    </w:p>
    <w:p w14:paraId="080D2550" w14:textId="77777777" w:rsidR="00101097" w:rsidRPr="000C155C" w:rsidRDefault="00101097" w:rsidP="00CB615C">
      <w:pPr>
        <w:widowControl/>
        <w:spacing w:after="0"/>
        <w:rPr>
          <w:rFonts w:ascii="Times New Roman" w:eastAsia="Times New Roman" w:hAnsi="Times New Roman" w:cs="Times New Roman"/>
        </w:rPr>
      </w:pPr>
      <w:proofErr w:type="spellStart"/>
      <w:r w:rsidRPr="000C155C">
        <w:rPr>
          <w:rFonts w:ascii="Times New Roman" w:eastAsia="Times New Roman" w:hAnsi="Times New Roman" w:cs="Times New Roman"/>
        </w:rPr>
        <w:t>Mulhuddart</w:t>
      </w:r>
      <w:proofErr w:type="spellEnd"/>
      <w:r w:rsidRPr="000C155C">
        <w:rPr>
          <w:rFonts w:ascii="Times New Roman" w:eastAsia="Times New Roman" w:hAnsi="Times New Roman" w:cs="Times New Roman"/>
        </w:rPr>
        <w:t xml:space="preserve">, Dublin 15, </w:t>
      </w:r>
    </w:p>
    <w:p w14:paraId="7B5D2C1A" w14:textId="77777777" w:rsidR="00101097" w:rsidRPr="000C155C" w:rsidRDefault="00101097" w:rsidP="00CB615C">
      <w:pPr>
        <w:widowControl/>
        <w:spacing w:after="0"/>
        <w:rPr>
          <w:rFonts w:ascii="Times New Roman" w:eastAsia="Times New Roman" w:hAnsi="Times New Roman" w:cs="Times New Roman"/>
        </w:rPr>
      </w:pPr>
      <w:r w:rsidRPr="000C155C">
        <w:rPr>
          <w:rFonts w:ascii="Times New Roman" w:eastAsia="Times New Roman" w:hAnsi="Times New Roman" w:cs="Times New Roman"/>
        </w:rPr>
        <w:t>DUBLIN</w:t>
      </w:r>
    </w:p>
    <w:p w14:paraId="113C107A" w14:textId="67136B33" w:rsidR="006820B9" w:rsidRPr="000C155C" w:rsidRDefault="00101097" w:rsidP="00CB615C">
      <w:pPr>
        <w:widowControl/>
        <w:spacing w:after="0" w:line="240" w:lineRule="auto"/>
        <w:rPr>
          <w:rFonts w:ascii="Times New Roman" w:hAnsi="Times New Roman" w:cs="Times New Roman"/>
        </w:rPr>
      </w:pPr>
      <w:r w:rsidRPr="000C155C">
        <w:rPr>
          <w:rFonts w:ascii="Times New Roman" w:eastAsia="Times New Roman" w:hAnsi="Times New Roman" w:cs="Times New Roman"/>
        </w:rPr>
        <w:t>Irlande</w:t>
      </w:r>
    </w:p>
    <w:p w14:paraId="66CE3150" w14:textId="27046C9D" w:rsidR="00170B6F" w:rsidRPr="000C155C" w:rsidRDefault="00170B6F" w:rsidP="00CB615C">
      <w:pPr>
        <w:widowControl/>
        <w:spacing w:after="0" w:line="240" w:lineRule="auto"/>
        <w:rPr>
          <w:rFonts w:ascii="Times New Roman" w:hAnsi="Times New Roman" w:cs="Times New Roman"/>
        </w:rPr>
      </w:pPr>
    </w:p>
    <w:p w14:paraId="6FC79275" w14:textId="77777777" w:rsidR="00CE71C6" w:rsidRPr="000C155C" w:rsidRDefault="00CE71C6" w:rsidP="00CB615C">
      <w:pPr>
        <w:widowControl/>
        <w:spacing w:after="0" w:line="240" w:lineRule="auto"/>
        <w:rPr>
          <w:rFonts w:ascii="Times New Roman" w:hAnsi="Times New Roman" w:cs="Times New Roman"/>
        </w:rPr>
      </w:pPr>
    </w:p>
    <w:p w14:paraId="5D15B197" w14:textId="77777777" w:rsidR="001C7C0E" w:rsidRPr="000C155C" w:rsidRDefault="00080994" w:rsidP="00CB615C">
      <w:pPr>
        <w:widowControl/>
        <w:tabs>
          <w:tab w:val="left" w:pos="567"/>
        </w:tabs>
        <w:spacing w:after="0" w:line="240" w:lineRule="auto"/>
        <w:ind w:left="1"/>
        <w:rPr>
          <w:rFonts w:ascii="Times New Roman" w:eastAsia="Times New Roman" w:hAnsi="Times New Roman" w:cs="Times New Roman"/>
        </w:rPr>
      </w:pPr>
      <w:r w:rsidRPr="000C155C">
        <w:rPr>
          <w:rFonts w:ascii="Times New Roman" w:hAnsi="Times New Roman" w:cs="Times New Roman"/>
          <w:b/>
        </w:rPr>
        <w:t>8.</w:t>
      </w:r>
      <w:r w:rsidRPr="000C155C">
        <w:rPr>
          <w:rFonts w:ascii="Times New Roman" w:hAnsi="Times New Roman" w:cs="Times New Roman"/>
          <w:b/>
        </w:rPr>
        <w:tab/>
        <w:t>NUMÉRO(S) D’AUTORISATION DE MISE SUR LE MARCHÉ</w:t>
      </w:r>
    </w:p>
    <w:p w14:paraId="5BB415A3" w14:textId="77777777" w:rsidR="001E5177" w:rsidRPr="000C155C" w:rsidRDefault="001E5177" w:rsidP="00CB615C">
      <w:pPr>
        <w:widowControl/>
        <w:spacing w:after="0" w:line="240" w:lineRule="auto"/>
        <w:rPr>
          <w:rFonts w:ascii="Times New Roman" w:hAnsi="Times New Roman" w:cs="Times New Roman"/>
        </w:rPr>
      </w:pPr>
    </w:p>
    <w:p w14:paraId="6F789A27" w14:textId="2FED7B34" w:rsidR="00170B6F" w:rsidRPr="00077970" w:rsidRDefault="00080994" w:rsidP="00CB615C">
      <w:pPr>
        <w:widowControl/>
        <w:spacing w:after="0" w:line="240" w:lineRule="auto"/>
        <w:rPr>
          <w:rFonts w:ascii="Times New Roman" w:hAnsi="Times New Roman" w:cs="Times New Roman"/>
        </w:rPr>
      </w:pPr>
      <w:r w:rsidRPr="00077970">
        <w:rPr>
          <w:rFonts w:ascii="Times New Roman" w:hAnsi="Times New Roman" w:cs="Times New Roman"/>
        </w:rPr>
        <w:t>EU/1/21/1573/001</w:t>
      </w:r>
    </w:p>
    <w:p w14:paraId="532EDFF5" w14:textId="6931756C" w:rsidR="001C7C0E"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EU/1/21/1573/002</w:t>
      </w:r>
    </w:p>
    <w:p w14:paraId="725A7AC9" w14:textId="2E779AEA"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EU/1/21/1573/003</w:t>
      </w:r>
    </w:p>
    <w:p w14:paraId="33026E78" w14:textId="456A13D5"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EU/1/21/1573/004</w:t>
      </w:r>
    </w:p>
    <w:p w14:paraId="79EA7FFC" w14:textId="1F1A18AC"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EU/1/21/1573/005</w:t>
      </w:r>
    </w:p>
    <w:p w14:paraId="1592F311" w14:textId="44F4C070"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EU/1/21/1573/006</w:t>
      </w:r>
    </w:p>
    <w:p w14:paraId="650DEBC6" w14:textId="6ECABE82"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EU/1/21/1573/007</w:t>
      </w:r>
    </w:p>
    <w:p w14:paraId="6D06774D" w14:textId="343CBABF"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EU/1/21/1573/008</w:t>
      </w:r>
    </w:p>
    <w:p w14:paraId="0654F6E6" w14:textId="3D31235E"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EU/1/21/1573/009</w:t>
      </w:r>
    </w:p>
    <w:p w14:paraId="46E2F29D" w14:textId="2265FE07"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EU/1/21/1573/010</w:t>
      </w:r>
    </w:p>
    <w:p w14:paraId="25B60D0C" w14:textId="32919464"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EU/1/21/1573/011</w:t>
      </w:r>
    </w:p>
    <w:p w14:paraId="541F5C6D" w14:textId="2EB949FD"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EU/1/21/1573/012</w:t>
      </w:r>
    </w:p>
    <w:p w14:paraId="52299DFC" w14:textId="403071DC"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EU/1/21/1573/013</w:t>
      </w:r>
    </w:p>
    <w:p w14:paraId="219EA4F7" w14:textId="436B2EFA"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EU/1/21/1573/014</w:t>
      </w:r>
    </w:p>
    <w:p w14:paraId="5E2B5818" w14:textId="36B70804"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EU/1/21/1573/015</w:t>
      </w:r>
    </w:p>
    <w:p w14:paraId="3FDF6BAF" w14:textId="61B8973C"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EU/1/21/1573/016</w:t>
      </w:r>
    </w:p>
    <w:p w14:paraId="7932DFAE" w14:textId="2A76C263"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lastRenderedPageBreak/>
        <w:t>EU/1/21/1573/017</w:t>
      </w:r>
    </w:p>
    <w:p w14:paraId="2FBBFE83" w14:textId="2FBF33B4"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EU/1/21/1573/018</w:t>
      </w:r>
    </w:p>
    <w:p w14:paraId="5A1FBB6F" w14:textId="772474AF"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EU/1/21/1573/019</w:t>
      </w:r>
    </w:p>
    <w:p w14:paraId="0E6674FB" w14:textId="3027B80E"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cs="Times New Roman"/>
        </w:rPr>
        <w:t>EU/1/21/1573/020</w:t>
      </w:r>
    </w:p>
    <w:p w14:paraId="75BAE286" w14:textId="2617D19B" w:rsidR="00570BF6" w:rsidRPr="000C155C" w:rsidRDefault="00570BF6" w:rsidP="00CB615C">
      <w:pPr>
        <w:widowControl/>
        <w:spacing w:after="0" w:line="240" w:lineRule="auto"/>
        <w:rPr>
          <w:rFonts w:ascii="Times New Roman" w:hAnsi="Times New Roman" w:cs="Times New Roman"/>
        </w:rPr>
      </w:pPr>
      <w:r w:rsidRPr="000C155C">
        <w:rPr>
          <w:rFonts w:ascii="Times New Roman" w:hAnsi="Times New Roman" w:cs="Times New Roman"/>
        </w:rPr>
        <w:t>EU/1/21/1573/021</w:t>
      </w:r>
    </w:p>
    <w:p w14:paraId="1D912DFC" w14:textId="008636EA" w:rsidR="00570BF6" w:rsidRPr="000C155C" w:rsidRDefault="00570BF6" w:rsidP="00CB615C">
      <w:pPr>
        <w:widowControl/>
        <w:spacing w:after="0" w:line="240" w:lineRule="auto"/>
        <w:rPr>
          <w:rFonts w:ascii="Times New Roman" w:hAnsi="Times New Roman" w:cs="Times New Roman"/>
        </w:rPr>
      </w:pPr>
      <w:r w:rsidRPr="000C155C">
        <w:rPr>
          <w:rFonts w:ascii="Times New Roman" w:hAnsi="Times New Roman" w:cs="Times New Roman"/>
        </w:rPr>
        <w:t>EU/1/21/1573/022</w:t>
      </w:r>
    </w:p>
    <w:p w14:paraId="659DE766" w14:textId="51D88808" w:rsidR="00570BF6" w:rsidRPr="000C155C" w:rsidRDefault="00570BF6" w:rsidP="00CB615C">
      <w:pPr>
        <w:widowControl/>
        <w:spacing w:after="0" w:line="240" w:lineRule="auto"/>
        <w:rPr>
          <w:rFonts w:ascii="Times New Roman" w:hAnsi="Times New Roman" w:cs="Times New Roman"/>
        </w:rPr>
      </w:pPr>
      <w:r w:rsidRPr="000C155C">
        <w:rPr>
          <w:rFonts w:ascii="Times New Roman" w:hAnsi="Times New Roman" w:cs="Times New Roman"/>
        </w:rPr>
        <w:t>EU/1/21/1573/023</w:t>
      </w:r>
    </w:p>
    <w:p w14:paraId="75C31F80" w14:textId="218C50F9" w:rsidR="00570BF6" w:rsidRPr="000C155C" w:rsidRDefault="00570BF6" w:rsidP="00CB615C">
      <w:pPr>
        <w:widowControl/>
        <w:spacing w:after="0" w:line="240" w:lineRule="auto"/>
        <w:rPr>
          <w:rFonts w:ascii="Times New Roman" w:hAnsi="Times New Roman" w:cs="Times New Roman"/>
        </w:rPr>
      </w:pPr>
      <w:r w:rsidRPr="000C155C">
        <w:rPr>
          <w:rFonts w:ascii="Times New Roman" w:hAnsi="Times New Roman" w:cs="Times New Roman"/>
        </w:rPr>
        <w:t>EU/1/21/1573/024</w:t>
      </w:r>
    </w:p>
    <w:p w14:paraId="7691720D" w14:textId="77777777" w:rsidR="00570BF6" w:rsidRPr="000C155C" w:rsidRDefault="00570BF6" w:rsidP="00CB615C">
      <w:pPr>
        <w:widowControl/>
        <w:spacing w:after="0" w:line="240" w:lineRule="auto"/>
        <w:rPr>
          <w:rFonts w:ascii="Times New Roman" w:hAnsi="Times New Roman" w:cs="Times New Roman"/>
        </w:rPr>
      </w:pPr>
    </w:p>
    <w:p w14:paraId="513E5237" w14:textId="77777777" w:rsidR="00EA275D" w:rsidRPr="000C155C" w:rsidRDefault="00EA275D" w:rsidP="00CB615C">
      <w:pPr>
        <w:widowControl/>
        <w:spacing w:after="0" w:line="240" w:lineRule="auto"/>
        <w:rPr>
          <w:rFonts w:ascii="Times New Roman" w:hAnsi="Times New Roman" w:cs="Times New Roman"/>
        </w:rPr>
      </w:pPr>
    </w:p>
    <w:p w14:paraId="48529185" w14:textId="77777777" w:rsidR="001C7C0E" w:rsidRPr="000C155C" w:rsidRDefault="00080994" w:rsidP="00E4464A">
      <w:pPr>
        <w:widowControl/>
        <w:tabs>
          <w:tab w:val="left" w:pos="567"/>
        </w:tabs>
        <w:spacing w:after="0" w:line="240" w:lineRule="auto"/>
        <w:ind w:left="567" w:hanging="567"/>
        <w:rPr>
          <w:rFonts w:ascii="Times New Roman" w:eastAsia="Times New Roman" w:hAnsi="Times New Roman" w:cs="Times New Roman"/>
        </w:rPr>
      </w:pPr>
      <w:r w:rsidRPr="000C155C">
        <w:rPr>
          <w:rFonts w:ascii="Times New Roman" w:hAnsi="Times New Roman" w:cs="Times New Roman"/>
          <w:b/>
        </w:rPr>
        <w:t>9.</w:t>
      </w:r>
      <w:r w:rsidRPr="000C155C">
        <w:rPr>
          <w:rFonts w:ascii="Times New Roman" w:hAnsi="Times New Roman" w:cs="Times New Roman"/>
          <w:b/>
        </w:rPr>
        <w:tab/>
        <w:t>DATE DE PREMIÈRE AUTORISATION/DE RENOUVELLEMENT DE L’AUTORISATION</w:t>
      </w:r>
    </w:p>
    <w:p w14:paraId="22A57B27" w14:textId="77777777" w:rsidR="001C7C0E" w:rsidRPr="000C155C" w:rsidRDefault="001C7C0E" w:rsidP="00CB615C">
      <w:pPr>
        <w:widowControl/>
        <w:spacing w:after="0" w:line="240" w:lineRule="auto"/>
        <w:rPr>
          <w:rFonts w:ascii="Times New Roman" w:hAnsi="Times New Roman" w:cs="Times New Roman"/>
        </w:rPr>
      </w:pPr>
    </w:p>
    <w:p w14:paraId="417246DB" w14:textId="2EF1FD84" w:rsidR="001C7C0E" w:rsidRPr="000C155C" w:rsidRDefault="00080994" w:rsidP="00CB615C">
      <w:pPr>
        <w:widowControl/>
        <w:spacing w:after="0" w:line="240" w:lineRule="auto"/>
        <w:ind w:left="1"/>
        <w:rPr>
          <w:rFonts w:ascii="Times New Roman" w:eastAsia="Times New Roman" w:hAnsi="Times New Roman" w:cs="Times New Roman"/>
        </w:rPr>
      </w:pPr>
      <w:r w:rsidRPr="000C155C">
        <w:rPr>
          <w:rFonts w:ascii="Times New Roman" w:hAnsi="Times New Roman" w:cs="Times New Roman"/>
        </w:rPr>
        <w:t>Date de première autorisation :</w:t>
      </w:r>
      <w:r w:rsidR="007A3BAF" w:rsidRPr="000C155C">
        <w:rPr>
          <w:rFonts w:ascii="Times New Roman" w:hAnsi="Times New Roman" w:cs="Times New Roman"/>
        </w:rPr>
        <w:t xml:space="preserve"> 18 août 2021</w:t>
      </w:r>
    </w:p>
    <w:p w14:paraId="06CF59E1" w14:textId="77777777" w:rsidR="001C7C0E" w:rsidRPr="000C155C" w:rsidRDefault="001C7C0E" w:rsidP="00CB615C">
      <w:pPr>
        <w:widowControl/>
        <w:spacing w:after="0" w:line="240" w:lineRule="auto"/>
        <w:rPr>
          <w:rFonts w:ascii="Times New Roman" w:hAnsi="Times New Roman" w:cs="Times New Roman"/>
        </w:rPr>
      </w:pPr>
    </w:p>
    <w:p w14:paraId="5BB7B38D" w14:textId="77777777" w:rsidR="001C7C0E" w:rsidRPr="000C155C" w:rsidRDefault="001C7C0E" w:rsidP="00CB615C">
      <w:pPr>
        <w:widowControl/>
        <w:spacing w:after="0" w:line="240" w:lineRule="auto"/>
        <w:rPr>
          <w:rFonts w:ascii="Times New Roman" w:hAnsi="Times New Roman" w:cs="Times New Roman"/>
        </w:rPr>
      </w:pPr>
    </w:p>
    <w:p w14:paraId="31700582" w14:textId="77777777" w:rsidR="001C7C0E" w:rsidRPr="000C155C" w:rsidRDefault="00080994" w:rsidP="00CB615C">
      <w:pPr>
        <w:widowControl/>
        <w:tabs>
          <w:tab w:val="left" w:pos="567"/>
        </w:tabs>
        <w:spacing w:after="0" w:line="240" w:lineRule="auto"/>
        <w:ind w:left="1"/>
        <w:rPr>
          <w:rFonts w:ascii="Times New Roman" w:eastAsia="Times New Roman" w:hAnsi="Times New Roman" w:cs="Times New Roman"/>
        </w:rPr>
      </w:pPr>
      <w:r w:rsidRPr="000C155C">
        <w:rPr>
          <w:rFonts w:ascii="Times New Roman" w:hAnsi="Times New Roman" w:cs="Times New Roman"/>
          <w:b/>
        </w:rPr>
        <w:t>10.</w:t>
      </w:r>
      <w:r w:rsidRPr="000C155C">
        <w:rPr>
          <w:rFonts w:ascii="Times New Roman" w:hAnsi="Times New Roman" w:cs="Times New Roman"/>
          <w:b/>
        </w:rPr>
        <w:tab/>
        <w:t>DATE DE MISE À JOUR DU TEXTE</w:t>
      </w:r>
    </w:p>
    <w:p w14:paraId="20AA18D9" w14:textId="3DD3F083" w:rsidR="006B0BFE" w:rsidRPr="000C155C" w:rsidRDefault="006B0BFE" w:rsidP="00CB615C">
      <w:pPr>
        <w:widowControl/>
        <w:spacing w:after="0" w:line="240" w:lineRule="auto"/>
        <w:rPr>
          <w:rFonts w:ascii="Times New Roman" w:hAnsi="Times New Roman" w:cs="Times New Roman"/>
        </w:rPr>
      </w:pPr>
    </w:p>
    <w:p w14:paraId="088120BD" w14:textId="77777777" w:rsidR="001C7C0E" w:rsidRPr="000C155C" w:rsidRDefault="001C7C0E" w:rsidP="00CB615C">
      <w:pPr>
        <w:widowControl/>
        <w:spacing w:after="0" w:line="240" w:lineRule="auto"/>
        <w:rPr>
          <w:rFonts w:ascii="Times New Roman" w:hAnsi="Times New Roman" w:cs="Times New Roman"/>
        </w:rPr>
      </w:pPr>
    </w:p>
    <w:p w14:paraId="6B78A2D1" w14:textId="39011393" w:rsidR="000F2715"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t xml:space="preserve">Des informations détaillées sur ce médicament sont disponibles sur le site internet de l’Agence européenne des médicaments </w:t>
      </w:r>
      <w:hyperlink r:id="rId10" w:history="1">
        <w:r w:rsidRPr="000C155C">
          <w:rPr>
            <w:rStyle w:val="Lienhypertexte"/>
            <w:rFonts w:ascii="Times New Roman" w:hAnsi="Times New Roman" w:cs="Times New Roman"/>
          </w:rPr>
          <w:t>http</w:t>
        </w:r>
        <w:r w:rsidR="00EE66B7" w:rsidRPr="000C155C">
          <w:rPr>
            <w:rStyle w:val="Lienhypertexte"/>
            <w:rFonts w:ascii="Times New Roman" w:hAnsi="Times New Roman" w:cs="Times New Roman"/>
          </w:rPr>
          <w:t>s</w:t>
        </w:r>
        <w:r w:rsidRPr="000C155C">
          <w:rPr>
            <w:rStyle w:val="Lienhypertexte"/>
            <w:rFonts w:ascii="Times New Roman" w:hAnsi="Times New Roman" w:cs="Times New Roman"/>
          </w:rPr>
          <w:t>://www.ema.europa.eu</w:t>
        </w:r>
      </w:hyperlink>
    </w:p>
    <w:p w14:paraId="74ED3B35" w14:textId="18B82538" w:rsidR="00602E10" w:rsidRPr="000C155C" w:rsidRDefault="00080994" w:rsidP="00CB615C">
      <w:pPr>
        <w:widowControl/>
        <w:spacing w:after="0" w:line="240" w:lineRule="auto"/>
        <w:rPr>
          <w:rFonts w:ascii="Times New Roman" w:hAnsi="Times New Roman" w:cs="Times New Roman"/>
        </w:rPr>
      </w:pPr>
      <w:r w:rsidRPr="000C155C">
        <w:rPr>
          <w:rFonts w:ascii="Times New Roman" w:hAnsi="Times New Roman" w:cs="Times New Roman"/>
        </w:rPr>
        <w:br w:type="page"/>
      </w:r>
    </w:p>
    <w:p w14:paraId="743F12ED"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32C5F59D"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6F6C4C4B"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28B7C54B"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2D18A564"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258DAA52"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46CBE015"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16606CBC"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0C381961"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5F3250BD"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28504CD6"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2BA06FFB"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44F4B98A"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6B587D5B"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45D64DD0"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033298BD"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552D721F"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055D9947"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5EC5FD91"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747159C1"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35548F12"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3A27B8F1"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015E061F" w14:textId="77777777" w:rsidR="00F17FFD" w:rsidRDefault="00F17FFD" w:rsidP="00CB615C">
      <w:pPr>
        <w:widowControl/>
        <w:tabs>
          <w:tab w:val="left" w:pos="567"/>
        </w:tabs>
        <w:spacing w:after="0" w:line="240" w:lineRule="auto"/>
        <w:jc w:val="center"/>
        <w:rPr>
          <w:rFonts w:ascii="Times New Roman" w:eastAsia="Times New Roman" w:hAnsi="Times New Roman" w:cs="Times New Roman"/>
          <w:b/>
          <w:noProof/>
        </w:rPr>
      </w:pPr>
    </w:p>
    <w:p w14:paraId="7B7EB64D" w14:textId="20EEB9E3" w:rsidR="00F17FFD" w:rsidRDefault="00080994" w:rsidP="00CB615C">
      <w:pPr>
        <w:widowControl/>
        <w:tabs>
          <w:tab w:val="left" w:pos="567"/>
        </w:tabs>
        <w:spacing w:after="0" w:line="240" w:lineRule="auto"/>
        <w:jc w:val="center"/>
        <w:rPr>
          <w:rFonts w:ascii="Times New Roman" w:eastAsia="Times New Roman" w:hAnsi="Times New Roman" w:cs="Times New Roman"/>
          <w:noProof/>
        </w:rPr>
      </w:pPr>
      <w:r>
        <w:rPr>
          <w:rFonts w:ascii="Times New Roman" w:hAnsi="Times New Roman"/>
          <w:b/>
        </w:rPr>
        <w:t>ANNEXE II</w:t>
      </w:r>
    </w:p>
    <w:p w14:paraId="472499A4" w14:textId="77777777" w:rsidR="00F17FFD" w:rsidRDefault="00F17FFD" w:rsidP="00CB615C">
      <w:pPr>
        <w:widowControl/>
        <w:tabs>
          <w:tab w:val="left" w:pos="567"/>
        </w:tabs>
        <w:spacing w:after="0" w:line="240" w:lineRule="auto"/>
        <w:ind w:right="1416"/>
        <w:rPr>
          <w:rFonts w:ascii="Times New Roman" w:eastAsia="Times New Roman" w:hAnsi="Times New Roman" w:cs="Times New Roman"/>
          <w:noProof/>
        </w:rPr>
      </w:pPr>
    </w:p>
    <w:p w14:paraId="6226F12F" w14:textId="77777777" w:rsidR="00F17FFD" w:rsidRDefault="00080994" w:rsidP="00CB615C">
      <w:pPr>
        <w:widowControl/>
        <w:tabs>
          <w:tab w:val="left" w:pos="567"/>
        </w:tabs>
        <w:spacing w:after="0" w:line="240" w:lineRule="auto"/>
        <w:ind w:left="1701" w:right="1416" w:hanging="708"/>
        <w:rPr>
          <w:rFonts w:ascii="Times New Roman" w:eastAsia="Times New Roman" w:hAnsi="Times New Roman" w:cs="Times New Roman"/>
          <w:b/>
          <w:noProof/>
        </w:rPr>
      </w:pPr>
      <w:r>
        <w:rPr>
          <w:rFonts w:ascii="Times New Roman" w:hAnsi="Times New Roman"/>
          <w:b/>
        </w:rPr>
        <w:t>A.</w:t>
      </w:r>
      <w:r>
        <w:rPr>
          <w:rFonts w:ascii="Times New Roman" w:hAnsi="Times New Roman"/>
          <w:b/>
        </w:rPr>
        <w:tab/>
        <w:t>FABRICANT(S) RESPONSABLE(S) DE LA LIBÉRATION DES LOTS</w:t>
      </w:r>
    </w:p>
    <w:p w14:paraId="0AFF724B" w14:textId="77777777" w:rsidR="00F17FFD" w:rsidRDefault="00F17FFD" w:rsidP="00CB615C">
      <w:pPr>
        <w:widowControl/>
        <w:tabs>
          <w:tab w:val="left" w:pos="567"/>
        </w:tabs>
        <w:spacing w:after="0" w:line="240" w:lineRule="auto"/>
        <w:ind w:left="567" w:hanging="567"/>
        <w:rPr>
          <w:rFonts w:ascii="Times New Roman" w:eastAsia="Times New Roman" w:hAnsi="Times New Roman" w:cs="Times New Roman"/>
          <w:noProof/>
        </w:rPr>
      </w:pPr>
    </w:p>
    <w:p w14:paraId="04D04F09" w14:textId="77777777" w:rsidR="00F17FFD" w:rsidRDefault="00080994" w:rsidP="00CB615C">
      <w:pPr>
        <w:widowControl/>
        <w:tabs>
          <w:tab w:val="left" w:pos="567"/>
        </w:tabs>
        <w:spacing w:after="0" w:line="240" w:lineRule="auto"/>
        <w:ind w:left="1701" w:right="1418" w:hanging="709"/>
        <w:rPr>
          <w:rFonts w:ascii="Times New Roman" w:eastAsia="Times New Roman" w:hAnsi="Times New Roman" w:cs="Times New Roman"/>
          <w:b/>
          <w:noProof/>
        </w:rPr>
      </w:pPr>
      <w:r>
        <w:rPr>
          <w:rFonts w:ascii="Times New Roman" w:hAnsi="Times New Roman"/>
          <w:b/>
        </w:rPr>
        <w:t>B.</w:t>
      </w:r>
      <w:r>
        <w:rPr>
          <w:rFonts w:ascii="Times New Roman" w:hAnsi="Times New Roman"/>
          <w:b/>
        </w:rPr>
        <w:tab/>
        <w:t>CONDITIONS OU RESTRICTIONS DE DÉLIVRANCE ET D’UTILISATION</w:t>
      </w:r>
    </w:p>
    <w:p w14:paraId="4674D10E" w14:textId="77777777" w:rsidR="00F17FFD" w:rsidRDefault="00F17FFD" w:rsidP="00CB615C">
      <w:pPr>
        <w:widowControl/>
        <w:tabs>
          <w:tab w:val="left" w:pos="567"/>
        </w:tabs>
        <w:spacing w:after="0" w:line="240" w:lineRule="auto"/>
        <w:ind w:left="567" w:hanging="567"/>
        <w:rPr>
          <w:rFonts w:ascii="Times New Roman" w:eastAsia="Times New Roman" w:hAnsi="Times New Roman" w:cs="Times New Roman"/>
          <w:noProof/>
        </w:rPr>
      </w:pPr>
    </w:p>
    <w:p w14:paraId="0A84D630" w14:textId="77777777" w:rsidR="00F17FFD" w:rsidRDefault="00080994" w:rsidP="00CB615C">
      <w:pPr>
        <w:widowControl/>
        <w:tabs>
          <w:tab w:val="left" w:pos="567"/>
        </w:tabs>
        <w:spacing w:after="0" w:line="240" w:lineRule="auto"/>
        <w:ind w:left="1701" w:right="1559" w:hanging="709"/>
        <w:rPr>
          <w:rFonts w:ascii="Times New Roman" w:eastAsia="Times New Roman" w:hAnsi="Times New Roman" w:cs="Times New Roman"/>
          <w:b/>
          <w:noProof/>
        </w:rPr>
      </w:pPr>
      <w:r>
        <w:rPr>
          <w:rFonts w:ascii="Times New Roman" w:hAnsi="Times New Roman"/>
          <w:b/>
        </w:rPr>
        <w:t>C.</w:t>
      </w:r>
      <w:r>
        <w:rPr>
          <w:rFonts w:ascii="Times New Roman" w:hAnsi="Times New Roman"/>
          <w:b/>
        </w:rPr>
        <w:tab/>
        <w:t>AUTRES CONDITIONS ET OBLIGATIONS DE L’AUTORISATION DE MISE SUR LE MARCHÉ</w:t>
      </w:r>
    </w:p>
    <w:p w14:paraId="2519A995" w14:textId="77777777" w:rsidR="00F17FFD" w:rsidRDefault="00F17FFD" w:rsidP="00CB615C">
      <w:pPr>
        <w:widowControl/>
        <w:tabs>
          <w:tab w:val="left" w:pos="567"/>
        </w:tabs>
        <w:spacing w:after="0" w:line="240" w:lineRule="auto"/>
        <w:ind w:right="1558"/>
        <w:rPr>
          <w:rFonts w:ascii="Times New Roman" w:eastAsia="Times New Roman" w:hAnsi="Times New Roman" w:cs="Times New Roman"/>
          <w:b/>
          <w:szCs w:val="20"/>
        </w:rPr>
      </w:pPr>
    </w:p>
    <w:p w14:paraId="648B912B" w14:textId="77777777" w:rsidR="00F17FFD" w:rsidRDefault="00080994" w:rsidP="00CB615C">
      <w:pPr>
        <w:widowControl/>
        <w:tabs>
          <w:tab w:val="left" w:pos="567"/>
        </w:tabs>
        <w:spacing w:after="0" w:line="240" w:lineRule="auto"/>
        <w:ind w:left="1701" w:right="1416" w:hanging="708"/>
        <w:rPr>
          <w:rFonts w:ascii="Times New Roman" w:eastAsia="Times New Roman" w:hAnsi="Times New Roman" w:cs="Times New Roman"/>
          <w:b/>
          <w:szCs w:val="20"/>
        </w:rPr>
      </w:pPr>
      <w:r>
        <w:rPr>
          <w:rFonts w:ascii="Times New Roman" w:hAnsi="Times New Roman"/>
          <w:b/>
        </w:rPr>
        <w:t>D.</w:t>
      </w:r>
      <w:r>
        <w:rPr>
          <w:rFonts w:ascii="Times New Roman" w:hAnsi="Times New Roman"/>
          <w:b/>
        </w:rPr>
        <w:tab/>
      </w:r>
      <w:r>
        <w:rPr>
          <w:rFonts w:ascii="Times New Roman" w:hAnsi="Times New Roman"/>
          <w:b/>
          <w:caps/>
        </w:rPr>
        <w:t>conditions ou restrictions en vue d’une utilisation sûre et efficace du médicament</w:t>
      </w:r>
    </w:p>
    <w:p w14:paraId="0F977F8F" w14:textId="77777777" w:rsidR="000C79EF" w:rsidRDefault="000C79EF" w:rsidP="00CB615C">
      <w:pPr>
        <w:pStyle w:val="Titre1"/>
        <w:widowControl/>
        <w:jc w:val="left"/>
      </w:pPr>
      <w:r>
        <w:br w:type="page"/>
      </w:r>
    </w:p>
    <w:p w14:paraId="594D08DE" w14:textId="3D15FCFE" w:rsidR="00F17FFD" w:rsidRDefault="00080994" w:rsidP="00CB615C">
      <w:pPr>
        <w:pStyle w:val="Titre1"/>
        <w:widowControl/>
        <w:jc w:val="left"/>
        <w:rPr>
          <w:rFonts w:eastAsia="Times New Roman" w:cs="Times New Roman"/>
          <w:noProof/>
        </w:rPr>
      </w:pPr>
      <w:r>
        <w:lastRenderedPageBreak/>
        <w:t>A.</w:t>
      </w:r>
      <w:r>
        <w:tab/>
        <w:t>FABRICANT(S) RESPONSABLE(S) DE LA LIBÉRATION DES LOTS</w:t>
      </w:r>
    </w:p>
    <w:p w14:paraId="7B5A1C37" w14:textId="77777777" w:rsidR="00F17FFD" w:rsidRDefault="00F17FFD" w:rsidP="00CB615C">
      <w:pPr>
        <w:widowControl/>
        <w:tabs>
          <w:tab w:val="left" w:pos="567"/>
        </w:tabs>
        <w:spacing w:after="0" w:line="240" w:lineRule="auto"/>
        <w:ind w:right="1416"/>
        <w:rPr>
          <w:rFonts w:ascii="Times New Roman" w:eastAsia="Times New Roman" w:hAnsi="Times New Roman" w:cs="Times New Roman"/>
          <w:noProof/>
        </w:rPr>
      </w:pPr>
    </w:p>
    <w:p w14:paraId="4AF95594" w14:textId="77777777" w:rsidR="00F17FFD" w:rsidRDefault="00080994" w:rsidP="00CB615C">
      <w:pPr>
        <w:widowControl/>
        <w:tabs>
          <w:tab w:val="left" w:pos="567"/>
        </w:tabs>
        <w:spacing w:after="0" w:line="240" w:lineRule="auto"/>
        <w:rPr>
          <w:rFonts w:ascii="Times New Roman" w:eastAsia="Times New Roman" w:hAnsi="Times New Roman" w:cs="Times New Roman"/>
          <w:noProof/>
        </w:rPr>
      </w:pPr>
      <w:r>
        <w:rPr>
          <w:rFonts w:ascii="Times New Roman" w:hAnsi="Times New Roman"/>
          <w:u w:val="single"/>
        </w:rPr>
        <w:t>Nom et adresse du (des) fabricant(s) responsable(s) de la libération des lots</w:t>
      </w:r>
    </w:p>
    <w:p w14:paraId="5A54E24F" w14:textId="77777777" w:rsidR="00F17FFD" w:rsidRDefault="00F17FFD" w:rsidP="00CB615C">
      <w:pPr>
        <w:widowControl/>
        <w:tabs>
          <w:tab w:val="left" w:pos="567"/>
        </w:tabs>
        <w:spacing w:after="0" w:line="240" w:lineRule="auto"/>
        <w:rPr>
          <w:rFonts w:ascii="Times New Roman" w:eastAsia="Times New Roman" w:hAnsi="Times New Roman" w:cs="Times New Roman"/>
          <w:noProof/>
        </w:rPr>
      </w:pPr>
    </w:p>
    <w:p w14:paraId="057ADED9" w14:textId="77777777" w:rsidR="00F17FFD" w:rsidRPr="00077970" w:rsidRDefault="00080994" w:rsidP="00CB615C">
      <w:pPr>
        <w:widowControl/>
        <w:tabs>
          <w:tab w:val="left" w:pos="567"/>
        </w:tabs>
        <w:spacing w:after="0" w:line="240" w:lineRule="auto"/>
        <w:rPr>
          <w:rFonts w:ascii="Times New Roman" w:eastAsia="Times New Roman" w:hAnsi="Times New Roman" w:cs="Times New Roman"/>
          <w:noProof/>
          <w:lang w:val="en-GB"/>
        </w:rPr>
      </w:pPr>
      <w:r w:rsidRPr="00077970">
        <w:rPr>
          <w:rFonts w:ascii="Times New Roman" w:hAnsi="Times New Roman"/>
          <w:lang w:val="en-GB"/>
        </w:rPr>
        <w:t xml:space="preserve">Mylan Hungary Kft </w:t>
      </w:r>
    </w:p>
    <w:p w14:paraId="55C3DEC2" w14:textId="77777777" w:rsidR="00F17FFD" w:rsidRPr="00077970" w:rsidRDefault="00080994" w:rsidP="00CB615C">
      <w:pPr>
        <w:widowControl/>
        <w:tabs>
          <w:tab w:val="left" w:pos="567"/>
        </w:tabs>
        <w:spacing w:after="0" w:line="240" w:lineRule="auto"/>
        <w:rPr>
          <w:rFonts w:ascii="Times New Roman" w:eastAsia="Times New Roman" w:hAnsi="Times New Roman" w:cs="Times New Roman"/>
          <w:noProof/>
          <w:lang w:val="en-GB"/>
        </w:rPr>
      </w:pPr>
      <w:r w:rsidRPr="00077970">
        <w:rPr>
          <w:rFonts w:ascii="Times New Roman" w:hAnsi="Times New Roman"/>
          <w:lang w:val="en-GB"/>
        </w:rPr>
        <w:t xml:space="preserve">Mylan </w:t>
      </w:r>
      <w:proofErr w:type="spellStart"/>
      <w:r w:rsidRPr="00077970">
        <w:rPr>
          <w:rFonts w:ascii="Times New Roman" w:hAnsi="Times New Roman"/>
          <w:lang w:val="en-GB"/>
        </w:rPr>
        <w:t>utca</w:t>
      </w:r>
      <w:proofErr w:type="spellEnd"/>
      <w:r w:rsidRPr="00077970">
        <w:rPr>
          <w:rFonts w:ascii="Times New Roman" w:hAnsi="Times New Roman"/>
          <w:lang w:val="en-GB"/>
        </w:rPr>
        <w:t xml:space="preserve"> 1</w:t>
      </w:r>
    </w:p>
    <w:p w14:paraId="56458D98" w14:textId="77777777" w:rsidR="00F17FFD" w:rsidRPr="00077970" w:rsidRDefault="00080994" w:rsidP="00CB615C">
      <w:pPr>
        <w:widowControl/>
        <w:tabs>
          <w:tab w:val="left" w:pos="567"/>
        </w:tabs>
        <w:spacing w:after="0" w:line="240" w:lineRule="auto"/>
        <w:rPr>
          <w:rFonts w:ascii="Times New Roman" w:eastAsia="Times New Roman" w:hAnsi="Times New Roman" w:cs="Times New Roman"/>
          <w:noProof/>
          <w:lang w:val="en-GB"/>
        </w:rPr>
      </w:pPr>
      <w:proofErr w:type="spellStart"/>
      <w:r w:rsidRPr="00077970">
        <w:rPr>
          <w:rFonts w:ascii="Times New Roman" w:hAnsi="Times New Roman"/>
          <w:lang w:val="en-GB"/>
        </w:rPr>
        <w:t>Komarom</w:t>
      </w:r>
      <w:proofErr w:type="spellEnd"/>
    </w:p>
    <w:p w14:paraId="4555E73F" w14:textId="77777777" w:rsidR="00F17FFD" w:rsidRPr="00077970" w:rsidRDefault="00080994" w:rsidP="00CB615C">
      <w:pPr>
        <w:widowControl/>
        <w:tabs>
          <w:tab w:val="left" w:pos="567"/>
        </w:tabs>
        <w:spacing w:after="0" w:line="240" w:lineRule="auto"/>
        <w:rPr>
          <w:rFonts w:ascii="Times New Roman" w:eastAsia="Times New Roman" w:hAnsi="Times New Roman" w:cs="Times New Roman"/>
          <w:noProof/>
          <w:lang w:val="de-DE"/>
        </w:rPr>
      </w:pPr>
      <w:r w:rsidRPr="00077970">
        <w:rPr>
          <w:rFonts w:ascii="Times New Roman" w:hAnsi="Times New Roman"/>
          <w:lang w:val="de-DE"/>
        </w:rPr>
        <w:t>H-2900</w:t>
      </w:r>
    </w:p>
    <w:p w14:paraId="0B952C5D" w14:textId="77777777" w:rsidR="00F17FFD" w:rsidRPr="00077970" w:rsidRDefault="00080994" w:rsidP="00CB615C">
      <w:pPr>
        <w:widowControl/>
        <w:tabs>
          <w:tab w:val="left" w:pos="567"/>
        </w:tabs>
        <w:spacing w:after="0" w:line="240" w:lineRule="auto"/>
        <w:rPr>
          <w:rFonts w:ascii="Times New Roman" w:eastAsia="Times New Roman" w:hAnsi="Times New Roman" w:cs="Times New Roman"/>
          <w:noProof/>
          <w:lang w:val="de-DE"/>
        </w:rPr>
      </w:pPr>
      <w:r w:rsidRPr="00077970">
        <w:rPr>
          <w:rFonts w:ascii="Times New Roman" w:hAnsi="Times New Roman"/>
          <w:lang w:val="de-DE"/>
        </w:rPr>
        <w:t>Hongrie</w:t>
      </w:r>
    </w:p>
    <w:p w14:paraId="74D3A268" w14:textId="77777777" w:rsidR="00F17FFD" w:rsidRPr="00C051DB" w:rsidRDefault="00F17FFD" w:rsidP="00CB615C">
      <w:pPr>
        <w:widowControl/>
        <w:tabs>
          <w:tab w:val="left" w:pos="567"/>
        </w:tabs>
        <w:spacing w:after="0" w:line="240" w:lineRule="auto"/>
        <w:rPr>
          <w:rFonts w:ascii="Times New Roman" w:eastAsia="Times New Roman" w:hAnsi="Times New Roman" w:cs="Times New Roman"/>
          <w:noProof/>
          <w:lang w:val="sv-SE"/>
        </w:rPr>
      </w:pPr>
    </w:p>
    <w:p w14:paraId="78AAF5EB" w14:textId="35E7CA96" w:rsidR="00CF2C78" w:rsidRPr="00077970" w:rsidRDefault="00C024E8" w:rsidP="00CB615C">
      <w:pPr>
        <w:widowControl/>
        <w:tabs>
          <w:tab w:val="left" w:pos="567"/>
        </w:tabs>
        <w:spacing w:after="0" w:line="240" w:lineRule="auto"/>
        <w:rPr>
          <w:rFonts w:ascii="Times New Roman" w:eastAsia="Times New Roman" w:hAnsi="Times New Roman" w:cs="Times New Roman"/>
          <w:noProof/>
          <w:lang w:val="de-DE"/>
        </w:rPr>
      </w:pPr>
      <w:ins w:id="8" w:author="Anonymous – Viatris" w:date="2026-04-14T15:08:00Z" w16du:dateUtc="2026-04-14T09:38:00Z">
        <w:r>
          <w:rPr>
            <w:rFonts w:ascii="Times New Roman" w:hAnsi="Times New Roman"/>
            <w:lang w:val="de-DE"/>
          </w:rPr>
          <w:t>Viatris</w:t>
        </w:r>
      </w:ins>
      <w:del w:id="9" w:author="Anonymous – Viatris" w:date="2026-04-14T15:08:00Z" w16du:dateUtc="2026-04-14T09:38:00Z">
        <w:r w:rsidR="00080994" w:rsidRPr="00077970" w:rsidDel="00C024E8">
          <w:rPr>
            <w:rFonts w:ascii="Times New Roman" w:hAnsi="Times New Roman"/>
            <w:lang w:val="de-DE"/>
          </w:rPr>
          <w:delText>Mylan</w:delText>
        </w:r>
      </w:del>
      <w:r w:rsidR="00080994" w:rsidRPr="00077970">
        <w:rPr>
          <w:rFonts w:ascii="Times New Roman" w:hAnsi="Times New Roman"/>
          <w:lang w:val="de-DE"/>
        </w:rPr>
        <w:t xml:space="preserve"> Germany GmbH, </w:t>
      </w:r>
    </w:p>
    <w:p w14:paraId="64B56818" w14:textId="77777777" w:rsidR="00CF2C78" w:rsidRPr="00065255" w:rsidRDefault="00080994" w:rsidP="00CB615C">
      <w:pPr>
        <w:widowControl/>
        <w:tabs>
          <w:tab w:val="left" w:pos="567"/>
        </w:tabs>
        <w:spacing w:after="0" w:line="240" w:lineRule="auto"/>
        <w:rPr>
          <w:rFonts w:ascii="Times New Roman" w:eastAsia="Times New Roman" w:hAnsi="Times New Roman" w:cs="Times New Roman"/>
          <w:noProof/>
          <w:lang w:val="de-DE"/>
        </w:rPr>
      </w:pPr>
      <w:r w:rsidRPr="00065255">
        <w:rPr>
          <w:rFonts w:ascii="Times New Roman" w:hAnsi="Times New Roman"/>
          <w:lang w:val="de-DE"/>
        </w:rPr>
        <w:t xml:space="preserve">Zweigniederlassung Bad Homburg v. d. Hoehe, </w:t>
      </w:r>
    </w:p>
    <w:p w14:paraId="7CFB868D" w14:textId="77777777" w:rsidR="00CF2C78" w:rsidRPr="00065255" w:rsidRDefault="00080994" w:rsidP="00CB615C">
      <w:pPr>
        <w:widowControl/>
        <w:tabs>
          <w:tab w:val="left" w:pos="567"/>
        </w:tabs>
        <w:spacing w:after="0" w:line="240" w:lineRule="auto"/>
        <w:rPr>
          <w:rFonts w:ascii="Times New Roman" w:eastAsia="Times New Roman" w:hAnsi="Times New Roman" w:cs="Times New Roman"/>
          <w:noProof/>
          <w:lang w:val="de-DE"/>
        </w:rPr>
      </w:pPr>
      <w:r w:rsidRPr="00065255">
        <w:rPr>
          <w:rFonts w:ascii="Times New Roman" w:hAnsi="Times New Roman"/>
          <w:lang w:val="de-DE"/>
        </w:rPr>
        <w:t xml:space="preserve">Benzstrasse 1, </w:t>
      </w:r>
    </w:p>
    <w:p w14:paraId="56126C10" w14:textId="77777777" w:rsidR="00CF2C78" w:rsidRPr="00065255" w:rsidRDefault="00080994" w:rsidP="00CB615C">
      <w:pPr>
        <w:widowControl/>
        <w:tabs>
          <w:tab w:val="left" w:pos="567"/>
        </w:tabs>
        <w:spacing w:after="0" w:line="240" w:lineRule="auto"/>
        <w:rPr>
          <w:rFonts w:ascii="Times New Roman" w:eastAsia="Times New Roman" w:hAnsi="Times New Roman" w:cs="Times New Roman"/>
          <w:noProof/>
          <w:lang w:val="de-DE"/>
        </w:rPr>
      </w:pPr>
      <w:r w:rsidRPr="00065255">
        <w:rPr>
          <w:rFonts w:ascii="Times New Roman" w:hAnsi="Times New Roman"/>
          <w:lang w:val="de-DE"/>
        </w:rPr>
        <w:t xml:space="preserve">Bad Homburg v. d. Hoehe, </w:t>
      </w:r>
    </w:p>
    <w:p w14:paraId="77B20B04" w14:textId="77777777" w:rsidR="00CF2C78" w:rsidRPr="00065255" w:rsidRDefault="00080994" w:rsidP="00CB615C">
      <w:pPr>
        <w:widowControl/>
        <w:tabs>
          <w:tab w:val="left" w:pos="567"/>
        </w:tabs>
        <w:spacing w:after="0" w:line="240" w:lineRule="auto"/>
        <w:rPr>
          <w:rFonts w:ascii="Times New Roman" w:eastAsia="Times New Roman" w:hAnsi="Times New Roman" w:cs="Times New Roman"/>
          <w:noProof/>
          <w:lang w:val="de-DE"/>
        </w:rPr>
      </w:pPr>
      <w:r w:rsidRPr="00065255">
        <w:rPr>
          <w:rFonts w:ascii="Times New Roman" w:hAnsi="Times New Roman"/>
          <w:lang w:val="de-DE"/>
        </w:rPr>
        <w:t xml:space="preserve">Hessen, 61352, </w:t>
      </w:r>
    </w:p>
    <w:p w14:paraId="7FD2FDFD" w14:textId="61BA6942" w:rsidR="00F17FFD" w:rsidRPr="00077970" w:rsidRDefault="00080994" w:rsidP="00CB615C">
      <w:pPr>
        <w:widowControl/>
        <w:tabs>
          <w:tab w:val="left" w:pos="567"/>
        </w:tabs>
        <w:spacing w:after="0" w:line="240" w:lineRule="auto"/>
        <w:rPr>
          <w:rFonts w:ascii="Times New Roman" w:eastAsia="Times New Roman" w:hAnsi="Times New Roman" w:cs="Times New Roman"/>
          <w:noProof/>
          <w:lang w:val="de-DE"/>
        </w:rPr>
      </w:pPr>
      <w:r w:rsidRPr="00077970">
        <w:rPr>
          <w:rFonts w:ascii="Times New Roman" w:hAnsi="Times New Roman"/>
          <w:lang w:val="de-DE"/>
        </w:rPr>
        <w:t xml:space="preserve">Allemagne. </w:t>
      </w:r>
    </w:p>
    <w:p w14:paraId="5C66DC7A" w14:textId="77777777" w:rsidR="00F17FFD" w:rsidRPr="00077970" w:rsidRDefault="00F17FFD" w:rsidP="00CB615C">
      <w:pPr>
        <w:widowControl/>
        <w:tabs>
          <w:tab w:val="left" w:pos="567"/>
        </w:tabs>
        <w:spacing w:after="0" w:line="240" w:lineRule="auto"/>
        <w:rPr>
          <w:rFonts w:ascii="Times New Roman" w:eastAsia="Times New Roman" w:hAnsi="Times New Roman" w:cs="Times New Roman"/>
          <w:noProof/>
          <w:lang w:val="de-DE"/>
        </w:rPr>
      </w:pPr>
    </w:p>
    <w:p w14:paraId="7125210A" w14:textId="77777777" w:rsidR="00F17FFD" w:rsidRDefault="00080994" w:rsidP="00CB615C">
      <w:pPr>
        <w:widowControl/>
        <w:tabs>
          <w:tab w:val="left" w:pos="567"/>
        </w:tabs>
        <w:spacing w:after="0" w:line="240" w:lineRule="auto"/>
        <w:rPr>
          <w:rFonts w:ascii="Times New Roman" w:eastAsia="Times New Roman" w:hAnsi="Times New Roman" w:cs="Times New Roman"/>
          <w:noProof/>
        </w:rPr>
      </w:pPr>
      <w:r>
        <w:rPr>
          <w:rFonts w:ascii="Times New Roman" w:hAnsi="Times New Roman"/>
        </w:rPr>
        <w:t>Le nom et l’adresse du fabricant responsable de la libération du lot concerné doivent figurer sur la notice du médicament.</w:t>
      </w:r>
    </w:p>
    <w:p w14:paraId="38716BFA" w14:textId="77777777" w:rsidR="00F17FFD" w:rsidRDefault="00F17FFD" w:rsidP="00CB615C">
      <w:pPr>
        <w:widowControl/>
        <w:tabs>
          <w:tab w:val="left" w:pos="567"/>
        </w:tabs>
        <w:spacing w:after="0" w:line="240" w:lineRule="auto"/>
        <w:rPr>
          <w:rFonts w:ascii="Times New Roman" w:eastAsia="Times New Roman" w:hAnsi="Times New Roman" w:cs="Times New Roman"/>
          <w:noProof/>
        </w:rPr>
      </w:pPr>
    </w:p>
    <w:p w14:paraId="72482CA9" w14:textId="77777777" w:rsidR="00F17FFD" w:rsidRDefault="00F17FFD" w:rsidP="00CB615C">
      <w:pPr>
        <w:widowControl/>
        <w:tabs>
          <w:tab w:val="left" w:pos="567"/>
        </w:tabs>
        <w:spacing w:after="0" w:line="240" w:lineRule="auto"/>
        <w:rPr>
          <w:rFonts w:ascii="Times New Roman" w:eastAsia="Times New Roman" w:hAnsi="Times New Roman" w:cs="Times New Roman"/>
          <w:noProof/>
        </w:rPr>
      </w:pPr>
    </w:p>
    <w:p w14:paraId="55E63D3D" w14:textId="77777777" w:rsidR="00F17FFD" w:rsidRDefault="00080994" w:rsidP="00CB615C">
      <w:pPr>
        <w:pStyle w:val="Titre1"/>
        <w:widowControl/>
        <w:jc w:val="left"/>
        <w:rPr>
          <w:rFonts w:eastAsia="Times New Roman" w:cs="Times New Roman"/>
          <w:noProof/>
        </w:rPr>
      </w:pPr>
      <w:bookmarkStart w:id="10" w:name="OLE_LINK2"/>
      <w:r>
        <w:t>B.</w:t>
      </w:r>
      <w:bookmarkEnd w:id="10"/>
      <w:r>
        <w:tab/>
        <w:t xml:space="preserve">CONDITIONS OU RESTRICTIONS DE DÉLIVRANCE ET D’UTILISATION </w:t>
      </w:r>
    </w:p>
    <w:p w14:paraId="7CC83216" w14:textId="77777777" w:rsidR="00F17FFD" w:rsidRDefault="00F17FFD" w:rsidP="00CB615C">
      <w:pPr>
        <w:widowControl/>
        <w:tabs>
          <w:tab w:val="left" w:pos="567"/>
        </w:tabs>
        <w:spacing w:after="0" w:line="240" w:lineRule="auto"/>
        <w:rPr>
          <w:rFonts w:ascii="Times New Roman" w:eastAsia="Times New Roman" w:hAnsi="Times New Roman" w:cs="Times New Roman"/>
          <w:noProof/>
        </w:rPr>
      </w:pPr>
    </w:p>
    <w:p w14:paraId="27366989" w14:textId="77777777" w:rsidR="00F17FFD" w:rsidRDefault="00080994" w:rsidP="00CB615C">
      <w:pPr>
        <w:widowControl/>
        <w:numPr>
          <w:ilvl w:val="12"/>
          <w:numId w:val="0"/>
        </w:numPr>
        <w:tabs>
          <w:tab w:val="left" w:pos="567"/>
        </w:tabs>
        <w:spacing w:after="0" w:line="240" w:lineRule="auto"/>
        <w:rPr>
          <w:rFonts w:ascii="Times New Roman" w:eastAsia="Times New Roman" w:hAnsi="Times New Roman" w:cs="Times New Roman"/>
          <w:noProof/>
        </w:rPr>
      </w:pPr>
      <w:r>
        <w:rPr>
          <w:rFonts w:ascii="Times New Roman" w:hAnsi="Times New Roman"/>
        </w:rPr>
        <w:t>Médicament soumis à prescription médicale restreinte (voir annexe I : Résumé des Caractéristiques du Produit, rubrique 4.2).</w:t>
      </w:r>
    </w:p>
    <w:p w14:paraId="6D7B63D7" w14:textId="77777777" w:rsidR="00F17FFD" w:rsidRDefault="00F17FFD" w:rsidP="00CB615C">
      <w:pPr>
        <w:widowControl/>
        <w:numPr>
          <w:ilvl w:val="12"/>
          <w:numId w:val="0"/>
        </w:numPr>
        <w:tabs>
          <w:tab w:val="left" w:pos="567"/>
        </w:tabs>
        <w:spacing w:after="0" w:line="240" w:lineRule="auto"/>
        <w:rPr>
          <w:rFonts w:ascii="Times New Roman" w:eastAsia="Times New Roman" w:hAnsi="Times New Roman" w:cs="Times New Roman"/>
          <w:noProof/>
        </w:rPr>
      </w:pPr>
    </w:p>
    <w:p w14:paraId="31B21C5A" w14:textId="77777777" w:rsidR="00F17FFD" w:rsidRDefault="00F17FFD" w:rsidP="00CB615C">
      <w:pPr>
        <w:widowControl/>
        <w:numPr>
          <w:ilvl w:val="12"/>
          <w:numId w:val="0"/>
        </w:numPr>
        <w:tabs>
          <w:tab w:val="left" w:pos="567"/>
        </w:tabs>
        <w:spacing w:after="0" w:line="240" w:lineRule="auto"/>
        <w:rPr>
          <w:rFonts w:ascii="Times New Roman" w:eastAsia="Times New Roman" w:hAnsi="Times New Roman" w:cs="Times New Roman"/>
          <w:noProof/>
        </w:rPr>
      </w:pPr>
    </w:p>
    <w:p w14:paraId="18F67C3E" w14:textId="77777777" w:rsidR="00F17FFD" w:rsidRDefault="00080994" w:rsidP="00CB615C">
      <w:pPr>
        <w:pStyle w:val="Titre1"/>
        <w:widowControl/>
        <w:ind w:left="567" w:hanging="567"/>
        <w:jc w:val="left"/>
        <w:rPr>
          <w:rFonts w:eastAsia="Times New Roman" w:cs="Times New Roman"/>
          <w:bCs/>
          <w:noProof/>
        </w:rPr>
      </w:pPr>
      <w:r>
        <w:t>C.</w:t>
      </w:r>
      <w:r>
        <w:tab/>
        <w:t>AUTRES CONDITIONS ET OBLIGATIONS DE L’AUTORISATION DE MISE SUR LE MARCHÉ</w:t>
      </w:r>
    </w:p>
    <w:p w14:paraId="43091E4E" w14:textId="77777777" w:rsidR="00F17FFD" w:rsidRDefault="00F17FFD" w:rsidP="00CB615C">
      <w:pPr>
        <w:widowControl/>
        <w:tabs>
          <w:tab w:val="left" w:pos="567"/>
        </w:tabs>
        <w:spacing w:after="0" w:line="240" w:lineRule="auto"/>
        <w:ind w:right="-1"/>
        <w:rPr>
          <w:rFonts w:ascii="Times New Roman" w:eastAsia="Times New Roman" w:hAnsi="Times New Roman" w:cs="Times New Roman"/>
          <w:iCs/>
          <w:noProof/>
          <w:u w:val="single"/>
        </w:rPr>
      </w:pPr>
    </w:p>
    <w:p w14:paraId="4FDC70A0" w14:textId="77777777" w:rsidR="00F17FFD" w:rsidRDefault="00080994" w:rsidP="00CB615C">
      <w:pPr>
        <w:widowControl/>
        <w:numPr>
          <w:ilvl w:val="0"/>
          <w:numId w:val="29"/>
        </w:numPr>
        <w:tabs>
          <w:tab w:val="left" w:pos="567"/>
        </w:tabs>
        <w:spacing w:after="0" w:line="240" w:lineRule="auto"/>
        <w:ind w:right="-1" w:hanging="720"/>
        <w:rPr>
          <w:rFonts w:ascii="Times New Roman" w:eastAsia="Times New Roman" w:hAnsi="Times New Roman" w:cs="Times New Roman"/>
          <w:b/>
        </w:rPr>
      </w:pPr>
      <w:r>
        <w:rPr>
          <w:rFonts w:ascii="Times New Roman" w:hAnsi="Times New Roman"/>
          <w:b/>
        </w:rPr>
        <w:t>Rapports périodiques actualisés de sécurité (</w:t>
      </w:r>
      <w:proofErr w:type="spellStart"/>
      <w:r>
        <w:rPr>
          <w:rFonts w:ascii="Times New Roman" w:hAnsi="Times New Roman"/>
          <w:b/>
        </w:rPr>
        <w:t>PSURs</w:t>
      </w:r>
      <w:proofErr w:type="spellEnd"/>
      <w:r>
        <w:rPr>
          <w:rFonts w:ascii="Times New Roman" w:hAnsi="Times New Roman"/>
          <w:b/>
        </w:rPr>
        <w:t>)</w:t>
      </w:r>
    </w:p>
    <w:p w14:paraId="56D97F3E" w14:textId="77777777" w:rsidR="00F17FFD" w:rsidRDefault="00F17FFD" w:rsidP="00CB615C">
      <w:pPr>
        <w:widowControl/>
        <w:tabs>
          <w:tab w:val="left" w:pos="0"/>
          <w:tab w:val="left" w:pos="567"/>
        </w:tabs>
        <w:spacing w:after="0" w:line="240" w:lineRule="auto"/>
        <w:ind w:right="567"/>
        <w:rPr>
          <w:rFonts w:ascii="Times New Roman" w:eastAsia="Times New Roman" w:hAnsi="Times New Roman" w:cs="Times New Roman"/>
          <w:szCs w:val="20"/>
        </w:rPr>
      </w:pPr>
    </w:p>
    <w:p w14:paraId="70F3548C" w14:textId="77777777" w:rsidR="00F17FFD" w:rsidRDefault="00080994" w:rsidP="003F1A4D">
      <w:pPr>
        <w:widowControl/>
        <w:tabs>
          <w:tab w:val="left" w:pos="0"/>
          <w:tab w:val="left" w:pos="567"/>
        </w:tabs>
        <w:spacing w:after="0" w:line="240" w:lineRule="auto"/>
        <w:rPr>
          <w:rFonts w:ascii="Times New Roman" w:eastAsia="Times New Roman" w:hAnsi="Times New Roman" w:cs="Times New Roman"/>
          <w:iCs/>
        </w:rPr>
      </w:pPr>
      <w:r>
        <w:rPr>
          <w:rFonts w:ascii="Times New Roman" w:hAnsi="Times New Roman"/>
        </w:rPr>
        <w:t xml:space="preserve">Les exigences relatives à la soumission des </w:t>
      </w:r>
      <w:proofErr w:type="spellStart"/>
      <w:r>
        <w:rPr>
          <w:rFonts w:ascii="Times New Roman" w:hAnsi="Times New Roman"/>
        </w:rPr>
        <w:t>PSURs</w:t>
      </w:r>
      <w:proofErr w:type="spellEnd"/>
      <w:r>
        <w:rPr>
          <w:rFonts w:ascii="Times New Roman" w:hAnsi="Times New Roman"/>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41FF75B2" w14:textId="77777777" w:rsidR="00F17FFD" w:rsidRDefault="00F17FFD" w:rsidP="00CB615C">
      <w:pPr>
        <w:widowControl/>
        <w:tabs>
          <w:tab w:val="left" w:pos="567"/>
        </w:tabs>
        <w:spacing w:after="0" w:line="240" w:lineRule="auto"/>
        <w:ind w:right="-1"/>
        <w:rPr>
          <w:rFonts w:ascii="Times New Roman" w:eastAsia="Times New Roman" w:hAnsi="Times New Roman" w:cs="Times New Roman"/>
          <w:iCs/>
          <w:noProof/>
          <w:u w:val="single"/>
        </w:rPr>
      </w:pPr>
    </w:p>
    <w:p w14:paraId="00530ACE" w14:textId="77777777" w:rsidR="00F17FFD" w:rsidRDefault="00F17FFD" w:rsidP="00CB615C">
      <w:pPr>
        <w:widowControl/>
        <w:tabs>
          <w:tab w:val="left" w:pos="567"/>
        </w:tabs>
        <w:spacing w:after="0" w:line="240" w:lineRule="auto"/>
        <w:ind w:right="-1"/>
        <w:rPr>
          <w:rFonts w:ascii="Times New Roman" w:eastAsia="Times New Roman" w:hAnsi="Times New Roman" w:cs="Times New Roman"/>
          <w:szCs w:val="20"/>
          <w:u w:val="single"/>
        </w:rPr>
      </w:pPr>
    </w:p>
    <w:p w14:paraId="0CD22BD9" w14:textId="4764F745" w:rsidR="00F17FFD" w:rsidRDefault="00080994" w:rsidP="00CB615C">
      <w:pPr>
        <w:pStyle w:val="Titre1"/>
        <w:widowControl/>
        <w:ind w:left="567" w:hanging="567"/>
        <w:jc w:val="left"/>
        <w:rPr>
          <w:rFonts w:eastAsia="Times New Roman" w:cs="Times New Roman"/>
          <w:szCs w:val="20"/>
        </w:rPr>
      </w:pPr>
      <w:r>
        <w:t>D.</w:t>
      </w:r>
      <w:r>
        <w:tab/>
        <w:t xml:space="preserve">CONDITIONS OU RESTRICTIONS EN VUE D’UNE UTILISATION SÛRE ET EFFICACE DU MÉDICAMENT </w:t>
      </w:r>
    </w:p>
    <w:p w14:paraId="75E8E159" w14:textId="77777777" w:rsidR="00F17FFD" w:rsidRDefault="00F17FFD" w:rsidP="00CB615C">
      <w:pPr>
        <w:widowControl/>
        <w:tabs>
          <w:tab w:val="left" w:pos="567"/>
        </w:tabs>
        <w:spacing w:after="0" w:line="240" w:lineRule="auto"/>
        <w:ind w:right="-1"/>
        <w:rPr>
          <w:rFonts w:ascii="Times New Roman" w:eastAsia="Times New Roman" w:hAnsi="Times New Roman" w:cs="Times New Roman"/>
          <w:szCs w:val="20"/>
          <w:u w:val="single"/>
        </w:rPr>
      </w:pPr>
    </w:p>
    <w:p w14:paraId="021A006C" w14:textId="77777777" w:rsidR="00F17FFD" w:rsidRDefault="00080994" w:rsidP="00CB615C">
      <w:pPr>
        <w:widowControl/>
        <w:numPr>
          <w:ilvl w:val="0"/>
          <w:numId w:val="29"/>
        </w:numPr>
        <w:tabs>
          <w:tab w:val="left" w:pos="567"/>
        </w:tabs>
        <w:spacing w:after="0" w:line="240" w:lineRule="auto"/>
        <w:ind w:right="-1" w:hanging="720"/>
        <w:rPr>
          <w:rFonts w:ascii="Times New Roman" w:eastAsia="Times New Roman" w:hAnsi="Times New Roman" w:cs="Times New Roman"/>
          <w:b/>
          <w:szCs w:val="20"/>
        </w:rPr>
      </w:pPr>
      <w:r>
        <w:rPr>
          <w:rFonts w:ascii="Times New Roman" w:hAnsi="Times New Roman"/>
          <w:b/>
        </w:rPr>
        <w:t>Plan de gestion des risques (PGR)</w:t>
      </w:r>
    </w:p>
    <w:p w14:paraId="3A8EE58F" w14:textId="77777777" w:rsidR="00F17FFD" w:rsidRDefault="00F17FFD" w:rsidP="00FB0D49">
      <w:pPr>
        <w:widowControl/>
        <w:tabs>
          <w:tab w:val="left" w:pos="567"/>
        </w:tabs>
        <w:spacing w:after="0" w:line="240" w:lineRule="auto"/>
        <w:ind w:left="720"/>
        <w:rPr>
          <w:rFonts w:ascii="Times New Roman" w:eastAsia="Times New Roman" w:hAnsi="Times New Roman" w:cs="Times New Roman"/>
          <w:b/>
          <w:szCs w:val="20"/>
        </w:rPr>
      </w:pPr>
    </w:p>
    <w:p w14:paraId="17096CE1" w14:textId="77777777" w:rsidR="00F17FFD" w:rsidRDefault="00080994" w:rsidP="00FB0D49">
      <w:pPr>
        <w:widowControl/>
        <w:tabs>
          <w:tab w:val="left" w:pos="0"/>
          <w:tab w:val="left" w:pos="567"/>
        </w:tabs>
        <w:spacing w:after="0" w:line="240" w:lineRule="auto"/>
        <w:rPr>
          <w:rFonts w:ascii="Times New Roman" w:eastAsia="Times New Roman" w:hAnsi="Times New Roman" w:cs="Times New Roman"/>
          <w:noProof/>
        </w:rPr>
      </w:pPr>
      <w:r>
        <w:rPr>
          <w:rFonts w:ascii="Times New Roman" w:hAnsi="Times New Roman"/>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5FA2BA9E" w14:textId="77777777" w:rsidR="00F17FFD" w:rsidRDefault="00F17FFD" w:rsidP="00FB0D49">
      <w:pPr>
        <w:widowControl/>
        <w:tabs>
          <w:tab w:val="left" w:pos="567"/>
        </w:tabs>
        <w:spacing w:after="0" w:line="240" w:lineRule="auto"/>
        <w:rPr>
          <w:rFonts w:ascii="Times New Roman" w:eastAsia="Times New Roman" w:hAnsi="Times New Roman" w:cs="Times New Roman"/>
          <w:iCs/>
          <w:noProof/>
        </w:rPr>
      </w:pPr>
    </w:p>
    <w:p w14:paraId="00DE3929" w14:textId="77777777" w:rsidR="00F17FFD" w:rsidRDefault="00080994" w:rsidP="00FB0D49">
      <w:pPr>
        <w:widowControl/>
        <w:tabs>
          <w:tab w:val="left" w:pos="567"/>
        </w:tabs>
        <w:spacing w:after="0" w:line="240" w:lineRule="auto"/>
        <w:rPr>
          <w:rFonts w:ascii="Times New Roman" w:eastAsia="Times New Roman" w:hAnsi="Times New Roman" w:cs="Times New Roman"/>
          <w:iCs/>
          <w:noProof/>
        </w:rPr>
      </w:pPr>
      <w:r>
        <w:rPr>
          <w:rFonts w:ascii="Times New Roman" w:hAnsi="Times New Roman"/>
        </w:rPr>
        <w:t>De plus, un PGR actualisé doit être soumis :</w:t>
      </w:r>
    </w:p>
    <w:p w14:paraId="684393BD" w14:textId="77777777" w:rsidR="00F17FFD" w:rsidRDefault="00080994" w:rsidP="00FB0D49">
      <w:pPr>
        <w:widowControl/>
        <w:numPr>
          <w:ilvl w:val="0"/>
          <w:numId w:val="30"/>
        </w:numPr>
        <w:tabs>
          <w:tab w:val="left" w:pos="567"/>
        </w:tabs>
        <w:spacing w:after="0" w:line="240" w:lineRule="auto"/>
        <w:ind w:left="567" w:hanging="567"/>
        <w:rPr>
          <w:rFonts w:ascii="Times New Roman" w:eastAsia="Times New Roman" w:hAnsi="Times New Roman" w:cs="Times New Roman"/>
          <w:iCs/>
          <w:noProof/>
        </w:rPr>
      </w:pPr>
      <w:proofErr w:type="gramStart"/>
      <w:r>
        <w:rPr>
          <w:rFonts w:ascii="Times New Roman" w:hAnsi="Times New Roman"/>
        </w:rPr>
        <w:t>à</w:t>
      </w:r>
      <w:proofErr w:type="gramEnd"/>
      <w:r>
        <w:rPr>
          <w:rFonts w:ascii="Times New Roman" w:hAnsi="Times New Roman"/>
        </w:rPr>
        <w:t xml:space="preserve"> la demande de l’Agence européenne des médicaments ;</w:t>
      </w:r>
    </w:p>
    <w:p w14:paraId="03879C32" w14:textId="77777777" w:rsidR="00F17FFD" w:rsidRDefault="00080994" w:rsidP="00FB0D49">
      <w:pPr>
        <w:widowControl/>
        <w:numPr>
          <w:ilvl w:val="0"/>
          <w:numId w:val="30"/>
        </w:numPr>
        <w:tabs>
          <w:tab w:val="left" w:pos="567"/>
        </w:tabs>
        <w:spacing w:after="0" w:line="240" w:lineRule="auto"/>
        <w:ind w:left="567" w:hanging="567"/>
        <w:rPr>
          <w:rFonts w:ascii="Times New Roman" w:eastAsia="Times New Roman" w:hAnsi="Times New Roman" w:cs="Times New Roman"/>
          <w:iCs/>
          <w:noProof/>
        </w:rPr>
      </w:pPr>
      <w:proofErr w:type="gramStart"/>
      <w:r>
        <w:rPr>
          <w:rFonts w:ascii="Times New Roman" w:hAnsi="Times New Roman"/>
        </w:rPr>
        <w:t>dès</w:t>
      </w:r>
      <w:proofErr w:type="gramEnd"/>
      <w:r>
        <w:rPr>
          <w:rFonts w:ascii="Times New Roman" w:hAnsi="Times New Roman"/>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047FE3A3" w14:textId="77777777" w:rsidR="00F17FFD" w:rsidRDefault="00F17FFD" w:rsidP="00CB615C">
      <w:pPr>
        <w:widowControl/>
        <w:tabs>
          <w:tab w:val="left" w:pos="567"/>
        </w:tabs>
        <w:spacing w:after="0" w:line="240" w:lineRule="auto"/>
        <w:ind w:right="-1"/>
        <w:rPr>
          <w:rFonts w:ascii="Times New Roman" w:eastAsia="Times New Roman" w:hAnsi="Times New Roman" w:cs="Times New Roman"/>
          <w:iCs/>
          <w:noProof/>
        </w:rPr>
      </w:pPr>
    </w:p>
    <w:p w14:paraId="394CA3E8" w14:textId="77777777" w:rsidR="00F17FFD" w:rsidRDefault="00080994" w:rsidP="00CB615C">
      <w:pPr>
        <w:widowControl/>
        <w:numPr>
          <w:ilvl w:val="0"/>
          <w:numId w:val="29"/>
        </w:numPr>
        <w:tabs>
          <w:tab w:val="left" w:pos="567"/>
        </w:tabs>
        <w:spacing w:after="0" w:line="240" w:lineRule="auto"/>
        <w:ind w:right="-1" w:hanging="720"/>
        <w:rPr>
          <w:rFonts w:ascii="Times New Roman" w:eastAsia="Times New Roman" w:hAnsi="Times New Roman" w:cs="Times New Roman"/>
          <w:iCs/>
          <w:noProof/>
        </w:rPr>
      </w:pPr>
      <w:r>
        <w:rPr>
          <w:rFonts w:ascii="Times New Roman" w:hAnsi="Times New Roman"/>
          <w:b/>
        </w:rPr>
        <w:t>Mesures additionnelles de réduction du risque</w:t>
      </w:r>
    </w:p>
    <w:p w14:paraId="4C38BDE4" w14:textId="77777777" w:rsidR="00F17FFD" w:rsidRDefault="00F17FFD" w:rsidP="00CB615C">
      <w:pPr>
        <w:widowControl/>
        <w:tabs>
          <w:tab w:val="left" w:pos="567"/>
        </w:tabs>
        <w:spacing w:after="0" w:line="240" w:lineRule="auto"/>
        <w:ind w:right="-1"/>
        <w:rPr>
          <w:rFonts w:ascii="Times New Roman" w:eastAsia="Times New Roman" w:hAnsi="Times New Roman" w:cs="Times New Roman"/>
          <w:iCs/>
          <w:noProof/>
        </w:rPr>
      </w:pPr>
    </w:p>
    <w:p w14:paraId="37D9C007" w14:textId="77777777" w:rsidR="00F17FFD" w:rsidRDefault="00080994" w:rsidP="00CB615C">
      <w:pPr>
        <w:widowControl/>
        <w:tabs>
          <w:tab w:val="left" w:pos="567"/>
        </w:tabs>
        <w:spacing w:after="0" w:line="240" w:lineRule="auto"/>
        <w:ind w:right="-1"/>
        <w:rPr>
          <w:rFonts w:ascii="Times New Roman" w:eastAsia="Times New Roman" w:hAnsi="Times New Roman" w:cs="Times New Roman"/>
          <w:iCs/>
          <w:noProof/>
        </w:rPr>
      </w:pPr>
      <w:r>
        <w:rPr>
          <w:rFonts w:ascii="Times New Roman" w:hAnsi="Times New Roman"/>
        </w:rPr>
        <w:t xml:space="preserve">Avant la commercialisation de </w:t>
      </w:r>
      <w:proofErr w:type="spellStart"/>
      <w:r>
        <w:rPr>
          <w:rFonts w:ascii="Times New Roman" w:hAnsi="Times New Roman"/>
        </w:rPr>
        <w:t>Fingolimod</w:t>
      </w:r>
      <w:proofErr w:type="spellEnd"/>
      <w:r>
        <w:rPr>
          <w:rFonts w:ascii="Times New Roman" w:hAnsi="Times New Roman"/>
        </w:rPr>
        <w:t xml:space="preserve"> Mylan dans chaque État membre, le titulaire de l’autorisation de mise sur le marché doit valider avec l’autorité nationale compétente le contenu et le </w:t>
      </w:r>
      <w:r>
        <w:rPr>
          <w:rFonts w:ascii="Times New Roman" w:hAnsi="Times New Roman"/>
        </w:rPr>
        <w:lastRenderedPageBreak/>
        <w:t>format du programme d’éducation y compris les moyens de communication, les modalités de distribution, ainsi que tout autre aspect du programme.</w:t>
      </w:r>
    </w:p>
    <w:p w14:paraId="37A88B1C" w14:textId="77777777" w:rsidR="00F17FFD" w:rsidRDefault="00F17FFD" w:rsidP="00CB615C">
      <w:pPr>
        <w:widowControl/>
        <w:tabs>
          <w:tab w:val="left" w:pos="567"/>
        </w:tabs>
        <w:spacing w:after="0" w:line="240" w:lineRule="auto"/>
        <w:ind w:right="-1"/>
        <w:rPr>
          <w:rFonts w:ascii="Times New Roman" w:eastAsia="Times New Roman" w:hAnsi="Times New Roman" w:cs="Times New Roman"/>
          <w:iCs/>
          <w:noProof/>
        </w:rPr>
      </w:pPr>
    </w:p>
    <w:p w14:paraId="57ED7E59" w14:textId="7D9ED650" w:rsidR="00F17FFD" w:rsidRDefault="00080994" w:rsidP="00CB615C">
      <w:pPr>
        <w:widowControl/>
        <w:spacing w:after="0" w:line="240" w:lineRule="auto"/>
        <w:rPr>
          <w:rFonts w:ascii="Times New Roman" w:hAnsi="Times New Roman" w:cs="Times New Roman"/>
        </w:rPr>
      </w:pPr>
      <w:r>
        <w:rPr>
          <w:rFonts w:ascii="Times New Roman" w:hAnsi="Times New Roman"/>
        </w:rPr>
        <w:t xml:space="preserve">Le titulaire de l’autorisation de mise sur le marché devra s’assurer que, dans chaque État membre dans lequel </w:t>
      </w:r>
      <w:proofErr w:type="spellStart"/>
      <w:r>
        <w:rPr>
          <w:rFonts w:ascii="Times New Roman" w:hAnsi="Times New Roman"/>
        </w:rPr>
        <w:t>Fingolimod</w:t>
      </w:r>
      <w:proofErr w:type="spellEnd"/>
      <w:r>
        <w:rPr>
          <w:rFonts w:ascii="Times New Roman" w:hAnsi="Times New Roman"/>
        </w:rPr>
        <w:t xml:space="preserve"> Mylan est commercialisé, tous les médecins susceptibles de prescrire </w:t>
      </w:r>
      <w:proofErr w:type="spellStart"/>
      <w:r>
        <w:rPr>
          <w:rFonts w:ascii="Times New Roman" w:hAnsi="Times New Roman"/>
        </w:rPr>
        <w:t>Fingolimod</w:t>
      </w:r>
      <w:proofErr w:type="spellEnd"/>
      <w:r>
        <w:rPr>
          <w:rFonts w:ascii="Times New Roman" w:hAnsi="Times New Roman"/>
        </w:rPr>
        <w:t xml:space="preserve"> Mylan aient à leur disposition le matériel éducatif suivant : </w:t>
      </w:r>
    </w:p>
    <w:p w14:paraId="4D14F99E" w14:textId="77777777" w:rsidR="00F17FFD" w:rsidRDefault="00F17FFD" w:rsidP="00CB615C">
      <w:pPr>
        <w:widowControl/>
        <w:spacing w:after="0" w:line="240" w:lineRule="auto"/>
        <w:rPr>
          <w:rFonts w:ascii="Times New Roman" w:hAnsi="Times New Roman" w:cs="Times New Roman"/>
        </w:rPr>
      </w:pPr>
    </w:p>
    <w:p w14:paraId="38B901B5" w14:textId="480A50F7" w:rsidR="00F17FFD" w:rsidRDefault="00080994" w:rsidP="00CB615C">
      <w:pPr>
        <w:widowControl/>
        <w:spacing w:after="0" w:line="240" w:lineRule="auto"/>
        <w:ind w:left="567" w:hanging="567"/>
        <w:rPr>
          <w:rFonts w:ascii="Times New Roman" w:hAnsi="Times New Roman" w:cs="Times New Roman"/>
        </w:rPr>
      </w:pPr>
      <w:r>
        <w:rPr>
          <w:rFonts w:ascii="Times New Roman" w:hAnsi="Times New Roman"/>
        </w:rPr>
        <w:t xml:space="preserve">1. </w:t>
      </w:r>
      <w:r>
        <w:rPr>
          <w:rFonts w:ascii="Times New Roman" w:hAnsi="Times New Roman"/>
        </w:rPr>
        <w:tab/>
        <w:t xml:space="preserve">Résumé des </w:t>
      </w:r>
      <w:r w:rsidR="00A70781">
        <w:rPr>
          <w:rFonts w:ascii="Times New Roman" w:hAnsi="Times New Roman"/>
        </w:rPr>
        <w:t>C</w:t>
      </w:r>
      <w:r>
        <w:rPr>
          <w:rFonts w:ascii="Times New Roman" w:hAnsi="Times New Roman"/>
        </w:rPr>
        <w:t xml:space="preserve">aractéristiques du </w:t>
      </w:r>
      <w:r w:rsidR="00A70781">
        <w:rPr>
          <w:rFonts w:ascii="Times New Roman" w:hAnsi="Times New Roman"/>
        </w:rPr>
        <w:t>P</w:t>
      </w:r>
      <w:r>
        <w:rPr>
          <w:rFonts w:ascii="Times New Roman" w:hAnsi="Times New Roman"/>
        </w:rPr>
        <w:t>roduit (RCP).</w:t>
      </w:r>
    </w:p>
    <w:p w14:paraId="2C835865" w14:textId="5190B3EC" w:rsidR="00F17FFD" w:rsidRDefault="00080994" w:rsidP="00CB615C">
      <w:pPr>
        <w:widowControl/>
        <w:spacing w:after="0" w:line="240" w:lineRule="auto"/>
        <w:ind w:left="567" w:hanging="567"/>
        <w:rPr>
          <w:rFonts w:ascii="Times New Roman" w:hAnsi="Times New Roman" w:cs="Times New Roman"/>
        </w:rPr>
      </w:pPr>
      <w:r>
        <w:rPr>
          <w:rFonts w:ascii="Times New Roman" w:hAnsi="Times New Roman"/>
        </w:rPr>
        <w:t>2.</w:t>
      </w:r>
      <w:r>
        <w:rPr>
          <w:rFonts w:ascii="Times New Roman" w:hAnsi="Times New Roman"/>
        </w:rPr>
        <w:tab/>
        <w:t xml:space="preserve">Guide de prescription (« checklist ») à prendre en compte avant la prescription de </w:t>
      </w:r>
      <w:proofErr w:type="spellStart"/>
      <w:r>
        <w:rPr>
          <w:rFonts w:ascii="Times New Roman" w:hAnsi="Times New Roman"/>
        </w:rPr>
        <w:t>Fingolimod</w:t>
      </w:r>
      <w:proofErr w:type="spellEnd"/>
      <w:r>
        <w:rPr>
          <w:rFonts w:ascii="Times New Roman" w:hAnsi="Times New Roman"/>
        </w:rPr>
        <w:t xml:space="preserve"> Mylan chez les patients adultes et pédiatriques.</w:t>
      </w:r>
    </w:p>
    <w:p w14:paraId="45E2D3C9" w14:textId="77777777" w:rsidR="00F17FFD" w:rsidRDefault="00080994" w:rsidP="00CB615C">
      <w:pPr>
        <w:widowControl/>
        <w:spacing w:after="0" w:line="240" w:lineRule="auto"/>
        <w:ind w:left="567" w:hanging="567"/>
        <w:rPr>
          <w:rFonts w:ascii="Times New Roman" w:hAnsi="Times New Roman" w:cs="Times New Roman"/>
        </w:rPr>
      </w:pPr>
      <w:r>
        <w:rPr>
          <w:rFonts w:ascii="Times New Roman" w:hAnsi="Times New Roman"/>
        </w:rPr>
        <w:t xml:space="preserve">3. </w:t>
      </w:r>
      <w:r>
        <w:rPr>
          <w:rFonts w:ascii="Times New Roman" w:hAnsi="Times New Roman"/>
        </w:rPr>
        <w:tab/>
        <w:t>Guide-patient/parent/représentant légal à remettre à tous les patients, leurs parents (ou représentants légaux) ainsi que les aidants.</w:t>
      </w:r>
    </w:p>
    <w:p w14:paraId="29E3AF98" w14:textId="77777777" w:rsidR="00F17FFD" w:rsidRDefault="00080994" w:rsidP="00CB615C">
      <w:pPr>
        <w:widowControl/>
        <w:spacing w:after="0" w:line="240" w:lineRule="auto"/>
        <w:ind w:left="567" w:hanging="567"/>
        <w:rPr>
          <w:rFonts w:ascii="Times New Roman" w:hAnsi="Times New Roman" w:cs="Times New Roman"/>
        </w:rPr>
      </w:pPr>
      <w:r>
        <w:rPr>
          <w:rFonts w:ascii="Times New Roman" w:hAnsi="Times New Roman"/>
        </w:rPr>
        <w:t xml:space="preserve">4. </w:t>
      </w:r>
      <w:r>
        <w:rPr>
          <w:rFonts w:ascii="Times New Roman" w:hAnsi="Times New Roman"/>
        </w:rPr>
        <w:tab/>
        <w:t>Carte-patiente spécifique à la grossesse à remettre à toutes les patientes, leurs parents (ou représentants légaux) et leurs aidants, si applicable.</w:t>
      </w:r>
    </w:p>
    <w:p w14:paraId="1ED43170" w14:textId="77777777" w:rsidR="00F17FFD" w:rsidRDefault="00F17FFD" w:rsidP="00CB615C">
      <w:pPr>
        <w:widowControl/>
        <w:spacing w:after="0" w:line="240" w:lineRule="auto"/>
        <w:ind w:left="720" w:hanging="720"/>
        <w:rPr>
          <w:rFonts w:ascii="Times New Roman" w:hAnsi="Times New Roman" w:cs="Times New Roman"/>
        </w:rPr>
      </w:pPr>
    </w:p>
    <w:p w14:paraId="4D7959A6" w14:textId="77777777" w:rsidR="00F17FFD" w:rsidRDefault="00080994" w:rsidP="00CB615C">
      <w:pPr>
        <w:widowControl/>
        <w:spacing w:after="0" w:line="240" w:lineRule="auto"/>
        <w:rPr>
          <w:rFonts w:ascii="Times New Roman" w:hAnsi="Times New Roman"/>
          <w:b/>
        </w:rPr>
      </w:pPr>
      <w:r>
        <w:rPr>
          <w:rFonts w:ascii="Times New Roman" w:hAnsi="Times New Roman"/>
          <w:b/>
        </w:rPr>
        <w:t>Guide de prescription (« checklist »)</w:t>
      </w:r>
    </w:p>
    <w:p w14:paraId="4371057A" w14:textId="77777777" w:rsidR="00F17FFD" w:rsidRDefault="00F17FFD" w:rsidP="00CB615C">
      <w:pPr>
        <w:widowControl/>
        <w:spacing w:after="0" w:line="240" w:lineRule="auto"/>
        <w:rPr>
          <w:rFonts w:ascii="Times New Roman" w:hAnsi="Times New Roman" w:cs="Times New Roman"/>
        </w:rPr>
      </w:pPr>
    </w:p>
    <w:p w14:paraId="61EC00CB" w14:textId="77777777" w:rsidR="00F17FFD" w:rsidRDefault="00080994" w:rsidP="00CB615C">
      <w:pPr>
        <w:widowControl/>
        <w:spacing w:after="0" w:line="240" w:lineRule="auto"/>
        <w:rPr>
          <w:rFonts w:ascii="Times New Roman" w:hAnsi="Times New Roman" w:cs="Times New Roman"/>
        </w:rPr>
      </w:pPr>
      <w:r>
        <w:rPr>
          <w:rFonts w:ascii="Times New Roman" w:hAnsi="Times New Roman"/>
        </w:rPr>
        <w:t>Le guide de prescription (« checklist ») devra contenir les messages clés suivants :</w:t>
      </w:r>
    </w:p>
    <w:p w14:paraId="0EE36985" w14:textId="77777777" w:rsidR="00B07B52" w:rsidRPr="00B07B52" w:rsidRDefault="00B07B52" w:rsidP="00CB615C">
      <w:pPr>
        <w:widowControl/>
        <w:spacing w:after="0" w:line="240" w:lineRule="auto"/>
        <w:rPr>
          <w:rFonts w:ascii="Times New Roman" w:hAnsi="Times New Roman" w:cs="Times New Roman"/>
        </w:rPr>
      </w:pPr>
    </w:p>
    <w:tbl>
      <w:tblPr>
        <w:tblStyle w:val="Grilledutableau"/>
        <w:tblW w:w="9067" w:type="dxa"/>
        <w:tblLook w:val="04A0" w:firstRow="1" w:lastRow="0" w:firstColumn="1" w:lastColumn="0" w:noHBand="0" w:noVBand="1"/>
      </w:tblPr>
      <w:tblGrid>
        <w:gridCol w:w="3539"/>
        <w:gridCol w:w="5528"/>
      </w:tblGrid>
      <w:tr w:rsidR="00B07B52" w:rsidRPr="00423EE8" w14:paraId="2951800A" w14:textId="77777777" w:rsidTr="00147FDB">
        <w:trPr>
          <w:cantSplit/>
          <w:tblHeader/>
        </w:trPr>
        <w:tc>
          <w:tcPr>
            <w:tcW w:w="3539" w:type="dxa"/>
            <w:tcBorders>
              <w:top w:val="single" w:sz="4" w:space="0" w:color="auto"/>
              <w:left w:val="single" w:sz="4" w:space="0" w:color="auto"/>
              <w:bottom w:val="single" w:sz="4" w:space="0" w:color="auto"/>
              <w:right w:val="single" w:sz="4" w:space="0" w:color="auto"/>
            </w:tcBorders>
            <w:hideMark/>
          </w:tcPr>
          <w:p w14:paraId="4553D973" w14:textId="77777777" w:rsidR="00B07B52" w:rsidRPr="00107057" w:rsidRDefault="00B07B52" w:rsidP="00CB615C">
            <w:pPr>
              <w:widowControl/>
              <w:rPr>
                <w:rFonts w:ascii="Times New Roman" w:hAnsi="Times New Roman" w:cs="Times New Roman"/>
                <w:b/>
                <w:bCs/>
                <w:sz w:val="20"/>
                <w:szCs w:val="20"/>
                <w:lang w:val="en-US"/>
              </w:rPr>
            </w:pPr>
            <w:proofErr w:type="spellStart"/>
            <w:r w:rsidRPr="00107057">
              <w:rPr>
                <w:rFonts w:ascii="Times New Roman" w:hAnsi="Times New Roman" w:cs="Times New Roman"/>
                <w:b/>
                <w:bCs/>
                <w:sz w:val="20"/>
                <w:szCs w:val="20"/>
                <w:lang w:val="en-US"/>
              </w:rPr>
              <w:t>Risques</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3CC9EB37" w14:textId="77777777" w:rsidR="00B07B52" w:rsidRPr="00107057" w:rsidRDefault="00B07B52" w:rsidP="00CB615C">
            <w:pPr>
              <w:widowControl/>
              <w:rPr>
                <w:rFonts w:ascii="Times New Roman" w:hAnsi="Times New Roman" w:cs="Times New Roman"/>
                <w:b/>
                <w:bCs/>
                <w:sz w:val="20"/>
                <w:szCs w:val="20"/>
                <w:lang w:val="en-US"/>
              </w:rPr>
            </w:pPr>
            <w:r w:rsidRPr="00107057">
              <w:rPr>
                <w:rFonts w:ascii="Times New Roman" w:hAnsi="Times New Roman" w:cs="Times New Roman"/>
                <w:b/>
                <w:bCs/>
                <w:sz w:val="20"/>
                <w:szCs w:val="20"/>
                <w:lang w:val="en-US"/>
              </w:rPr>
              <w:t xml:space="preserve">Messages </w:t>
            </w:r>
            <w:proofErr w:type="spellStart"/>
            <w:r w:rsidRPr="00107057">
              <w:rPr>
                <w:rFonts w:ascii="Times New Roman" w:hAnsi="Times New Roman" w:cs="Times New Roman"/>
                <w:b/>
                <w:bCs/>
                <w:sz w:val="20"/>
                <w:szCs w:val="20"/>
                <w:lang w:val="en-US"/>
              </w:rPr>
              <w:t>clés</w:t>
            </w:r>
            <w:proofErr w:type="spellEnd"/>
            <w:r w:rsidRPr="00107057">
              <w:rPr>
                <w:rFonts w:ascii="Times New Roman" w:hAnsi="Times New Roman" w:cs="Times New Roman"/>
                <w:b/>
                <w:bCs/>
                <w:sz w:val="20"/>
                <w:szCs w:val="20"/>
                <w:lang w:val="en-US"/>
              </w:rPr>
              <w:t xml:space="preserve"> de </w:t>
            </w:r>
            <w:proofErr w:type="spellStart"/>
            <w:r w:rsidRPr="00107057">
              <w:rPr>
                <w:rFonts w:ascii="Times New Roman" w:hAnsi="Times New Roman" w:cs="Times New Roman"/>
                <w:b/>
                <w:bCs/>
                <w:sz w:val="20"/>
                <w:szCs w:val="20"/>
                <w:lang w:val="en-US"/>
              </w:rPr>
              <w:t>sécurité</w:t>
            </w:r>
            <w:proofErr w:type="spellEnd"/>
          </w:p>
        </w:tc>
      </w:tr>
      <w:tr w:rsidR="00B07B52" w:rsidRPr="00423EE8" w14:paraId="7CD1D02C" w14:textId="77777777" w:rsidTr="00B07B52">
        <w:trPr>
          <w:cantSplit/>
        </w:trPr>
        <w:tc>
          <w:tcPr>
            <w:tcW w:w="3539" w:type="dxa"/>
            <w:tcBorders>
              <w:top w:val="single" w:sz="4" w:space="0" w:color="auto"/>
              <w:left w:val="single" w:sz="4" w:space="0" w:color="auto"/>
              <w:bottom w:val="single" w:sz="4" w:space="0" w:color="auto"/>
              <w:right w:val="single" w:sz="4" w:space="0" w:color="auto"/>
            </w:tcBorders>
            <w:hideMark/>
          </w:tcPr>
          <w:p w14:paraId="36A9B80E" w14:textId="77777777" w:rsidR="00B07B52" w:rsidRPr="00107057" w:rsidRDefault="00B07B52" w:rsidP="00CB615C">
            <w:pPr>
              <w:widowControl/>
              <w:rPr>
                <w:rFonts w:ascii="Times New Roman" w:hAnsi="Times New Roman" w:cs="Times New Roman"/>
                <w:sz w:val="20"/>
                <w:szCs w:val="20"/>
              </w:rPr>
            </w:pPr>
            <w:proofErr w:type="spellStart"/>
            <w:r w:rsidRPr="00107057">
              <w:rPr>
                <w:rFonts w:ascii="Times New Roman" w:hAnsi="Times New Roman" w:cs="Times New Roman"/>
                <w:sz w:val="20"/>
                <w:szCs w:val="20"/>
              </w:rPr>
              <w:t>Bradyarhythmie</w:t>
            </w:r>
            <w:proofErr w:type="spellEnd"/>
            <w:r w:rsidRPr="00107057">
              <w:rPr>
                <w:rFonts w:ascii="Times New Roman" w:hAnsi="Times New Roman" w:cs="Times New Roman"/>
                <w:sz w:val="20"/>
                <w:szCs w:val="20"/>
              </w:rPr>
              <w:t xml:space="preserve"> (y compris troubles de la conduction et bradycardie compliquée par une hypotension) survenant après la première dose</w:t>
            </w:r>
          </w:p>
        </w:tc>
        <w:tc>
          <w:tcPr>
            <w:tcW w:w="5528" w:type="dxa"/>
            <w:tcBorders>
              <w:top w:val="single" w:sz="4" w:space="0" w:color="auto"/>
              <w:left w:val="single" w:sz="4" w:space="0" w:color="auto"/>
              <w:bottom w:val="single" w:sz="4" w:space="0" w:color="auto"/>
              <w:right w:val="single" w:sz="4" w:space="0" w:color="auto"/>
            </w:tcBorders>
            <w:hideMark/>
          </w:tcPr>
          <w:p w14:paraId="2806C24F" w14:textId="5AB80400"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Ne pas initier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chez les patients atteints d’un trouble cardiaque ou traités par des médicaments avec lesquels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est contre-indiqué.</w:t>
            </w:r>
          </w:p>
          <w:p w14:paraId="265926A5" w14:textId="55F3784D"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Avant d’initier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chez les patients présentant des </w:t>
            </w:r>
            <w:r w:rsidR="00F73940" w:rsidRPr="00107057">
              <w:rPr>
                <w:rFonts w:ascii="Times New Roman" w:hAnsi="Times New Roman" w:cs="Times New Roman"/>
                <w:sz w:val="20"/>
                <w:szCs w:val="20"/>
              </w:rPr>
              <w:t>antécédents</w:t>
            </w:r>
            <w:r w:rsidRPr="00107057">
              <w:rPr>
                <w:rFonts w:ascii="Times New Roman" w:hAnsi="Times New Roman" w:cs="Times New Roman"/>
                <w:sz w:val="20"/>
                <w:szCs w:val="20"/>
              </w:rPr>
              <w:t xml:space="preserve"> médicaux ou ayant un traitement médicamenteux concomitant présentant un risque accru de troubles graves du rythme ou de bradycardie, s’assurer que les bénéfices attendus l’emportent sur les risques potentiels et solliciter l’avis d</w:t>
            </w:r>
            <w:r w:rsidR="00F73940" w:rsidRPr="00107057">
              <w:rPr>
                <w:rFonts w:ascii="Times New Roman" w:hAnsi="Times New Roman" w:cs="Times New Roman"/>
                <w:sz w:val="20"/>
                <w:szCs w:val="20"/>
              </w:rPr>
              <w:t>’</w:t>
            </w:r>
            <w:r w:rsidRPr="00107057">
              <w:rPr>
                <w:rFonts w:ascii="Times New Roman" w:hAnsi="Times New Roman" w:cs="Times New Roman"/>
                <w:sz w:val="20"/>
                <w:szCs w:val="20"/>
              </w:rPr>
              <w:t>un cardiologue afin de déterminer les mesures appropriées de surveillance (une surveillance prolongée au moins jusqu’au lendemain étant recommandée) et/ou l’ajustement du traitement concomitant.</w:t>
            </w:r>
          </w:p>
          <w:p w14:paraId="452C4888" w14:textId="01FCFB20"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Surveiller tous les patients pendant une période d’au moins 6</w:t>
            </w:r>
            <w:r w:rsidR="00F73940" w:rsidRPr="00107057">
              <w:rPr>
                <w:rFonts w:ascii="Times New Roman" w:hAnsi="Times New Roman" w:cs="Times New Roman"/>
                <w:sz w:val="20"/>
                <w:szCs w:val="20"/>
              </w:rPr>
              <w:t> </w:t>
            </w:r>
            <w:r w:rsidRPr="00107057">
              <w:rPr>
                <w:rFonts w:ascii="Times New Roman" w:hAnsi="Times New Roman" w:cs="Times New Roman"/>
                <w:sz w:val="20"/>
                <w:szCs w:val="20"/>
              </w:rPr>
              <w:t xml:space="preserve">heures suivant l’administration de la première dose de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pour détecter les signes et symptômes de bradycardie avec notamment la réalisation d’un électrocardiogramme (ECG) et une mesure de la pression artérielle avant et 6</w:t>
            </w:r>
            <w:r w:rsidR="00F73940" w:rsidRPr="00107057">
              <w:rPr>
                <w:rFonts w:ascii="Times New Roman" w:hAnsi="Times New Roman" w:cs="Times New Roman"/>
                <w:sz w:val="20"/>
                <w:szCs w:val="20"/>
              </w:rPr>
              <w:t> </w:t>
            </w:r>
            <w:r w:rsidRPr="00107057">
              <w:rPr>
                <w:rFonts w:ascii="Times New Roman" w:hAnsi="Times New Roman" w:cs="Times New Roman"/>
                <w:sz w:val="20"/>
                <w:szCs w:val="20"/>
              </w:rPr>
              <w:t>h après l’administration de la première dose.</w:t>
            </w:r>
          </w:p>
          <w:p w14:paraId="4EE752E9" w14:textId="695D125C"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En cas d’apparition de signes et de symptômes de </w:t>
            </w:r>
            <w:proofErr w:type="spellStart"/>
            <w:r w:rsidRPr="00107057">
              <w:rPr>
                <w:rFonts w:ascii="Times New Roman" w:hAnsi="Times New Roman" w:cs="Times New Roman"/>
                <w:sz w:val="20"/>
                <w:szCs w:val="20"/>
              </w:rPr>
              <w:t>bradyarythmie</w:t>
            </w:r>
            <w:proofErr w:type="spellEnd"/>
            <w:r w:rsidRPr="00107057">
              <w:rPr>
                <w:rFonts w:ascii="Times New Roman" w:hAnsi="Times New Roman" w:cs="Times New Roman"/>
                <w:sz w:val="20"/>
                <w:szCs w:val="20"/>
              </w:rPr>
              <w:t xml:space="preserve"> après l’administration, prolonger la surveillance après la première dose conformément aux lignes directrices jusqu’à la résolution des troubles</w:t>
            </w:r>
            <w:r w:rsidR="00F73940" w:rsidRPr="00107057">
              <w:rPr>
                <w:rFonts w:ascii="Times New Roman" w:hAnsi="Times New Roman" w:cs="Times New Roman"/>
                <w:sz w:val="20"/>
                <w:szCs w:val="20"/>
              </w:rPr>
              <w:t> </w:t>
            </w:r>
            <w:r w:rsidRPr="00107057">
              <w:rPr>
                <w:rFonts w:ascii="Times New Roman" w:hAnsi="Times New Roman" w:cs="Times New Roman"/>
                <w:sz w:val="20"/>
                <w:szCs w:val="20"/>
              </w:rPr>
              <w:t>; connaître les critères (c.-à-d. nécessité d’une intervention pharmacologique, limites de fréquence cardiaque selon l’âge, nouveaux résultats d’ECG) qui justifieraient une surveillance jusqu’au lendemain.</w:t>
            </w:r>
          </w:p>
          <w:p w14:paraId="1B6495C1"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Suivre les recommandations de surveillance après l’administration de la première dose ou augmentation de la dose quotidienne.</w:t>
            </w:r>
          </w:p>
        </w:tc>
      </w:tr>
      <w:tr w:rsidR="00B07B52" w:rsidRPr="00423EE8" w14:paraId="15E729A4" w14:textId="77777777" w:rsidTr="00B07B52">
        <w:trPr>
          <w:cantSplit/>
        </w:trPr>
        <w:tc>
          <w:tcPr>
            <w:tcW w:w="3539" w:type="dxa"/>
            <w:tcBorders>
              <w:top w:val="single" w:sz="4" w:space="0" w:color="auto"/>
              <w:left w:val="single" w:sz="4" w:space="0" w:color="auto"/>
              <w:bottom w:val="single" w:sz="4" w:space="0" w:color="auto"/>
              <w:right w:val="single" w:sz="4" w:space="0" w:color="auto"/>
            </w:tcBorders>
            <w:hideMark/>
          </w:tcPr>
          <w:p w14:paraId="182C17A1" w14:textId="77777777" w:rsidR="00B07B52" w:rsidRPr="00107057" w:rsidRDefault="00B07B52" w:rsidP="00CB615C">
            <w:pPr>
              <w:widowControl/>
              <w:rPr>
                <w:rFonts w:ascii="Times New Roman" w:hAnsi="Times New Roman" w:cs="Times New Roman"/>
                <w:sz w:val="20"/>
                <w:szCs w:val="20"/>
                <w:lang w:val="en-US"/>
              </w:rPr>
            </w:pPr>
            <w:r w:rsidRPr="00107057">
              <w:rPr>
                <w:rFonts w:ascii="Times New Roman" w:hAnsi="Times New Roman" w:cs="Times New Roman"/>
                <w:sz w:val="20"/>
                <w:szCs w:val="20"/>
                <w:lang w:val="en-US"/>
              </w:rPr>
              <w:lastRenderedPageBreak/>
              <w:t xml:space="preserve">Augmentation des transaminases </w:t>
            </w:r>
            <w:proofErr w:type="spellStart"/>
            <w:r w:rsidRPr="00107057">
              <w:rPr>
                <w:rFonts w:ascii="Times New Roman" w:hAnsi="Times New Roman" w:cs="Times New Roman"/>
                <w:sz w:val="20"/>
                <w:szCs w:val="20"/>
                <w:lang w:val="en-US"/>
              </w:rPr>
              <w:t>hépatiques</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6E9347D6" w14:textId="74F956DF"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Ne pas initier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chez les patients atteints d’insuffisance hépatique sévère (classe</w:t>
            </w:r>
            <w:r w:rsidR="00F73940" w:rsidRPr="00107057">
              <w:rPr>
                <w:rFonts w:ascii="Times New Roman" w:hAnsi="Times New Roman" w:cs="Times New Roman"/>
                <w:sz w:val="20"/>
                <w:szCs w:val="20"/>
              </w:rPr>
              <w:t> </w:t>
            </w:r>
            <w:r w:rsidRPr="00107057">
              <w:rPr>
                <w:rFonts w:ascii="Times New Roman" w:hAnsi="Times New Roman" w:cs="Times New Roman"/>
                <w:sz w:val="20"/>
                <w:szCs w:val="20"/>
              </w:rPr>
              <w:t>C Child-</w:t>
            </w:r>
            <w:proofErr w:type="spellStart"/>
            <w:r w:rsidRPr="00107057">
              <w:rPr>
                <w:rFonts w:ascii="Times New Roman" w:hAnsi="Times New Roman" w:cs="Times New Roman"/>
                <w:sz w:val="20"/>
                <w:szCs w:val="20"/>
              </w:rPr>
              <w:t>Pugh</w:t>
            </w:r>
            <w:proofErr w:type="spellEnd"/>
            <w:r w:rsidRPr="00107057">
              <w:rPr>
                <w:rFonts w:ascii="Times New Roman" w:hAnsi="Times New Roman" w:cs="Times New Roman"/>
                <w:sz w:val="20"/>
                <w:szCs w:val="20"/>
              </w:rPr>
              <w:t>).</w:t>
            </w:r>
          </w:p>
          <w:p w14:paraId="2337E078" w14:textId="3455603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Les taux de transaminases et bilirubine doivent être vérifiés avant l’initiation du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et surveillés tous les 3 mois durant la première année de traitement, et régulièrement par la suite, jusqu’à 2 mois après l’arrêt du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w:t>
            </w:r>
          </w:p>
          <w:p w14:paraId="31AB1BA9" w14:textId="2ECAF320" w:rsidR="00B07B52" w:rsidRPr="00107057" w:rsidRDefault="00B07B52" w:rsidP="00147FDB">
            <w:pPr>
              <w:widowControl/>
              <w:numPr>
                <w:ilvl w:val="0"/>
                <w:numId w:val="43"/>
              </w:numPr>
              <w:ind w:left="567" w:hanging="567"/>
              <w:rPr>
                <w:rFonts w:ascii="Times New Roman" w:hAnsi="Times New Roman" w:cs="Times New Roman"/>
                <w:sz w:val="20"/>
                <w:szCs w:val="20"/>
              </w:rPr>
            </w:pPr>
            <w:proofErr w:type="gramStart"/>
            <w:r w:rsidRPr="00107057">
              <w:rPr>
                <w:rFonts w:ascii="Times New Roman" w:hAnsi="Times New Roman" w:cs="Times New Roman"/>
                <w:sz w:val="20"/>
                <w:szCs w:val="20"/>
              </w:rPr>
              <w:t>Suite à des augmentations</w:t>
            </w:r>
            <w:proofErr w:type="gramEnd"/>
            <w:r w:rsidRPr="00107057">
              <w:rPr>
                <w:rFonts w:ascii="Times New Roman" w:hAnsi="Times New Roman" w:cs="Times New Roman"/>
                <w:sz w:val="20"/>
                <w:szCs w:val="20"/>
              </w:rPr>
              <w:t xml:space="preserve"> asymptomatiques des taux lors des tests de la fonction hépatique, réaliser des tests de la fonction hépatique plus souvent en cas d’élévation des transaminases supérieure à 3 fois mais inférieure à 5 fois la limite supérieur</w:t>
            </w:r>
            <w:r w:rsidR="00F73940" w:rsidRPr="00107057">
              <w:rPr>
                <w:rFonts w:ascii="Times New Roman" w:hAnsi="Times New Roman" w:cs="Times New Roman"/>
                <w:sz w:val="20"/>
                <w:szCs w:val="20"/>
              </w:rPr>
              <w:t>e</w:t>
            </w:r>
            <w:r w:rsidRPr="00107057">
              <w:rPr>
                <w:rFonts w:ascii="Times New Roman" w:hAnsi="Times New Roman" w:cs="Times New Roman"/>
                <w:sz w:val="20"/>
                <w:szCs w:val="20"/>
              </w:rPr>
              <w:t xml:space="preserve"> de la normale (LSN) sans augmentation de la bilirubine sérique. Arrêter le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si les transaminases hépatiques atteignent au moins 5 fois la LSN ou au moins 3 fois la LSN associée à une augmentation de la bilirubine sérique. Reprendre l</w:t>
            </w:r>
            <w:r w:rsidR="00E449B2" w:rsidRPr="00107057">
              <w:rPr>
                <w:rFonts w:ascii="Times New Roman" w:hAnsi="Times New Roman" w:cs="Times New Roman"/>
                <w:sz w:val="20"/>
                <w:szCs w:val="20"/>
              </w:rPr>
              <w:t>e</w:t>
            </w:r>
            <w:r w:rsidRPr="00107057">
              <w:rPr>
                <w:rFonts w:ascii="Times New Roman" w:hAnsi="Times New Roman" w:cs="Times New Roman"/>
                <w:sz w:val="20"/>
                <w:szCs w:val="20"/>
              </w:rPr>
              <w:t xml:space="preserve">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uniquement après évaluation attentive de la balance bénéfice-risque.</w:t>
            </w:r>
          </w:p>
          <w:p w14:paraId="0C50E17D" w14:textId="59EC471A"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Pour les patients présentant des symptômes cliniques de dysfonctionnement hépatique, évaluer rapidement et arrêter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si une lésion hépatique significative est confirmée. Si les taux sériques reviennent à la normale (y compris si une autre cause de dysfonctionnement hépatique est découverte),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peut être réintroduit sur la base d’une évaluation attentive de la balance bénéfice-risque pour le patient.</w:t>
            </w:r>
          </w:p>
        </w:tc>
      </w:tr>
      <w:tr w:rsidR="00B07B52" w:rsidRPr="00423EE8" w14:paraId="63EE32B4" w14:textId="77777777" w:rsidTr="00B07B52">
        <w:trPr>
          <w:cantSplit/>
        </w:trPr>
        <w:tc>
          <w:tcPr>
            <w:tcW w:w="3539" w:type="dxa"/>
            <w:tcBorders>
              <w:top w:val="single" w:sz="4" w:space="0" w:color="auto"/>
              <w:left w:val="single" w:sz="4" w:space="0" w:color="auto"/>
              <w:bottom w:val="single" w:sz="4" w:space="0" w:color="auto"/>
              <w:right w:val="single" w:sz="4" w:space="0" w:color="auto"/>
            </w:tcBorders>
            <w:hideMark/>
          </w:tcPr>
          <w:p w14:paraId="60353904" w14:textId="77777777" w:rsidR="00B07B52" w:rsidRPr="00107057" w:rsidRDefault="00B07B52" w:rsidP="00CB615C">
            <w:pPr>
              <w:widowControl/>
              <w:rPr>
                <w:rFonts w:ascii="Times New Roman" w:hAnsi="Times New Roman" w:cs="Times New Roman"/>
                <w:sz w:val="20"/>
                <w:szCs w:val="20"/>
                <w:lang w:val="en-US"/>
              </w:rPr>
            </w:pPr>
            <w:proofErr w:type="spellStart"/>
            <w:r w:rsidRPr="00107057">
              <w:rPr>
                <w:rFonts w:ascii="Times New Roman" w:hAnsi="Times New Roman" w:cs="Times New Roman"/>
                <w:sz w:val="20"/>
                <w:szCs w:val="20"/>
                <w:lang w:val="en-US"/>
              </w:rPr>
              <w:t>Œdème</w:t>
            </w:r>
            <w:proofErr w:type="spellEnd"/>
            <w:r w:rsidRPr="00107057">
              <w:rPr>
                <w:rFonts w:ascii="Times New Roman" w:hAnsi="Times New Roman" w:cs="Times New Roman"/>
                <w:sz w:val="20"/>
                <w:szCs w:val="20"/>
                <w:lang w:val="en-US"/>
              </w:rPr>
              <w:t xml:space="preserve"> </w:t>
            </w:r>
            <w:proofErr w:type="spellStart"/>
            <w:r w:rsidRPr="00107057">
              <w:rPr>
                <w:rFonts w:ascii="Times New Roman" w:hAnsi="Times New Roman" w:cs="Times New Roman"/>
                <w:sz w:val="20"/>
                <w:szCs w:val="20"/>
                <w:lang w:val="en-US"/>
              </w:rPr>
              <w:t>maculaire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74D93062" w14:textId="06C57865"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Demander un bilan ophtalmologique avant l’instauration de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chez les patients diabétiques ou avec des antécédents d’uvéite.</w:t>
            </w:r>
          </w:p>
          <w:p w14:paraId="4B2208F3" w14:textId="192EDDED"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Demander un bilan ophtalmologique chez tous les patients 3 à 4 mois après l’initiation de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w:t>
            </w:r>
          </w:p>
          <w:p w14:paraId="73BE3B19" w14:textId="348C6124"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Il est recommandé d’arrêter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en cas de survenue de dégénérescence maculaire. Reprendre le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uniquement après évaluation attentive de la balance bénéfice-risque.</w:t>
            </w:r>
          </w:p>
        </w:tc>
      </w:tr>
      <w:tr w:rsidR="00B07B52" w:rsidRPr="00423EE8" w14:paraId="379359FC" w14:textId="77777777" w:rsidTr="00B07B52">
        <w:trPr>
          <w:cantSplit/>
        </w:trPr>
        <w:tc>
          <w:tcPr>
            <w:tcW w:w="3539" w:type="dxa"/>
            <w:tcBorders>
              <w:top w:val="single" w:sz="4" w:space="0" w:color="auto"/>
              <w:left w:val="single" w:sz="4" w:space="0" w:color="auto"/>
              <w:bottom w:val="single" w:sz="4" w:space="0" w:color="auto"/>
              <w:right w:val="single" w:sz="4" w:space="0" w:color="auto"/>
            </w:tcBorders>
            <w:hideMark/>
          </w:tcPr>
          <w:p w14:paraId="441C10B6" w14:textId="77777777" w:rsidR="00B07B52" w:rsidRPr="00107057" w:rsidRDefault="00B07B52" w:rsidP="00CB615C">
            <w:pPr>
              <w:widowControl/>
              <w:rPr>
                <w:rFonts w:ascii="Times New Roman" w:hAnsi="Times New Roman" w:cs="Times New Roman"/>
                <w:sz w:val="20"/>
                <w:szCs w:val="20"/>
              </w:rPr>
            </w:pPr>
            <w:r w:rsidRPr="00107057">
              <w:rPr>
                <w:rFonts w:ascii="Times New Roman" w:hAnsi="Times New Roman" w:cs="Times New Roman"/>
                <w:sz w:val="20"/>
                <w:szCs w:val="20"/>
              </w:rPr>
              <w:lastRenderedPageBreak/>
              <w:t>Infections opportunistes comprenant le virus varicelle-zona (VZV), les infections aux virus herpétiques autres que le VZV et les infections fongiques</w:t>
            </w:r>
          </w:p>
        </w:tc>
        <w:tc>
          <w:tcPr>
            <w:tcW w:w="5528" w:type="dxa"/>
            <w:tcBorders>
              <w:top w:val="single" w:sz="4" w:space="0" w:color="auto"/>
              <w:left w:val="single" w:sz="4" w:space="0" w:color="auto"/>
              <w:bottom w:val="single" w:sz="4" w:space="0" w:color="auto"/>
              <w:right w:val="single" w:sz="4" w:space="0" w:color="auto"/>
            </w:tcBorders>
            <w:hideMark/>
          </w:tcPr>
          <w:p w14:paraId="03B9F07C" w14:textId="05FAC005"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Ne pas initier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chez les patients atteints d’un syndrome d’immunodéficience, d’un risque accru d’infections opportunistes, y compris les patients immunodéprimés, ou d’infections chroniques actives ou actives sévères (c</w:t>
            </w:r>
            <w:r w:rsidR="005E21B5">
              <w:rPr>
                <w:rFonts w:ascii="Times New Roman" w:hAnsi="Times New Roman" w:cs="Times New Roman"/>
                <w:sz w:val="20"/>
                <w:szCs w:val="20"/>
              </w:rPr>
              <w:t>.</w:t>
            </w:r>
            <w:r w:rsidRPr="00107057">
              <w:rPr>
                <w:rFonts w:ascii="Times New Roman" w:hAnsi="Times New Roman" w:cs="Times New Roman"/>
                <w:sz w:val="20"/>
                <w:szCs w:val="20"/>
              </w:rPr>
              <w:t>-à-d</w:t>
            </w:r>
            <w:r w:rsidR="005E21B5">
              <w:rPr>
                <w:rFonts w:ascii="Times New Roman" w:hAnsi="Times New Roman" w:cs="Times New Roman"/>
                <w:sz w:val="20"/>
                <w:szCs w:val="20"/>
              </w:rPr>
              <w:t>.</w:t>
            </w:r>
            <w:r w:rsidRPr="00107057">
              <w:rPr>
                <w:rFonts w:ascii="Times New Roman" w:hAnsi="Times New Roman" w:cs="Times New Roman"/>
                <w:sz w:val="20"/>
                <w:szCs w:val="20"/>
              </w:rPr>
              <w:t xml:space="preserve"> hépatite ou tuberculose).</w:t>
            </w:r>
          </w:p>
          <w:p w14:paraId="0F4B7AC6" w14:textId="689A60C2" w:rsidR="00B07B52" w:rsidRPr="00107057" w:rsidRDefault="003D4777" w:rsidP="00147FDB">
            <w:pPr>
              <w:widowControl/>
              <w:numPr>
                <w:ilvl w:val="0"/>
                <w:numId w:val="43"/>
              </w:numPr>
              <w:ind w:left="567" w:hanging="567"/>
              <w:rPr>
                <w:rFonts w:ascii="Times New Roman" w:hAnsi="Times New Roman" w:cs="Times New Roman"/>
                <w:sz w:val="20"/>
                <w:szCs w:val="20"/>
              </w:rPr>
            </w:pP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w:t>
            </w:r>
            <w:r w:rsidR="00B07B52" w:rsidRPr="00107057">
              <w:rPr>
                <w:rFonts w:ascii="Times New Roman" w:hAnsi="Times New Roman" w:cs="Times New Roman"/>
                <w:sz w:val="20"/>
                <w:szCs w:val="20"/>
              </w:rPr>
              <w:t xml:space="preserve"> peut être initié chez les patients qui ont eu une infection active sévère, qui est résolue.</w:t>
            </w:r>
          </w:p>
          <w:p w14:paraId="5DB1BA78"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Les traitements </w:t>
            </w:r>
            <w:proofErr w:type="spellStart"/>
            <w:r w:rsidRPr="00107057">
              <w:rPr>
                <w:rFonts w:ascii="Times New Roman" w:hAnsi="Times New Roman" w:cs="Times New Roman"/>
                <w:sz w:val="20"/>
                <w:szCs w:val="20"/>
              </w:rPr>
              <w:t>anti-néoplasiques</w:t>
            </w:r>
            <w:proofErr w:type="spellEnd"/>
            <w:r w:rsidRPr="00107057">
              <w:rPr>
                <w:rFonts w:ascii="Times New Roman" w:hAnsi="Times New Roman" w:cs="Times New Roman"/>
                <w:sz w:val="20"/>
                <w:szCs w:val="20"/>
              </w:rPr>
              <w:t xml:space="preserve">, immunomodulateurs ou immunosuppresseurs ne doivent pas être </w:t>
            </w:r>
            <w:proofErr w:type="spellStart"/>
            <w:r w:rsidRPr="00107057">
              <w:rPr>
                <w:rFonts w:ascii="Times New Roman" w:hAnsi="Times New Roman" w:cs="Times New Roman"/>
                <w:sz w:val="20"/>
                <w:szCs w:val="20"/>
              </w:rPr>
              <w:t>co-administrés</w:t>
            </w:r>
            <w:proofErr w:type="spellEnd"/>
            <w:r w:rsidRPr="00107057">
              <w:rPr>
                <w:rFonts w:ascii="Times New Roman" w:hAnsi="Times New Roman" w:cs="Times New Roman"/>
                <w:sz w:val="20"/>
                <w:szCs w:val="20"/>
              </w:rPr>
              <w:t xml:space="preserve"> en raison du risque d’effets additifs sur le système immunitaire. La décision d’utiliser de façon prolongée un traitement concomitant par corticoïdes doit être étudiée attentivement.</w:t>
            </w:r>
          </w:p>
          <w:p w14:paraId="064B84CF" w14:textId="2F95DA2F"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Surveiller le nombre de lymphocytes du sang périphérique avant et pendant le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Interrompre le traitement jusqu’à la résolution, lorsque le taux de lymphocytes est &lt;</w:t>
            </w:r>
            <w:r w:rsidR="005E21B5">
              <w:rPr>
                <w:rFonts w:ascii="Times New Roman" w:hAnsi="Times New Roman" w:cs="Times New Roman"/>
                <w:sz w:val="20"/>
                <w:szCs w:val="20"/>
              </w:rPr>
              <w:t> </w:t>
            </w:r>
            <w:r w:rsidRPr="00107057">
              <w:rPr>
                <w:rFonts w:ascii="Times New Roman" w:hAnsi="Times New Roman" w:cs="Times New Roman"/>
                <w:sz w:val="20"/>
                <w:szCs w:val="20"/>
              </w:rPr>
              <w:t>0,2 x 10</w:t>
            </w:r>
            <w:r w:rsidRPr="00107057">
              <w:rPr>
                <w:rFonts w:ascii="Times New Roman" w:hAnsi="Times New Roman" w:cs="Times New Roman"/>
                <w:sz w:val="20"/>
                <w:szCs w:val="20"/>
                <w:vertAlign w:val="superscript"/>
              </w:rPr>
              <w:t>9</w:t>
            </w:r>
            <w:r w:rsidRPr="00107057">
              <w:rPr>
                <w:rFonts w:ascii="Times New Roman" w:hAnsi="Times New Roman" w:cs="Times New Roman"/>
                <w:sz w:val="20"/>
                <w:szCs w:val="20"/>
              </w:rPr>
              <w:t>/l.</w:t>
            </w:r>
          </w:p>
          <w:p w14:paraId="1A32AC4E" w14:textId="38B7563C"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Informer les patients que tout signe et symptôme d’infection survenant sous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et jusqu’à deux mois après son arrêt doivent être signalés.</w:t>
            </w:r>
          </w:p>
          <w:p w14:paraId="2508DB2B" w14:textId="233AA68D"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Pour les infections potentiellement graves, examiner rapidement le patient et l’orienter vers un spécialiste des maladies infectieuses. Envisager de suspendre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et le rapport bénéfice-risque de toute reprise ultérieure.</w:t>
            </w:r>
          </w:p>
          <w:p w14:paraId="5FCCC840" w14:textId="3CF2531A"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Noter que des cas graves, engageant le pronostic vital et parfois avec une issue fatale, d’infections opportunistes du système nerveux central (SNC) sont survenus sous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y compris une infection virale de l’herpès (encéphalite, méningite et méningo-encéphalite ; observée à tout moment) et une méningite </w:t>
            </w:r>
            <w:proofErr w:type="spellStart"/>
            <w:r w:rsidRPr="00107057">
              <w:rPr>
                <w:rFonts w:ascii="Times New Roman" w:hAnsi="Times New Roman" w:cs="Times New Roman"/>
                <w:sz w:val="20"/>
                <w:szCs w:val="20"/>
              </w:rPr>
              <w:t>cryptococcique</w:t>
            </w:r>
            <w:proofErr w:type="spellEnd"/>
            <w:r w:rsidRPr="00107057">
              <w:rPr>
                <w:rFonts w:ascii="Times New Roman" w:hAnsi="Times New Roman" w:cs="Times New Roman"/>
                <w:sz w:val="20"/>
                <w:szCs w:val="20"/>
              </w:rPr>
              <w:t xml:space="preserve"> (observée après environ 2-3 ans).</w:t>
            </w:r>
          </w:p>
          <w:p w14:paraId="4E2B31F7" w14:textId="07B60D12" w:rsidR="00B07B52" w:rsidRPr="00107057" w:rsidRDefault="003D4777" w:rsidP="00147FDB">
            <w:pPr>
              <w:widowControl/>
              <w:numPr>
                <w:ilvl w:val="0"/>
                <w:numId w:val="43"/>
              </w:numPr>
              <w:ind w:left="567" w:hanging="567"/>
              <w:rPr>
                <w:rFonts w:ascii="Times New Roman" w:hAnsi="Times New Roman" w:cs="Times New Roman"/>
                <w:sz w:val="20"/>
                <w:szCs w:val="20"/>
              </w:rPr>
            </w:pP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w:t>
            </w:r>
            <w:r w:rsidR="00B07B52" w:rsidRPr="00107057">
              <w:rPr>
                <w:rFonts w:ascii="Times New Roman" w:hAnsi="Times New Roman" w:cs="Times New Roman"/>
                <w:sz w:val="20"/>
                <w:szCs w:val="20"/>
              </w:rPr>
              <w:t xml:space="preserve"> doit être arrêté chez les patients atteints d’infections herpétiques du SNC.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w:t>
            </w:r>
            <w:r w:rsidR="00B07B52" w:rsidRPr="00107057">
              <w:rPr>
                <w:rFonts w:ascii="Times New Roman" w:hAnsi="Times New Roman" w:cs="Times New Roman"/>
                <w:sz w:val="20"/>
                <w:szCs w:val="20"/>
              </w:rPr>
              <w:t xml:space="preserve"> doit être suspendu chez les patients atteints de méningite </w:t>
            </w:r>
            <w:proofErr w:type="spellStart"/>
            <w:r w:rsidR="00B07B52" w:rsidRPr="00107057">
              <w:rPr>
                <w:rFonts w:ascii="Times New Roman" w:hAnsi="Times New Roman" w:cs="Times New Roman"/>
                <w:sz w:val="20"/>
                <w:szCs w:val="20"/>
              </w:rPr>
              <w:t>cryptococcique</w:t>
            </w:r>
            <w:proofErr w:type="spellEnd"/>
            <w:r w:rsidR="00B07B52" w:rsidRPr="00107057">
              <w:rPr>
                <w:rFonts w:ascii="Times New Roman" w:hAnsi="Times New Roman" w:cs="Times New Roman"/>
                <w:sz w:val="20"/>
                <w:szCs w:val="20"/>
              </w:rPr>
              <w:t>, après un examen attentif avec un spécialiste avant de reprendre l</w:t>
            </w:r>
            <w:r w:rsidR="00E449B2" w:rsidRPr="00107057">
              <w:rPr>
                <w:rFonts w:ascii="Times New Roman" w:hAnsi="Times New Roman" w:cs="Times New Roman"/>
                <w:sz w:val="20"/>
                <w:szCs w:val="20"/>
              </w:rPr>
              <w:t>e</w:t>
            </w:r>
            <w:r w:rsidR="00B07B52" w:rsidRPr="00107057">
              <w:rPr>
                <w:rFonts w:ascii="Times New Roman" w:hAnsi="Times New Roman" w:cs="Times New Roman"/>
                <w:sz w:val="20"/>
                <w:szCs w:val="20"/>
              </w:rPr>
              <w:t xml:space="preserve"> traitement.</w:t>
            </w:r>
          </w:p>
          <w:p w14:paraId="6A28AE17" w14:textId="549A837A"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Informer les patients que pendant le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ils ne doivent pas recevoir de vaccins vivants atténués et que d’autres vaccins peuvent être moins efficaces.</w:t>
            </w:r>
          </w:p>
          <w:p w14:paraId="35AB8EA2" w14:textId="33E1C531"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Avant d’initier</w:t>
            </w:r>
            <w:r w:rsidR="00E449B2" w:rsidRPr="00107057">
              <w:rPr>
                <w:rFonts w:ascii="Times New Roman" w:hAnsi="Times New Roman" w:cs="Times New Roman"/>
                <w:sz w:val="20"/>
                <w:szCs w:val="20"/>
              </w:rPr>
              <w:t xml:space="preserve"> le</w:t>
            </w:r>
            <w:r w:rsidRPr="00107057">
              <w:rPr>
                <w:rFonts w:ascii="Times New Roman" w:hAnsi="Times New Roman" w:cs="Times New Roman"/>
                <w:sz w:val="20"/>
                <w:szCs w:val="20"/>
              </w:rPr>
              <w:t xml:space="preserve">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réaliser une sérologie vis-à-vis du VZV et recommander une vaccination complète contre le VZV chez les patients ayant une sérologie négative. Retarder le début du traitement d’un mois pour permettre le plein effet de la vaccination.</w:t>
            </w:r>
          </w:p>
          <w:p w14:paraId="118BB45F"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Recommander la vaccination contre le virus du papillome humain (HPV) avant le début du traitement.</w:t>
            </w:r>
          </w:p>
        </w:tc>
      </w:tr>
      <w:tr w:rsidR="00B07B52" w:rsidRPr="00423EE8" w14:paraId="58572E15" w14:textId="77777777" w:rsidTr="00B07B52">
        <w:trPr>
          <w:cantSplit/>
        </w:trPr>
        <w:tc>
          <w:tcPr>
            <w:tcW w:w="3539" w:type="dxa"/>
            <w:tcBorders>
              <w:top w:val="single" w:sz="4" w:space="0" w:color="auto"/>
              <w:left w:val="single" w:sz="4" w:space="0" w:color="auto"/>
              <w:bottom w:val="single" w:sz="4" w:space="0" w:color="auto"/>
              <w:right w:val="single" w:sz="4" w:space="0" w:color="auto"/>
            </w:tcBorders>
            <w:hideMark/>
          </w:tcPr>
          <w:p w14:paraId="2AEFD83D" w14:textId="77777777" w:rsidR="00B07B52" w:rsidRPr="00107057" w:rsidRDefault="00B07B52" w:rsidP="00CB615C">
            <w:pPr>
              <w:widowControl/>
              <w:rPr>
                <w:rFonts w:ascii="Times New Roman" w:hAnsi="Times New Roman" w:cs="Times New Roman"/>
                <w:sz w:val="20"/>
                <w:szCs w:val="20"/>
                <w:lang w:val="en-US"/>
              </w:rPr>
            </w:pPr>
            <w:proofErr w:type="spellStart"/>
            <w:r w:rsidRPr="00107057">
              <w:rPr>
                <w:rFonts w:ascii="Times New Roman" w:hAnsi="Times New Roman" w:cs="Times New Roman"/>
                <w:sz w:val="20"/>
                <w:szCs w:val="20"/>
                <w:lang w:val="en-US"/>
              </w:rPr>
              <w:lastRenderedPageBreak/>
              <w:t>Leucoencéphalopathie</w:t>
            </w:r>
            <w:proofErr w:type="spellEnd"/>
            <w:r w:rsidRPr="00107057">
              <w:rPr>
                <w:rFonts w:ascii="Times New Roman" w:hAnsi="Times New Roman" w:cs="Times New Roman"/>
                <w:sz w:val="20"/>
                <w:szCs w:val="20"/>
                <w:lang w:val="en-US"/>
              </w:rPr>
              <w:t xml:space="preserve"> </w:t>
            </w:r>
            <w:proofErr w:type="spellStart"/>
            <w:r w:rsidRPr="00107057">
              <w:rPr>
                <w:rFonts w:ascii="Times New Roman" w:hAnsi="Times New Roman" w:cs="Times New Roman"/>
                <w:sz w:val="20"/>
                <w:szCs w:val="20"/>
                <w:lang w:val="en-US"/>
              </w:rPr>
              <w:t>multifocale</w:t>
            </w:r>
            <w:proofErr w:type="spellEnd"/>
            <w:r w:rsidRPr="00107057">
              <w:rPr>
                <w:rFonts w:ascii="Times New Roman" w:hAnsi="Times New Roman" w:cs="Times New Roman"/>
                <w:sz w:val="20"/>
                <w:szCs w:val="20"/>
                <w:lang w:val="en-US"/>
              </w:rPr>
              <w:t xml:space="preserve"> progressive (LEMP)</w:t>
            </w:r>
          </w:p>
        </w:tc>
        <w:tc>
          <w:tcPr>
            <w:tcW w:w="5528" w:type="dxa"/>
            <w:tcBorders>
              <w:top w:val="single" w:sz="4" w:space="0" w:color="auto"/>
              <w:left w:val="single" w:sz="4" w:space="0" w:color="auto"/>
              <w:bottom w:val="single" w:sz="4" w:space="0" w:color="auto"/>
              <w:right w:val="single" w:sz="4" w:space="0" w:color="auto"/>
            </w:tcBorders>
            <w:hideMark/>
          </w:tcPr>
          <w:p w14:paraId="4E475EC5" w14:textId="2A4D6636"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Ne pas traiter avec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les patients atteints de LEMP suspectée ou confirmée.</w:t>
            </w:r>
          </w:p>
          <w:p w14:paraId="230B97C4"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Noter que la LEMP a été observée de façon prédominante après 2 ans ou plus de traitement par le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w:t>
            </w:r>
          </w:p>
          <w:p w14:paraId="0EC9F8C6" w14:textId="33C33166"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S’assurer que les patients ont une imagerie </w:t>
            </w:r>
            <w:r w:rsidR="00AA7885">
              <w:rPr>
                <w:rFonts w:ascii="Times New Roman" w:hAnsi="Times New Roman" w:cs="Times New Roman"/>
                <w:sz w:val="20"/>
                <w:szCs w:val="20"/>
              </w:rPr>
              <w:t>par</w:t>
            </w:r>
            <w:r w:rsidRPr="00107057">
              <w:rPr>
                <w:rFonts w:ascii="Times New Roman" w:hAnsi="Times New Roman" w:cs="Times New Roman"/>
                <w:sz w:val="20"/>
                <w:szCs w:val="20"/>
              </w:rPr>
              <w:t xml:space="preserve"> résonance magnétique (IRM) initiale de référence, généralement dans les 3 mois avant le début de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L’IRM annuelle peut être envisagée, en particulier chez les patients présentant de multiples facteurs de risque généralement associés à la LEMP.</w:t>
            </w:r>
          </w:p>
          <w:p w14:paraId="75596ABD" w14:textId="4C00164C" w:rsidR="00B07B52" w:rsidRPr="00107057" w:rsidRDefault="00B07B52" w:rsidP="00147FDB">
            <w:pPr>
              <w:widowControl/>
              <w:ind w:left="567"/>
              <w:rPr>
                <w:rFonts w:ascii="Times New Roman" w:hAnsi="Times New Roman" w:cs="Times New Roman"/>
                <w:sz w:val="20"/>
                <w:szCs w:val="20"/>
              </w:rPr>
            </w:pPr>
            <w:r w:rsidRPr="00107057">
              <w:rPr>
                <w:rFonts w:ascii="Times New Roman" w:hAnsi="Times New Roman" w:cs="Times New Roman"/>
                <w:sz w:val="20"/>
                <w:szCs w:val="20"/>
              </w:rPr>
              <w:t xml:space="preserve">En cas de suspicion de LEMP, effectuer immédiatement une IRM diagnostique et suspendre le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jusqu’à ce que la LEMP ait été exclue. Si la LEMP est confirmée, le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doit être définitivement interrompu.</w:t>
            </w:r>
          </w:p>
          <w:p w14:paraId="0260D850"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Un syndrome inflammatoire de reconstitution immunitaire (IRIS) a été signalé chez des patients traités par des modulateurs des récepteurs à la S1P, y compris le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qui ont développé une LEMP et ont par la suite interrompu le traitement. Le délai d’apparition de l’IRIS chez les patients atteints de LEMP était généralement de quelques semaines à quelques mois après l’arrêt du modulateur du récepteur à la S1P. Une surveillance du développement de l’IRIS et un traitement approprié de l’inflammation associée doivent être entrepris.</w:t>
            </w:r>
          </w:p>
        </w:tc>
      </w:tr>
      <w:tr w:rsidR="00B07B52" w:rsidRPr="00423EE8" w14:paraId="61DBD8F1" w14:textId="77777777" w:rsidTr="00B07B52">
        <w:trPr>
          <w:cantSplit/>
        </w:trPr>
        <w:tc>
          <w:tcPr>
            <w:tcW w:w="3539" w:type="dxa"/>
            <w:tcBorders>
              <w:top w:val="single" w:sz="4" w:space="0" w:color="auto"/>
              <w:left w:val="single" w:sz="4" w:space="0" w:color="auto"/>
              <w:bottom w:val="single" w:sz="4" w:space="0" w:color="auto"/>
              <w:right w:val="single" w:sz="4" w:space="0" w:color="auto"/>
            </w:tcBorders>
            <w:hideMark/>
          </w:tcPr>
          <w:p w14:paraId="238FBE3D" w14:textId="77777777" w:rsidR="00B07B52" w:rsidRPr="00107057" w:rsidRDefault="00B07B52" w:rsidP="00CB615C">
            <w:pPr>
              <w:widowControl/>
              <w:rPr>
                <w:rFonts w:ascii="Times New Roman" w:hAnsi="Times New Roman" w:cs="Times New Roman"/>
                <w:sz w:val="20"/>
                <w:szCs w:val="20"/>
                <w:lang w:val="en-US"/>
              </w:rPr>
            </w:pPr>
            <w:proofErr w:type="spellStart"/>
            <w:r w:rsidRPr="00107057">
              <w:rPr>
                <w:rFonts w:ascii="Times New Roman" w:hAnsi="Times New Roman" w:cs="Times New Roman"/>
                <w:sz w:val="20"/>
                <w:szCs w:val="20"/>
                <w:lang w:val="en-US"/>
              </w:rPr>
              <w:t>Reprotoxicité</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5C81F623" w14:textId="0247AA0A" w:rsidR="00B07B52" w:rsidRPr="00107057" w:rsidRDefault="003D4777" w:rsidP="00147FDB">
            <w:pPr>
              <w:widowControl/>
              <w:numPr>
                <w:ilvl w:val="0"/>
                <w:numId w:val="43"/>
              </w:numPr>
              <w:ind w:left="567" w:hanging="567"/>
              <w:rPr>
                <w:rFonts w:ascii="Times New Roman" w:hAnsi="Times New Roman" w:cs="Times New Roman"/>
                <w:sz w:val="20"/>
                <w:szCs w:val="20"/>
              </w:rPr>
            </w:pP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w:t>
            </w:r>
            <w:r w:rsidR="00B07B52" w:rsidRPr="00107057">
              <w:rPr>
                <w:rFonts w:ascii="Times New Roman" w:hAnsi="Times New Roman" w:cs="Times New Roman"/>
                <w:sz w:val="20"/>
                <w:szCs w:val="20"/>
              </w:rPr>
              <w:t xml:space="preserve"> est tératogène et contre-indiqué chez les femmes en âge de procréer sans contraception efficace et chez les femmes enceintes.</w:t>
            </w:r>
          </w:p>
          <w:p w14:paraId="00CC7D9A"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Les femmes en âge de procréer doivent utiliser un moyen de contraception efficace pendant le traitement et pendant les 2 mois après l’arrêt du traitement.</w:t>
            </w:r>
          </w:p>
          <w:p w14:paraId="3FFB2B1A" w14:textId="563286AD"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Avant l’initiation du traitement et régulièrement pendant le traitement, sensibiliser les femmes en âge de procréer y compris les adolescentes, leurs parents (ou représentants légaux) et leurs aidants, aux risques pour le fœtus et </w:t>
            </w:r>
            <w:r w:rsidR="00E449B2" w:rsidRPr="00107057">
              <w:rPr>
                <w:rFonts w:ascii="Times New Roman" w:hAnsi="Times New Roman" w:cs="Times New Roman"/>
                <w:sz w:val="20"/>
                <w:szCs w:val="20"/>
              </w:rPr>
              <w:t xml:space="preserve">à </w:t>
            </w:r>
            <w:r w:rsidRPr="00107057">
              <w:rPr>
                <w:rFonts w:ascii="Times New Roman" w:hAnsi="Times New Roman" w:cs="Times New Roman"/>
                <w:sz w:val="20"/>
                <w:szCs w:val="20"/>
              </w:rPr>
              <w:t>l’utilisation d’une contraception efficace pendant le traitement et 2 mois après son arrêt.</w:t>
            </w:r>
          </w:p>
          <w:p w14:paraId="21B15A17" w14:textId="75F39273"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Confi</w:t>
            </w:r>
            <w:r w:rsidR="00E449B2" w:rsidRPr="00107057">
              <w:rPr>
                <w:rFonts w:ascii="Times New Roman" w:hAnsi="Times New Roman" w:cs="Times New Roman"/>
                <w:sz w:val="20"/>
                <w:szCs w:val="20"/>
              </w:rPr>
              <w:t>r</w:t>
            </w:r>
            <w:r w:rsidRPr="00107057">
              <w:rPr>
                <w:rFonts w:ascii="Times New Roman" w:hAnsi="Times New Roman" w:cs="Times New Roman"/>
                <w:sz w:val="20"/>
                <w:szCs w:val="20"/>
              </w:rPr>
              <w:t>mer l’absence de grossesse par un test négatif avant l’initiation du traitement, et répéter à des intervalles appropriés.</w:t>
            </w:r>
          </w:p>
          <w:p w14:paraId="2BD9FAE6" w14:textId="2002545A"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Arrêter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si une femme débute une grossesse et réévaluer l’éventualité d’une reprise de la maladie.</w:t>
            </w:r>
          </w:p>
          <w:p w14:paraId="647B1B86" w14:textId="5AA367DA"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Informer les patientes d’arrêter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 xml:space="preserve"> 2 mois avant un projet de grossesse.</w:t>
            </w:r>
          </w:p>
        </w:tc>
      </w:tr>
      <w:tr w:rsidR="00B07B52" w:rsidRPr="00423EE8" w14:paraId="2E0852C4" w14:textId="77777777" w:rsidTr="00B07B52">
        <w:trPr>
          <w:cantSplit/>
        </w:trPr>
        <w:tc>
          <w:tcPr>
            <w:tcW w:w="3539" w:type="dxa"/>
            <w:tcBorders>
              <w:top w:val="single" w:sz="4" w:space="0" w:color="auto"/>
              <w:left w:val="single" w:sz="4" w:space="0" w:color="auto"/>
              <w:bottom w:val="single" w:sz="4" w:space="0" w:color="auto"/>
              <w:right w:val="single" w:sz="4" w:space="0" w:color="auto"/>
            </w:tcBorders>
            <w:hideMark/>
          </w:tcPr>
          <w:p w14:paraId="4A1E79A8" w14:textId="77777777" w:rsidR="00B07B52" w:rsidRPr="00107057" w:rsidRDefault="00B07B52" w:rsidP="00CB615C">
            <w:pPr>
              <w:widowControl/>
              <w:rPr>
                <w:rFonts w:ascii="Times New Roman" w:hAnsi="Times New Roman" w:cs="Times New Roman"/>
                <w:sz w:val="20"/>
                <w:szCs w:val="20"/>
              </w:rPr>
            </w:pPr>
            <w:r w:rsidRPr="00107057">
              <w:rPr>
                <w:rFonts w:ascii="Times New Roman" w:hAnsi="Times New Roman" w:cs="Times New Roman"/>
                <w:sz w:val="20"/>
                <w:szCs w:val="20"/>
              </w:rPr>
              <w:t>Cancer cutané (carcinome basocellulaire, sarcome de Kaposi, mélanome malin, carcinome à cellules de Merkel, carcinome épidermoïde)</w:t>
            </w:r>
          </w:p>
        </w:tc>
        <w:tc>
          <w:tcPr>
            <w:tcW w:w="5528" w:type="dxa"/>
            <w:tcBorders>
              <w:top w:val="single" w:sz="4" w:space="0" w:color="auto"/>
              <w:left w:val="single" w:sz="4" w:space="0" w:color="auto"/>
              <w:bottom w:val="single" w:sz="4" w:space="0" w:color="auto"/>
              <w:right w:val="single" w:sz="4" w:space="0" w:color="auto"/>
            </w:tcBorders>
            <w:hideMark/>
          </w:tcPr>
          <w:p w14:paraId="0E2DEF49"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Réaliser un examen dermatologique avant l’initiation du traitement et tous les 6 à 12 mois.</w:t>
            </w:r>
          </w:p>
          <w:p w14:paraId="1341816A"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Orienter le patient vers un dermatologue si des lésions suspectes sont détectées.</w:t>
            </w:r>
          </w:p>
          <w:p w14:paraId="530E7455"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Les patients doivent être mis en garde contre l’exposition au soleil sans protection.</w:t>
            </w:r>
          </w:p>
          <w:p w14:paraId="6C91BCE3"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Informer les patients qu’ils ne doivent pas recevoir de photothérapie concomitante par UVB ou </w:t>
            </w:r>
            <w:proofErr w:type="spellStart"/>
            <w:r w:rsidRPr="00107057">
              <w:rPr>
                <w:rFonts w:ascii="Times New Roman" w:hAnsi="Times New Roman" w:cs="Times New Roman"/>
                <w:sz w:val="20"/>
                <w:szCs w:val="20"/>
              </w:rPr>
              <w:t>photochimiothérapie</w:t>
            </w:r>
            <w:proofErr w:type="spellEnd"/>
            <w:r w:rsidRPr="00107057">
              <w:rPr>
                <w:rFonts w:ascii="Times New Roman" w:hAnsi="Times New Roman" w:cs="Times New Roman"/>
                <w:sz w:val="20"/>
                <w:szCs w:val="20"/>
              </w:rPr>
              <w:t xml:space="preserve"> par UVA (PUVA).</w:t>
            </w:r>
          </w:p>
        </w:tc>
      </w:tr>
      <w:tr w:rsidR="00B07B52" w:rsidRPr="00423EE8" w14:paraId="57B0202D" w14:textId="77777777" w:rsidTr="00B07B52">
        <w:trPr>
          <w:cantSplit/>
        </w:trPr>
        <w:tc>
          <w:tcPr>
            <w:tcW w:w="3539" w:type="dxa"/>
            <w:tcBorders>
              <w:top w:val="single" w:sz="4" w:space="0" w:color="auto"/>
              <w:left w:val="single" w:sz="4" w:space="0" w:color="auto"/>
              <w:bottom w:val="single" w:sz="4" w:space="0" w:color="auto"/>
              <w:right w:val="single" w:sz="4" w:space="0" w:color="auto"/>
            </w:tcBorders>
            <w:hideMark/>
          </w:tcPr>
          <w:p w14:paraId="105BFE40" w14:textId="77777777" w:rsidR="00B07B52" w:rsidRPr="00107057" w:rsidRDefault="00B07B52" w:rsidP="00CB615C">
            <w:pPr>
              <w:widowControl/>
              <w:rPr>
                <w:rFonts w:ascii="Times New Roman" w:hAnsi="Times New Roman" w:cs="Times New Roman"/>
                <w:sz w:val="20"/>
                <w:szCs w:val="20"/>
              </w:rPr>
            </w:pPr>
            <w:r w:rsidRPr="00107057">
              <w:rPr>
                <w:rFonts w:ascii="Times New Roman" w:hAnsi="Times New Roman" w:cs="Times New Roman"/>
                <w:sz w:val="20"/>
                <w:szCs w:val="20"/>
              </w:rPr>
              <w:lastRenderedPageBreak/>
              <w:t>Utilisation dans la population pédiatrique, y compris l’impact sur la croissance et le développement</w:t>
            </w:r>
          </w:p>
        </w:tc>
        <w:tc>
          <w:tcPr>
            <w:tcW w:w="5528" w:type="dxa"/>
            <w:tcBorders>
              <w:top w:val="single" w:sz="4" w:space="0" w:color="auto"/>
              <w:left w:val="single" w:sz="4" w:space="0" w:color="auto"/>
              <w:bottom w:val="single" w:sz="4" w:space="0" w:color="auto"/>
              <w:right w:val="single" w:sz="4" w:space="0" w:color="auto"/>
            </w:tcBorders>
            <w:hideMark/>
          </w:tcPr>
          <w:p w14:paraId="343596F2"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Toutes les mises en garde, les précautions d’emploi et la surveillance pour les adultes s’appliquent également aux patients pédiatriques.</w:t>
            </w:r>
          </w:p>
          <w:p w14:paraId="06EC9683" w14:textId="79FF4BB0" w:rsidR="00B07B52" w:rsidRPr="00107057" w:rsidRDefault="00E05040" w:rsidP="00147FDB">
            <w:pPr>
              <w:widowControl/>
              <w:numPr>
                <w:ilvl w:val="0"/>
                <w:numId w:val="43"/>
              </w:numPr>
              <w:ind w:left="567" w:hanging="567"/>
              <w:rPr>
                <w:rFonts w:ascii="Times New Roman" w:hAnsi="Times New Roman" w:cs="Times New Roman"/>
                <w:sz w:val="20"/>
                <w:szCs w:val="20"/>
              </w:rPr>
            </w:pPr>
            <w:r>
              <w:rPr>
                <w:rFonts w:ascii="Times New Roman" w:hAnsi="Times New Roman" w:cs="Times New Roman"/>
                <w:sz w:val="20"/>
                <w:szCs w:val="20"/>
              </w:rPr>
              <w:t>É</w:t>
            </w:r>
            <w:r w:rsidR="00B07B52" w:rsidRPr="00107057">
              <w:rPr>
                <w:rFonts w:ascii="Times New Roman" w:hAnsi="Times New Roman" w:cs="Times New Roman"/>
                <w:sz w:val="20"/>
                <w:szCs w:val="20"/>
              </w:rPr>
              <w:t>valuer le stade Tanner et mesurer la taille et le poids conformément à la prise en charge standard.</w:t>
            </w:r>
          </w:p>
          <w:p w14:paraId="3D56D5D7" w14:textId="025157DA"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S’assurer que le statut vaccinal est à jour avant initiation du traitement par </w:t>
            </w:r>
            <w:proofErr w:type="spellStart"/>
            <w:r w:rsidR="003D4777" w:rsidRPr="00107057">
              <w:rPr>
                <w:rFonts w:ascii="Times New Roman" w:hAnsi="Times New Roman" w:cs="Times New Roman"/>
                <w:sz w:val="20"/>
                <w:szCs w:val="20"/>
              </w:rPr>
              <w:t>Fingolimod</w:t>
            </w:r>
            <w:proofErr w:type="spellEnd"/>
            <w:r w:rsidR="003D4777" w:rsidRPr="00107057">
              <w:rPr>
                <w:rFonts w:ascii="Times New Roman" w:hAnsi="Times New Roman" w:cs="Times New Roman"/>
                <w:sz w:val="20"/>
                <w:szCs w:val="20"/>
              </w:rPr>
              <w:t xml:space="preserve"> Mylan</w:t>
            </w:r>
            <w:r w:rsidRPr="00107057">
              <w:rPr>
                <w:rFonts w:ascii="Times New Roman" w:hAnsi="Times New Roman" w:cs="Times New Roman"/>
                <w:sz w:val="20"/>
                <w:szCs w:val="20"/>
              </w:rPr>
              <w:t>.</w:t>
            </w:r>
          </w:p>
          <w:p w14:paraId="47566010" w14:textId="77777777" w:rsidR="00B07B52" w:rsidRPr="00107057" w:rsidRDefault="00B07B52" w:rsidP="00147FDB">
            <w:pPr>
              <w:widowControl/>
              <w:numPr>
                <w:ilvl w:val="0"/>
                <w:numId w:val="43"/>
              </w:numPr>
              <w:ind w:left="567" w:hanging="567"/>
              <w:rPr>
                <w:rFonts w:ascii="Times New Roman" w:hAnsi="Times New Roman" w:cs="Times New Roman"/>
                <w:sz w:val="20"/>
                <w:szCs w:val="20"/>
              </w:rPr>
            </w:pPr>
            <w:r w:rsidRPr="00107057">
              <w:rPr>
                <w:rFonts w:ascii="Times New Roman" w:hAnsi="Times New Roman" w:cs="Times New Roman"/>
                <w:sz w:val="20"/>
                <w:szCs w:val="20"/>
              </w:rPr>
              <w:t>Surveiller les signes et symptômes de dépression et d’anxiété.</w:t>
            </w:r>
          </w:p>
        </w:tc>
      </w:tr>
    </w:tbl>
    <w:p w14:paraId="6C54617A" w14:textId="77777777" w:rsidR="00F17FFD" w:rsidRDefault="00F17FFD" w:rsidP="00CB615C">
      <w:pPr>
        <w:widowControl/>
        <w:spacing w:after="0" w:line="240" w:lineRule="auto"/>
        <w:rPr>
          <w:rFonts w:ascii="Times New Roman" w:hAnsi="Times New Roman" w:cs="Times New Roman"/>
        </w:rPr>
      </w:pPr>
    </w:p>
    <w:p w14:paraId="7C2C6945" w14:textId="77777777" w:rsidR="00F17FFD" w:rsidRDefault="00080994" w:rsidP="00CB615C">
      <w:pPr>
        <w:widowControl/>
        <w:spacing w:after="0" w:line="240" w:lineRule="auto"/>
        <w:rPr>
          <w:rFonts w:ascii="Times New Roman" w:hAnsi="Times New Roman"/>
          <w:b/>
        </w:rPr>
      </w:pPr>
      <w:bookmarkStart w:id="11" w:name="_Hlk22568340"/>
      <w:r>
        <w:rPr>
          <w:rFonts w:ascii="Times New Roman" w:hAnsi="Times New Roman"/>
          <w:b/>
        </w:rPr>
        <w:t>Guide-patient /parent / aidant</w:t>
      </w:r>
    </w:p>
    <w:bookmarkEnd w:id="11"/>
    <w:p w14:paraId="4ECF8842" w14:textId="77777777" w:rsidR="00F17FFD" w:rsidRDefault="00F17FFD" w:rsidP="00CB615C">
      <w:pPr>
        <w:widowControl/>
        <w:spacing w:after="0" w:line="240" w:lineRule="auto"/>
        <w:rPr>
          <w:rFonts w:ascii="Times New Roman" w:hAnsi="Times New Roman" w:cs="Times New Roman"/>
        </w:rPr>
      </w:pPr>
    </w:p>
    <w:p w14:paraId="004CC448" w14:textId="0BD8FE99" w:rsidR="003D4777" w:rsidRDefault="00080994" w:rsidP="00CB615C">
      <w:pPr>
        <w:widowControl/>
        <w:tabs>
          <w:tab w:val="left" w:pos="567"/>
        </w:tabs>
        <w:spacing w:after="0" w:line="240" w:lineRule="auto"/>
        <w:ind w:left="567" w:hanging="567"/>
        <w:rPr>
          <w:rFonts w:ascii="Times New Roman" w:hAnsi="Times New Roman"/>
        </w:rPr>
      </w:pPr>
      <w:r>
        <w:rPr>
          <w:rFonts w:ascii="Times New Roman" w:hAnsi="Times New Roman"/>
        </w:rPr>
        <w:t>Le guide-patient/parent/aidant devra contenir les messages clés suivants :</w:t>
      </w:r>
    </w:p>
    <w:p w14:paraId="2491C384" w14:textId="77777777" w:rsidR="003D4777" w:rsidRPr="003D4777" w:rsidRDefault="003D4777" w:rsidP="00CB615C">
      <w:pPr>
        <w:widowControl/>
        <w:tabs>
          <w:tab w:val="left" w:pos="567"/>
        </w:tabs>
        <w:spacing w:after="0" w:line="240" w:lineRule="auto"/>
        <w:rPr>
          <w:rFonts w:ascii="Times New Roman" w:hAnsi="Times New Roman" w:cs="Times New Roman"/>
        </w:rPr>
      </w:pPr>
    </w:p>
    <w:tbl>
      <w:tblPr>
        <w:tblStyle w:val="Grilledutableau"/>
        <w:tblW w:w="9067" w:type="dxa"/>
        <w:tblLook w:val="04A0" w:firstRow="1" w:lastRow="0" w:firstColumn="1" w:lastColumn="0" w:noHBand="0" w:noVBand="1"/>
      </w:tblPr>
      <w:tblGrid>
        <w:gridCol w:w="3539"/>
        <w:gridCol w:w="5528"/>
      </w:tblGrid>
      <w:tr w:rsidR="003D4777" w:rsidRPr="00071084" w14:paraId="7D082C0F" w14:textId="77777777" w:rsidTr="00D96AEB">
        <w:trPr>
          <w:tblHeader/>
        </w:trPr>
        <w:tc>
          <w:tcPr>
            <w:tcW w:w="3539" w:type="dxa"/>
            <w:tcBorders>
              <w:top w:val="single" w:sz="4" w:space="0" w:color="auto"/>
              <w:left w:val="single" w:sz="4" w:space="0" w:color="auto"/>
              <w:bottom w:val="single" w:sz="4" w:space="0" w:color="auto"/>
              <w:right w:val="single" w:sz="4" w:space="0" w:color="auto"/>
            </w:tcBorders>
            <w:hideMark/>
          </w:tcPr>
          <w:p w14:paraId="07066251" w14:textId="77777777" w:rsidR="003D4777" w:rsidRPr="00107057" w:rsidRDefault="003D4777" w:rsidP="00CB615C">
            <w:pPr>
              <w:widowControl/>
              <w:tabs>
                <w:tab w:val="left" w:pos="567"/>
              </w:tabs>
              <w:ind w:left="567" w:hanging="567"/>
              <w:rPr>
                <w:rFonts w:ascii="Times New Roman" w:hAnsi="Times New Roman" w:cs="Times New Roman"/>
                <w:b/>
                <w:bCs/>
                <w:sz w:val="20"/>
                <w:szCs w:val="20"/>
                <w:lang w:val="en-US"/>
              </w:rPr>
            </w:pPr>
            <w:proofErr w:type="spellStart"/>
            <w:r w:rsidRPr="00107057">
              <w:rPr>
                <w:rFonts w:ascii="Times New Roman" w:hAnsi="Times New Roman" w:cs="Times New Roman"/>
                <w:b/>
                <w:bCs/>
                <w:sz w:val="20"/>
                <w:szCs w:val="20"/>
                <w:lang w:val="en-US"/>
              </w:rPr>
              <w:t>Risques</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1AF67C38" w14:textId="77777777" w:rsidR="003D4777" w:rsidRPr="00107057" w:rsidRDefault="003D4777" w:rsidP="00CB615C">
            <w:pPr>
              <w:widowControl/>
              <w:tabs>
                <w:tab w:val="left" w:pos="567"/>
              </w:tabs>
              <w:ind w:left="567" w:hanging="567"/>
              <w:rPr>
                <w:rFonts w:ascii="Times New Roman" w:hAnsi="Times New Roman" w:cs="Times New Roman"/>
                <w:b/>
                <w:bCs/>
                <w:sz w:val="20"/>
                <w:szCs w:val="20"/>
                <w:lang w:val="en-US"/>
              </w:rPr>
            </w:pPr>
            <w:r w:rsidRPr="00107057">
              <w:rPr>
                <w:rFonts w:ascii="Times New Roman" w:hAnsi="Times New Roman" w:cs="Times New Roman"/>
                <w:b/>
                <w:bCs/>
                <w:sz w:val="20"/>
                <w:szCs w:val="20"/>
                <w:lang w:val="en-US"/>
              </w:rPr>
              <w:t xml:space="preserve">Messages </w:t>
            </w:r>
            <w:proofErr w:type="spellStart"/>
            <w:r w:rsidRPr="00107057">
              <w:rPr>
                <w:rFonts w:ascii="Times New Roman" w:hAnsi="Times New Roman" w:cs="Times New Roman"/>
                <w:b/>
                <w:bCs/>
                <w:sz w:val="20"/>
                <w:szCs w:val="20"/>
                <w:lang w:val="en-US"/>
              </w:rPr>
              <w:t>clés</w:t>
            </w:r>
            <w:proofErr w:type="spellEnd"/>
            <w:r w:rsidRPr="00107057">
              <w:rPr>
                <w:rFonts w:ascii="Times New Roman" w:hAnsi="Times New Roman" w:cs="Times New Roman"/>
                <w:b/>
                <w:bCs/>
                <w:sz w:val="20"/>
                <w:szCs w:val="20"/>
                <w:lang w:val="en-US"/>
              </w:rPr>
              <w:t xml:space="preserve"> de </w:t>
            </w:r>
            <w:proofErr w:type="spellStart"/>
            <w:r w:rsidRPr="00107057">
              <w:rPr>
                <w:rFonts w:ascii="Times New Roman" w:hAnsi="Times New Roman" w:cs="Times New Roman"/>
                <w:b/>
                <w:bCs/>
                <w:sz w:val="20"/>
                <w:szCs w:val="20"/>
                <w:lang w:val="en-US"/>
              </w:rPr>
              <w:t>sécurité</w:t>
            </w:r>
            <w:proofErr w:type="spellEnd"/>
          </w:p>
        </w:tc>
      </w:tr>
      <w:tr w:rsidR="003D4777" w:rsidRPr="00071084" w14:paraId="58ABA310" w14:textId="77777777" w:rsidTr="003D4777">
        <w:tc>
          <w:tcPr>
            <w:tcW w:w="3539" w:type="dxa"/>
            <w:tcBorders>
              <w:top w:val="single" w:sz="4" w:space="0" w:color="auto"/>
              <w:left w:val="single" w:sz="4" w:space="0" w:color="auto"/>
              <w:bottom w:val="single" w:sz="4" w:space="0" w:color="auto"/>
              <w:right w:val="single" w:sz="4" w:space="0" w:color="auto"/>
            </w:tcBorders>
            <w:hideMark/>
          </w:tcPr>
          <w:p w14:paraId="3D8F32BC" w14:textId="77777777" w:rsidR="003D4777" w:rsidRPr="00107057" w:rsidRDefault="003D4777" w:rsidP="00CB615C">
            <w:pPr>
              <w:widowControl/>
              <w:tabs>
                <w:tab w:val="left" w:pos="567"/>
              </w:tabs>
              <w:rPr>
                <w:rFonts w:ascii="Times New Roman" w:hAnsi="Times New Roman" w:cs="Times New Roman"/>
                <w:sz w:val="20"/>
                <w:szCs w:val="20"/>
              </w:rPr>
            </w:pPr>
            <w:proofErr w:type="spellStart"/>
            <w:r w:rsidRPr="00107057">
              <w:rPr>
                <w:rFonts w:ascii="Times New Roman" w:hAnsi="Times New Roman" w:cs="Times New Roman"/>
                <w:sz w:val="20"/>
                <w:szCs w:val="20"/>
              </w:rPr>
              <w:t>Bradyarhythmie</w:t>
            </w:r>
            <w:proofErr w:type="spellEnd"/>
            <w:r w:rsidRPr="00107057">
              <w:rPr>
                <w:rFonts w:ascii="Times New Roman" w:hAnsi="Times New Roman" w:cs="Times New Roman"/>
                <w:sz w:val="20"/>
                <w:szCs w:val="20"/>
              </w:rPr>
              <w:t xml:space="preserve"> (y compris troubles de la conduction et bradycardie compliquée par une hypotension) survenant après la première dose</w:t>
            </w:r>
          </w:p>
        </w:tc>
        <w:tc>
          <w:tcPr>
            <w:tcW w:w="5528" w:type="dxa"/>
            <w:tcBorders>
              <w:top w:val="single" w:sz="4" w:space="0" w:color="auto"/>
              <w:left w:val="single" w:sz="4" w:space="0" w:color="auto"/>
              <w:bottom w:val="single" w:sz="4" w:space="0" w:color="auto"/>
              <w:right w:val="single" w:sz="4" w:space="0" w:color="auto"/>
            </w:tcBorders>
            <w:hideMark/>
          </w:tcPr>
          <w:p w14:paraId="399A36BB" w14:textId="77777777" w:rsidR="003D4777" w:rsidRPr="00107057" w:rsidRDefault="003D4777" w:rsidP="00147FD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Informer votre médecin en cas d’antécédent de maladie cardiaque ou si vous prenez de façon concomitante des traitements connus pour diminuer la fréquence cardiaque.</w:t>
            </w:r>
          </w:p>
          <w:p w14:paraId="6C327501" w14:textId="17637D07" w:rsidR="003D4777" w:rsidRPr="00107057" w:rsidRDefault="003D4777" w:rsidP="00147FD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Votre médecin réalisera un ECG et une mesure de la pression artérielle avant la première dose de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w:t>
            </w:r>
          </w:p>
          <w:p w14:paraId="66BF95BB" w14:textId="504298AA" w:rsidR="003D4777" w:rsidRPr="00107057" w:rsidRDefault="003D4777" w:rsidP="00147FD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Votre médecin surveillera votre fréquence cardiaque après la première dose. Une surveillance prolongée et jusqu’au lendemain peut être nécessaire. Une reprise de la surveillance peut être nécessaire à la reprise du traitement.</w:t>
            </w:r>
          </w:p>
          <w:p w14:paraId="5EE01633" w14:textId="63A3E324" w:rsidR="003D4777" w:rsidRPr="00107057" w:rsidRDefault="003D4777" w:rsidP="00147FD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Informer immédiatement votre médecin des symptômes évoquant une fréquence cardiaque basse (comme des étourdissements, des vertiges, des nausées ou des palpitations) après la première dose de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w:t>
            </w:r>
          </w:p>
          <w:p w14:paraId="55C0989D" w14:textId="77777777" w:rsidR="003D4777" w:rsidRPr="00107057" w:rsidRDefault="003D4777" w:rsidP="00147FD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Appeler votre médecin en cas d’oubli de dose, car il pourra être nécessaire de répéter la surveillance comme après la première administration.</w:t>
            </w:r>
          </w:p>
        </w:tc>
      </w:tr>
      <w:tr w:rsidR="003D4777" w:rsidRPr="00071084" w14:paraId="371087A8" w14:textId="77777777" w:rsidTr="003D4777">
        <w:tc>
          <w:tcPr>
            <w:tcW w:w="3539" w:type="dxa"/>
            <w:tcBorders>
              <w:top w:val="single" w:sz="4" w:space="0" w:color="auto"/>
              <w:left w:val="single" w:sz="4" w:space="0" w:color="auto"/>
              <w:bottom w:val="single" w:sz="4" w:space="0" w:color="auto"/>
              <w:right w:val="single" w:sz="4" w:space="0" w:color="auto"/>
            </w:tcBorders>
            <w:hideMark/>
          </w:tcPr>
          <w:p w14:paraId="4B9B8975" w14:textId="77777777" w:rsidR="003D4777" w:rsidRPr="00107057" w:rsidRDefault="003D4777" w:rsidP="00CB615C">
            <w:pPr>
              <w:widowControl/>
              <w:tabs>
                <w:tab w:val="left" w:pos="567"/>
              </w:tabs>
              <w:rPr>
                <w:rFonts w:ascii="Times New Roman" w:hAnsi="Times New Roman" w:cs="Times New Roman"/>
                <w:sz w:val="20"/>
                <w:szCs w:val="20"/>
                <w:lang w:val="en-US"/>
              </w:rPr>
            </w:pPr>
            <w:r w:rsidRPr="00107057">
              <w:rPr>
                <w:rFonts w:ascii="Times New Roman" w:hAnsi="Times New Roman" w:cs="Times New Roman"/>
                <w:sz w:val="20"/>
                <w:szCs w:val="20"/>
                <w:lang w:val="en-US"/>
              </w:rPr>
              <w:t xml:space="preserve">Augmentation des transaminases </w:t>
            </w:r>
            <w:proofErr w:type="spellStart"/>
            <w:r w:rsidRPr="00107057">
              <w:rPr>
                <w:rFonts w:ascii="Times New Roman" w:hAnsi="Times New Roman" w:cs="Times New Roman"/>
                <w:sz w:val="20"/>
                <w:szCs w:val="20"/>
                <w:lang w:val="en-US"/>
              </w:rPr>
              <w:t>hépatiques</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28F535E1" w14:textId="77777777" w:rsidR="003D4777" w:rsidRPr="00107057" w:rsidRDefault="003D4777" w:rsidP="00147FD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Informer votre médecin en cas de problèmes hépatiques.</w:t>
            </w:r>
          </w:p>
          <w:p w14:paraId="6220D38D" w14:textId="77777777" w:rsidR="003D4777" w:rsidRPr="00107057" w:rsidRDefault="003D4777" w:rsidP="00147FD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Votre médecin réalisera des tests de la fonction hépatique avant l’initiation du traitement, à des intervalles spécifiques durant le traitement et jusqu’à 2 mois après l’arrêt du traitement.</w:t>
            </w:r>
          </w:p>
          <w:p w14:paraId="2060A7C2" w14:textId="77777777" w:rsidR="003D4777" w:rsidRPr="00107057" w:rsidRDefault="003D4777" w:rsidP="00147FD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Informer votre médecin si nous identifiez des signes d’atteinte hépatique (tels qu’un jaunissement de la peau ou du blanc des yeux, une coloration anormalement foncée des urines, des douleurs du côté droit du ventre, des nausées et vomissements inexpliqués).</w:t>
            </w:r>
          </w:p>
        </w:tc>
      </w:tr>
      <w:tr w:rsidR="003D4777" w:rsidRPr="00071084" w14:paraId="03119AB6" w14:textId="77777777" w:rsidTr="003D4777">
        <w:tc>
          <w:tcPr>
            <w:tcW w:w="3539" w:type="dxa"/>
            <w:tcBorders>
              <w:top w:val="single" w:sz="4" w:space="0" w:color="auto"/>
              <w:left w:val="single" w:sz="4" w:space="0" w:color="auto"/>
              <w:bottom w:val="single" w:sz="4" w:space="0" w:color="auto"/>
              <w:right w:val="single" w:sz="4" w:space="0" w:color="auto"/>
            </w:tcBorders>
            <w:hideMark/>
          </w:tcPr>
          <w:p w14:paraId="10310B21" w14:textId="77777777" w:rsidR="003D4777" w:rsidRPr="00107057" w:rsidRDefault="003D4777" w:rsidP="00CB615C">
            <w:pPr>
              <w:widowControl/>
              <w:tabs>
                <w:tab w:val="left" w:pos="567"/>
              </w:tabs>
              <w:ind w:left="567" w:hanging="567"/>
              <w:rPr>
                <w:rFonts w:ascii="Times New Roman" w:hAnsi="Times New Roman" w:cs="Times New Roman"/>
                <w:sz w:val="20"/>
                <w:szCs w:val="20"/>
                <w:lang w:val="en-US"/>
              </w:rPr>
            </w:pPr>
            <w:proofErr w:type="spellStart"/>
            <w:r w:rsidRPr="00107057">
              <w:rPr>
                <w:rFonts w:ascii="Times New Roman" w:hAnsi="Times New Roman" w:cs="Times New Roman"/>
                <w:sz w:val="20"/>
                <w:szCs w:val="20"/>
                <w:lang w:val="en-US"/>
              </w:rPr>
              <w:t>Œdème</w:t>
            </w:r>
            <w:proofErr w:type="spellEnd"/>
            <w:r w:rsidRPr="00107057">
              <w:rPr>
                <w:rFonts w:ascii="Times New Roman" w:hAnsi="Times New Roman" w:cs="Times New Roman"/>
                <w:sz w:val="20"/>
                <w:szCs w:val="20"/>
                <w:lang w:val="en-US"/>
              </w:rPr>
              <w:t xml:space="preserve"> </w:t>
            </w:r>
            <w:proofErr w:type="spellStart"/>
            <w:r w:rsidRPr="00107057">
              <w:rPr>
                <w:rFonts w:ascii="Times New Roman" w:hAnsi="Times New Roman" w:cs="Times New Roman"/>
                <w:sz w:val="20"/>
                <w:szCs w:val="20"/>
                <w:lang w:val="en-US"/>
              </w:rPr>
              <w:t>maculaire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4484B553" w14:textId="1CC311AD" w:rsidR="003D4777" w:rsidRPr="00107057" w:rsidRDefault="003D4777" w:rsidP="00147FD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Votre médecin vous prescrira un bilan ophtalmologique avant l’initiation du traitement par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 et comme requis, pendant le traitement. Un bilan ophtalmologique de suivi peut être réalisé 3 à 4 mois après l’initiation de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w:t>
            </w:r>
          </w:p>
          <w:p w14:paraId="322CFDCE" w14:textId="4F55A525" w:rsidR="003D4777" w:rsidRPr="00107057" w:rsidRDefault="003D4777" w:rsidP="00147FD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Informer immédiatement votre médecin de tout symptôme d’atteinte visuelle pendant le traitement par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 et au moins deux mois après son arrêt.</w:t>
            </w:r>
          </w:p>
        </w:tc>
      </w:tr>
      <w:tr w:rsidR="003D4777" w:rsidRPr="00071084" w14:paraId="18EA22EB" w14:textId="77777777" w:rsidTr="00147FDB">
        <w:trPr>
          <w:cantSplit/>
        </w:trPr>
        <w:tc>
          <w:tcPr>
            <w:tcW w:w="3539" w:type="dxa"/>
            <w:tcBorders>
              <w:top w:val="single" w:sz="4" w:space="0" w:color="auto"/>
              <w:left w:val="single" w:sz="4" w:space="0" w:color="auto"/>
              <w:bottom w:val="single" w:sz="4" w:space="0" w:color="auto"/>
              <w:right w:val="single" w:sz="4" w:space="0" w:color="auto"/>
            </w:tcBorders>
            <w:hideMark/>
          </w:tcPr>
          <w:p w14:paraId="5568E78C" w14:textId="77777777" w:rsidR="003D4777" w:rsidRPr="00107057" w:rsidRDefault="003D4777" w:rsidP="00CB615C">
            <w:pPr>
              <w:widowControl/>
              <w:tabs>
                <w:tab w:val="left" w:pos="567"/>
              </w:tabs>
              <w:rPr>
                <w:rFonts w:ascii="Times New Roman" w:hAnsi="Times New Roman" w:cs="Times New Roman"/>
                <w:sz w:val="20"/>
                <w:szCs w:val="20"/>
              </w:rPr>
            </w:pPr>
            <w:r w:rsidRPr="00107057">
              <w:rPr>
                <w:rFonts w:ascii="Times New Roman" w:hAnsi="Times New Roman" w:cs="Times New Roman"/>
                <w:sz w:val="20"/>
                <w:szCs w:val="20"/>
              </w:rPr>
              <w:lastRenderedPageBreak/>
              <w:t>Infections opportunistes y compris le virus varicelle-zona (VZV), les infections aux virus herpétiques autres que le VZV et les infections fongiques</w:t>
            </w:r>
          </w:p>
        </w:tc>
        <w:tc>
          <w:tcPr>
            <w:tcW w:w="5528" w:type="dxa"/>
            <w:tcBorders>
              <w:top w:val="single" w:sz="4" w:space="0" w:color="auto"/>
              <w:left w:val="single" w:sz="4" w:space="0" w:color="auto"/>
              <w:bottom w:val="single" w:sz="4" w:space="0" w:color="auto"/>
              <w:right w:val="single" w:sz="4" w:space="0" w:color="auto"/>
            </w:tcBorders>
            <w:hideMark/>
          </w:tcPr>
          <w:p w14:paraId="3487BEE1" w14:textId="3D3044F4"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Votre médecin va surveiller votre taux de lymphocytes avant et pendant le traitement par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 Le traitement par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 peut être interrompu en cas de taux de lymphocytes trop bas.</w:t>
            </w:r>
          </w:p>
          <w:p w14:paraId="56B28020" w14:textId="153C06FF"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Informer immédiatement votre médecin des signes et symptômes d’infection, pendant le traitement par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 et jusqu’à deux mois après son arrêt (tels que fièvre, symptômes pseudo-grippaux, maux de tête accompagnés d’une raideur de la nuque, sensibilité à la lumière, nausées, zona et/ou confusion ou convulsions [ceux-ci peuvent être des symptômes de méningite et/ou d’encéphalite]).</w:t>
            </w:r>
          </w:p>
        </w:tc>
      </w:tr>
      <w:tr w:rsidR="003D4777" w:rsidRPr="00071084" w14:paraId="4B32DB9D" w14:textId="77777777" w:rsidTr="003D4777">
        <w:tc>
          <w:tcPr>
            <w:tcW w:w="3539" w:type="dxa"/>
            <w:tcBorders>
              <w:top w:val="single" w:sz="4" w:space="0" w:color="auto"/>
              <w:left w:val="single" w:sz="4" w:space="0" w:color="auto"/>
              <w:bottom w:val="single" w:sz="4" w:space="0" w:color="auto"/>
              <w:right w:val="single" w:sz="4" w:space="0" w:color="auto"/>
            </w:tcBorders>
            <w:hideMark/>
          </w:tcPr>
          <w:p w14:paraId="694A5C4C" w14:textId="77777777" w:rsidR="003D4777" w:rsidRPr="00107057" w:rsidRDefault="003D4777" w:rsidP="00CB615C">
            <w:pPr>
              <w:widowControl/>
              <w:tabs>
                <w:tab w:val="left" w:pos="567"/>
              </w:tabs>
              <w:rPr>
                <w:rFonts w:ascii="Times New Roman" w:hAnsi="Times New Roman" w:cs="Times New Roman"/>
                <w:sz w:val="20"/>
                <w:szCs w:val="20"/>
                <w:lang w:val="de-DE"/>
              </w:rPr>
            </w:pPr>
            <w:proofErr w:type="spellStart"/>
            <w:r w:rsidRPr="00107057">
              <w:rPr>
                <w:rFonts w:ascii="Times New Roman" w:hAnsi="Times New Roman" w:cs="Times New Roman"/>
                <w:sz w:val="20"/>
                <w:szCs w:val="20"/>
                <w:lang w:val="en-US"/>
              </w:rPr>
              <w:t>Leucoencéphalopathie</w:t>
            </w:r>
            <w:proofErr w:type="spellEnd"/>
            <w:r w:rsidRPr="00107057">
              <w:rPr>
                <w:rFonts w:ascii="Times New Roman" w:hAnsi="Times New Roman" w:cs="Times New Roman"/>
                <w:sz w:val="20"/>
                <w:szCs w:val="20"/>
                <w:lang w:val="en-US"/>
              </w:rPr>
              <w:t xml:space="preserve"> </w:t>
            </w:r>
            <w:proofErr w:type="spellStart"/>
            <w:r w:rsidRPr="00107057">
              <w:rPr>
                <w:rFonts w:ascii="Times New Roman" w:hAnsi="Times New Roman" w:cs="Times New Roman"/>
                <w:sz w:val="20"/>
                <w:szCs w:val="20"/>
                <w:lang w:val="en-US"/>
              </w:rPr>
              <w:t>multifocale</w:t>
            </w:r>
            <w:proofErr w:type="spellEnd"/>
            <w:r w:rsidRPr="00107057">
              <w:rPr>
                <w:rFonts w:ascii="Times New Roman" w:hAnsi="Times New Roman" w:cs="Times New Roman"/>
                <w:sz w:val="20"/>
                <w:szCs w:val="20"/>
                <w:lang w:val="en-US"/>
              </w:rPr>
              <w:t xml:space="preserve"> progressive (LEMP)</w:t>
            </w:r>
          </w:p>
        </w:tc>
        <w:tc>
          <w:tcPr>
            <w:tcW w:w="5528" w:type="dxa"/>
            <w:tcBorders>
              <w:top w:val="single" w:sz="4" w:space="0" w:color="auto"/>
              <w:left w:val="single" w:sz="4" w:space="0" w:color="auto"/>
              <w:bottom w:val="single" w:sz="4" w:space="0" w:color="auto"/>
              <w:right w:val="single" w:sz="4" w:space="0" w:color="auto"/>
            </w:tcBorders>
            <w:hideMark/>
          </w:tcPr>
          <w:p w14:paraId="64C3C206" w14:textId="77777777"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La LEMP est une maladie rare du cerveau causée par une infection qui peut entraîner un handicap sévère ou le décès.</w:t>
            </w:r>
          </w:p>
          <w:p w14:paraId="44F74808" w14:textId="4285FEEB"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Votre médecin vous prescrira une imagerie par résonance magnétique (IRM) avant l’initiation du traitement et au cours du traitement pour surveiller le risque de LEMP.</w:t>
            </w:r>
          </w:p>
          <w:p w14:paraId="5D932B4E" w14:textId="0B917E1A"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Informer immédiatement votre médecin si vous pensez que votre sclérose en plaques s’aggrave ou si vous constatez un nouveau symptôme, pendant et après le traitement par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 par exemple un changement d’humeur ou de comportement, une faiblesse nouvelle ou aggravée d’un côté du corps, des troubles visuels, confusion, pertes de mémoire ou de paroles et des difficultés de communication. Il peut s’agir de symptômes de LEMP ou d’une réaction inflammatoire (connue comme le syndrome inflammatoire de reconstitution immune ou IRIS) qui peut survenir chez les patients avec une LEMP lorsque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 est éliminé de leur corps après l’arrêt du traitement.</w:t>
            </w:r>
          </w:p>
          <w:p w14:paraId="71F1255A" w14:textId="77777777"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Parlez-en également avec votre partenaire ou vos soignants et informez-les de votre traitement. Les symptômes peuvent survenir sans que vous ne vous en rendiez compte par vous-même.</w:t>
            </w:r>
          </w:p>
        </w:tc>
      </w:tr>
      <w:tr w:rsidR="003D4777" w:rsidRPr="00071084" w14:paraId="3E2389A9" w14:textId="77777777" w:rsidTr="003D4777">
        <w:tc>
          <w:tcPr>
            <w:tcW w:w="3539" w:type="dxa"/>
            <w:tcBorders>
              <w:top w:val="single" w:sz="4" w:space="0" w:color="auto"/>
              <w:left w:val="single" w:sz="4" w:space="0" w:color="auto"/>
              <w:bottom w:val="single" w:sz="4" w:space="0" w:color="auto"/>
              <w:right w:val="single" w:sz="4" w:space="0" w:color="auto"/>
            </w:tcBorders>
            <w:hideMark/>
          </w:tcPr>
          <w:p w14:paraId="792001DB" w14:textId="2E7827D9" w:rsidR="003D4777" w:rsidRPr="00107057" w:rsidRDefault="003D4777" w:rsidP="00CB615C">
            <w:pPr>
              <w:widowControl/>
              <w:tabs>
                <w:tab w:val="left" w:pos="567"/>
              </w:tabs>
              <w:rPr>
                <w:rFonts w:ascii="Times New Roman" w:hAnsi="Times New Roman" w:cs="Times New Roman"/>
                <w:sz w:val="20"/>
                <w:szCs w:val="20"/>
              </w:rPr>
            </w:pPr>
            <w:r w:rsidRPr="00107057">
              <w:rPr>
                <w:rFonts w:ascii="Times New Roman" w:hAnsi="Times New Roman" w:cs="Times New Roman"/>
                <w:sz w:val="20"/>
                <w:szCs w:val="20"/>
              </w:rPr>
              <w:t>Cancer cutané (carcinome basocellulaire, sarcome de Kaposi, mélanome malin, carcinome à cellules de Merkel, carcinome épidermoïde</w:t>
            </w:r>
            <w:r w:rsidR="00390751" w:rsidRPr="00107057">
              <w:rPr>
                <w:rFonts w:ascii="Times New Roman" w:hAnsi="Times New Roman" w:cs="Times New Roman"/>
                <w:sz w:val="20"/>
                <w:szCs w:val="20"/>
              </w:rPr>
              <w:t>)</w:t>
            </w:r>
          </w:p>
        </w:tc>
        <w:tc>
          <w:tcPr>
            <w:tcW w:w="5528" w:type="dxa"/>
            <w:tcBorders>
              <w:top w:val="single" w:sz="4" w:space="0" w:color="auto"/>
              <w:left w:val="single" w:sz="4" w:space="0" w:color="auto"/>
              <w:bottom w:val="single" w:sz="4" w:space="0" w:color="auto"/>
              <w:right w:val="single" w:sz="4" w:space="0" w:color="auto"/>
            </w:tcBorders>
            <w:hideMark/>
          </w:tcPr>
          <w:p w14:paraId="5BF41702" w14:textId="3D245AF6"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Informer immédiatement votre médecin si des nodules cutanés (par exemple nodules brillants et nacrés), des taches ou des plaies ouvertes, qui ne s’atténuent pas au bout de quelques semaines, sont constatés. Des cancers cutanés ont été rapportés chez des patients atteints de sclérose en plaques traités par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 Les symptômes de cancer cutané peuvent inclure une croissance anormale ou des changements du tissu cutané (par exemple grains de beauté inhabituels) s’associant à un changement de couleur, de forme ou de taille au cours du temps.</w:t>
            </w:r>
          </w:p>
        </w:tc>
      </w:tr>
      <w:tr w:rsidR="003D4777" w:rsidRPr="00071084" w14:paraId="525A0807" w14:textId="77777777" w:rsidTr="003D4777">
        <w:tc>
          <w:tcPr>
            <w:tcW w:w="3539" w:type="dxa"/>
            <w:tcBorders>
              <w:top w:val="single" w:sz="4" w:space="0" w:color="auto"/>
              <w:left w:val="single" w:sz="4" w:space="0" w:color="auto"/>
              <w:bottom w:val="single" w:sz="4" w:space="0" w:color="auto"/>
              <w:right w:val="single" w:sz="4" w:space="0" w:color="auto"/>
            </w:tcBorders>
            <w:hideMark/>
          </w:tcPr>
          <w:p w14:paraId="7464DB61" w14:textId="77777777" w:rsidR="003D4777" w:rsidRPr="00107057" w:rsidRDefault="003D4777" w:rsidP="00CB615C">
            <w:pPr>
              <w:widowControl/>
              <w:tabs>
                <w:tab w:val="left" w:pos="567"/>
              </w:tabs>
              <w:ind w:left="567" w:hanging="567"/>
              <w:rPr>
                <w:rFonts w:ascii="Times New Roman" w:hAnsi="Times New Roman" w:cs="Times New Roman"/>
                <w:sz w:val="20"/>
                <w:szCs w:val="20"/>
                <w:lang w:val="en-US"/>
              </w:rPr>
            </w:pPr>
            <w:proofErr w:type="spellStart"/>
            <w:r w:rsidRPr="00107057">
              <w:rPr>
                <w:rFonts w:ascii="Times New Roman" w:hAnsi="Times New Roman" w:cs="Times New Roman"/>
                <w:sz w:val="20"/>
                <w:szCs w:val="20"/>
                <w:lang w:val="en-US"/>
              </w:rPr>
              <w:t>Reprotoxicité</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5C4100E9" w14:textId="355819B3"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 ne doit pas être utilisé chez les femmes en âge de procréer et sans contraception efficace et chez les femmes enceintes.</w:t>
            </w:r>
          </w:p>
          <w:p w14:paraId="44CCE168" w14:textId="77777777"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Si vous êtes une femme en âge de procréer, vous devez utiliser un moyen de contraception efficace durant le traitement et pendant 2 mois après son arrêt.</w:t>
            </w:r>
          </w:p>
          <w:p w14:paraId="02F028CE" w14:textId="57D7513D"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Signaler immédiatement à votre médecin toute grossesse (volontaire ou involontaire) qui surviendrait sous traitement par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 et dans les deux mois suivant son arrêt.</w:t>
            </w:r>
          </w:p>
        </w:tc>
      </w:tr>
      <w:tr w:rsidR="003D4777" w:rsidRPr="00071084" w14:paraId="7AABBAB9" w14:textId="77777777" w:rsidTr="00D96AEB">
        <w:trPr>
          <w:cantSplit/>
        </w:trPr>
        <w:tc>
          <w:tcPr>
            <w:tcW w:w="3539" w:type="dxa"/>
            <w:tcBorders>
              <w:top w:val="single" w:sz="4" w:space="0" w:color="auto"/>
              <w:left w:val="single" w:sz="4" w:space="0" w:color="auto"/>
              <w:bottom w:val="single" w:sz="4" w:space="0" w:color="auto"/>
              <w:right w:val="single" w:sz="4" w:space="0" w:color="auto"/>
            </w:tcBorders>
            <w:hideMark/>
          </w:tcPr>
          <w:p w14:paraId="62F2E04A" w14:textId="77777777" w:rsidR="003D4777" w:rsidRPr="00107057" w:rsidRDefault="003D4777" w:rsidP="00CB615C">
            <w:pPr>
              <w:widowControl/>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lastRenderedPageBreak/>
              <w:t>Spécificités pour les patients pédiatriques</w:t>
            </w:r>
          </w:p>
        </w:tc>
        <w:tc>
          <w:tcPr>
            <w:tcW w:w="5528" w:type="dxa"/>
            <w:tcBorders>
              <w:top w:val="single" w:sz="4" w:space="0" w:color="auto"/>
              <w:left w:val="single" w:sz="4" w:space="0" w:color="auto"/>
              <w:bottom w:val="single" w:sz="4" w:space="0" w:color="auto"/>
              <w:right w:val="single" w:sz="4" w:space="0" w:color="auto"/>
            </w:tcBorders>
            <w:hideMark/>
          </w:tcPr>
          <w:p w14:paraId="1A936F5F" w14:textId="77777777" w:rsidR="003D4777" w:rsidRPr="00107057" w:rsidRDefault="003D4777" w:rsidP="00CB615C">
            <w:pPr>
              <w:widowControl/>
              <w:tabs>
                <w:tab w:val="left" w:pos="567"/>
              </w:tabs>
              <w:rPr>
                <w:rFonts w:ascii="Times New Roman" w:hAnsi="Times New Roman" w:cs="Times New Roman"/>
                <w:sz w:val="20"/>
                <w:szCs w:val="20"/>
                <w:lang w:val="en-US"/>
              </w:rPr>
            </w:pPr>
            <w:r w:rsidRPr="00107057">
              <w:rPr>
                <w:rFonts w:ascii="Times New Roman" w:hAnsi="Times New Roman" w:cs="Times New Roman"/>
                <w:sz w:val="20"/>
                <w:szCs w:val="20"/>
              </w:rPr>
              <w:t xml:space="preserve">Toutes les mises en garde, les précautions d’emploi et la surveillance pour les adultes s’appliquent également aux patients pédiatriques. </w:t>
            </w:r>
            <w:r w:rsidRPr="00107057">
              <w:rPr>
                <w:rFonts w:ascii="Times New Roman" w:hAnsi="Times New Roman" w:cs="Times New Roman"/>
                <w:sz w:val="20"/>
                <w:szCs w:val="20"/>
                <w:lang w:val="en-US"/>
              </w:rPr>
              <w:t xml:space="preserve">En </w:t>
            </w:r>
            <w:proofErr w:type="spellStart"/>
            <w:proofErr w:type="gramStart"/>
            <w:r w:rsidRPr="00107057">
              <w:rPr>
                <w:rFonts w:ascii="Times New Roman" w:hAnsi="Times New Roman" w:cs="Times New Roman"/>
                <w:sz w:val="20"/>
                <w:szCs w:val="20"/>
                <w:lang w:val="en-US"/>
              </w:rPr>
              <w:t>complément</w:t>
            </w:r>
            <w:proofErr w:type="spellEnd"/>
            <w:r w:rsidRPr="00107057">
              <w:rPr>
                <w:rFonts w:ascii="Times New Roman" w:hAnsi="Times New Roman" w:cs="Times New Roman"/>
                <w:sz w:val="20"/>
                <w:szCs w:val="20"/>
                <w:lang w:val="en-US"/>
              </w:rPr>
              <w:t> :</w:t>
            </w:r>
            <w:proofErr w:type="gramEnd"/>
          </w:p>
          <w:p w14:paraId="252445FD" w14:textId="77777777"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Votre médecin évaluera votre taille, poids et stade pubertaire conformément à la prise en charge standard.</w:t>
            </w:r>
          </w:p>
          <w:p w14:paraId="7B9DB068" w14:textId="004D0EA2"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 xml:space="preserve">Votre médecin s’assurera que vos vaccins sont à jour avant le début du traitement par </w:t>
            </w:r>
            <w:proofErr w:type="spellStart"/>
            <w:r w:rsidRPr="00107057">
              <w:rPr>
                <w:rFonts w:ascii="Times New Roman" w:hAnsi="Times New Roman" w:cs="Times New Roman"/>
                <w:sz w:val="20"/>
                <w:szCs w:val="20"/>
              </w:rPr>
              <w:t>Fingolimod</w:t>
            </w:r>
            <w:proofErr w:type="spellEnd"/>
            <w:r w:rsidRPr="00107057">
              <w:rPr>
                <w:rFonts w:ascii="Times New Roman" w:hAnsi="Times New Roman" w:cs="Times New Roman"/>
                <w:sz w:val="20"/>
                <w:szCs w:val="20"/>
              </w:rPr>
              <w:t xml:space="preserve"> Mylan.</w:t>
            </w:r>
          </w:p>
          <w:p w14:paraId="6B857A24" w14:textId="77777777" w:rsidR="003D4777" w:rsidRPr="00107057" w:rsidRDefault="003D4777" w:rsidP="00D96AEB">
            <w:pPr>
              <w:widowControl/>
              <w:numPr>
                <w:ilvl w:val="0"/>
                <w:numId w:val="44"/>
              </w:numPr>
              <w:tabs>
                <w:tab w:val="left" w:pos="567"/>
              </w:tabs>
              <w:ind w:left="567" w:hanging="567"/>
              <w:rPr>
                <w:rFonts w:ascii="Times New Roman" w:hAnsi="Times New Roman" w:cs="Times New Roman"/>
                <w:sz w:val="20"/>
                <w:szCs w:val="20"/>
              </w:rPr>
            </w:pPr>
            <w:r w:rsidRPr="00107057">
              <w:rPr>
                <w:rFonts w:ascii="Times New Roman" w:hAnsi="Times New Roman" w:cs="Times New Roman"/>
                <w:sz w:val="20"/>
                <w:szCs w:val="20"/>
              </w:rPr>
              <w:t>Surveiller les signes et symptômes de dépression et anxiété.</w:t>
            </w:r>
          </w:p>
        </w:tc>
      </w:tr>
    </w:tbl>
    <w:p w14:paraId="2BA79FDD" w14:textId="77777777" w:rsidR="00F17FFD" w:rsidRDefault="00F17FFD" w:rsidP="00CB615C">
      <w:pPr>
        <w:widowControl/>
        <w:spacing w:after="0" w:line="240" w:lineRule="auto"/>
        <w:rPr>
          <w:rFonts w:ascii="Times New Roman" w:hAnsi="Times New Roman" w:cs="Times New Roman"/>
        </w:rPr>
      </w:pPr>
    </w:p>
    <w:p w14:paraId="58ACBAE6" w14:textId="77777777" w:rsidR="00F17FFD" w:rsidRDefault="00080994" w:rsidP="00CB615C">
      <w:pPr>
        <w:widowControl/>
        <w:spacing w:after="0" w:line="240" w:lineRule="auto"/>
        <w:rPr>
          <w:rFonts w:ascii="Times New Roman" w:hAnsi="Times New Roman" w:cs="Times New Roman"/>
          <w:b/>
        </w:rPr>
      </w:pPr>
      <w:r>
        <w:rPr>
          <w:rFonts w:ascii="Times New Roman" w:hAnsi="Times New Roman"/>
          <w:b/>
        </w:rPr>
        <w:t>Carte-patiente spécifique à la grossesse</w:t>
      </w:r>
    </w:p>
    <w:p w14:paraId="03ECA85F" w14:textId="0FB4AB58" w:rsidR="003D4777" w:rsidRDefault="003D4777" w:rsidP="00CB615C">
      <w:pPr>
        <w:widowControl/>
        <w:spacing w:after="0" w:line="240" w:lineRule="auto"/>
        <w:rPr>
          <w:rFonts w:ascii="Times New Roman" w:hAnsi="Times New Roman" w:cs="Times New Roman"/>
          <w:b/>
        </w:rPr>
      </w:pPr>
    </w:p>
    <w:p w14:paraId="6DA6DB53" w14:textId="6B9B3E4A" w:rsidR="00F17FFD" w:rsidRDefault="00080994" w:rsidP="00CB615C">
      <w:pPr>
        <w:widowControl/>
        <w:spacing w:after="0" w:line="240" w:lineRule="auto"/>
        <w:rPr>
          <w:rFonts w:ascii="Times New Roman" w:hAnsi="Times New Roman"/>
        </w:rPr>
      </w:pPr>
      <w:r>
        <w:rPr>
          <w:rFonts w:ascii="Times New Roman" w:hAnsi="Times New Roman"/>
        </w:rPr>
        <w:t>La carte-patiente spécifique à la grossesse doit contenir les messages clés suivants :</w:t>
      </w:r>
    </w:p>
    <w:p w14:paraId="7AD42E92" w14:textId="77777777" w:rsidR="00C77167" w:rsidRPr="00107057" w:rsidRDefault="00C77167" w:rsidP="00CB615C">
      <w:pPr>
        <w:widowControl/>
        <w:spacing w:after="0" w:line="240" w:lineRule="auto"/>
        <w:rPr>
          <w:rFonts w:ascii="Times New Roman" w:hAnsi="Times New Roman" w:cs="Times New Roman"/>
          <w:bCs/>
        </w:rPr>
      </w:pPr>
    </w:p>
    <w:tbl>
      <w:tblPr>
        <w:tblStyle w:val="Grilledutableau"/>
        <w:tblW w:w="0" w:type="auto"/>
        <w:tblLook w:val="04A0" w:firstRow="1" w:lastRow="0" w:firstColumn="1" w:lastColumn="0" w:noHBand="0" w:noVBand="1"/>
      </w:tblPr>
      <w:tblGrid>
        <w:gridCol w:w="9061"/>
      </w:tblGrid>
      <w:tr w:rsidR="00C77167" w:rsidRPr="003D4777" w14:paraId="76B4C687" w14:textId="77777777" w:rsidTr="009577BD">
        <w:trPr>
          <w:cantSplit/>
        </w:trPr>
        <w:tc>
          <w:tcPr>
            <w:tcW w:w="0" w:type="auto"/>
            <w:tcBorders>
              <w:top w:val="single" w:sz="4" w:space="0" w:color="auto"/>
              <w:left w:val="single" w:sz="4" w:space="0" w:color="auto"/>
              <w:bottom w:val="single" w:sz="4" w:space="0" w:color="auto"/>
              <w:right w:val="single" w:sz="4" w:space="0" w:color="auto"/>
            </w:tcBorders>
            <w:hideMark/>
          </w:tcPr>
          <w:p w14:paraId="390B846F" w14:textId="77777777" w:rsidR="00C77167" w:rsidRPr="009577BD" w:rsidRDefault="00C77167" w:rsidP="00D96AEB">
            <w:pPr>
              <w:widowControl/>
              <w:numPr>
                <w:ilvl w:val="0"/>
                <w:numId w:val="45"/>
              </w:numPr>
              <w:ind w:left="567" w:hanging="567"/>
              <w:rPr>
                <w:rFonts w:ascii="Times New Roman" w:hAnsi="Times New Roman" w:cs="Times New Roman"/>
                <w:bCs/>
              </w:rPr>
            </w:pPr>
            <w:r w:rsidRPr="009577BD">
              <w:rPr>
                <w:rFonts w:ascii="Times New Roman" w:hAnsi="Times New Roman" w:cs="Times New Roman"/>
                <w:bCs/>
              </w:rPr>
              <w:t xml:space="preserve">SI UTILISÉ PENDANT LA GROSSESSE, FINGOLIMOD MYLAN PEUT ÊTRE NOCIF À VOTRE BÉBÉ À NAÎTRE. </w:t>
            </w:r>
            <w:proofErr w:type="spellStart"/>
            <w:r w:rsidRPr="009577BD">
              <w:rPr>
                <w:rFonts w:ascii="Times New Roman" w:hAnsi="Times New Roman" w:cs="Times New Roman"/>
                <w:bCs/>
              </w:rPr>
              <w:t>Fingolimod</w:t>
            </w:r>
            <w:proofErr w:type="spellEnd"/>
            <w:r w:rsidRPr="009577BD">
              <w:rPr>
                <w:rFonts w:ascii="Times New Roman" w:hAnsi="Times New Roman" w:cs="Times New Roman"/>
                <w:bCs/>
              </w:rPr>
              <w:t xml:space="preserve"> Mylan est contre-indiqué pendant la grossesse et chez la femme en âge de procréer n’utilisant pas une contraception efficace. Il est important que vous utilisiez une contraception efficace pendant le traitement par </w:t>
            </w:r>
            <w:proofErr w:type="spellStart"/>
            <w:r w:rsidRPr="009577BD">
              <w:rPr>
                <w:rFonts w:ascii="Times New Roman" w:hAnsi="Times New Roman" w:cs="Times New Roman"/>
                <w:bCs/>
              </w:rPr>
              <w:t>Fingolimod</w:t>
            </w:r>
            <w:proofErr w:type="spellEnd"/>
            <w:r w:rsidRPr="009577BD">
              <w:rPr>
                <w:rFonts w:ascii="Times New Roman" w:hAnsi="Times New Roman" w:cs="Times New Roman"/>
                <w:bCs/>
              </w:rPr>
              <w:t xml:space="preserve"> Mylan et jusqu’à 2 mois après l’arrêt afin d’éviter une grossesse. Votre médecin vous conseillera sur la contraception efficace.</w:t>
            </w:r>
          </w:p>
          <w:p w14:paraId="09E477A9" w14:textId="77777777" w:rsidR="00C77167" w:rsidRPr="009577BD" w:rsidRDefault="00C77167" w:rsidP="00D96AEB">
            <w:pPr>
              <w:widowControl/>
              <w:numPr>
                <w:ilvl w:val="0"/>
                <w:numId w:val="45"/>
              </w:numPr>
              <w:ind w:left="567" w:hanging="567"/>
              <w:rPr>
                <w:rFonts w:ascii="Times New Roman" w:hAnsi="Times New Roman" w:cs="Times New Roman"/>
                <w:bCs/>
              </w:rPr>
            </w:pPr>
            <w:r w:rsidRPr="009577BD">
              <w:rPr>
                <w:rFonts w:ascii="Times New Roman" w:hAnsi="Times New Roman" w:cs="Times New Roman"/>
                <w:bCs/>
              </w:rPr>
              <w:t xml:space="preserve">Votre médecin vous apportera conseil avant l’initiation du traitement et régulièrement pendant le traitement concernant le risque nocif de </w:t>
            </w:r>
            <w:proofErr w:type="spellStart"/>
            <w:r w:rsidRPr="009577BD">
              <w:rPr>
                <w:rFonts w:ascii="Times New Roman" w:hAnsi="Times New Roman" w:cs="Times New Roman"/>
                <w:bCs/>
              </w:rPr>
              <w:t>Fingolimod</w:t>
            </w:r>
            <w:proofErr w:type="spellEnd"/>
            <w:r w:rsidRPr="009577BD">
              <w:rPr>
                <w:rFonts w:ascii="Times New Roman" w:hAnsi="Times New Roman" w:cs="Times New Roman"/>
                <w:bCs/>
              </w:rPr>
              <w:t xml:space="preserve"> Mylan sur le bébé à naître, ainsi que les actions requises pour minimiser ce risque.</w:t>
            </w:r>
          </w:p>
          <w:p w14:paraId="1CCF4000" w14:textId="77777777" w:rsidR="00C77167" w:rsidRPr="009577BD" w:rsidRDefault="00C77167" w:rsidP="00D96AEB">
            <w:pPr>
              <w:widowControl/>
              <w:numPr>
                <w:ilvl w:val="0"/>
                <w:numId w:val="45"/>
              </w:numPr>
              <w:ind w:left="567" w:hanging="567"/>
              <w:rPr>
                <w:rFonts w:ascii="Times New Roman" w:hAnsi="Times New Roman" w:cs="Times New Roman"/>
                <w:bCs/>
                <w:lang w:val="en-US"/>
              </w:rPr>
            </w:pPr>
            <w:r w:rsidRPr="009577BD">
              <w:rPr>
                <w:rFonts w:ascii="Times New Roman" w:hAnsi="Times New Roman" w:cs="Times New Roman"/>
                <w:bCs/>
              </w:rPr>
              <w:t xml:space="preserve">Un test de grossesse devra être réalisé et le résultat négatif confirmant l’absence de grossesse doit être vérifié par votre médecin avant l’instauration du traitement. </w:t>
            </w:r>
            <w:r w:rsidRPr="009577BD">
              <w:rPr>
                <w:rFonts w:ascii="Times New Roman" w:hAnsi="Times New Roman" w:cs="Times New Roman"/>
                <w:bCs/>
                <w:lang w:val="en-US"/>
              </w:rPr>
              <w:t xml:space="preserve">Ce test doit </w:t>
            </w:r>
            <w:proofErr w:type="spellStart"/>
            <w:r w:rsidRPr="009577BD">
              <w:rPr>
                <w:rFonts w:ascii="Times New Roman" w:hAnsi="Times New Roman" w:cs="Times New Roman"/>
                <w:bCs/>
                <w:lang w:val="en-US"/>
              </w:rPr>
              <w:t>être</w:t>
            </w:r>
            <w:proofErr w:type="spellEnd"/>
            <w:r w:rsidRPr="009577BD">
              <w:rPr>
                <w:rFonts w:ascii="Times New Roman" w:hAnsi="Times New Roman" w:cs="Times New Roman"/>
                <w:bCs/>
                <w:lang w:val="en-US"/>
              </w:rPr>
              <w:t xml:space="preserve"> </w:t>
            </w:r>
            <w:proofErr w:type="spellStart"/>
            <w:r w:rsidRPr="009577BD">
              <w:rPr>
                <w:rFonts w:ascii="Times New Roman" w:hAnsi="Times New Roman" w:cs="Times New Roman"/>
                <w:bCs/>
                <w:lang w:val="en-US"/>
              </w:rPr>
              <w:t>répété</w:t>
            </w:r>
            <w:proofErr w:type="spellEnd"/>
            <w:r w:rsidRPr="009577BD">
              <w:rPr>
                <w:rFonts w:ascii="Times New Roman" w:hAnsi="Times New Roman" w:cs="Times New Roman"/>
                <w:bCs/>
                <w:lang w:val="en-US"/>
              </w:rPr>
              <w:t xml:space="preserve"> à des </w:t>
            </w:r>
            <w:proofErr w:type="spellStart"/>
            <w:r w:rsidRPr="009577BD">
              <w:rPr>
                <w:rFonts w:ascii="Times New Roman" w:hAnsi="Times New Roman" w:cs="Times New Roman"/>
                <w:bCs/>
                <w:lang w:val="en-US"/>
              </w:rPr>
              <w:t>intervalles</w:t>
            </w:r>
            <w:proofErr w:type="spellEnd"/>
            <w:r w:rsidRPr="009577BD">
              <w:rPr>
                <w:rFonts w:ascii="Times New Roman" w:hAnsi="Times New Roman" w:cs="Times New Roman"/>
                <w:bCs/>
                <w:lang w:val="en-US"/>
              </w:rPr>
              <w:t xml:space="preserve"> </w:t>
            </w:r>
            <w:proofErr w:type="spellStart"/>
            <w:r w:rsidRPr="009577BD">
              <w:rPr>
                <w:rFonts w:ascii="Times New Roman" w:hAnsi="Times New Roman" w:cs="Times New Roman"/>
                <w:bCs/>
                <w:lang w:val="en-US"/>
              </w:rPr>
              <w:t>appropriés</w:t>
            </w:r>
            <w:proofErr w:type="spellEnd"/>
            <w:r w:rsidRPr="009577BD">
              <w:rPr>
                <w:rFonts w:ascii="Times New Roman" w:hAnsi="Times New Roman" w:cs="Times New Roman"/>
                <w:bCs/>
                <w:lang w:val="en-US"/>
              </w:rPr>
              <w:t>.</w:t>
            </w:r>
          </w:p>
          <w:p w14:paraId="55D6FCEA" w14:textId="77777777" w:rsidR="00C77167" w:rsidRPr="009577BD" w:rsidRDefault="00C77167" w:rsidP="00D96AEB">
            <w:pPr>
              <w:widowControl/>
              <w:numPr>
                <w:ilvl w:val="0"/>
                <w:numId w:val="45"/>
              </w:numPr>
              <w:ind w:left="567" w:hanging="567"/>
              <w:rPr>
                <w:rFonts w:ascii="Times New Roman" w:hAnsi="Times New Roman" w:cs="Times New Roman"/>
                <w:bCs/>
              </w:rPr>
            </w:pPr>
            <w:r w:rsidRPr="009577BD">
              <w:rPr>
                <w:rFonts w:ascii="Times New Roman" w:hAnsi="Times New Roman" w:cs="Times New Roman"/>
                <w:bCs/>
              </w:rPr>
              <w:t xml:space="preserve">Les femmes NE doivent PAS débuter une grossesse pendant le traitement. Si vous débutez une grossesse ou en planifiez une, </w:t>
            </w:r>
            <w:proofErr w:type="spellStart"/>
            <w:r w:rsidRPr="009577BD">
              <w:rPr>
                <w:rFonts w:ascii="Times New Roman" w:hAnsi="Times New Roman" w:cs="Times New Roman"/>
                <w:bCs/>
              </w:rPr>
              <w:t>Fingolimod</w:t>
            </w:r>
            <w:proofErr w:type="spellEnd"/>
            <w:r w:rsidRPr="009577BD">
              <w:rPr>
                <w:rFonts w:ascii="Times New Roman" w:hAnsi="Times New Roman" w:cs="Times New Roman"/>
                <w:bCs/>
              </w:rPr>
              <w:t xml:space="preserve"> Mylan doit être arrêté.</w:t>
            </w:r>
          </w:p>
          <w:p w14:paraId="33B190B3" w14:textId="77777777" w:rsidR="00C77167" w:rsidRPr="009577BD" w:rsidRDefault="00C77167" w:rsidP="00D96AEB">
            <w:pPr>
              <w:widowControl/>
              <w:numPr>
                <w:ilvl w:val="0"/>
                <w:numId w:val="45"/>
              </w:numPr>
              <w:ind w:left="567" w:hanging="567"/>
              <w:rPr>
                <w:rFonts w:ascii="Times New Roman" w:hAnsi="Times New Roman" w:cs="Times New Roman"/>
                <w:bCs/>
              </w:rPr>
            </w:pPr>
            <w:r w:rsidRPr="009577BD">
              <w:rPr>
                <w:rFonts w:ascii="Times New Roman" w:hAnsi="Times New Roman" w:cs="Times New Roman"/>
                <w:bCs/>
              </w:rPr>
              <w:t>Informer votre médecin immédiatement si vous pensez être enceinte. Votre médecin vous apportera des conseils en cas de grossesse et évaluera l’issue de toute grossesse.</w:t>
            </w:r>
          </w:p>
          <w:p w14:paraId="3E08E7E3" w14:textId="77777777" w:rsidR="00C77167" w:rsidRPr="00E84001" w:rsidRDefault="00C77167" w:rsidP="00D96AEB">
            <w:pPr>
              <w:widowControl/>
              <w:numPr>
                <w:ilvl w:val="0"/>
                <w:numId w:val="45"/>
              </w:numPr>
              <w:ind w:left="567" w:hanging="567"/>
              <w:rPr>
                <w:rFonts w:ascii="Times New Roman" w:hAnsi="Times New Roman" w:cs="Times New Roman"/>
                <w:b/>
              </w:rPr>
            </w:pPr>
            <w:r w:rsidRPr="009577BD">
              <w:rPr>
                <w:rFonts w:ascii="Times New Roman" w:hAnsi="Times New Roman" w:cs="Times New Roman"/>
                <w:bCs/>
              </w:rPr>
              <w:t xml:space="preserve">Informer immédiatement votre médecin en cas d’aggravation de la sclérose en plaques après l’arrêt du traitement par </w:t>
            </w:r>
            <w:proofErr w:type="spellStart"/>
            <w:r w:rsidRPr="009577BD">
              <w:rPr>
                <w:rFonts w:ascii="Times New Roman" w:hAnsi="Times New Roman" w:cs="Times New Roman"/>
                <w:bCs/>
              </w:rPr>
              <w:t>Fingolimod</w:t>
            </w:r>
            <w:proofErr w:type="spellEnd"/>
            <w:r w:rsidRPr="009577BD">
              <w:rPr>
                <w:rFonts w:ascii="Times New Roman" w:hAnsi="Times New Roman" w:cs="Times New Roman"/>
                <w:bCs/>
              </w:rPr>
              <w:t xml:space="preserve"> Mylan.</w:t>
            </w:r>
          </w:p>
        </w:tc>
      </w:tr>
    </w:tbl>
    <w:p w14:paraId="1814038C" w14:textId="77777777" w:rsidR="00F17FFD" w:rsidRDefault="00080994" w:rsidP="00CB615C">
      <w:pPr>
        <w:widowControl/>
        <w:rPr>
          <w:rFonts w:ascii="Times New Roman" w:eastAsia="Times New Roman" w:hAnsi="Times New Roman" w:cs="Times New Roman"/>
          <w:b/>
          <w:noProof/>
        </w:rPr>
      </w:pPr>
      <w:r>
        <w:br w:type="page"/>
      </w:r>
    </w:p>
    <w:p w14:paraId="6D17C60D" w14:textId="77777777" w:rsidR="00602E10" w:rsidRDefault="00602E10" w:rsidP="00CB615C">
      <w:pPr>
        <w:widowControl/>
        <w:tabs>
          <w:tab w:val="left" w:pos="567"/>
        </w:tabs>
        <w:spacing w:after="0" w:line="240" w:lineRule="auto"/>
        <w:jc w:val="center"/>
        <w:rPr>
          <w:rFonts w:ascii="Times New Roman" w:eastAsia="Times New Roman" w:hAnsi="Times New Roman" w:cs="Times New Roman"/>
          <w:b/>
          <w:noProof/>
        </w:rPr>
      </w:pPr>
    </w:p>
    <w:p w14:paraId="14CED80E" w14:textId="77777777" w:rsidR="00602E10" w:rsidRDefault="00602E10" w:rsidP="00CB615C">
      <w:pPr>
        <w:widowControl/>
        <w:tabs>
          <w:tab w:val="left" w:pos="567"/>
        </w:tabs>
        <w:spacing w:after="0" w:line="240" w:lineRule="auto"/>
        <w:jc w:val="center"/>
        <w:rPr>
          <w:rFonts w:ascii="Times New Roman" w:eastAsia="Times New Roman" w:hAnsi="Times New Roman" w:cs="Times New Roman"/>
          <w:b/>
          <w:noProof/>
        </w:rPr>
      </w:pPr>
    </w:p>
    <w:p w14:paraId="2312B781" w14:textId="080C54D3" w:rsidR="001C7C0E" w:rsidRPr="005E3FEB" w:rsidRDefault="001C7C0E" w:rsidP="00CB615C">
      <w:pPr>
        <w:widowControl/>
        <w:rPr>
          <w:rFonts w:ascii="Times New Roman" w:eastAsia="Times New Roman" w:hAnsi="Times New Roman" w:cs="Times New Roman"/>
          <w:b/>
          <w:noProof/>
        </w:rPr>
      </w:pPr>
    </w:p>
    <w:p w14:paraId="17F9CBA5" w14:textId="65062466" w:rsidR="00F272DA" w:rsidRDefault="00F272DA" w:rsidP="00CB615C">
      <w:pPr>
        <w:widowControl/>
        <w:spacing w:after="0" w:line="240" w:lineRule="auto"/>
        <w:rPr>
          <w:rFonts w:ascii="Times New Roman" w:hAnsi="Times New Roman" w:cs="Times New Roman"/>
        </w:rPr>
      </w:pPr>
    </w:p>
    <w:p w14:paraId="37AF4462" w14:textId="59DF2995" w:rsidR="00F272DA" w:rsidRDefault="00F272DA" w:rsidP="00CB615C">
      <w:pPr>
        <w:widowControl/>
        <w:spacing w:after="0" w:line="240" w:lineRule="auto"/>
        <w:rPr>
          <w:rFonts w:ascii="Times New Roman" w:hAnsi="Times New Roman" w:cs="Times New Roman"/>
        </w:rPr>
      </w:pPr>
    </w:p>
    <w:p w14:paraId="614B2BFE" w14:textId="1BE39A93" w:rsidR="00F272DA" w:rsidRDefault="00F272DA" w:rsidP="00CB615C">
      <w:pPr>
        <w:widowControl/>
        <w:spacing w:after="0" w:line="240" w:lineRule="auto"/>
        <w:rPr>
          <w:rFonts w:ascii="Times New Roman" w:hAnsi="Times New Roman" w:cs="Times New Roman"/>
        </w:rPr>
      </w:pPr>
    </w:p>
    <w:p w14:paraId="05ADB114" w14:textId="736EFE2A" w:rsidR="00F272DA" w:rsidRDefault="00F272DA" w:rsidP="00CB615C">
      <w:pPr>
        <w:widowControl/>
        <w:spacing w:after="0" w:line="240" w:lineRule="auto"/>
        <w:rPr>
          <w:rFonts w:ascii="Times New Roman" w:hAnsi="Times New Roman" w:cs="Times New Roman"/>
        </w:rPr>
      </w:pPr>
    </w:p>
    <w:p w14:paraId="0419906A" w14:textId="63C5EF6C" w:rsidR="00F272DA" w:rsidRDefault="00F272DA" w:rsidP="00CB615C">
      <w:pPr>
        <w:widowControl/>
        <w:spacing w:after="0" w:line="240" w:lineRule="auto"/>
        <w:rPr>
          <w:rFonts w:ascii="Times New Roman" w:hAnsi="Times New Roman" w:cs="Times New Roman"/>
        </w:rPr>
      </w:pPr>
    </w:p>
    <w:p w14:paraId="3B7EF5ED" w14:textId="10AD49F6" w:rsidR="00F272DA" w:rsidRDefault="00F272DA" w:rsidP="00CB615C">
      <w:pPr>
        <w:widowControl/>
        <w:spacing w:after="0" w:line="240" w:lineRule="auto"/>
        <w:rPr>
          <w:rFonts w:ascii="Times New Roman" w:hAnsi="Times New Roman" w:cs="Times New Roman"/>
        </w:rPr>
      </w:pPr>
    </w:p>
    <w:p w14:paraId="62FB1312" w14:textId="551775ED" w:rsidR="00F272DA" w:rsidRDefault="00F272DA" w:rsidP="00CB615C">
      <w:pPr>
        <w:widowControl/>
        <w:spacing w:after="0" w:line="240" w:lineRule="auto"/>
        <w:rPr>
          <w:rFonts w:ascii="Times New Roman" w:hAnsi="Times New Roman" w:cs="Times New Roman"/>
        </w:rPr>
      </w:pPr>
    </w:p>
    <w:p w14:paraId="0013DD84" w14:textId="1525D152" w:rsidR="00F272DA" w:rsidRDefault="00F272DA" w:rsidP="00CB615C">
      <w:pPr>
        <w:widowControl/>
        <w:spacing w:after="0" w:line="240" w:lineRule="auto"/>
        <w:rPr>
          <w:rFonts w:ascii="Times New Roman" w:hAnsi="Times New Roman" w:cs="Times New Roman"/>
        </w:rPr>
      </w:pPr>
    </w:p>
    <w:p w14:paraId="66DBEB63" w14:textId="1DE23018" w:rsidR="00F272DA" w:rsidRDefault="00F272DA" w:rsidP="00CB615C">
      <w:pPr>
        <w:widowControl/>
        <w:spacing w:after="0" w:line="240" w:lineRule="auto"/>
        <w:rPr>
          <w:rFonts w:ascii="Times New Roman" w:hAnsi="Times New Roman" w:cs="Times New Roman"/>
        </w:rPr>
      </w:pPr>
    </w:p>
    <w:p w14:paraId="095BC50A" w14:textId="20A2CC94" w:rsidR="00F272DA" w:rsidRDefault="00F272DA" w:rsidP="00CB615C">
      <w:pPr>
        <w:widowControl/>
        <w:spacing w:after="0" w:line="240" w:lineRule="auto"/>
        <w:rPr>
          <w:rFonts w:ascii="Times New Roman" w:hAnsi="Times New Roman" w:cs="Times New Roman"/>
        </w:rPr>
      </w:pPr>
    </w:p>
    <w:p w14:paraId="208F093B" w14:textId="2A61F081" w:rsidR="00F272DA" w:rsidRDefault="00F272DA" w:rsidP="00CB615C">
      <w:pPr>
        <w:widowControl/>
        <w:spacing w:after="0" w:line="240" w:lineRule="auto"/>
        <w:rPr>
          <w:rFonts w:ascii="Times New Roman" w:hAnsi="Times New Roman" w:cs="Times New Roman"/>
        </w:rPr>
      </w:pPr>
    </w:p>
    <w:p w14:paraId="0A545710" w14:textId="609CBE41" w:rsidR="00F272DA" w:rsidRDefault="00F272DA" w:rsidP="00CB615C">
      <w:pPr>
        <w:widowControl/>
        <w:spacing w:after="0" w:line="240" w:lineRule="auto"/>
        <w:rPr>
          <w:rFonts w:ascii="Times New Roman" w:hAnsi="Times New Roman" w:cs="Times New Roman"/>
        </w:rPr>
      </w:pPr>
    </w:p>
    <w:p w14:paraId="783B9B5A" w14:textId="21C3C070" w:rsidR="00F272DA" w:rsidRDefault="00F272DA" w:rsidP="00CB615C">
      <w:pPr>
        <w:widowControl/>
        <w:spacing w:after="0" w:line="240" w:lineRule="auto"/>
        <w:rPr>
          <w:rFonts w:ascii="Times New Roman" w:hAnsi="Times New Roman" w:cs="Times New Roman"/>
        </w:rPr>
      </w:pPr>
    </w:p>
    <w:p w14:paraId="6DBA3C29" w14:textId="1CA2E8EF" w:rsidR="00F272DA" w:rsidRDefault="00F272DA" w:rsidP="00CB615C">
      <w:pPr>
        <w:widowControl/>
        <w:spacing w:after="0" w:line="240" w:lineRule="auto"/>
        <w:rPr>
          <w:rFonts w:ascii="Times New Roman" w:hAnsi="Times New Roman" w:cs="Times New Roman"/>
        </w:rPr>
      </w:pPr>
    </w:p>
    <w:p w14:paraId="30CECC00" w14:textId="0874F82A" w:rsidR="00F272DA" w:rsidRDefault="00F272DA" w:rsidP="00CB615C">
      <w:pPr>
        <w:widowControl/>
        <w:spacing w:after="0" w:line="240" w:lineRule="auto"/>
        <w:rPr>
          <w:rFonts w:ascii="Times New Roman" w:hAnsi="Times New Roman" w:cs="Times New Roman"/>
        </w:rPr>
      </w:pPr>
    </w:p>
    <w:p w14:paraId="0A6126C6" w14:textId="4C19204B" w:rsidR="00F272DA" w:rsidRDefault="00F272DA" w:rsidP="00CB615C">
      <w:pPr>
        <w:widowControl/>
        <w:spacing w:after="0" w:line="240" w:lineRule="auto"/>
        <w:rPr>
          <w:rFonts w:ascii="Times New Roman" w:hAnsi="Times New Roman" w:cs="Times New Roman"/>
        </w:rPr>
      </w:pPr>
    </w:p>
    <w:p w14:paraId="7AF8B715" w14:textId="329498AA" w:rsidR="00F272DA" w:rsidRDefault="00F272DA" w:rsidP="00CB615C">
      <w:pPr>
        <w:widowControl/>
        <w:spacing w:after="0" w:line="240" w:lineRule="auto"/>
        <w:rPr>
          <w:rFonts w:ascii="Times New Roman" w:hAnsi="Times New Roman" w:cs="Times New Roman"/>
        </w:rPr>
      </w:pPr>
    </w:p>
    <w:p w14:paraId="09B18B4D" w14:textId="7B39BEC5" w:rsidR="00F272DA" w:rsidRDefault="00F272DA" w:rsidP="00CB615C">
      <w:pPr>
        <w:widowControl/>
        <w:spacing w:after="0" w:line="240" w:lineRule="auto"/>
        <w:rPr>
          <w:rFonts w:ascii="Times New Roman" w:hAnsi="Times New Roman" w:cs="Times New Roman"/>
        </w:rPr>
      </w:pPr>
    </w:p>
    <w:p w14:paraId="71587570" w14:textId="699E3CDA" w:rsidR="00F272DA" w:rsidRDefault="00F272DA" w:rsidP="00CB615C">
      <w:pPr>
        <w:widowControl/>
        <w:spacing w:after="0" w:line="240" w:lineRule="auto"/>
        <w:rPr>
          <w:rFonts w:ascii="Times New Roman" w:hAnsi="Times New Roman" w:cs="Times New Roman"/>
        </w:rPr>
      </w:pPr>
    </w:p>
    <w:p w14:paraId="5752B3A9" w14:textId="1AC34BD7" w:rsidR="00F272DA" w:rsidRDefault="00F272DA" w:rsidP="00CB615C">
      <w:pPr>
        <w:widowControl/>
        <w:spacing w:after="0" w:line="240" w:lineRule="auto"/>
        <w:rPr>
          <w:rFonts w:ascii="Times New Roman" w:hAnsi="Times New Roman" w:cs="Times New Roman"/>
        </w:rPr>
      </w:pPr>
    </w:p>
    <w:p w14:paraId="5E08CFD5" w14:textId="66E6E76B" w:rsidR="003E2964" w:rsidRDefault="00080994" w:rsidP="00CB615C">
      <w:pPr>
        <w:widowControl/>
        <w:spacing w:after="0" w:line="240" w:lineRule="auto"/>
        <w:jc w:val="center"/>
        <w:rPr>
          <w:rFonts w:ascii="Times New Roman" w:hAnsi="Times New Roman" w:cs="Times New Roman"/>
          <w:b/>
        </w:rPr>
      </w:pPr>
      <w:r>
        <w:rPr>
          <w:rFonts w:ascii="Times New Roman" w:hAnsi="Times New Roman"/>
          <w:b/>
        </w:rPr>
        <w:t>ANNEXE III</w:t>
      </w:r>
    </w:p>
    <w:p w14:paraId="4348E144" w14:textId="77777777" w:rsidR="003E2964" w:rsidRPr="00170B6F" w:rsidRDefault="003E2964" w:rsidP="00CB615C">
      <w:pPr>
        <w:widowControl/>
        <w:spacing w:after="0" w:line="240" w:lineRule="auto"/>
        <w:jc w:val="center"/>
        <w:rPr>
          <w:rFonts w:ascii="Times New Roman" w:hAnsi="Times New Roman" w:cs="Times New Roman"/>
          <w:b/>
        </w:rPr>
      </w:pPr>
    </w:p>
    <w:p w14:paraId="317AD617" w14:textId="355DA28B" w:rsidR="00C90205" w:rsidRDefault="00080994" w:rsidP="00CB615C">
      <w:pPr>
        <w:widowControl/>
        <w:spacing w:after="0" w:line="240" w:lineRule="auto"/>
        <w:jc w:val="center"/>
        <w:rPr>
          <w:rFonts w:ascii="Times New Roman" w:hAnsi="Times New Roman" w:cs="Times New Roman"/>
          <w:b/>
        </w:rPr>
      </w:pPr>
      <w:r>
        <w:rPr>
          <w:rFonts w:ascii="Times New Roman" w:hAnsi="Times New Roman"/>
          <w:b/>
        </w:rPr>
        <w:t>ÉTIQUETAGE ET NOTICE</w:t>
      </w:r>
    </w:p>
    <w:p w14:paraId="64318FAD" w14:textId="77777777" w:rsidR="00C90205" w:rsidRDefault="00080994" w:rsidP="00CB615C">
      <w:pPr>
        <w:widowControl/>
        <w:rPr>
          <w:rFonts w:ascii="Times New Roman" w:hAnsi="Times New Roman" w:cs="Times New Roman"/>
          <w:b/>
        </w:rPr>
      </w:pPr>
      <w:r>
        <w:br w:type="page"/>
      </w:r>
    </w:p>
    <w:p w14:paraId="72655AE9" w14:textId="77777777" w:rsidR="003E2964" w:rsidRPr="005E3BF6" w:rsidRDefault="003E2964" w:rsidP="00CB615C">
      <w:pPr>
        <w:widowControl/>
        <w:spacing w:after="0" w:line="240" w:lineRule="auto"/>
        <w:jc w:val="center"/>
        <w:rPr>
          <w:rFonts w:ascii="Times New Roman" w:hAnsi="Times New Roman" w:cs="Times New Roman"/>
        </w:rPr>
      </w:pPr>
    </w:p>
    <w:p w14:paraId="66F3AC42" w14:textId="77777777" w:rsidR="001C7C0E" w:rsidRPr="005E3BF6" w:rsidRDefault="001C7C0E" w:rsidP="00CB615C">
      <w:pPr>
        <w:widowControl/>
        <w:spacing w:after="0" w:line="240" w:lineRule="auto"/>
        <w:rPr>
          <w:rFonts w:ascii="Times New Roman" w:hAnsi="Times New Roman" w:cs="Times New Roman"/>
        </w:rPr>
      </w:pPr>
    </w:p>
    <w:p w14:paraId="2D245FCE" w14:textId="77777777" w:rsidR="001C7C0E" w:rsidRPr="005E3BF6" w:rsidRDefault="001C7C0E" w:rsidP="00CB615C">
      <w:pPr>
        <w:widowControl/>
        <w:spacing w:after="0" w:line="240" w:lineRule="auto"/>
        <w:rPr>
          <w:rFonts w:ascii="Times New Roman" w:hAnsi="Times New Roman" w:cs="Times New Roman"/>
        </w:rPr>
      </w:pPr>
    </w:p>
    <w:p w14:paraId="677C3707" w14:textId="77777777" w:rsidR="001C7C0E" w:rsidRPr="005E3BF6" w:rsidRDefault="001C7C0E" w:rsidP="00CB615C">
      <w:pPr>
        <w:widowControl/>
        <w:spacing w:after="0" w:line="240" w:lineRule="auto"/>
        <w:rPr>
          <w:rFonts w:ascii="Times New Roman" w:hAnsi="Times New Roman" w:cs="Times New Roman"/>
        </w:rPr>
      </w:pPr>
    </w:p>
    <w:p w14:paraId="2357F58A" w14:textId="77777777" w:rsidR="001C7C0E" w:rsidRPr="005E3BF6" w:rsidRDefault="001C7C0E" w:rsidP="00CB615C">
      <w:pPr>
        <w:widowControl/>
        <w:spacing w:after="0" w:line="240" w:lineRule="auto"/>
        <w:rPr>
          <w:rFonts w:ascii="Times New Roman" w:hAnsi="Times New Roman" w:cs="Times New Roman"/>
        </w:rPr>
      </w:pPr>
    </w:p>
    <w:p w14:paraId="00737B7D" w14:textId="77777777" w:rsidR="001C7C0E" w:rsidRPr="005E3BF6" w:rsidRDefault="001C7C0E" w:rsidP="00CB615C">
      <w:pPr>
        <w:widowControl/>
        <w:spacing w:after="0" w:line="240" w:lineRule="auto"/>
        <w:rPr>
          <w:rFonts w:ascii="Times New Roman" w:hAnsi="Times New Roman" w:cs="Times New Roman"/>
        </w:rPr>
      </w:pPr>
    </w:p>
    <w:p w14:paraId="69552168" w14:textId="77777777" w:rsidR="001C7C0E" w:rsidRPr="005E3BF6" w:rsidRDefault="001C7C0E" w:rsidP="00CB615C">
      <w:pPr>
        <w:widowControl/>
        <w:spacing w:after="0" w:line="240" w:lineRule="auto"/>
        <w:rPr>
          <w:rFonts w:ascii="Times New Roman" w:hAnsi="Times New Roman" w:cs="Times New Roman"/>
        </w:rPr>
      </w:pPr>
    </w:p>
    <w:p w14:paraId="01EF7910" w14:textId="5DF6CF09" w:rsidR="001C7C0E" w:rsidRDefault="001C7C0E" w:rsidP="00CB615C">
      <w:pPr>
        <w:widowControl/>
        <w:spacing w:after="0" w:line="240" w:lineRule="auto"/>
        <w:rPr>
          <w:rFonts w:ascii="Times New Roman" w:hAnsi="Times New Roman" w:cs="Times New Roman"/>
        </w:rPr>
      </w:pPr>
    </w:p>
    <w:p w14:paraId="6071643C" w14:textId="791F3513" w:rsidR="003E2964" w:rsidRDefault="003E2964" w:rsidP="00CB615C">
      <w:pPr>
        <w:widowControl/>
        <w:spacing w:after="0" w:line="240" w:lineRule="auto"/>
        <w:rPr>
          <w:rFonts w:ascii="Times New Roman" w:hAnsi="Times New Roman" w:cs="Times New Roman"/>
        </w:rPr>
      </w:pPr>
    </w:p>
    <w:p w14:paraId="3D440D98" w14:textId="76CA4513" w:rsidR="003E2964" w:rsidRDefault="003E2964" w:rsidP="00CB615C">
      <w:pPr>
        <w:widowControl/>
        <w:spacing w:after="0" w:line="240" w:lineRule="auto"/>
        <w:rPr>
          <w:rFonts w:ascii="Times New Roman" w:hAnsi="Times New Roman" w:cs="Times New Roman"/>
        </w:rPr>
      </w:pPr>
    </w:p>
    <w:p w14:paraId="48C8E755" w14:textId="5E5F846A" w:rsidR="003E2964" w:rsidRDefault="003E2964" w:rsidP="00CB615C">
      <w:pPr>
        <w:widowControl/>
        <w:spacing w:after="0" w:line="240" w:lineRule="auto"/>
        <w:rPr>
          <w:rFonts w:ascii="Times New Roman" w:hAnsi="Times New Roman" w:cs="Times New Roman"/>
        </w:rPr>
      </w:pPr>
    </w:p>
    <w:p w14:paraId="1167BCDD" w14:textId="53C52268" w:rsidR="003E2964" w:rsidRDefault="003E2964" w:rsidP="00CB615C">
      <w:pPr>
        <w:widowControl/>
        <w:spacing w:after="0" w:line="240" w:lineRule="auto"/>
        <w:rPr>
          <w:rFonts w:ascii="Times New Roman" w:hAnsi="Times New Roman" w:cs="Times New Roman"/>
        </w:rPr>
      </w:pPr>
    </w:p>
    <w:p w14:paraId="4CC5CB7E" w14:textId="5B1C8733" w:rsidR="003E2964" w:rsidRDefault="003E2964" w:rsidP="00CB615C">
      <w:pPr>
        <w:widowControl/>
        <w:spacing w:after="0" w:line="240" w:lineRule="auto"/>
        <w:rPr>
          <w:rFonts w:ascii="Times New Roman" w:hAnsi="Times New Roman" w:cs="Times New Roman"/>
        </w:rPr>
      </w:pPr>
    </w:p>
    <w:p w14:paraId="707B94FA" w14:textId="500F38C6" w:rsidR="003E2964" w:rsidRDefault="003E2964" w:rsidP="00CB615C">
      <w:pPr>
        <w:widowControl/>
        <w:spacing w:after="0" w:line="240" w:lineRule="auto"/>
        <w:rPr>
          <w:rFonts w:ascii="Times New Roman" w:hAnsi="Times New Roman" w:cs="Times New Roman"/>
        </w:rPr>
      </w:pPr>
    </w:p>
    <w:p w14:paraId="7301EACE" w14:textId="2B99C9BD" w:rsidR="003E2964" w:rsidRDefault="003E2964" w:rsidP="00CB615C">
      <w:pPr>
        <w:widowControl/>
        <w:spacing w:after="0" w:line="240" w:lineRule="auto"/>
        <w:rPr>
          <w:rFonts w:ascii="Times New Roman" w:hAnsi="Times New Roman" w:cs="Times New Roman"/>
        </w:rPr>
      </w:pPr>
    </w:p>
    <w:p w14:paraId="45DD1686" w14:textId="4DB5FBBB" w:rsidR="003E2964" w:rsidRDefault="003E2964" w:rsidP="00CB615C">
      <w:pPr>
        <w:widowControl/>
        <w:spacing w:after="0" w:line="240" w:lineRule="auto"/>
        <w:rPr>
          <w:rFonts w:ascii="Times New Roman" w:hAnsi="Times New Roman" w:cs="Times New Roman"/>
        </w:rPr>
      </w:pPr>
    </w:p>
    <w:p w14:paraId="598701BC" w14:textId="2B5A6A1B" w:rsidR="003E2964" w:rsidRDefault="003E2964" w:rsidP="00CB615C">
      <w:pPr>
        <w:widowControl/>
        <w:spacing w:after="0" w:line="240" w:lineRule="auto"/>
        <w:rPr>
          <w:rFonts w:ascii="Times New Roman" w:hAnsi="Times New Roman" w:cs="Times New Roman"/>
        </w:rPr>
      </w:pPr>
    </w:p>
    <w:p w14:paraId="46A55B5C" w14:textId="50AEB22F" w:rsidR="003E2964" w:rsidRDefault="003E2964" w:rsidP="00CB615C">
      <w:pPr>
        <w:widowControl/>
        <w:spacing w:after="0" w:line="240" w:lineRule="auto"/>
        <w:rPr>
          <w:rFonts w:ascii="Times New Roman" w:hAnsi="Times New Roman" w:cs="Times New Roman"/>
        </w:rPr>
      </w:pPr>
    </w:p>
    <w:p w14:paraId="58F6A624" w14:textId="09509098" w:rsidR="003E2964" w:rsidRDefault="003E2964" w:rsidP="00CB615C">
      <w:pPr>
        <w:widowControl/>
        <w:spacing w:after="0" w:line="240" w:lineRule="auto"/>
        <w:rPr>
          <w:rFonts w:ascii="Times New Roman" w:hAnsi="Times New Roman" w:cs="Times New Roman"/>
        </w:rPr>
      </w:pPr>
    </w:p>
    <w:p w14:paraId="72C7BEB4" w14:textId="73EBF506" w:rsidR="003E2964" w:rsidRDefault="003E2964" w:rsidP="00CB615C">
      <w:pPr>
        <w:widowControl/>
        <w:spacing w:after="0" w:line="240" w:lineRule="auto"/>
        <w:rPr>
          <w:rFonts w:ascii="Times New Roman" w:hAnsi="Times New Roman" w:cs="Times New Roman"/>
        </w:rPr>
      </w:pPr>
    </w:p>
    <w:p w14:paraId="3E23EE47" w14:textId="0378E074" w:rsidR="003E2964" w:rsidRDefault="003E2964" w:rsidP="00CB615C">
      <w:pPr>
        <w:widowControl/>
        <w:spacing w:after="0" w:line="240" w:lineRule="auto"/>
        <w:rPr>
          <w:rFonts w:ascii="Times New Roman" w:hAnsi="Times New Roman" w:cs="Times New Roman"/>
        </w:rPr>
      </w:pPr>
    </w:p>
    <w:p w14:paraId="4F4780A1" w14:textId="051E8D10" w:rsidR="003E2964" w:rsidRDefault="003E2964" w:rsidP="00CB615C">
      <w:pPr>
        <w:widowControl/>
        <w:spacing w:after="0" w:line="240" w:lineRule="auto"/>
        <w:rPr>
          <w:rFonts w:ascii="Times New Roman" w:hAnsi="Times New Roman" w:cs="Times New Roman"/>
        </w:rPr>
      </w:pPr>
    </w:p>
    <w:p w14:paraId="001659DC" w14:textId="7482057D" w:rsidR="003E2964" w:rsidRDefault="003E2964" w:rsidP="00CB615C">
      <w:pPr>
        <w:widowControl/>
        <w:spacing w:after="0" w:line="240" w:lineRule="auto"/>
        <w:rPr>
          <w:rFonts w:ascii="Times New Roman" w:hAnsi="Times New Roman" w:cs="Times New Roman"/>
        </w:rPr>
      </w:pPr>
    </w:p>
    <w:p w14:paraId="3C43582D" w14:textId="77777777" w:rsidR="00A9788E" w:rsidRDefault="00A9788E" w:rsidP="00CB615C">
      <w:pPr>
        <w:pStyle w:val="Titre1"/>
        <w:widowControl/>
      </w:pPr>
      <w:r>
        <w:t xml:space="preserve">A. </w:t>
      </w:r>
      <w:r w:rsidR="00080994" w:rsidRPr="00A9788E">
        <w:t>ÉTIQUETAGE</w:t>
      </w:r>
      <w:bookmarkStart w:id="12" w:name="_Hlk2600336"/>
    </w:p>
    <w:p w14:paraId="5EBFB4F8" w14:textId="723D7F23" w:rsidR="00783B62" w:rsidRPr="00A9788E" w:rsidRDefault="00080994" w:rsidP="00CB615C">
      <w:pPr>
        <w:widowControl/>
        <w:spacing w:after="0" w:line="240" w:lineRule="auto"/>
        <w:ind w:left="360"/>
        <w:rPr>
          <w:rFonts w:ascii="Times New Roman" w:eastAsia="Times New Roman" w:hAnsi="Times New Roman" w:cs="Times New Roman"/>
          <w:b/>
          <w:bCs/>
        </w:rPr>
      </w:pPr>
      <w:r>
        <w:br w:type="page"/>
      </w:r>
    </w:p>
    <w:p w14:paraId="08AA5FAD" w14:textId="5209D866" w:rsidR="00EB5A58" w:rsidRDefault="00080994"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bookmarkStart w:id="13" w:name="_Hlk4394085"/>
      <w:r>
        <w:rPr>
          <w:rFonts w:ascii="Times New Roman" w:hAnsi="Times New Roman"/>
          <w:b/>
        </w:rPr>
        <w:lastRenderedPageBreak/>
        <w:t>MENTIONS DEVANT FIGURER SUR L’EMBALLAGE EXTÉRIEUR</w:t>
      </w:r>
    </w:p>
    <w:p w14:paraId="14F21233" w14:textId="25B0FDA7" w:rsidR="00EB5A58" w:rsidRDefault="00EB5A58"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1FFC251" w14:textId="3F9ACFDB" w:rsidR="00EB5A58" w:rsidRDefault="00080994"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BOÎTE</w:t>
      </w:r>
    </w:p>
    <w:p w14:paraId="4BF21DC1" w14:textId="106179F2" w:rsidR="00EB5A58" w:rsidRDefault="00EB5A58" w:rsidP="00CB615C">
      <w:pPr>
        <w:widowControl/>
        <w:spacing w:after="0" w:line="240" w:lineRule="auto"/>
        <w:rPr>
          <w:rFonts w:ascii="Times New Roman" w:hAnsi="Times New Roman" w:cs="Times New Roman"/>
        </w:rPr>
      </w:pPr>
    </w:p>
    <w:p w14:paraId="068FE38D" w14:textId="77777777" w:rsidR="008F22C4" w:rsidRDefault="008F22C4" w:rsidP="00CB615C">
      <w:pPr>
        <w:widowControl/>
        <w:spacing w:after="0" w:line="240" w:lineRule="auto"/>
        <w:rPr>
          <w:rFonts w:ascii="Times New Roman" w:hAnsi="Times New Roman" w:cs="Times New Roman"/>
        </w:rPr>
      </w:pPr>
    </w:p>
    <w:p w14:paraId="73E899E8" w14:textId="7A3084BA" w:rsidR="00EB5A58"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DÉNOMINATION DU MÉDICAMENT</w:t>
      </w:r>
    </w:p>
    <w:p w14:paraId="7426BBCA" w14:textId="0CFF3B1B" w:rsidR="00EB5A58" w:rsidRDefault="00EB5A58" w:rsidP="00CB615C">
      <w:pPr>
        <w:widowControl/>
        <w:spacing w:after="0" w:line="240" w:lineRule="auto"/>
        <w:rPr>
          <w:rFonts w:ascii="Times New Roman" w:hAnsi="Times New Roman" w:cs="Times New Roman"/>
        </w:rPr>
      </w:pPr>
    </w:p>
    <w:p w14:paraId="368B4510" w14:textId="57F08408" w:rsidR="00EB5A58" w:rsidRPr="00824948" w:rsidRDefault="00080994" w:rsidP="00CB615C">
      <w:pPr>
        <w:widowControl/>
        <w:spacing w:after="0" w:line="240" w:lineRule="auto"/>
        <w:rPr>
          <w:rFonts w:ascii="Times New Roman" w:hAnsi="Times New Roman" w:cs="Times New Roman"/>
        </w:rPr>
      </w:pPr>
      <w:proofErr w:type="spellStart"/>
      <w:r w:rsidRPr="00824948">
        <w:rPr>
          <w:rFonts w:ascii="Times New Roman" w:hAnsi="Times New Roman"/>
        </w:rPr>
        <w:t>Fingolimod</w:t>
      </w:r>
      <w:proofErr w:type="spellEnd"/>
      <w:r w:rsidRPr="00824948">
        <w:rPr>
          <w:rFonts w:ascii="Times New Roman" w:hAnsi="Times New Roman"/>
        </w:rPr>
        <w:t xml:space="preserve"> Mylan 0,5 mg, gélule</w:t>
      </w:r>
    </w:p>
    <w:p w14:paraId="535C87F3" w14:textId="6FDEFE08" w:rsidR="00EB5A58" w:rsidRPr="00824948" w:rsidRDefault="00080994" w:rsidP="00CB615C">
      <w:pPr>
        <w:widowControl/>
        <w:spacing w:after="0" w:line="240" w:lineRule="auto"/>
        <w:rPr>
          <w:rFonts w:ascii="Times New Roman" w:hAnsi="Times New Roman" w:cs="Times New Roman"/>
        </w:rPr>
      </w:pPr>
      <w:proofErr w:type="spellStart"/>
      <w:proofErr w:type="gramStart"/>
      <w:r w:rsidRPr="00824948">
        <w:rPr>
          <w:rFonts w:ascii="Times New Roman" w:hAnsi="Times New Roman"/>
        </w:rPr>
        <w:t>fingolimod</w:t>
      </w:r>
      <w:proofErr w:type="spellEnd"/>
      <w:proofErr w:type="gramEnd"/>
    </w:p>
    <w:p w14:paraId="58C472E3" w14:textId="22AEB114" w:rsidR="00EB5A58" w:rsidRPr="00824948" w:rsidRDefault="00EB5A58" w:rsidP="00CB615C">
      <w:pPr>
        <w:widowControl/>
        <w:spacing w:after="0" w:line="240" w:lineRule="auto"/>
        <w:rPr>
          <w:rFonts w:ascii="Times New Roman" w:hAnsi="Times New Roman" w:cs="Times New Roman"/>
        </w:rPr>
      </w:pPr>
    </w:p>
    <w:p w14:paraId="22CC232F" w14:textId="77777777" w:rsidR="00DF15C7" w:rsidRPr="00824948" w:rsidRDefault="00DF15C7" w:rsidP="00CB615C">
      <w:pPr>
        <w:widowControl/>
        <w:spacing w:after="0" w:line="240" w:lineRule="auto"/>
        <w:rPr>
          <w:rFonts w:ascii="Times New Roman" w:hAnsi="Times New Roman" w:cs="Times New Roman"/>
        </w:rPr>
      </w:pPr>
    </w:p>
    <w:p w14:paraId="52E6CBE3" w14:textId="21B6BAFF" w:rsidR="00EB5A58"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948">
        <w:rPr>
          <w:rFonts w:ascii="Times New Roman" w:hAnsi="Times New Roman"/>
          <w:b/>
        </w:rPr>
        <w:t xml:space="preserve">2. </w:t>
      </w:r>
      <w:r w:rsidRPr="00824948">
        <w:rPr>
          <w:rFonts w:ascii="Times New Roman" w:hAnsi="Times New Roman"/>
          <w:b/>
        </w:rPr>
        <w:tab/>
      </w:r>
      <w:r>
        <w:rPr>
          <w:rFonts w:ascii="Times New Roman" w:hAnsi="Times New Roman"/>
          <w:b/>
        </w:rPr>
        <w:t>COMPOSITION EN SUBSTANCE(S) ACTIVE(S)</w:t>
      </w:r>
    </w:p>
    <w:p w14:paraId="314E6A9B" w14:textId="43547B23" w:rsidR="00EB5A58" w:rsidRDefault="00EB5A58" w:rsidP="00CB615C">
      <w:pPr>
        <w:widowControl/>
        <w:spacing w:after="0" w:line="240" w:lineRule="auto"/>
        <w:rPr>
          <w:rFonts w:ascii="Times New Roman" w:hAnsi="Times New Roman" w:cs="Times New Roman"/>
        </w:rPr>
      </w:pPr>
    </w:p>
    <w:p w14:paraId="1B04D724" w14:textId="3260C756" w:rsidR="00EB5A58" w:rsidRDefault="00080994" w:rsidP="00CB615C">
      <w:pPr>
        <w:widowControl/>
        <w:spacing w:after="0" w:line="240" w:lineRule="auto"/>
        <w:rPr>
          <w:rFonts w:ascii="Times New Roman" w:hAnsi="Times New Roman" w:cs="Times New Roman"/>
        </w:rPr>
      </w:pPr>
      <w:r>
        <w:rPr>
          <w:rFonts w:ascii="Times New Roman" w:hAnsi="Times New Roman"/>
        </w:rPr>
        <w:t xml:space="preserve">Chaque gélule contient 0,5 mg de </w:t>
      </w:r>
      <w:proofErr w:type="spellStart"/>
      <w:r>
        <w:rPr>
          <w:rFonts w:ascii="Times New Roman" w:hAnsi="Times New Roman"/>
        </w:rPr>
        <w:t>fingolimod</w:t>
      </w:r>
      <w:proofErr w:type="spellEnd"/>
      <w:r>
        <w:rPr>
          <w:rFonts w:ascii="Times New Roman" w:hAnsi="Times New Roman"/>
        </w:rPr>
        <w:t xml:space="preserve"> (sous forme de chlorhydrate).</w:t>
      </w:r>
    </w:p>
    <w:p w14:paraId="39A43989" w14:textId="2D8FDA39" w:rsidR="00DC694D" w:rsidRDefault="00DC694D" w:rsidP="00CB615C">
      <w:pPr>
        <w:widowControl/>
        <w:spacing w:after="0" w:line="240" w:lineRule="auto"/>
        <w:rPr>
          <w:rFonts w:ascii="Times New Roman" w:hAnsi="Times New Roman" w:cs="Times New Roman"/>
        </w:rPr>
      </w:pPr>
    </w:p>
    <w:p w14:paraId="02B3785B" w14:textId="77777777" w:rsidR="00DF15C7" w:rsidRDefault="00DF15C7" w:rsidP="00CB615C">
      <w:pPr>
        <w:widowControl/>
        <w:spacing w:after="0" w:line="240" w:lineRule="auto"/>
        <w:rPr>
          <w:rFonts w:ascii="Times New Roman" w:hAnsi="Times New Roman" w:cs="Times New Roman"/>
        </w:rPr>
      </w:pPr>
    </w:p>
    <w:p w14:paraId="00CB7B2F" w14:textId="54ECF66E" w:rsidR="00EB5A58"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LISTE DES EXCIPIENTS</w:t>
      </w:r>
    </w:p>
    <w:p w14:paraId="34F2F3BD" w14:textId="77777777" w:rsidR="006D77EA" w:rsidRDefault="006D77EA" w:rsidP="00CB615C">
      <w:pPr>
        <w:widowControl/>
        <w:spacing w:after="0" w:line="240" w:lineRule="auto"/>
        <w:rPr>
          <w:rFonts w:ascii="Times New Roman" w:hAnsi="Times New Roman" w:cs="Times New Roman"/>
        </w:rPr>
      </w:pPr>
    </w:p>
    <w:p w14:paraId="00966ADD" w14:textId="77777777" w:rsidR="00DF15C7" w:rsidRDefault="00DF15C7" w:rsidP="00CB615C">
      <w:pPr>
        <w:widowControl/>
        <w:spacing w:after="0" w:line="240" w:lineRule="auto"/>
        <w:rPr>
          <w:rFonts w:ascii="Times New Roman" w:hAnsi="Times New Roman" w:cs="Times New Roman"/>
        </w:rPr>
      </w:pPr>
    </w:p>
    <w:p w14:paraId="6F0F24E3" w14:textId="1A76A6E2" w:rsidR="00EB5A58"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4. </w:t>
      </w:r>
      <w:r>
        <w:rPr>
          <w:rFonts w:ascii="Times New Roman" w:hAnsi="Times New Roman"/>
          <w:b/>
        </w:rPr>
        <w:tab/>
        <w:t>FORME PHARMACEUTIQUE ET CONTENU</w:t>
      </w:r>
    </w:p>
    <w:p w14:paraId="0096CF8D" w14:textId="454308BF" w:rsidR="00DC694D" w:rsidRDefault="00DC694D" w:rsidP="00CB615C">
      <w:pPr>
        <w:widowControl/>
        <w:spacing w:after="0" w:line="240" w:lineRule="auto"/>
        <w:rPr>
          <w:rFonts w:ascii="Times New Roman" w:hAnsi="Times New Roman" w:cs="Times New Roman"/>
        </w:rPr>
      </w:pPr>
    </w:p>
    <w:p w14:paraId="37B36559" w14:textId="250E0529" w:rsidR="003F46C9" w:rsidRDefault="00080994" w:rsidP="00CB615C">
      <w:pPr>
        <w:widowControl/>
        <w:spacing w:after="0" w:line="240" w:lineRule="auto"/>
        <w:rPr>
          <w:rFonts w:ascii="Times New Roman" w:hAnsi="Times New Roman" w:cs="Times New Roman"/>
        </w:rPr>
      </w:pPr>
      <w:r>
        <w:rPr>
          <w:rFonts w:ascii="Times New Roman" w:hAnsi="Times New Roman"/>
          <w:highlight w:val="lightGray"/>
        </w:rPr>
        <w:t>Gélule</w:t>
      </w:r>
    </w:p>
    <w:p w14:paraId="0B5AC1FF" w14:textId="77777777" w:rsidR="003F46C9" w:rsidRDefault="003F46C9" w:rsidP="00CB615C">
      <w:pPr>
        <w:widowControl/>
        <w:spacing w:after="0" w:line="240" w:lineRule="auto"/>
        <w:rPr>
          <w:rFonts w:ascii="Times New Roman" w:hAnsi="Times New Roman" w:cs="Times New Roman"/>
        </w:rPr>
      </w:pPr>
    </w:p>
    <w:p w14:paraId="4E845C8F" w14:textId="77777777" w:rsidR="0047040C" w:rsidRPr="00350E1D" w:rsidRDefault="00080994" w:rsidP="00CB615C">
      <w:pPr>
        <w:widowControl/>
        <w:spacing w:after="0" w:line="240" w:lineRule="auto"/>
        <w:rPr>
          <w:rFonts w:ascii="Times New Roman" w:hAnsi="Times New Roman" w:cs="Times New Roman"/>
        </w:rPr>
      </w:pPr>
      <w:r>
        <w:rPr>
          <w:rFonts w:ascii="Times New Roman" w:hAnsi="Times New Roman"/>
        </w:rPr>
        <w:t>28 gélules</w:t>
      </w:r>
    </w:p>
    <w:p w14:paraId="38A67729" w14:textId="5F5BE681" w:rsidR="00283655" w:rsidRPr="00DF15C7" w:rsidRDefault="00080994" w:rsidP="00CB615C">
      <w:pPr>
        <w:widowControl/>
        <w:spacing w:after="0" w:line="240" w:lineRule="auto"/>
        <w:rPr>
          <w:rFonts w:ascii="Times New Roman" w:hAnsi="Times New Roman" w:cs="Times New Roman"/>
          <w:highlight w:val="lightGray"/>
        </w:rPr>
      </w:pPr>
      <w:r>
        <w:rPr>
          <w:rFonts w:ascii="Times New Roman" w:hAnsi="Times New Roman"/>
          <w:highlight w:val="lightGray"/>
        </w:rPr>
        <w:t xml:space="preserve">30 gélules </w:t>
      </w:r>
    </w:p>
    <w:p w14:paraId="4D2EEAC7" w14:textId="77777777" w:rsidR="00283655" w:rsidRPr="00DF15C7" w:rsidRDefault="00080994" w:rsidP="00CB615C">
      <w:pPr>
        <w:widowControl/>
        <w:spacing w:after="0" w:line="240" w:lineRule="auto"/>
        <w:rPr>
          <w:rFonts w:ascii="Times New Roman" w:hAnsi="Times New Roman" w:cs="Times New Roman"/>
          <w:highlight w:val="lightGray"/>
        </w:rPr>
      </w:pPr>
      <w:r>
        <w:rPr>
          <w:rFonts w:ascii="Times New Roman" w:hAnsi="Times New Roman"/>
          <w:highlight w:val="lightGray"/>
        </w:rPr>
        <w:t xml:space="preserve">84 gélules </w:t>
      </w:r>
    </w:p>
    <w:p w14:paraId="0E461B34" w14:textId="77777777" w:rsidR="0047040C" w:rsidRDefault="00080994" w:rsidP="00CB615C">
      <w:pPr>
        <w:widowControl/>
        <w:spacing w:after="0" w:line="240" w:lineRule="auto"/>
        <w:rPr>
          <w:rFonts w:ascii="Times New Roman" w:hAnsi="Times New Roman" w:cs="Times New Roman"/>
          <w:highlight w:val="lightGray"/>
        </w:rPr>
      </w:pPr>
      <w:r>
        <w:rPr>
          <w:rFonts w:ascii="Times New Roman" w:hAnsi="Times New Roman"/>
          <w:highlight w:val="lightGray"/>
        </w:rPr>
        <w:t>98 gélules</w:t>
      </w:r>
    </w:p>
    <w:p w14:paraId="10F3D189" w14:textId="77777777" w:rsidR="003F46C9" w:rsidRDefault="003F46C9" w:rsidP="00CB615C">
      <w:pPr>
        <w:widowControl/>
        <w:spacing w:after="0" w:line="240" w:lineRule="auto"/>
        <w:rPr>
          <w:rFonts w:ascii="Times New Roman" w:hAnsi="Times New Roman" w:cs="Times New Roman"/>
        </w:rPr>
      </w:pPr>
    </w:p>
    <w:p w14:paraId="0126FAF9" w14:textId="74BA2B64" w:rsidR="00283655" w:rsidRDefault="00080994" w:rsidP="00CB615C">
      <w:pPr>
        <w:widowControl/>
        <w:spacing w:after="0" w:line="240" w:lineRule="auto"/>
        <w:rPr>
          <w:rFonts w:ascii="Times New Roman" w:hAnsi="Times New Roman" w:cs="Times New Roman"/>
        </w:rPr>
      </w:pPr>
      <w:r>
        <w:rPr>
          <w:rFonts w:ascii="Times New Roman" w:hAnsi="Times New Roman"/>
          <w:highlight w:val="lightGray"/>
        </w:rPr>
        <w:t>Boîte calendaire : 28 gélules</w:t>
      </w:r>
    </w:p>
    <w:p w14:paraId="4099FBB3" w14:textId="4881F790" w:rsidR="00283655" w:rsidRDefault="00080994" w:rsidP="00CB615C">
      <w:pPr>
        <w:widowControl/>
        <w:spacing w:after="0" w:line="240" w:lineRule="auto"/>
        <w:rPr>
          <w:rFonts w:ascii="Times New Roman" w:hAnsi="Times New Roman" w:cs="Times New Roman"/>
          <w:highlight w:val="lightGray"/>
        </w:rPr>
      </w:pPr>
      <w:r>
        <w:rPr>
          <w:rFonts w:ascii="Times New Roman" w:hAnsi="Times New Roman"/>
          <w:highlight w:val="lightGray"/>
        </w:rPr>
        <w:t>Boîte calendaire : 84 gélules</w:t>
      </w:r>
    </w:p>
    <w:p w14:paraId="3D031FA3" w14:textId="3BE17F44" w:rsidR="0047040C" w:rsidRDefault="0047040C" w:rsidP="00CB615C">
      <w:pPr>
        <w:widowControl/>
        <w:spacing w:after="0" w:line="240" w:lineRule="auto"/>
        <w:rPr>
          <w:rFonts w:ascii="Times New Roman" w:hAnsi="Times New Roman" w:cs="Times New Roman"/>
        </w:rPr>
      </w:pPr>
    </w:p>
    <w:p w14:paraId="54DC1F61" w14:textId="5DB1198F" w:rsidR="0047040C" w:rsidRDefault="00080994" w:rsidP="00CB615C">
      <w:pPr>
        <w:widowControl/>
        <w:spacing w:after="0" w:line="240" w:lineRule="auto"/>
        <w:rPr>
          <w:rFonts w:ascii="Times New Roman" w:hAnsi="Times New Roman" w:cs="Times New Roman"/>
        </w:rPr>
      </w:pPr>
      <w:r>
        <w:rPr>
          <w:rFonts w:ascii="Times New Roman" w:hAnsi="Times New Roman"/>
          <w:highlight w:val="lightGray"/>
        </w:rPr>
        <w:t>Plaquette unidose : 7 x 1</w:t>
      </w:r>
      <w:r>
        <w:rPr>
          <w:highlight w:val="lightGray"/>
        </w:rPr>
        <w:t> </w:t>
      </w:r>
      <w:r>
        <w:rPr>
          <w:rFonts w:ascii="Times New Roman" w:hAnsi="Times New Roman"/>
          <w:highlight w:val="lightGray"/>
        </w:rPr>
        <w:t>gélule</w:t>
      </w:r>
    </w:p>
    <w:p w14:paraId="249E736E" w14:textId="6E2E74D6" w:rsidR="0047040C" w:rsidRPr="0047040C" w:rsidRDefault="00080994" w:rsidP="00CB615C">
      <w:pPr>
        <w:widowControl/>
        <w:spacing w:after="0" w:line="240" w:lineRule="auto"/>
        <w:rPr>
          <w:rFonts w:ascii="Times New Roman" w:hAnsi="Times New Roman" w:cs="Times New Roman"/>
          <w:highlight w:val="lightGray"/>
        </w:rPr>
      </w:pPr>
      <w:r>
        <w:rPr>
          <w:rFonts w:ascii="Times New Roman" w:hAnsi="Times New Roman"/>
          <w:highlight w:val="lightGray"/>
        </w:rPr>
        <w:t>Plaquette unidose : 28 x 1</w:t>
      </w:r>
      <w:r>
        <w:rPr>
          <w:highlight w:val="lightGray"/>
        </w:rPr>
        <w:t> </w:t>
      </w:r>
      <w:r>
        <w:rPr>
          <w:rFonts w:ascii="Times New Roman" w:hAnsi="Times New Roman"/>
          <w:highlight w:val="lightGray"/>
        </w:rPr>
        <w:t>gélule</w:t>
      </w:r>
    </w:p>
    <w:p w14:paraId="143B6B0D" w14:textId="5035B72A" w:rsidR="0047040C" w:rsidRDefault="00080994" w:rsidP="00CB615C">
      <w:pPr>
        <w:widowControl/>
        <w:spacing w:after="0" w:line="240" w:lineRule="auto"/>
        <w:rPr>
          <w:rFonts w:ascii="Times New Roman" w:hAnsi="Times New Roman" w:cs="Times New Roman"/>
          <w:highlight w:val="lightGray"/>
        </w:rPr>
      </w:pPr>
      <w:r>
        <w:rPr>
          <w:rFonts w:ascii="Times New Roman" w:hAnsi="Times New Roman"/>
          <w:highlight w:val="lightGray"/>
        </w:rPr>
        <w:t>Plaquette unidose : 90 x 1</w:t>
      </w:r>
      <w:r>
        <w:rPr>
          <w:highlight w:val="lightGray"/>
        </w:rPr>
        <w:t> </w:t>
      </w:r>
      <w:r>
        <w:rPr>
          <w:rFonts w:ascii="Times New Roman" w:hAnsi="Times New Roman"/>
          <w:highlight w:val="lightGray"/>
        </w:rPr>
        <w:t>gélule</w:t>
      </w:r>
    </w:p>
    <w:p w14:paraId="37C09F0C" w14:textId="49A7D9C7" w:rsidR="00350E1D" w:rsidRDefault="00080994" w:rsidP="00CB615C">
      <w:pPr>
        <w:widowControl/>
        <w:spacing w:after="0" w:line="240" w:lineRule="auto"/>
        <w:rPr>
          <w:rFonts w:ascii="Times New Roman" w:hAnsi="Times New Roman" w:cs="Times New Roman"/>
          <w:highlight w:val="lightGray"/>
        </w:rPr>
      </w:pPr>
      <w:r>
        <w:rPr>
          <w:rFonts w:ascii="Times New Roman" w:hAnsi="Times New Roman"/>
          <w:highlight w:val="lightGray"/>
        </w:rPr>
        <w:t>Plaquette unidose : 98 x 1 gélule</w:t>
      </w:r>
    </w:p>
    <w:p w14:paraId="2200D778" w14:textId="1556E92B" w:rsidR="0047040C" w:rsidRDefault="0047040C" w:rsidP="00CB615C">
      <w:pPr>
        <w:widowControl/>
        <w:spacing w:after="0" w:line="240" w:lineRule="auto"/>
        <w:rPr>
          <w:rFonts w:ascii="Times New Roman" w:hAnsi="Times New Roman" w:cs="Times New Roman"/>
        </w:rPr>
      </w:pPr>
    </w:p>
    <w:p w14:paraId="423BD08A" w14:textId="047636AE" w:rsidR="0047040C" w:rsidRDefault="00080994" w:rsidP="00CB615C">
      <w:pPr>
        <w:widowControl/>
        <w:spacing w:after="0" w:line="240" w:lineRule="auto"/>
        <w:rPr>
          <w:rFonts w:ascii="Times New Roman" w:hAnsi="Times New Roman" w:cs="Times New Roman"/>
        </w:rPr>
      </w:pPr>
      <w:r>
        <w:rPr>
          <w:rFonts w:ascii="Times New Roman" w:hAnsi="Times New Roman"/>
          <w:highlight w:val="lightGray"/>
        </w:rPr>
        <w:t>Flacon : 90</w:t>
      </w:r>
      <w:r>
        <w:rPr>
          <w:highlight w:val="lightGray"/>
        </w:rPr>
        <w:t> </w:t>
      </w:r>
      <w:r>
        <w:rPr>
          <w:rFonts w:ascii="Times New Roman" w:hAnsi="Times New Roman"/>
          <w:highlight w:val="lightGray"/>
        </w:rPr>
        <w:t>gélules</w:t>
      </w:r>
    </w:p>
    <w:p w14:paraId="2573F365" w14:textId="4B5D8481" w:rsidR="0047040C" w:rsidRDefault="00080994" w:rsidP="00CB615C">
      <w:pPr>
        <w:widowControl/>
        <w:spacing w:after="0" w:line="240" w:lineRule="auto"/>
        <w:rPr>
          <w:rFonts w:ascii="Times New Roman" w:hAnsi="Times New Roman" w:cs="Times New Roman"/>
        </w:rPr>
      </w:pPr>
      <w:r>
        <w:rPr>
          <w:rFonts w:ascii="Times New Roman" w:hAnsi="Times New Roman"/>
          <w:highlight w:val="lightGray"/>
        </w:rPr>
        <w:t>Flacon : 100</w:t>
      </w:r>
      <w:r>
        <w:rPr>
          <w:highlight w:val="lightGray"/>
        </w:rPr>
        <w:t> </w:t>
      </w:r>
      <w:r>
        <w:rPr>
          <w:rFonts w:ascii="Times New Roman" w:hAnsi="Times New Roman"/>
          <w:highlight w:val="lightGray"/>
        </w:rPr>
        <w:t>gélules</w:t>
      </w:r>
    </w:p>
    <w:p w14:paraId="3A02B141" w14:textId="258E61A0" w:rsidR="00DC694D" w:rsidRDefault="00DC694D" w:rsidP="00CB615C">
      <w:pPr>
        <w:widowControl/>
        <w:spacing w:after="0" w:line="240" w:lineRule="auto"/>
        <w:rPr>
          <w:rFonts w:ascii="Times New Roman" w:hAnsi="Times New Roman" w:cs="Times New Roman"/>
        </w:rPr>
      </w:pPr>
    </w:p>
    <w:p w14:paraId="6243F996" w14:textId="77777777" w:rsidR="00DF15C7" w:rsidRDefault="00DF15C7" w:rsidP="00CB615C">
      <w:pPr>
        <w:widowControl/>
        <w:spacing w:after="0" w:line="240" w:lineRule="auto"/>
        <w:rPr>
          <w:rFonts w:ascii="Times New Roman" w:hAnsi="Times New Roman" w:cs="Times New Roman"/>
        </w:rPr>
      </w:pPr>
    </w:p>
    <w:p w14:paraId="6218B3D9" w14:textId="0CA9ED2A" w:rsidR="00DC694D"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5. </w:t>
      </w:r>
      <w:r>
        <w:rPr>
          <w:rFonts w:ascii="Times New Roman" w:hAnsi="Times New Roman"/>
          <w:b/>
        </w:rPr>
        <w:tab/>
        <w:t>MODE ET VOIE(S) D’ADMINISTRATION</w:t>
      </w:r>
    </w:p>
    <w:p w14:paraId="2F562BCF" w14:textId="17DB60E5" w:rsidR="00EB5A58" w:rsidRDefault="00EB5A58" w:rsidP="00CB615C">
      <w:pPr>
        <w:widowControl/>
        <w:spacing w:after="0" w:line="240" w:lineRule="auto"/>
        <w:rPr>
          <w:rFonts w:ascii="Times New Roman" w:hAnsi="Times New Roman" w:cs="Times New Roman"/>
        </w:rPr>
      </w:pPr>
    </w:p>
    <w:p w14:paraId="5620E99D" w14:textId="1AF694DF" w:rsidR="00EB5A58" w:rsidRDefault="00080994" w:rsidP="00CB615C">
      <w:pPr>
        <w:widowControl/>
        <w:spacing w:after="0" w:line="240" w:lineRule="auto"/>
        <w:rPr>
          <w:rFonts w:ascii="Times New Roman" w:hAnsi="Times New Roman" w:cs="Times New Roman"/>
        </w:rPr>
      </w:pPr>
      <w:r>
        <w:rPr>
          <w:rFonts w:ascii="Times New Roman" w:hAnsi="Times New Roman"/>
        </w:rPr>
        <w:t>Lire la notice avant utilisation.</w:t>
      </w:r>
    </w:p>
    <w:p w14:paraId="00B9EE1B" w14:textId="4599BDA3" w:rsidR="00DC694D" w:rsidRDefault="00080994" w:rsidP="00CB615C">
      <w:pPr>
        <w:widowControl/>
        <w:spacing w:after="0" w:line="240" w:lineRule="auto"/>
        <w:rPr>
          <w:rFonts w:ascii="Times New Roman" w:hAnsi="Times New Roman" w:cs="Times New Roman"/>
        </w:rPr>
      </w:pPr>
      <w:r>
        <w:rPr>
          <w:rFonts w:ascii="Times New Roman" w:hAnsi="Times New Roman"/>
        </w:rPr>
        <w:t>Voie orale.</w:t>
      </w:r>
    </w:p>
    <w:p w14:paraId="06FA55C0" w14:textId="69722205" w:rsidR="00723546" w:rsidRDefault="00080994" w:rsidP="00CB615C">
      <w:pPr>
        <w:widowControl/>
        <w:spacing w:after="0" w:line="240" w:lineRule="auto"/>
        <w:rPr>
          <w:rFonts w:ascii="Times New Roman" w:hAnsi="Times New Roman" w:cs="Times New Roman"/>
        </w:rPr>
      </w:pPr>
      <w:r>
        <w:rPr>
          <w:rFonts w:ascii="Times New Roman" w:hAnsi="Times New Roman"/>
        </w:rPr>
        <w:t>Avaler chaque gélule entière.</w:t>
      </w:r>
    </w:p>
    <w:p w14:paraId="339D426A" w14:textId="6F15A65A" w:rsidR="00DC694D" w:rsidRDefault="00DC694D" w:rsidP="00CB615C">
      <w:pPr>
        <w:widowControl/>
        <w:spacing w:after="0" w:line="240" w:lineRule="auto"/>
        <w:rPr>
          <w:rFonts w:ascii="Times New Roman" w:hAnsi="Times New Roman" w:cs="Times New Roman"/>
        </w:rPr>
      </w:pPr>
    </w:p>
    <w:p w14:paraId="2C9BC428" w14:textId="77777777" w:rsidR="00062D1A" w:rsidRDefault="00062D1A" w:rsidP="00CB615C">
      <w:pPr>
        <w:widowControl/>
        <w:spacing w:after="0" w:line="240" w:lineRule="auto"/>
        <w:rPr>
          <w:rFonts w:ascii="Times New Roman" w:hAnsi="Times New Roman" w:cs="Times New Roman"/>
        </w:rPr>
      </w:pPr>
    </w:p>
    <w:p w14:paraId="1266B6E4" w14:textId="07B382B4" w:rsidR="00DC694D" w:rsidRPr="005E3FEB" w:rsidRDefault="00080994" w:rsidP="00CB615C">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6. </w:t>
      </w:r>
      <w:r>
        <w:rPr>
          <w:rFonts w:ascii="Times New Roman" w:hAnsi="Times New Roman"/>
          <w:b/>
        </w:rPr>
        <w:tab/>
        <w:t>MISE EN GARDE SPÉCIALE INDIQUANT QUE LE MÉDICAMENT DOIT ÊTRE CONSERVÉ HORS DE VUE ET DE PORTÉE DES ENFANTS</w:t>
      </w:r>
    </w:p>
    <w:p w14:paraId="558751A8" w14:textId="77777777" w:rsidR="00EB5A58" w:rsidRDefault="00EB5A58" w:rsidP="00CB615C">
      <w:pPr>
        <w:widowControl/>
        <w:spacing w:after="0" w:line="240" w:lineRule="auto"/>
        <w:rPr>
          <w:rFonts w:ascii="Times New Roman" w:hAnsi="Times New Roman" w:cs="Times New Roman"/>
        </w:rPr>
      </w:pPr>
    </w:p>
    <w:p w14:paraId="31CFB137" w14:textId="77777777" w:rsidR="00EB5A58" w:rsidRDefault="00080994" w:rsidP="00CB615C">
      <w:pPr>
        <w:widowControl/>
        <w:spacing w:after="0" w:line="240" w:lineRule="auto"/>
        <w:rPr>
          <w:rFonts w:ascii="Times New Roman" w:hAnsi="Times New Roman" w:cs="Times New Roman"/>
        </w:rPr>
      </w:pPr>
      <w:r>
        <w:rPr>
          <w:rFonts w:ascii="Times New Roman" w:hAnsi="Times New Roman"/>
        </w:rPr>
        <w:t>Tenir hors de la vue et de la portée des enfants.</w:t>
      </w:r>
    </w:p>
    <w:p w14:paraId="103029CE" w14:textId="6EC0F6F0" w:rsidR="00DC694D" w:rsidRDefault="00DC694D" w:rsidP="00CB615C">
      <w:pPr>
        <w:widowControl/>
        <w:spacing w:after="0" w:line="240" w:lineRule="auto"/>
        <w:rPr>
          <w:rFonts w:ascii="Times New Roman" w:hAnsi="Times New Roman" w:cs="Times New Roman"/>
        </w:rPr>
      </w:pPr>
    </w:p>
    <w:p w14:paraId="7BCE4F2B" w14:textId="77777777" w:rsidR="00062D1A" w:rsidRDefault="00062D1A" w:rsidP="00CB615C">
      <w:pPr>
        <w:widowControl/>
        <w:spacing w:after="0" w:line="240" w:lineRule="auto"/>
        <w:rPr>
          <w:rFonts w:ascii="Times New Roman" w:hAnsi="Times New Roman" w:cs="Times New Roman"/>
        </w:rPr>
      </w:pPr>
    </w:p>
    <w:p w14:paraId="1DE9C210" w14:textId="3D69E27F" w:rsidR="00DC694D" w:rsidRPr="005E3FEB" w:rsidRDefault="00080994" w:rsidP="00D96AEB">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lastRenderedPageBreak/>
        <w:t xml:space="preserve">7. </w:t>
      </w:r>
      <w:r>
        <w:rPr>
          <w:rFonts w:ascii="Times New Roman" w:hAnsi="Times New Roman"/>
          <w:b/>
        </w:rPr>
        <w:tab/>
        <w:t>AUTRE(S) MISE(S) EN GARDE SPÉCIALE(S), SI NÉCESSAIRE</w:t>
      </w:r>
    </w:p>
    <w:p w14:paraId="7F492A4E" w14:textId="19E1B561" w:rsidR="00DC694D" w:rsidRDefault="00DC694D" w:rsidP="00D96AEB">
      <w:pPr>
        <w:keepNext/>
        <w:widowControl/>
        <w:spacing w:after="0" w:line="240" w:lineRule="auto"/>
        <w:rPr>
          <w:rFonts w:ascii="Times New Roman" w:hAnsi="Times New Roman" w:cs="Times New Roman"/>
        </w:rPr>
      </w:pPr>
    </w:p>
    <w:p w14:paraId="02F7FC72" w14:textId="77777777" w:rsidR="00062D1A" w:rsidRDefault="00062D1A" w:rsidP="00CB615C">
      <w:pPr>
        <w:widowControl/>
        <w:spacing w:after="0" w:line="240" w:lineRule="auto"/>
        <w:rPr>
          <w:rFonts w:ascii="Times New Roman" w:hAnsi="Times New Roman" w:cs="Times New Roman"/>
        </w:rPr>
      </w:pPr>
    </w:p>
    <w:p w14:paraId="67F82684" w14:textId="48C6EB09" w:rsidR="00DC694D"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8. </w:t>
      </w:r>
      <w:r>
        <w:rPr>
          <w:rFonts w:ascii="Times New Roman" w:hAnsi="Times New Roman"/>
          <w:b/>
        </w:rPr>
        <w:tab/>
        <w:t>DATE DE PÉREMPTION</w:t>
      </w:r>
    </w:p>
    <w:p w14:paraId="7FFA5774" w14:textId="41FA0729" w:rsidR="00DC694D" w:rsidRDefault="00DC694D" w:rsidP="00CB615C">
      <w:pPr>
        <w:widowControl/>
        <w:spacing w:after="0" w:line="240" w:lineRule="auto"/>
        <w:rPr>
          <w:rFonts w:ascii="Times New Roman" w:hAnsi="Times New Roman" w:cs="Times New Roman"/>
        </w:rPr>
      </w:pPr>
    </w:p>
    <w:p w14:paraId="2FF179DA" w14:textId="5EBC48C3" w:rsidR="00DC694D" w:rsidRDefault="00080994" w:rsidP="00CB615C">
      <w:pPr>
        <w:widowControl/>
        <w:spacing w:after="0" w:line="240" w:lineRule="auto"/>
        <w:rPr>
          <w:rFonts w:ascii="Times New Roman" w:hAnsi="Times New Roman" w:cs="Times New Roman"/>
        </w:rPr>
      </w:pPr>
      <w:r>
        <w:rPr>
          <w:rFonts w:ascii="Times New Roman" w:hAnsi="Times New Roman"/>
        </w:rPr>
        <w:t>EXP</w:t>
      </w:r>
    </w:p>
    <w:p w14:paraId="78405533" w14:textId="34C019BC" w:rsidR="00DC694D" w:rsidRDefault="00DC694D" w:rsidP="00CB615C">
      <w:pPr>
        <w:widowControl/>
        <w:spacing w:after="0" w:line="240" w:lineRule="auto"/>
        <w:rPr>
          <w:rFonts w:ascii="Times New Roman" w:hAnsi="Times New Roman" w:cs="Times New Roman"/>
        </w:rPr>
      </w:pPr>
    </w:p>
    <w:p w14:paraId="48A8178A" w14:textId="77777777" w:rsidR="00062D1A" w:rsidRDefault="00062D1A" w:rsidP="00CB615C">
      <w:pPr>
        <w:widowControl/>
        <w:spacing w:after="0" w:line="240" w:lineRule="auto"/>
        <w:rPr>
          <w:rFonts w:ascii="Times New Roman" w:hAnsi="Times New Roman" w:cs="Times New Roman"/>
        </w:rPr>
      </w:pPr>
    </w:p>
    <w:p w14:paraId="56C582C9" w14:textId="46107B2C" w:rsidR="00DC694D"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9. </w:t>
      </w:r>
      <w:r>
        <w:rPr>
          <w:rFonts w:ascii="Times New Roman" w:hAnsi="Times New Roman"/>
          <w:b/>
        </w:rPr>
        <w:tab/>
        <w:t>PRÉCAUTIONS PARTICULIÈRES DE CONSERVATION</w:t>
      </w:r>
    </w:p>
    <w:p w14:paraId="133DABB2" w14:textId="296B44F8" w:rsidR="00F2534D" w:rsidRPr="00DF15C7" w:rsidRDefault="00F2534D" w:rsidP="00CB615C">
      <w:pPr>
        <w:widowControl/>
        <w:spacing w:after="0" w:line="240" w:lineRule="auto"/>
        <w:rPr>
          <w:rFonts w:ascii="Times New Roman" w:hAnsi="Times New Roman" w:cs="Times New Roman"/>
          <w:u w:val="single"/>
        </w:rPr>
      </w:pPr>
    </w:p>
    <w:p w14:paraId="749940BE" w14:textId="490B54C8" w:rsidR="00DC694D" w:rsidRPr="00DC694D" w:rsidRDefault="00CC0570" w:rsidP="00CB615C">
      <w:pPr>
        <w:widowControl/>
        <w:spacing w:after="0" w:line="240" w:lineRule="auto"/>
        <w:rPr>
          <w:rFonts w:ascii="Times New Roman" w:hAnsi="Times New Roman" w:cs="Times New Roman"/>
        </w:rPr>
      </w:pPr>
      <w:r w:rsidRPr="00CC0570">
        <w:rPr>
          <w:rFonts w:ascii="Times New Roman" w:hAnsi="Times New Roman"/>
        </w:rPr>
        <w:t>A</w:t>
      </w:r>
      <w:r w:rsidR="00080994">
        <w:rPr>
          <w:rFonts w:ascii="Times New Roman" w:hAnsi="Times New Roman"/>
        </w:rPr>
        <w:t xml:space="preserve"> conserver à une température ne dépassant pas 25 °C.</w:t>
      </w:r>
    </w:p>
    <w:p w14:paraId="5966BBD1" w14:textId="3A314886" w:rsidR="00FA58B9" w:rsidRDefault="00CC0570" w:rsidP="00CB615C">
      <w:pPr>
        <w:widowControl/>
        <w:spacing w:after="0" w:line="240" w:lineRule="auto"/>
        <w:rPr>
          <w:rFonts w:ascii="Times New Roman" w:hAnsi="Times New Roman" w:cs="Times New Roman"/>
        </w:rPr>
      </w:pPr>
      <w:r w:rsidRPr="00CC0570">
        <w:rPr>
          <w:rFonts w:ascii="Times New Roman" w:hAnsi="Times New Roman"/>
        </w:rPr>
        <w:t>A</w:t>
      </w:r>
      <w:r w:rsidR="00080994">
        <w:rPr>
          <w:rFonts w:ascii="Times New Roman" w:hAnsi="Times New Roman"/>
        </w:rPr>
        <w:t xml:space="preserve"> conserver dans l’emballage d’origine à l’abri de l’humidité.</w:t>
      </w:r>
    </w:p>
    <w:p w14:paraId="06E99726" w14:textId="77777777" w:rsidR="00F2534D" w:rsidRDefault="00F2534D" w:rsidP="00CB615C">
      <w:pPr>
        <w:widowControl/>
        <w:spacing w:after="0" w:line="240" w:lineRule="auto"/>
        <w:rPr>
          <w:rFonts w:ascii="Times New Roman" w:hAnsi="Times New Roman" w:cs="Times New Roman"/>
          <w:highlight w:val="lightGray"/>
        </w:rPr>
      </w:pPr>
    </w:p>
    <w:p w14:paraId="411471D3" w14:textId="77777777" w:rsidR="00F2534D" w:rsidRDefault="00F2534D" w:rsidP="00CB615C">
      <w:pPr>
        <w:widowControl/>
        <w:spacing w:after="0" w:line="240" w:lineRule="auto"/>
        <w:rPr>
          <w:rFonts w:ascii="Times New Roman" w:hAnsi="Times New Roman" w:cs="Times New Roman"/>
        </w:rPr>
      </w:pPr>
    </w:p>
    <w:p w14:paraId="54976616" w14:textId="16C2AD9E" w:rsidR="00DC694D" w:rsidRPr="005E3FEB" w:rsidRDefault="00080994" w:rsidP="00CB615C">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10. </w:t>
      </w:r>
      <w:r>
        <w:rPr>
          <w:rFonts w:ascii="Times New Roman" w:hAnsi="Times New Roman"/>
          <w:b/>
        </w:rPr>
        <w:tab/>
        <w:t>PRÉCAUTIONS PARTICULIÈRES D’ÉLIMINATION DES MÉDICAMENTS NON UTILISÉS OU DES DÉCHETS PROVENANT DE CES MÉDICAMENTS S’IL Y A LIEU</w:t>
      </w:r>
    </w:p>
    <w:p w14:paraId="21170B1F" w14:textId="739BE597" w:rsidR="00DC694D" w:rsidRDefault="00DC694D" w:rsidP="00CB615C">
      <w:pPr>
        <w:widowControl/>
        <w:spacing w:after="0" w:line="240" w:lineRule="auto"/>
        <w:rPr>
          <w:rFonts w:ascii="Times New Roman" w:hAnsi="Times New Roman" w:cs="Times New Roman"/>
        </w:rPr>
      </w:pPr>
    </w:p>
    <w:p w14:paraId="3EC3D79A" w14:textId="77777777" w:rsidR="00062D1A" w:rsidRDefault="00062D1A" w:rsidP="00CB615C">
      <w:pPr>
        <w:widowControl/>
        <w:spacing w:after="0" w:line="240" w:lineRule="auto"/>
        <w:rPr>
          <w:rFonts w:ascii="Times New Roman" w:hAnsi="Times New Roman" w:cs="Times New Roman"/>
        </w:rPr>
      </w:pPr>
    </w:p>
    <w:p w14:paraId="0BDE7988" w14:textId="23C1297F" w:rsidR="00DC694D" w:rsidRPr="005E3FEB" w:rsidRDefault="00080994" w:rsidP="00D96AEB">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 xml:space="preserve">11. </w:t>
      </w:r>
      <w:r>
        <w:rPr>
          <w:rFonts w:ascii="Times New Roman" w:hAnsi="Times New Roman"/>
          <w:b/>
        </w:rPr>
        <w:tab/>
        <w:t>NOM ET ADRESSE DU TITULAIRE DE L’AUTORISATION DE MISE SUR LE MARCHÉ</w:t>
      </w:r>
    </w:p>
    <w:p w14:paraId="22CAEA23" w14:textId="4461B225" w:rsidR="00DC694D" w:rsidRDefault="00DC694D" w:rsidP="00CB615C">
      <w:pPr>
        <w:widowControl/>
        <w:spacing w:after="0" w:line="240" w:lineRule="auto"/>
        <w:rPr>
          <w:rFonts w:ascii="Times New Roman" w:hAnsi="Times New Roman" w:cs="Times New Roman"/>
        </w:rPr>
      </w:pPr>
    </w:p>
    <w:p w14:paraId="4BAE942E" w14:textId="6F046B3A" w:rsidR="00101097" w:rsidRPr="00077970" w:rsidRDefault="00080994" w:rsidP="00CB615C">
      <w:pPr>
        <w:widowControl/>
        <w:spacing w:after="0"/>
        <w:rPr>
          <w:rFonts w:ascii="Times New Roman" w:eastAsia="Times New Roman" w:hAnsi="Times New Roman" w:cs="Times New Roman"/>
          <w:lang w:val="en-US"/>
        </w:rPr>
      </w:pPr>
      <w:r w:rsidRPr="00077970">
        <w:rPr>
          <w:rFonts w:ascii="Times New Roman" w:hAnsi="Times New Roman"/>
          <w:lang w:val="en-US"/>
        </w:rPr>
        <w:t xml:space="preserve">Mylan </w:t>
      </w:r>
      <w:r w:rsidR="00D4439A" w:rsidRPr="00077970">
        <w:rPr>
          <w:rFonts w:ascii="Times New Roman" w:hAnsi="Times New Roman"/>
          <w:lang w:val="en-US"/>
        </w:rPr>
        <w:t>Pharmaceuticals</w:t>
      </w:r>
      <w:r w:rsidRPr="00077970">
        <w:rPr>
          <w:rFonts w:ascii="Times New Roman" w:hAnsi="Times New Roman"/>
          <w:lang w:val="en-US"/>
        </w:rPr>
        <w:t xml:space="preserve"> Limited, </w:t>
      </w:r>
      <w:proofErr w:type="spellStart"/>
      <w:r w:rsidR="00101097" w:rsidRPr="00077970">
        <w:rPr>
          <w:rFonts w:ascii="Times New Roman" w:eastAsia="Times New Roman" w:hAnsi="Times New Roman" w:cs="Times New Roman"/>
          <w:lang w:val="en-US"/>
        </w:rPr>
        <w:t>Damastown</w:t>
      </w:r>
      <w:proofErr w:type="spellEnd"/>
      <w:r w:rsidR="00101097" w:rsidRPr="00077970">
        <w:rPr>
          <w:rFonts w:ascii="Times New Roman" w:eastAsia="Times New Roman" w:hAnsi="Times New Roman" w:cs="Times New Roman"/>
          <w:lang w:val="en-US"/>
        </w:rPr>
        <w:t xml:space="preserve"> Industrial Park, </w:t>
      </w:r>
      <w:proofErr w:type="spellStart"/>
      <w:r w:rsidR="00101097" w:rsidRPr="00077970">
        <w:rPr>
          <w:rFonts w:ascii="Times New Roman" w:eastAsia="Times New Roman" w:hAnsi="Times New Roman" w:cs="Times New Roman"/>
          <w:lang w:val="en-US"/>
        </w:rPr>
        <w:t>Mulhuddart</w:t>
      </w:r>
      <w:proofErr w:type="spellEnd"/>
      <w:r w:rsidR="00101097" w:rsidRPr="00077970">
        <w:rPr>
          <w:rFonts w:ascii="Times New Roman" w:eastAsia="Times New Roman" w:hAnsi="Times New Roman" w:cs="Times New Roman"/>
          <w:lang w:val="en-US"/>
        </w:rPr>
        <w:t>, Dublin 15, DUBLIN</w:t>
      </w:r>
    </w:p>
    <w:p w14:paraId="1438096F" w14:textId="6934C786" w:rsidR="00062D1A" w:rsidRPr="00107057" w:rsidRDefault="00101097" w:rsidP="00CB615C">
      <w:pPr>
        <w:widowControl/>
        <w:spacing w:after="0" w:line="240" w:lineRule="auto"/>
        <w:rPr>
          <w:rFonts w:ascii="Times New Roman" w:hAnsi="Times New Roman" w:cs="Times New Roman"/>
        </w:rPr>
      </w:pPr>
      <w:r w:rsidRPr="00107057">
        <w:rPr>
          <w:rFonts w:ascii="Times New Roman" w:eastAsia="Times New Roman" w:hAnsi="Times New Roman" w:cs="Times New Roman"/>
        </w:rPr>
        <w:t>Irlande</w:t>
      </w:r>
      <w:r w:rsidR="00080994" w:rsidRPr="00107057">
        <w:rPr>
          <w:rFonts w:ascii="Times New Roman" w:hAnsi="Times New Roman"/>
        </w:rPr>
        <w:t>.</w:t>
      </w:r>
    </w:p>
    <w:p w14:paraId="0E648EB0" w14:textId="44B78399" w:rsidR="00CE28C7" w:rsidRPr="00107057" w:rsidRDefault="00CE28C7" w:rsidP="00CB615C">
      <w:pPr>
        <w:widowControl/>
        <w:spacing w:after="0" w:line="240" w:lineRule="auto"/>
        <w:rPr>
          <w:rFonts w:ascii="Times New Roman" w:hAnsi="Times New Roman" w:cs="Times New Roman"/>
        </w:rPr>
      </w:pPr>
    </w:p>
    <w:p w14:paraId="4F404AF0" w14:textId="77777777" w:rsidR="00412BBF" w:rsidRPr="00107057" w:rsidRDefault="00412BBF" w:rsidP="00CB615C">
      <w:pPr>
        <w:widowControl/>
        <w:spacing w:after="0" w:line="240" w:lineRule="auto"/>
        <w:rPr>
          <w:rFonts w:ascii="Times New Roman" w:hAnsi="Times New Roman" w:cs="Times New Roman"/>
        </w:rPr>
      </w:pPr>
    </w:p>
    <w:p w14:paraId="543C2392" w14:textId="6EADFFF9" w:rsidR="00DC694D"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12. </w:t>
      </w:r>
      <w:r>
        <w:rPr>
          <w:rFonts w:ascii="Times New Roman" w:hAnsi="Times New Roman"/>
          <w:b/>
        </w:rPr>
        <w:tab/>
        <w:t>NUMÉRO(S) D’AUTORISATION DE MISE SUR LE MARCHÉ</w:t>
      </w:r>
    </w:p>
    <w:p w14:paraId="4A2F836A" w14:textId="77777777" w:rsidR="00053E89" w:rsidRDefault="00053E89" w:rsidP="00CB615C">
      <w:pPr>
        <w:widowControl/>
        <w:spacing w:after="0" w:line="240" w:lineRule="auto"/>
        <w:rPr>
          <w:rFonts w:ascii="Times New Roman" w:hAnsi="Times New Roman" w:cs="Times New Roman"/>
        </w:rPr>
      </w:pPr>
    </w:p>
    <w:p w14:paraId="713AE9DC" w14:textId="77777777" w:rsidR="00570BF6" w:rsidRPr="00077970" w:rsidRDefault="00570BF6" w:rsidP="00CB615C">
      <w:pPr>
        <w:widowControl/>
        <w:spacing w:after="0" w:line="240" w:lineRule="auto"/>
        <w:rPr>
          <w:rFonts w:ascii="Times New Roman" w:hAnsi="Times New Roman" w:cs="Times New Roman"/>
        </w:rPr>
      </w:pPr>
      <w:r w:rsidRPr="00077970">
        <w:rPr>
          <w:rFonts w:ascii="Times New Roman" w:hAnsi="Times New Roman"/>
        </w:rPr>
        <w:t>EU/1/21/1573/001</w:t>
      </w:r>
    </w:p>
    <w:p w14:paraId="7C2A8AD7"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EU/1/21/1573/002</w:t>
      </w:r>
    </w:p>
    <w:p w14:paraId="071D45EE"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EU/1/21/1573/003</w:t>
      </w:r>
    </w:p>
    <w:p w14:paraId="09107DA0"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EU/1/21/1573/004</w:t>
      </w:r>
    </w:p>
    <w:p w14:paraId="58B02583"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EU/1/21/1573/005</w:t>
      </w:r>
    </w:p>
    <w:p w14:paraId="789BE9E1"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EU/1/21/1573/006</w:t>
      </w:r>
    </w:p>
    <w:p w14:paraId="10684E08"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EU/1/21/1573/007</w:t>
      </w:r>
    </w:p>
    <w:p w14:paraId="0C8654F6"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EU/1/21/1573/008</w:t>
      </w:r>
    </w:p>
    <w:p w14:paraId="0723FBF6"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EU/1/21/1573/010</w:t>
      </w:r>
    </w:p>
    <w:p w14:paraId="0A85BC06"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EU/1/21/1573/011</w:t>
      </w:r>
    </w:p>
    <w:p w14:paraId="478AF9BC"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EU/1/21/1573/012</w:t>
      </w:r>
    </w:p>
    <w:p w14:paraId="399B8D0B"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EU/1/21/1573/013</w:t>
      </w:r>
    </w:p>
    <w:p w14:paraId="1F7EC07B"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EU/1/21/1573/014</w:t>
      </w:r>
    </w:p>
    <w:p w14:paraId="5CAAEE39"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EU/1/21/1573/015</w:t>
      </w:r>
    </w:p>
    <w:p w14:paraId="2481DBBF"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EU/1/21/1573/016</w:t>
      </w:r>
    </w:p>
    <w:p w14:paraId="24D7FC77"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EU/1/21/1573/017</w:t>
      </w:r>
    </w:p>
    <w:p w14:paraId="0CFD1F0D"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EU/1/21/1573/018</w:t>
      </w:r>
    </w:p>
    <w:p w14:paraId="659CE394"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EU/1/21/1573/019</w:t>
      </w:r>
    </w:p>
    <w:p w14:paraId="4ED384E6"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EU/1/21/1573/020</w:t>
      </w:r>
    </w:p>
    <w:p w14:paraId="239E471E" w14:textId="77777777" w:rsidR="00570BF6" w:rsidRPr="00077970" w:rsidRDefault="00570BF6" w:rsidP="00CB615C">
      <w:pPr>
        <w:widowControl/>
        <w:spacing w:after="0" w:line="240" w:lineRule="auto"/>
        <w:rPr>
          <w:rFonts w:ascii="Times New Roman" w:hAnsi="Times New Roman" w:cs="Times New Roman"/>
          <w:highlight w:val="lightGray"/>
        </w:rPr>
      </w:pPr>
      <w:r w:rsidRPr="00077970">
        <w:rPr>
          <w:rFonts w:ascii="Times New Roman" w:hAnsi="Times New Roman"/>
          <w:highlight w:val="lightGray"/>
        </w:rPr>
        <w:t>EU/1/21/1573/021</w:t>
      </w:r>
    </w:p>
    <w:p w14:paraId="4E031DA9" w14:textId="77777777" w:rsidR="00570BF6" w:rsidRPr="00570BF6" w:rsidRDefault="00570BF6" w:rsidP="00CB615C">
      <w:pPr>
        <w:widowControl/>
        <w:spacing w:after="0" w:line="240" w:lineRule="auto"/>
        <w:rPr>
          <w:rFonts w:ascii="Times New Roman" w:hAnsi="Times New Roman" w:cs="Times New Roman"/>
          <w:highlight w:val="lightGray"/>
        </w:rPr>
      </w:pPr>
      <w:r>
        <w:rPr>
          <w:rFonts w:ascii="Times New Roman" w:hAnsi="Times New Roman"/>
          <w:highlight w:val="lightGray"/>
        </w:rPr>
        <w:t>EU/1/21/1573/023</w:t>
      </w:r>
    </w:p>
    <w:p w14:paraId="6895B33C" w14:textId="77777777" w:rsidR="00570BF6" w:rsidRDefault="00570BF6" w:rsidP="00CB615C">
      <w:pPr>
        <w:widowControl/>
        <w:spacing w:after="0" w:line="240" w:lineRule="auto"/>
        <w:rPr>
          <w:rFonts w:ascii="Times New Roman" w:hAnsi="Times New Roman" w:cs="Times New Roman"/>
        </w:rPr>
      </w:pPr>
      <w:r>
        <w:rPr>
          <w:rFonts w:ascii="Times New Roman" w:hAnsi="Times New Roman"/>
          <w:highlight w:val="lightGray"/>
        </w:rPr>
        <w:t>EU/1/21/1573/024</w:t>
      </w:r>
    </w:p>
    <w:p w14:paraId="46E16774" w14:textId="59195942" w:rsidR="00062D1A" w:rsidRDefault="00062D1A" w:rsidP="00CB615C">
      <w:pPr>
        <w:widowControl/>
        <w:spacing w:after="0" w:line="240" w:lineRule="auto"/>
        <w:rPr>
          <w:rFonts w:ascii="Times New Roman" w:hAnsi="Times New Roman" w:cs="Times New Roman"/>
        </w:rPr>
      </w:pPr>
    </w:p>
    <w:p w14:paraId="3C822C4B" w14:textId="77777777" w:rsidR="008F22C4" w:rsidRDefault="008F22C4" w:rsidP="00CB615C">
      <w:pPr>
        <w:widowControl/>
        <w:spacing w:after="0" w:line="240" w:lineRule="auto"/>
        <w:rPr>
          <w:rFonts w:ascii="Times New Roman" w:hAnsi="Times New Roman" w:cs="Times New Roman"/>
        </w:rPr>
      </w:pPr>
    </w:p>
    <w:p w14:paraId="7558D55B" w14:textId="7D7D9B3F" w:rsidR="00053E89" w:rsidRPr="005E3FEB" w:rsidRDefault="00080994" w:rsidP="00D96AEB">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lastRenderedPageBreak/>
        <w:t xml:space="preserve">13. </w:t>
      </w:r>
      <w:r>
        <w:rPr>
          <w:rFonts w:ascii="Times New Roman" w:hAnsi="Times New Roman"/>
          <w:b/>
        </w:rPr>
        <w:tab/>
        <w:t>NUMÉRO DU LOT</w:t>
      </w:r>
    </w:p>
    <w:p w14:paraId="0AAE7366" w14:textId="77777777" w:rsidR="00053E89" w:rsidRDefault="00053E89" w:rsidP="00D96AEB">
      <w:pPr>
        <w:keepNext/>
        <w:widowControl/>
        <w:spacing w:after="0" w:line="240" w:lineRule="auto"/>
        <w:rPr>
          <w:rFonts w:ascii="Times New Roman" w:hAnsi="Times New Roman" w:cs="Times New Roman"/>
        </w:rPr>
      </w:pPr>
    </w:p>
    <w:p w14:paraId="16CC877F" w14:textId="4A6E1B78" w:rsidR="00053E89" w:rsidRDefault="00080994" w:rsidP="00D96AEB">
      <w:pPr>
        <w:keepNext/>
        <w:widowControl/>
        <w:spacing w:after="0" w:line="240" w:lineRule="auto"/>
        <w:rPr>
          <w:rFonts w:ascii="Times New Roman" w:hAnsi="Times New Roman" w:cs="Times New Roman"/>
        </w:rPr>
      </w:pPr>
      <w:r>
        <w:rPr>
          <w:rFonts w:ascii="Times New Roman" w:hAnsi="Times New Roman"/>
        </w:rPr>
        <w:t>Lot</w:t>
      </w:r>
    </w:p>
    <w:p w14:paraId="7D20ADF2" w14:textId="504A9F56" w:rsidR="00053E89" w:rsidRDefault="00053E89" w:rsidP="00CB615C">
      <w:pPr>
        <w:widowControl/>
        <w:spacing w:after="0" w:line="240" w:lineRule="auto"/>
        <w:rPr>
          <w:rFonts w:ascii="Times New Roman" w:hAnsi="Times New Roman" w:cs="Times New Roman"/>
        </w:rPr>
      </w:pPr>
    </w:p>
    <w:p w14:paraId="59CF8A0C" w14:textId="77777777" w:rsidR="00062D1A" w:rsidRDefault="00062D1A" w:rsidP="00CB615C">
      <w:pPr>
        <w:widowControl/>
        <w:spacing w:after="0" w:line="240" w:lineRule="auto"/>
        <w:rPr>
          <w:rFonts w:ascii="Times New Roman" w:hAnsi="Times New Roman" w:cs="Times New Roman"/>
        </w:rPr>
      </w:pPr>
    </w:p>
    <w:p w14:paraId="3C9B2337" w14:textId="0DA0CF36" w:rsidR="00053E89" w:rsidRPr="005E3FEB" w:rsidRDefault="00080994" w:rsidP="00CB615C">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14. </w:t>
      </w:r>
      <w:r>
        <w:rPr>
          <w:rFonts w:ascii="Times New Roman" w:hAnsi="Times New Roman"/>
          <w:b/>
        </w:rPr>
        <w:tab/>
        <w:t>CONDITIONS DE PRESCRIPTION ET DE DÉLIVRANCE</w:t>
      </w:r>
    </w:p>
    <w:p w14:paraId="744D42CB" w14:textId="77777777" w:rsidR="008F22C4" w:rsidRDefault="008F22C4" w:rsidP="00CB615C">
      <w:pPr>
        <w:keepNext/>
        <w:widowControl/>
        <w:spacing w:after="0" w:line="240" w:lineRule="auto"/>
        <w:rPr>
          <w:rFonts w:ascii="Times New Roman" w:hAnsi="Times New Roman" w:cs="Times New Roman"/>
        </w:rPr>
      </w:pPr>
    </w:p>
    <w:p w14:paraId="4E8FA1D2" w14:textId="77777777" w:rsidR="00062D1A" w:rsidRDefault="00062D1A" w:rsidP="00CB615C">
      <w:pPr>
        <w:widowControl/>
        <w:spacing w:after="0" w:line="240" w:lineRule="auto"/>
        <w:rPr>
          <w:rFonts w:ascii="Times New Roman" w:hAnsi="Times New Roman" w:cs="Times New Roman"/>
        </w:rPr>
      </w:pPr>
    </w:p>
    <w:p w14:paraId="5F9F140A" w14:textId="2F6D5B39" w:rsidR="00053E89"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15. </w:t>
      </w:r>
      <w:r>
        <w:rPr>
          <w:rFonts w:ascii="Times New Roman" w:hAnsi="Times New Roman"/>
          <w:b/>
        </w:rPr>
        <w:tab/>
        <w:t>INDICATIONS D’UTILISATION</w:t>
      </w:r>
    </w:p>
    <w:p w14:paraId="65F436EB" w14:textId="5308669F" w:rsidR="00062D1A" w:rsidRDefault="00062D1A" w:rsidP="00CB615C">
      <w:pPr>
        <w:widowControl/>
        <w:spacing w:after="0" w:line="240" w:lineRule="auto"/>
        <w:rPr>
          <w:rFonts w:ascii="Times New Roman" w:hAnsi="Times New Roman" w:cs="Times New Roman"/>
        </w:rPr>
      </w:pPr>
    </w:p>
    <w:p w14:paraId="0455CBCA" w14:textId="77777777" w:rsidR="008F22C4" w:rsidRDefault="008F22C4" w:rsidP="00CB615C">
      <w:pPr>
        <w:widowControl/>
        <w:spacing w:after="0" w:line="240" w:lineRule="auto"/>
        <w:rPr>
          <w:rFonts w:ascii="Times New Roman" w:hAnsi="Times New Roman" w:cs="Times New Roman"/>
        </w:rPr>
      </w:pPr>
    </w:p>
    <w:p w14:paraId="7B9FA0FA" w14:textId="24262F4F" w:rsidR="00053E89"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16. </w:t>
      </w:r>
      <w:r>
        <w:rPr>
          <w:rFonts w:ascii="Times New Roman" w:hAnsi="Times New Roman"/>
          <w:b/>
        </w:rPr>
        <w:tab/>
        <w:t>INFORMATIONS EN BRAILLE</w:t>
      </w:r>
    </w:p>
    <w:p w14:paraId="1E738798" w14:textId="2C1B5940" w:rsidR="00053E89" w:rsidRDefault="00053E89" w:rsidP="00CB615C">
      <w:pPr>
        <w:widowControl/>
        <w:spacing w:after="0" w:line="240" w:lineRule="auto"/>
        <w:rPr>
          <w:rFonts w:ascii="Times New Roman" w:hAnsi="Times New Roman" w:cs="Times New Roman"/>
        </w:rPr>
      </w:pPr>
    </w:p>
    <w:p w14:paraId="303BB2E9" w14:textId="360CDE86" w:rsidR="00B462BC" w:rsidRDefault="00080994" w:rsidP="00CB615C">
      <w:pPr>
        <w:widowControl/>
        <w:spacing w:after="0" w:line="240" w:lineRule="auto"/>
        <w:rPr>
          <w:rFonts w:ascii="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0,5 mg</w:t>
      </w:r>
    </w:p>
    <w:p w14:paraId="2C113B44" w14:textId="64EBB700" w:rsidR="00B462BC" w:rsidRDefault="00B462BC" w:rsidP="00CB615C">
      <w:pPr>
        <w:widowControl/>
        <w:spacing w:after="0" w:line="240" w:lineRule="auto"/>
        <w:rPr>
          <w:rFonts w:ascii="Times New Roman" w:hAnsi="Times New Roman" w:cs="Times New Roman"/>
        </w:rPr>
      </w:pPr>
    </w:p>
    <w:p w14:paraId="41D86ED7" w14:textId="77777777" w:rsidR="00062D1A" w:rsidRDefault="00062D1A" w:rsidP="00CB615C">
      <w:pPr>
        <w:widowControl/>
        <w:spacing w:after="0" w:line="240" w:lineRule="auto"/>
        <w:rPr>
          <w:rFonts w:ascii="Times New Roman" w:hAnsi="Times New Roman" w:cs="Times New Roman"/>
        </w:rPr>
      </w:pPr>
    </w:p>
    <w:p w14:paraId="2B9480A7" w14:textId="56503CAF" w:rsidR="00053E89"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17. </w:t>
      </w:r>
      <w:r>
        <w:rPr>
          <w:rFonts w:ascii="Times New Roman" w:hAnsi="Times New Roman"/>
          <w:b/>
        </w:rPr>
        <w:tab/>
        <w:t>IDENTIFIANT UNIQUE - CODE-BARRES 2D</w:t>
      </w:r>
    </w:p>
    <w:p w14:paraId="6CAF0146" w14:textId="5F34F631" w:rsidR="00053E89" w:rsidRDefault="00053E89" w:rsidP="00CB615C">
      <w:pPr>
        <w:widowControl/>
        <w:spacing w:after="0" w:line="240" w:lineRule="auto"/>
        <w:rPr>
          <w:rFonts w:ascii="Times New Roman" w:hAnsi="Times New Roman" w:cs="Times New Roman"/>
        </w:rPr>
      </w:pPr>
    </w:p>
    <w:p w14:paraId="0DD58FDE" w14:textId="5F22CC89" w:rsidR="00053E89" w:rsidRDefault="00080994" w:rsidP="00CB615C">
      <w:pPr>
        <w:widowControl/>
        <w:spacing w:after="0" w:line="240" w:lineRule="auto"/>
        <w:rPr>
          <w:rFonts w:ascii="Times New Roman" w:hAnsi="Times New Roman" w:cs="Times New Roman"/>
        </w:rPr>
      </w:pPr>
      <w:proofErr w:type="gramStart"/>
      <w:r>
        <w:rPr>
          <w:rFonts w:ascii="Times New Roman" w:hAnsi="Times New Roman"/>
          <w:highlight w:val="lightGray"/>
        </w:rPr>
        <w:t>code</w:t>
      </w:r>
      <w:proofErr w:type="gramEnd"/>
      <w:r>
        <w:rPr>
          <w:rFonts w:ascii="Times New Roman" w:hAnsi="Times New Roman"/>
          <w:highlight w:val="lightGray"/>
        </w:rPr>
        <w:t>-barres 2D portant l’identifiant unique inclus.</w:t>
      </w:r>
    </w:p>
    <w:p w14:paraId="07BDA651" w14:textId="272100E7" w:rsidR="00053E89" w:rsidRDefault="00053E89" w:rsidP="00CB615C">
      <w:pPr>
        <w:widowControl/>
        <w:spacing w:after="0" w:line="240" w:lineRule="auto"/>
        <w:rPr>
          <w:rFonts w:ascii="Times New Roman" w:hAnsi="Times New Roman" w:cs="Times New Roman"/>
        </w:rPr>
      </w:pPr>
    </w:p>
    <w:p w14:paraId="382C6CBE" w14:textId="77777777" w:rsidR="00062D1A" w:rsidRDefault="00062D1A" w:rsidP="00CB615C">
      <w:pPr>
        <w:widowControl/>
        <w:spacing w:after="0" w:line="240" w:lineRule="auto"/>
        <w:rPr>
          <w:rFonts w:ascii="Times New Roman" w:hAnsi="Times New Roman" w:cs="Times New Roman"/>
        </w:rPr>
      </w:pPr>
    </w:p>
    <w:p w14:paraId="12DC15B3" w14:textId="28BFD72A" w:rsidR="00053E89" w:rsidRPr="005E3FEB"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18. </w:t>
      </w:r>
      <w:r>
        <w:rPr>
          <w:rFonts w:ascii="Times New Roman" w:hAnsi="Times New Roman"/>
          <w:b/>
        </w:rPr>
        <w:tab/>
        <w:t>IDENTIFIANT UNIQUE - DONNÉES LISIBLES PAR LES HUMAINS</w:t>
      </w:r>
    </w:p>
    <w:p w14:paraId="4BD58FB9" w14:textId="62AE2007" w:rsidR="00053E89" w:rsidRDefault="00053E89" w:rsidP="00CB615C">
      <w:pPr>
        <w:widowControl/>
        <w:spacing w:after="0" w:line="240" w:lineRule="auto"/>
        <w:rPr>
          <w:rFonts w:ascii="Times New Roman" w:hAnsi="Times New Roman" w:cs="Times New Roman"/>
        </w:rPr>
      </w:pPr>
    </w:p>
    <w:p w14:paraId="79D416CC" w14:textId="614C4642" w:rsidR="00053E89" w:rsidRPr="00053E89" w:rsidRDefault="00080994" w:rsidP="00CB615C">
      <w:pPr>
        <w:widowControl/>
        <w:spacing w:after="0" w:line="240" w:lineRule="auto"/>
        <w:rPr>
          <w:rFonts w:ascii="Times New Roman" w:hAnsi="Times New Roman" w:cs="Times New Roman"/>
        </w:rPr>
      </w:pPr>
      <w:r>
        <w:rPr>
          <w:rFonts w:ascii="Times New Roman" w:hAnsi="Times New Roman"/>
        </w:rPr>
        <w:t>PC</w:t>
      </w:r>
    </w:p>
    <w:p w14:paraId="587B879E" w14:textId="46303DA6" w:rsidR="00053E89" w:rsidRPr="00053E89" w:rsidRDefault="00080994" w:rsidP="00CB615C">
      <w:pPr>
        <w:widowControl/>
        <w:spacing w:after="0" w:line="240" w:lineRule="auto"/>
        <w:rPr>
          <w:rFonts w:ascii="Times New Roman" w:hAnsi="Times New Roman" w:cs="Times New Roman"/>
        </w:rPr>
      </w:pPr>
      <w:r>
        <w:rPr>
          <w:rFonts w:ascii="Times New Roman" w:hAnsi="Times New Roman"/>
        </w:rPr>
        <w:t>SN</w:t>
      </w:r>
    </w:p>
    <w:p w14:paraId="5C9A8BE4" w14:textId="77777777" w:rsidR="000F2715" w:rsidRDefault="00080994" w:rsidP="00CB615C">
      <w:pPr>
        <w:widowControl/>
        <w:spacing w:after="0" w:line="240" w:lineRule="auto"/>
        <w:rPr>
          <w:rFonts w:ascii="Times New Roman" w:hAnsi="Times New Roman"/>
        </w:rPr>
      </w:pPr>
      <w:r>
        <w:rPr>
          <w:rFonts w:ascii="Times New Roman" w:hAnsi="Times New Roman"/>
        </w:rPr>
        <w:t>NN</w:t>
      </w:r>
      <w:bookmarkEnd w:id="12"/>
      <w:bookmarkEnd w:id="13"/>
    </w:p>
    <w:p w14:paraId="30D724BE" w14:textId="0E0B2517" w:rsidR="00903ED1" w:rsidRDefault="00080994" w:rsidP="00CB615C">
      <w:pPr>
        <w:widowControl/>
        <w:spacing w:after="0" w:line="240" w:lineRule="auto"/>
        <w:rPr>
          <w:rFonts w:ascii="Times New Roman" w:hAnsi="Times New Roman" w:cs="Times New Roman"/>
          <w:b/>
        </w:rPr>
      </w:pPr>
      <w:r>
        <w:br w:type="page"/>
      </w:r>
    </w:p>
    <w:p w14:paraId="48A96537"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lastRenderedPageBreak/>
        <w:t>MENTIONS DEVANT FIGURER SUR L’EMBALLAGE EXTÉRIEUR</w:t>
      </w:r>
    </w:p>
    <w:p w14:paraId="259CC0CE" w14:textId="77777777" w:rsidR="00903ED1" w:rsidRPr="00F631A8" w:rsidRDefault="00903ED1"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9D5FCD"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BOÎTE EXTÉRIEURE POUR LE CONDITIONNEMENT MULTIPLE (AVEC BLUE BOX)</w:t>
      </w:r>
    </w:p>
    <w:p w14:paraId="75710174" w14:textId="77777777" w:rsidR="00903ED1" w:rsidRPr="00F631A8" w:rsidRDefault="00903ED1" w:rsidP="00CB615C">
      <w:pPr>
        <w:widowControl/>
        <w:spacing w:after="0" w:line="240" w:lineRule="auto"/>
        <w:rPr>
          <w:rFonts w:ascii="Times New Roman" w:hAnsi="Times New Roman" w:cs="Times New Roman"/>
        </w:rPr>
      </w:pPr>
    </w:p>
    <w:p w14:paraId="0B51B202" w14:textId="77777777" w:rsidR="00903ED1" w:rsidRPr="00F631A8" w:rsidRDefault="00903ED1" w:rsidP="00CB615C">
      <w:pPr>
        <w:widowControl/>
        <w:spacing w:after="0" w:line="240" w:lineRule="auto"/>
        <w:rPr>
          <w:rFonts w:ascii="Times New Roman" w:hAnsi="Times New Roman" w:cs="Times New Roman"/>
        </w:rPr>
      </w:pPr>
    </w:p>
    <w:p w14:paraId="5826BBBC"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DÉNOMINATION DU MÉDICAMENT</w:t>
      </w:r>
    </w:p>
    <w:p w14:paraId="60FD004C" w14:textId="77777777" w:rsidR="00903ED1" w:rsidRPr="00F631A8" w:rsidRDefault="00903ED1" w:rsidP="00CB615C">
      <w:pPr>
        <w:widowControl/>
        <w:spacing w:after="0" w:line="240" w:lineRule="auto"/>
        <w:rPr>
          <w:rFonts w:ascii="Times New Roman" w:hAnsi="Times New Roman" w:cs="Times New Roman"/>
        </w:rPr>
      </w:pPr>
    </w:p>
    <w:p w14:paraId="65015E1D" w14:textId="77777777" w:rsidR="00903ED1" w:rsidRPr="00824948" w:rsidRDefault="00080994" w:rsidP="00CB615C">
      <w:pPr>
        <w:widowControl/>
        <w:spacing w:after="0" w:line="240" w:lineRule="auto"/>
        <w:rPr>
          <w:rFonts w:ascii="Times New Roman" w:hAnsi="Times New Roman" w:cs="Times New Roman"/>
        </w:rPr>
      </w:pPr>
      <w:proofErr w:type="spellStart"/>
      <w:r w:rsidRPr="00824948">
        <w:rPr>
          <w:rFonts w:ascii="Times New Roman" w:hAnsi="Times New Roman"/>
        </w:rPr>
        <w:t>Fingolimod</w:t>
      </w:r>
      <w:proofErr w:type="spellEnd"/>
      <w:r w:rsidRPr="00824948">
        <w:rPr>
          <w:rFonts w:ascii="Times New Roman" w:hAnsi="Times New Roman"/>
        </w:rPr>
        <w:t xml:space="preserve"> Mylan 0,5 mg, gélule</w:t>
      </w:r>
    </w:p>
    <w:p w14:paraId="00847E11" w14:textId="77777777" w:rsidR="00903ED1" w:rsidRPr="00824948" w:rsidRDefault="00080994" w:rsidP="00CB615C">
      <w:pPr>
        <w:widowControl/>
        <w:spacing w:after="0" w:line="240" w:lineRule="auto"/>
        <w:rPr>
          <w:rFonts w:ascii="Times New Roman" w:hAnsi="Times New Roman" w:cs="Times New Roman"/>
        </w:rPr>
      </w:pPr>
      <w:proofErr w:type="spellStart"/>
      <w:proofErr w:type="gramStart"/>
      <w:r w:rsidRPr="00824948">
        <w:rPr>
          <w:rFonts w:ascii="Times New Roman" w:hAnsi="Times New Roman"/>
        </w:rPr>
        <w:t>fingolimod</w:t>
      </w:r>
      <w:proofErr w:type="spellEnd"/>
      <w:proofErr w:type="gramEnd"/>
    </w:p>
    <w:p w14:paraId="75E50B7E" w14:textId="77777777" w:rsidR="00903ED1" w:rsidRPr="00824948" w:rsidRDefault="00903ED1" w:rsidP="00CB615C">
      <w:pPr>
        <w:widowControl/>
        <w:spacing w:after="0" w:line="240" w:lineRule="auto"/>
        <w:rPr>
          <w:rFonts w:ascii="Times New Roman" w:hAnsi="Times New Roman" w:cs="Times New Roman"/>
        </w:rPr>
      </w:pPr>
    </w:p>
    <w:p w14:paraId="6EF6DF40" w14:textId="77777777" w:rsidR="00903ED1" w:rsidRPr="00824948" w:rsidRDefault="00903ED1" w:rsidP="00CB615C">
      <w:pPr>
        <w:widowControl/>
        <w:spacing w:after="0" w:line="240" w:lineRule="auto"/>
        <w:rPr>
          <w:rFonts w:ascii="Times New Roman" w:hAnsi="Times New Roman" w:cs="Times New Roman"/>
        </w:rPr>
      </w:pPr>
    </w:p>
    <w:p w14:paraId="0FDF9702"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948">
        <w:rPr>
          <w:rFonts w:ascii="Times New Roman" w:hAnsi="Times New Roman"/>
          <w:b/>
        </w:rPr>
        <w:t xml:space="preserve">2. </w:t>
      </w:r>
      <w:r w:rsidRPr="00824948">
        <w:rPr>
          <w:rFonts w:ascii="Times New Roman" w:hAnsi="Times New Roman"/>
          <w:b/>
        </w:rPr>
        <w:tab/>
      </w:r>
      <w:r>
        <w:rPr>
          <w:rFonts w:ascii="Times New Roman" w:hAnsi="Times New Roman"/>
          <w:b/>
        </w:rPr>
        <w:t>COMPOSITION EN SUBSTANCE(S) ACTIVE(S)</w:t>
      </w:r>
    </w:p>
    <w:p w14:paraId="0FB0EBD7" w14:textId="77777777" w:rsidR="00903ED1" w:rsidRPr="00F631A8" w:rsidRDefault="00903ED1" w:rsidP="00CB615C">
      <w:pPr>
        <w:widowControl/>
        <w:spacing w:after="0" w:line="240" w:lineRule="auto"/>
        <w:rPr>
          <w:rFonts w:ascii="Times New Roman" w:hAnsi="Times New Roman" w:cs="Times New Roman"/>
        </w:rPr>
      </w:pPr>
    </w:p>
    <w:p w14:paraId="11544EDB"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 xml:space="preserve">Chaque gélule contient 0,5 mg de </w:t>
      </w:r>
      <w:proofErr w:type="spellStart"/>
      <w:r>
        <w:rPr>
          <w:rFonts w:ascii="Times New Roman" w:hAnsi="Times New Roman"/>
        </w:rPr>
        <w:t>fingolimod</w:t>
      </w:r>
      <w:proofErr w:type="spellEnd"/>
      <w:r>
        <w:rPr>
          <w:rFonts w:ascii="Times New Roman" w:hAnsi="Times New Roman"/>
        </w:rPr>
        <w:t xml:space="preserve"> (sous forme de chlorhydrate).</w:t>
      </w:r>
    </w:p>
    <w:p w14:paraId="6A61E06D" w14:textId="77777777" w:rsidR="00903ED1" w:rsidRPr="00F631A8" w:rsidRDefault="00903ED1" w:rsidP="00CB615C">
      <w:pPr>
        <w:widowControl/>
        <w:spacing w:after="0" w:line="240" w:lineRule="auto"/>
        <w:rPr>
          <w:rFonts w:ascii="Times New Roman" w:hAnsi="Times New Roman" w:cs="Times New Roman"/>
        </w:rPr>
      </w:pPr>
    </w:p>
    <w:p w14:paraId="47EBB0A1" w14:textId="77777777" w:rsidR="00903ED1" w:rsidRPr="00F631A8" w:rsidRDefault="00903ED1" w:rsidP="00CB615C">
      <w:pPr>
        <w:widowControl/>
        <w:spacing w:after="0" w:line="240" w:lineRule="auto"/>
        <w:rPr>
          <w:rFonts w:ascii="Times New Roman" w:hAnsi="Times New Roman" w:cs="Times New Roman"/>
        </w:rPr>
      </w:pPr>
    </w:p>
    <w:p w14:paraId="37E3F412"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LISTE DES EXCIPIENTS</w:t>
      </w:r>
    </w:p>
    <w:p w14:paraId="3F171960" w14:textId="77777777" w:rsidR="00903ED1" w:rsidRPr="00F631A8" w:rsidRDefault="00903ED1" w:rsidP="00CB615C">
      <w:pPr>
        <w:widowControl/>
        <w:spacing w:after="0" w:line="240" w:lineRule="auto"/>
        <w:rPr>
          <w:rFonts w:ascii="Times New Roman" w:hAnsi="Times New Roman" w:cs="Times New Roman"/>
        </w:rPr>
      </w:pPr>
    </w:p>
    <w:p w14:paraId="7435529C" w14:textId="77777777" w:rsidR="00903ED1" w:rsidRPr="00F631A8" w:rsidRDefault="00903ED1" w:rsidP="00CB615C">
      <w:pPr>
        <w:widowControl/>
        <w:spacing w:after="0" w:line="240" w:lineRule="auto"/>
        <w:rPr>
          <w:rFonts w:ascii="Times New Roman" w:hAnsi="Times New Roman" w:cs="Times New Roman"/>
        </w:rPr>
      </w:pPr>
    </w:p>
    <w:p w14:paraId="3CAF299A"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4. </w:t>
      </w:r>
      <w:r>
        <w:rPr>
          <w:rFonts w:ascii="Times New Roman" w:hAnsi="Times New Roman"/>
          <w:b/>
        </w:rPr>
        <w:tab/>
        <w:t>FORME PHARMACEUTIQUE ET CONTENU</w:t>
      </w:r>
    </w:p>
    <w:p w14:paraId="26DBC766" w14:textId="77777777" w:rsidR="00903ED1" w:rsidRPr="00F631A8" w:rsidRDefault="00903ED1" w:rsidP="00CB615C">
      <w:pPr>
        <w:widowControl/>
        <w:spacing w:after="0" w:line="240" w:lineRule="auto"/>
        <w:rPr>
          <w:rFonts w:ascii="Times New Roman" w:hAnsi="Times New Roman" w:cs="Times New Roman"/>
        </w:rPr>
      </w:pPr>
    </w:p>
    <w:p w14:paraId="587D4E59"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highlight w:val="lightGray"/>
        </w:rPr>
        <w:t>Gélule</w:t>
      </w:r>
    </w:p>
    <w:p w14:paraId="5A33924F" w14:textId="77777777" w:rsidR="00903ED1" w:rsidRPr="00F631A8" w:rsidRDefault="00903ED1" w:rsidP="00CB615C">
      <w:pPr>
        <w:widowControl/>
        <w:spacing w:after="0" w:line="240" w:lineRule="auto"/>
        <w:rPr>
          <w:rFonts w:ascii="Times New Roman" w:hAnsi="Times New Roman" w:cs="Times New Roman"/>
        </w:rPr>
      </w:pPr>
    </w:p>
    <w:p w14:paraId="0780C2B6"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Conditionnement multiple : 84 (3 boîtes de 28) gélules</w:t>
      </w:r>
    </w:p>
    <w:p w14:paraId="71BA63B5" w14:textId="77777777" w:rsidR="00903ED1" w:rsidRPr="00F631A8" w:rsidRDefault="00903ED1" w:rsidP="00CB615C">
      <w:pPr>
        <w:widowControl/>
        <w:spacing w:after="0" w:line="240" w:lineRule="auto"/>
        <w:rPr>
          <w:rFonts w:ascii="Times New Roman" w:hAnsi="Times New Roman" w:cs="Times New Roman"/>
        </w:rPr>
      </w:pPr>
    </w:p>
    <w:p w14:paraId="168FFB4F" w14:textId="77777777" w:rsidR="00903ED1" w:rsidRPr="00F631A8" w:rsidRDefault="00903ED1" w:rsidP="00CB615C">
      <w:pPr>
        <w:widowControl/>
        <w:spacing w:after="0" w:line="240" w:lineRule="auto"/>
        <w:rPr>
          <w:rFonts w:ascii="Times New Roman" w:hAnsi="Times New Roman" w:cs="Times New Roman"/>
        </w:rPr>
      </w:pPr>
    </w:p>
    <w:p w14:paraId="2CA8D68C"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5. </w:t>
      </w:r>
      <w:r>
        <w:rPr>
          <w:rFonts w:ascii="Times New Roman" w:hAnsi="Times New Roman"/>
          <w:b/>
        </w:rPr>
        <w:tab/>
        <w:t>MODE ET VOIE(S) D’ADMINISTRATION</w:t>
      </w:r>
    </w:p>
    <w:p w14:paraId="643B9252" w14:textId="77777777" w:rsidR="00903ED1" w:rsidRPr="00F631A8" w:rsidRDefault="00903ED1" w:rsidP="00CB615C">
      <w:pPr>
        <w:widowControl/>
        <w:spacing w:after="0" w:line="240" w:lineRule="auto"/>
        <w:rPr>
          <w:rFonts w:ascii="Times New Roman" w:hAnsi="Times New Roman" w:cs="Times New Roman"/>
        </w:rPr>
      </w:pPr>
    </w:p>
    <w:p w14:paraId="5C694F58"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Lire la notice avant utilisation.</w:t>
      </w:r>
    </w:p>
    <w:p w14:paraId="4F15D0F6"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Voie orale.</w:t>
      </w:r>
    </w:p>
    <w:p w14:paraId="12FE6016"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Avaler chaque gélule entière.</w:t>
      </w:r>
    </w:p>
    <w:p w14:paraId="43B8E2FD" w14:textId="77777777" w:rsidR="00903ED1" w:rsidRPr="00F631A8" w:rsidRDefault="00903ED1" w:rsidP="00CB615C">
      <w:pPr>
        <w:widowControl/>
        <w:spacing w:after="0" w:line="240" w:lineRule="auto"/>
        <w:rPr>
          <w:rFonts w:ascii="Times New Roman" w:hAnsi="Times New Roman" w:cs="Times New Roman"/>
        </w:rPr>
      </w:pPr>
    </w:p>
    <w:p w14:paraId="26E8EA30" w14:textId="77777777" w:rsidR="00903ED1" w:rsidRPr="00F631A8" w:rsidRDefault="00903ED1" w:rsidP="00CB615C">
      <w:pPr>
        <w:widowControl/>
        <w:spacing w:after="0" w:line="240" w:lineRule="auto"/>
        <w:rPr>
          <w:rFonts w:ascii="Times New Roman" w:hAnsi="Times New Roman" w:cs="Times New Roman"/>
        </w:rPr>
      </w:pPr>
    </w:p>
    <w:p w14:paraId="506D0AF4"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6. </w:t>
      </w:r>
      <w:r>
        <w:rPr>
          <w:rFonts w:ascii="Times New Roman" w:hAnsi="Times New Roman"/>
          <w:b/>
        </w:rPr>
        <w:tab/>
        <w:t>MISE EN GARDE SPÉCIALE INDIQUANT QUE LE MÉDICAMENT DOIT ÊTRE CONSERVÉ HORS DE VUE ET DE PORTÉE DES ENFANTS</w:t>
      </w:r>
    </w:p>
    <w:p w14:paraId="024A127A" w14:textId="77777777" w:rsidR="00903ED1" w:rsidRPr="00F631A8" w:rsidRDefault="00903ED1" w:rsidP="00CB615C">
      <w:pPr>
        <w:widowControl/>
        <w:spacing w:after="0" w:line="240" w:lineRule="auto"/>
        <w:rPr>
          <w:rFonts w:ascii="Times New Roman" w:hAnsi="Times New Roman" w:cs="Times New Roman"/>
        </w:rPr>
      </w:pPr>
    </w:p>
    <w:p w14:paraId="6EB39202"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Tenir hors de la vue et de la portée des enfants.</w:t>
      </w:r>
    </w:p>
    <w:p w14:paraId="79F53FB3" w14:textId="77777777" w:rsidR="00903ED1" w:rsidRPr="00F631A8" w:rsidRDefault="00903ED1" w:rsidP="00CB615C">
      <w:pPr>
        <w:widowControl/>
        <w:spacing w:after="0" w:line="240" w:lineRule="auto"/>
        <w:rPr>
          <w:rFonts w:ascii="Times New Roman" w:hAnsi="Times New Roman" w:cs="Times New Roman"/>
        </w:rPr>
      </w:pPr>
    </w:p>
    <w:p w14:paraId="5099B93A" w14:textId="77777777" w:rsidR="00903ED1" w:rsidRPr="00F631A8" w:rsidRDefault="00903ED1" w:rsidP="00CB615C">
      <w:pPr>
        <w:widowControl/>
        <w:spacing w:after="0" w:line="240" w:lineRule="auto"/>
        <w:rPr>
          <w:rFonts w:ascii="Times New Roman" w:hAnsi="Times New Roman" w:cs="Times New Roman"/>
        </w:rPr>
      </w:pPr>
    </w:p>
    <w:p w14:paraId="3463C202"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7. </w:t>
      </w:r>
      <w:r>
        <w:rPr>
          <w:rFonts w:ascii="Times New Roman" w:hAnsi="Times New Roman"/>
          <w:b/>
        </w:rPr>
        <w:tab/>
        <w:t>AUTRE(S) MISE(S) EN GARDE SPÉCIALE(S), SI NÉCESSAIRE</w:t>
      </w:r>
    </w:p>
    <w:p w14:paraId="72169BB1" w14:textId="77777777" w:rsidR="00903ED1" w:rsidRPr="00F631A8" w:rsidRDefault="00903ED1" w:rsidP="00CB615C">
      <w:pPr>
        <w:widowControl/>
        <w:spacing w:after="0" w:line="240" w:lineRule="auto"/>
        <w:rPr>
          <w:rFonts w:ascii="Times New Roman" w:hAnsi="Times New Roman" w:cs="Times New Roman"/>
        </w:rPr>
      </w:pPr>
    </w:p>
    <w:p w14:paraId="685FD4C0" w14:textId="77777777" w:rsidR="00903ED1" w:rsidRPr="00F631A8" w:rsidRDefault="00903ED1" w:rsidP="00CB615C">
      <w:pPr>
        <w:widowControl/>
        <w:spacing w:after="0" w:line="240" w:lineRule="auto"/>
        <w:rPr>
          <w:rFonts w:ascii="Times New Roman" w:hAnsi="Times New Roman" w:cs="Times New Roman"/>
        </w:rPr>
      </w:pPr>
    </w:p>
    <w:p w14:paraId="3F71C8E7"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8. </w:t>
      </w:r>
      <w:r>
        <w:rPr>
          <w:rFonts w:ascii="Times New Roman" w:hAnsi="Times New Roman"/>
          <w:b/>
        </w:rPr>
        <w:tab/>
        <w:t>DATE DE PÉREMPTION</w:t>
      </w:r>
    </w:p>
    <w:p w14:paraId="0B352920" w14:textId="77777777" w:rsidR="00903ED1" w:rsidRPr="00F631A8" w:rsidRDefault="00903ED1" w:rsidP="00CB615C">
      <w:pPr>
        <w:widowControl/>
        <w:spacing w:after="0" w:line="240" w:lineRule="auto"/>
        <w:rPr>
          <w:rFonts w:ascii="Times New Roman" w:hAnsi="Times New Roman" w:cs="Times New Roman"/>
        </w:rPr>
      </w:pPr>
    </w:p>
    <w:p w14:paraId="117776FC"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EXP</w:t>
      </w:r>
    </w:p>
    <w:p w14:paraId="2F1C6A87" w14:textId="77777777" w:rsidR="00903ED1" w:rsidRPr="00F631A8" w:rsidRDefault="00903ED1" w:rsidP="00CB615C">
      <w:pPr>
        <w:widowControl/>
        <w:spacing w:after="0" w:line="240" w:lineRule="auto"/>
        <w:rPr>
          <w:rFonts w:ascii="Times New Roman" w:hAnsi="Times New Roman" w:cs="Times New Roman"/>
        </w:rPr>
      </w:pPr>
    </w:p>
    <w:p w14:paraId="702F93BB" w14:textId="77777777" w:rsidR="00903ED1" w:rsidRPr="00F631A8" w:rsidRDefault="00903ED1" w:rsidP="00CB615C">
      <w:pPr>
        <w:widowControl/>
        <w:spacing w:after="0" w:line="240" w:lineRule="auto"/>
        <w:rPr>
          <w:rFonts w:ascii="Times New Roman" w:hAnsi="Times New Roman" w:cs="Times New Roman"/>
        </w:rPr>
      </w:pPr>
    </w:p>
    <w:p w14:paraId="6C437334"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9. </w:t>
      </w:r>
      <w:r>
        <w:rPr>
          <w:rFonts w:ascii="Times New Roman" w:hAnsi="Times New Roman"/>
          <w:b/>
        </w:rPr>
        <w:tab/>
        <w:t>PRÉCAUTIONS PARTICULIÈRES DE CONSERVATION</w:t>
      </w:r>
    </w:p>
    <w:p w14:paraId="72A77EE9" w14:textId="77777777" w:rsidR="00903ED1" w:rsidRPr="00F631A8" w:rsidRDefault="00903ED1" w:rsidP="00CB615C">
      <w:pPr>
        <w:widowControl/>
        <w:spacing w:after="0" w:line="240" w:lineRule="auto"/>
        <w:rPr>
          <w:rFonts w:ascii="Times New Roman" w:hAnsi="Times New Roman" w:cs="Times New Roman"/>
          <w:u w:val="single"/>
        </w:rPr>
      </w:pPr>
    </w:p>
    <w:p w14:paraId="1EBC9593" w14:textId="5E6AF635" w:rsidR="00903ED1" w:rsidRPr="00F631A8" w:rsidRDefault="00CC0570" w:rsidP="00CB615C">
      <w:pPr>
        <w:widowControl/>
        <w:spacing w:after="0" w:line="240" w:lineRule="auto"/>
        <w:rPr>
          <w:rFonts w:ascii="Times New Roman" w:hAnsi="Times New Roman" w:cs="Times New Roman"/>
        </w:rPr>
      </w:pPr>
      <w:r w:rsidRPr="00CC0570">
        <w:rPr>
          <w:rFonts w:ascii="Times New Roman" w:hAnsi="Times New Roman"/>
        </w:rPr>
        <w:t>A</w:t>
      </w:r>
      <w:r w:rsidR="00080994">
        <w:rPr>
          <w:rFonts w:ascii="Times New Roman" w:hAnsi="Times New Roman"/>
        </w:rPr>
        <w:t xml:space="preserve"> conserver à une température ne dépassant pas 25 °C.</w:t>
      </w:r>
    </w:p>
    <w:p w14:paraId="43C2F5A7" w14:textId="4743759F" w:rsidR="00903ED1" w:rsidRPr="00F631A8" w:rsidRDefault="00CC0570" w:rsidP="00CB615C">
      <w:pPr>
        <w:widowControl/>
        <w:spacing w:after="0" w:line="240" w:lineRule="auto"/>
        <w:rPr>
          <w:rFonts w:ascii="Times New Roman" w:hAnsi="Times New Roman" w:cs="Times New Roman"/>
        </w:rPr>
      </w:pPr>
      <w:r w:rsidRPr="00CC0570">
        <w:rPr>
          <w:rFonts w:ascii="Times New Roman" w:hAnsi="Times New Roman"/>
        </w:rPr>
        <w:t>A</w:t>
      </w:r>
      <w:r w:rsidR="00080994">
        <w:rPr>
          <w:rFonts w:ascii="Times New Roman" w:hAnsi="Times New Roman"/>
        </w:rPr>
        <w:t xml:space="preserve"> conserver dans l’emballage d’origine à l’abri de l’humidité.</w:t>
      </w:r>
    </w:p>
    <w:p w14:paraId="2956EBEC" w14:textId="77777777" w:rsidR="00903ED1" w:rsidRPr="00F631A8" w:rsidRDefault="00903ED1" w:rsidP="00CB615C">
      <w:pPr>
        <w:widowControl/>
        <w:spacing w:after="0" w:line="240" w:lineRule="auto"/>
        <w:rPr>
          <w:rFonts w:ascii="Times New Roman" w:hAnsi="Times New Roman" w:cs="Times New Roman"/>
          <w:highlight w:val="lightGray"/>
        </w:rPr>
      </w:pPr>
    </w:p>
    <w:p w14:paraId="06A597ED" w14:textId="77777777" w:rsidR="00903ED1" w:rsidRPr="00F631A8" w:rsidRDefault="00903ED1" w:rsidP="00CB615C">
      <w:pPr>
        <w:widowControl/>
        <w:spacing w:after="0" w:line="240" w:lineRule="auto"/>
        <w:rPr>
          <w:rFonts w:ascii="Times New Roman" w:hAnsi="Times New Roman" w:cs="Times New Roman"/>
        </w:rPr>
      </w:pPr>
    </w:p>
    <w:p w14:paraId="19C214C0" w14:textId="77777777" w:rsidR="00903ED1" w:rsidRPr="00F631A8" w:rsidRDefault="00080994" w:rsidP="00CB615C">
      <w:pPr>
        <w:keepNext/>
        <w:keepLines/>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 xml:space="preserve">10. </w:t>
      </w:r>
      <w:r>
        <w:rPr>
          <w:rFonts w:ascii="Times New Roman" w:hAnsi="Times New Roman"/>
          <w:b/>
        </w:rPr>
        <w:tab/>
        <w:t>PRÉCAUTIONS PARTICULIÈRES D’ÉLIMINATION DES MÉDICAMENTS NON UTILISÉS OU DES DÉCHETS PROVENANT DE CES MÉDICAMENTS S’IL Y A LIEU</w:t>
      </w:r>
    </w:p>
    <w:p w14:paraId="45A2BF53" w14:textId="77777777" w:rsidR="00903ED1" w:rsidRPr="00F631A8" w:rsidRDefault="00903ED1" w:rsidP="00CB615C">
      <w:pPr>
        <w:widowControl/>
        <w:spacing w:after="0" w:line="240" w:lineRule="auto"/>
        <w:rPr>
          <w:rFonts w:ascii="Times New Roman" w:hAnsi="Times New Roman" w:cs="Times New Roman"/>
        </w:rPr>
      </w:pPr>
    </w:p>
    <w:p w14:paraId="0F92A820" w14:textId="77777777" w:rsidR="00903ED1" w:rsidRPr="00F631A8" w:rsidRDefault="00903ED1" w:rsidP="00CB615C">
      <w:pPr>
        <w:widowControl/>
        <w:spacing w:after="0" w:line="240" w:lineRule="auto"/>
        <w:rPr>
          <w:rFonts w:ascii="Times New Roman" w:hAnsi="Times New Roman" w:cs="Times New Roman"/>
        </w:rPr>
      </w:pPr>
    </w:p>
    <w:p w14:paraId="0848865B"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11. </w:t>
      </w:r>
      <w:r>
        <w:rPr>
          <w:rFonts w:ascii="Times New Roman" w:hAnsi="Times New Roman"/>
          <w:b/>
        </w:rPr>
        <w:tab/>
        <w:t>NOM ET ADRESSE DU TITULAIRE DE L’AUTORISATION DE MISE SUR LE MARCHÉ</w:t>
      </w:r>
    </w:p>
    <w:p w14:paraId="61570369" w14:textId="77777777" w:rsidR="00903ED1" w:rsidRPr="00F631A8" w:rsidRDefault="00903ED1" w:rsidP="00CB615C">
      <w:pPr>
        <w:widowControl/>
        <w:spacing w:after="0" w:line="240" w:lineRule="auto"/>
        <w:rPr>
          <w:rFonts w:ascii="Times New Roman" w:hAnsi="Times New Roman" w:cs="Times New Roman"/>
        </w:rPr>
      </w:pPr>
    </w:p>
    <w:p w14:paraId="71363643" w14:textId="020E16ED" w:rsidR="00101097" w:rsidRPr="000A298F" w:rsidRDefault="00080994" w:rsidP="00CB615C">
      <w:pPr>
        <w:widowControl/>
        <w:spacing w:after="0"/>
        <w:rPr>
          <w:rFonts w:ascii="Times New Roman" w:eastAsia="Times New Roman" w:hAnsi="Times New Roman" w:cs="Times New Roman"/>
          <w:lang w:val="en-US"/>
        </w:rPr>
      </w:pPr>
      <w:r w:rsidRPr="000A298F">
        <w:rPr>
          <w:rFonts w:ascii="Times New Roman" w:hAnsi="Times New Roman"/>
          <w:lang w:val="en-US"/>
        </w:rPr>
        <w:t xml:space="preserve">Mylan </w:t>
      </w:r>
      <w:r w:rsidR="00D4439A" w:rsidRPr="000A298F">
        <w:rPr>
          <w:rFonts w:ascii="Times New Roman" w:hAnsi="Times New Roman"/>
          <w:lang w:val="en-US"/>
        </w:rPr>
        <w:t>Pharmaceuticals</w:t>
      </w:r>
      <w:r w:rsidRPr="000A298F">
        <w:rPr>
          <w:rFonts w:ascii="Times New Roman" w:hAnsi="Times New Roman"/>
          <w:lang w:val="en-US"/>
        </w:rPr>
        <w:t xml:space="preserve">, </w:t>
      </w:r>
      <w:proofErr w:type="spellStart"/>
      <w:r w:rsidR="00101097" w:rsidRPr="000A298F">
        <w:rPr>
          <w:rFonts w:ascii="Times New Roman" w:eastAsia="Times New Roman" w:hAnsi="Times New Roman" w:cs="Times New Roman"/>
          <w:lang w:val="en-US"/>
        </w:rPr>
        <w:t>Damastown</w:t>
      </w:r>
      <w:proofErr w:type="spellEnd"/>
      <w:r w:rsidR="00101097" w:rsidRPr="000A298F">
        <w:rPr>
          <w:rFonts w:ascii="Times New Roman" w:eastAsia="Times New Roman" w:hAnsi="Times New Roman" w:cs="Times New Roman"/>
          <w:lang w:val="en-US"/>
        </w:rPr>
        <w:t xml:space="preserve"> Industrial Park, </w:t>
      </w:r>
      <w:proofErr w:type="spellStart"/>
      <w:r w:rsidR="00101097" w:rsidRPr="000A298F">
        <w:rPr>
          <w:rFonts w:ascii="Times New Roman" w:eastAsia="Times New Roman" w:hAnsi="Times New Roman" w:cs="Times New Roman"/>
          <w:lang w:val="en-US"/>
        </w:rPr>
        <w:t>Mulhuddart</w:t>
      </w:r>
      <w:proofErr w:type="spellEnd"/>
      <w:r w:rsidR="00101097" w:rsidRPr="000A298F">
        <w:rPr>
          <w:rFonts w:ascii="Times New Roman" w:eastAsia="Times New Roman" w:hAnsi="Times New Roman" w:cs="Times New Roman"/>
          <w:lang w:val="en-US"/>
        </w:rPr>
        <w:t>, Dublin 15, DUBLIN</w:t>
      </w:r>
    </w:p>
    <w:p w14:paraId="622AAF61" w14:textId="71923A5E" w:rsidR="00903ED1" w:rsidRPr="00107057" w:rsidRDefault="00101097" w:rsidP="00CB615C">
      <w:pPr>
        <w:widowControl/>
        <w:spacing w:after="0" w:line="240" w:lineRule="auto"/>
        <w:rPr>
          <w:rFonts w:ascii="Times New Roman" w:hAnsi="Times New Roman" w:cs="Times New Roman"/>
        </w:rPr>
      </w:pPr>
      <w:r w:rsidRPr="00107057">
        <w:rPr>
          <w:rFonts w:ascii="Times New Roman" w:eastAsia="Times New Roman" w:hAnsi="Times New Roman" w:cs="Times New Roman"/>
        </w:rPr>
        <w:t>Irlande</w:t>
      </w:r>
      <w:r w:rsidR="00080994" w:rsidRPr="00107057">
        <w:rPr>
          <w:rFonts w:ascii="Times New Roman" w:hAnsi="Times New Roman"/>
        </w:rPr>
        <w:t>.</w:t>
      </w:r>
    </w:p>
    <w:p w14:paraId="1A970D15" w14:textId="77777777" w:rsidR="00903ED1" w:rsidRPr="00107057" w:rsidRDefault="00903ED1" w:rsidP="00CB615C">
      <w:pPr>
        <w:widowControl/>
        <w:spacing w:after="0" w:line="240" w:lineRule="auto"/>
        <w:rPr>
          <w:rFonts w:ascii="Times New Roman" w:hAnsi="Times New Roman" w:cs="Times New Roman"/>
        </w:rPr>
      </w:pPr>
    </w:p>
    <w:p w14:paraId="2FDDA73C" w14:textId="77777777" w:rsidR="00903ED1" w:rsidRPr="00107057" w:rsidRDefault="00903ED1" w:rsidP="00CB615C">
      <w:pPr>
        <w:widowControl/>
        <w:spacing w:after="0" w:line="240" w:lineRule="auto"/>
        <w:rPr>
          <w:rFonts w:ascii="Times New Roman" w:hAnsi="Times New Roman" w:cs="Times New Roman"/>
        </w:rPr>
      </w:pPr>
    </w:p>
    <w:p w14:paraId="65658302"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12. </w:t>
      </w:r>
      <w:r>
        <w:rPr>
          <w:rFonts w:ascii="Times New Roman" w:hAnsi="Times New Roman"/>
          <w:b/>
        </w:rPr>
        <w:tab/>
        <w:t>NUMÉRO(S) D’AUTORISATION DE MISE SUR LE MARCHÉ</w:t>
      </w:r>
    </w:p>
    <w:p w14:paraId="025FD83F" w14:textId="77777777" w:rsidR="00903ED1" w:rsidRPr="00F631A8" w:rsidRDefault="00903ED1" w:rsidP="00CB615C">
      <w:pPr>
        <w:widowControl/>
        <w:spacing w:after="0" w:line="240" w:lineRule="auto"/>
        <w:rPr>
          <w:rFonts w:ascii="Times New Roman" w:hAnsi="Times New Roman" w:cs="Times New Roman"/>
        </w:rPr>
      </w:pPr>
    </w:p>
    <w:p w14:paraId="31F7874F" w14:textId="6FD8FFCD" w:rsidR="00903ED1" w:rsidRPr="00F631A8" w:rsidRDefault="00570BF6" w:rsidP="00CB615C">
      <w:pPr>
        <w:widowControl/>
        <w:spacing w:after="0" w:line="240" w:lineRule="auto"/>
        <w:rPr>
          <w:rFonts w:ascii="Times New Roman" w:hAnsi="Times New Roman" w:cs="Times New Roman"/>
        </w:rPr>
      </w:pPr>
      <w:r>
        <w:rPr>
          <w:rFonts w:ascii="Times New Roman" w:hAnsi="Times New Roman"/>
        </w:rPr>
        <w:t>EU/1/21/1573/009</w:t>
      </w:r>
    </w:p>
    <w:p w14:paraId="000EB1CE" w14:textId="2B4001C3" w:rsidR="00903ED1" w:rsidRPr="00F631A8" w:rsidRDefault="00570BF6" w:rsidP="00CB615C">
      <w:pPr>
        <w:widowControl/>
        <w:spacing w:after="0" w:line="240" w:lineRule="auto"/>
        <w:rPr>
          <w:rFonts w:ascii="Times New Roman" w:hAnsi="Times New Roman" w:cs="Times New Roman"/>
        </w:rPr>
      </w:pPr>
      <w:r>
        <w:rPr>
          <w:rFonts w:ascii="Times New Roman" w:hAnsi="Times New Roman"/>
          <w:highlight w:val="lightGray"/>
        </w:rPr>
        <w:t>EU/1/21/1573/022</w:t>
      </w:r>
    </w:p>
    <w:p w14:paraId="4EC7D69F" w14:textId="77777777" w:rsidR="00903ED1" w:rsidRPr="00F631A8" w:rsidRDefault="00903ED1" w:rsidP="00CB615C">
      <w:pPr>
        <w:widowControl/>
        <w:spacing w:after="0" w:line="240" w:lineRule="auto"/>
        <w:rPr>
          <w:rFonts w:ascii="Times New Roman" w:hAnsi="Times New Roman" w:cs="Times New Roman"/>
        </w:rPr>
      </w:pPr>
    </w:p>
    <w:p w14:paraId="638160BC" w14:textId="77777777" w:rsidR="00903ED1" w:rsidRPr="00F631A8" w:rsidRDefault="00903ED1" w:rsidP="00CB615C">
      <w:pPr>
        <w:widowControl/>
        <w:spacing w:after="0" w:line="240" w:lineRule="auto"/>
        <w:rPr>
          <w:rFonts w:ascii="Times New Roman" w:hAnsi="Times New Roman" w:cs="Times New Roman"/>
        </w:rPr>
      </w:pPr>
    </w:p>
    <w:p w14:paraId="75690501"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13. </w:t>
      </w:r>
      <w:r>
        <w:rPr>
          <w:rFonts w:ascii="Times New Roman" w:hAnsi="Times New Roman"/>
          <w:b/>
        </w:rPr>
        <w:tab/>
        <w:t>NUMÉRO DU LOT</w:t>
      </w:r>
    </w:p>
    <w:p w14:paraId="58F1E91A" w14:textId="77777777" w:rsidR="00903ED1" w:rsidRPr="00F631A8" w:rsidRDefault="00903ED1" w:rsidP="00CB615C">
      <w:pPr>
        <w:widowControl/>
        <w:spacing w:after="0" w:line="240" w:lineRule="auto"/>
        <w:rPr>
          <w:rFonts w:ascii="Times New Roman" w:hAnsi="Times New Roman" w:cs="Times New Roman"/>
        </w:rPr>
      </w:pPr>
    </w:p>
    <w:p w14:paraId="53888075"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Lot</w:t>
      </w:r>
    </w:p>
    <w:p w14:paraId="36B4E591" w14:textId="77777777" w:rsidR="00903ED1" w:rsidRPr="00F631A8" w:rsidRDefault="00903ED1" w:rsidP="00CB615C">
      <w:pPr>
        <w:widowControl/>
        <w:spacing w:after="0" w:line="240" w:lineRule="auto"/>
        <w:rPr>
          <w:rFonts w:ascii="Times New Roman" w:hAnsi="Times New Roman" w:cs="Times New Roman"/>
        </w:rPr>
      </w:pPr>
    </w:p>
    <w:p w14:paraId="54D7B614" w14:textId="77777777" w:rsidR="00903ED1" w:rsidRPr="00F631A8" w:rsidRDefault="00903ED1" w:rsidP="00CB615C">
      <w:pPr>
        <w:widowControl/>
        <w:spacing w:after="0" w:line="240" w:lineRule="auto"/>
        <w:rPr>
          <w:rFonts w:ascii="Times New Roman" w:hAnsi="Times New Roman" w:cs="Times New Roman"/>
        </w:rPr>
      </w:pPr>
    </w:p>
    <w:p w14:paraId="72710543"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14. </w:t>
      </w:r>
      <w:r>
        <w:rPr>
          <w:rFonts w:ascii="Times New Roman" w:hAnsi="Times New Roman"/>
          <w:b/>
        </w:rPr>
        <w:tab/>
        <w:t>CONDITIONS DE PRESCRIPTION ET DE DÉLIVRANCE</w:t>
      </w:r>
    </w:p>
    <w:p w14:paraId="74E3E009" w14:textId="77777777" w:rsidR="00903ED1" w:rsidRPr="00F631A8" w:rsidRDefault="00903ED1" w:rsidP="00CB615C">
      <w:pPr>
        <w:widowControl/>
        <w:spacing w:after="0" w:line="240" w:lineRule="auto"/>
        <w:rPr>
          <w:rFonts w:ascii="Times New Roman" w:hAnsi="Times New Roman" w:cs="Times New Roman"/>
        </w:rPr>
      </w:pPr>
    </w:p>
    <w:p w14:paraId="6516AD7B" w14:textId="77777777" w:rsidR="00903ED1" w:rsidRPr="00F631A8" w:rsidRDefault="00903ED1" w:rsidP="00CB615C">
      <w:pPr>
        <w:widowControl/>
        <w:spacing w:after="0" w:line="240" w:lineRule="auto"/>
        <w:rPr>
          <w:rFonts w:ascii="Times New Roman" w:hAnsi="Times New Roman" w:cs="Times New Roman"/>
        </w:rPr>
      </w:pPr>
    </w:p>
    <w:p w14:paraId="320A3D66"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15. </w:t>
      </w:r>
      <w:r>
        <w:rPr>
          <w:rFonts w:ascii="Times New Roman" w:hAnsi="Times New Roman"/>
          <w:b/>
        </w:rPr>
        <w:tab/>
        <w:t>INDICATIONS D’UTILISATION</w:t>
      </w:r>
    </w:p>
    <w:p w14:paraId="4DE2333E" w14:textId="77777777" w:rsidR="00903ED1" w:rsidRPr="00F631A8" w:rsidRDefault="00903ED1" w:rsidP="00CB615C">
      <w:pPr>
        <w:widowControl/>
        <w:spacing w:after="0" w:line="240" w:lineRule="auto"/>
        <w:rPr>
          <w:rFonts w:ascii="Times New Roman" w:hAnsi="Times New Roman" w:cs="Times New Roman"/>
        </w:rPr>
      </w:pPr>
    </w:p>
    <w:p w14:paraId="79D4AC69" w14:textId="77777777" w:rsidR="00903ED1" w:rsidRPr="00F631A8" w:rsidRDefault="00903ED1" w:rsidP="00CB615C">
      <w:pPr>
        <w:widowControl/>
        <w:spacing w:after="0" w:line="240" w:lineRule="auto"/>
        <w:rPr>
          <w:rFonts w:ascii="Times New Roman" w:hAnsi="Times New Roman" w:cs="Times New Roman"/>
        </w:rPr>
      </w:pPr>
    </w:p>
    <w:p w14:paraId="6EE71EA5"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16. </w:t>
      </w:r>
      <w:r>
        <w:rPr>
          <w:rFonts w:ascii="Times New Roman" w:hAnsi="Times New Roman"/>
          <w:b/>
        </w:rPr>
        <w:tab/>
        <w:t>INFORMATIONS EN BRAILLE</w:t>
      </w:r>
    </w:p>
    <w:p w14:paraId="338F8C5D" w14:textId="77777777" w:rsidR="00903ED1" w:rsidRPr="00F631A8" w:rsidRDefault="00903ED1" w:rsidP="00CB615C">
      <w:pPr>
        <w:widowControl/>
        <w:spacing w:after="0" w:line="240" w:lineRule="auto"/>
        <w:rPr>
          <w:rFonts w:ascii="Times New Roman" w:hAnsi="Times New Roman" w:cs="Times New Roman"/>
        </w:rPr>
      </w:pPr>
    </w:p>
    <w:p w14:paraId="25089F55" w14:textId="35C5F25A" w:rsidR="00903ED1" w:rsidRPr="00F631A8" w:rsidRDefault="00080994" w:rsidP="00CB615C">
      <w:pPr>
        <w:widowControl/>
        <w:spacing w:after="0" w:line="240" w:lineRule="auto"/>
        <w:rPr>
          <w:rFonts w:ascii="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0,5 mg</w:t>
      </w:r>
    </w:p>
    <w:p w14:paraId="56D547A9" w14:textId="77777777" w:rsidR="00903ED1" w:rsidRPr="00F631A8" w:rsidRDefault="00903ED1" w:rsidP="00CB615C">
      <w:pPr>
        <w:widowControl/>
        <w:spacing w:after="0" w:line="240" w:lineRule="auto"/>
        <w:rPr>
          <w:rFonts w:ascii="Times New Roman" w:hAnsi="Times New Roman" w:cs="Times New Roman"/>
        </w:rPr>
      </w:pPr>
    </w:p>
    <w:p w14:paraId="4F2AF8AF" w14:textId="77777777" w:rsidR="00903ED1" w:rsidRPr="00F631A8" w:rsidRDefault="00903ED1" w:rsidP="00CB615C">
      <w:pPr>
        <w:widowControl/>
        <w:spacing w:after="0" w:line="240" w:lineRule="auto"/>
        <w:rPr>
          <w:rFonts w:ascii="Times New Roman" w:hAnsi="Times New Roman" w:cs="Times New Roman"/>
        </w:rPr>
      </w:pPr>
    </w:p>
    <w:p w14:paraId="3E9326B1"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17. </w:t>
      </w:r>
      <w:r>
        <w:rPr>
          <w:rFonts w:ascii="Times New Roman" w:hAnsi="Times New Roman"/>
          <w:b/>
        </w:rPr>
        <w:tab/>
        <w:t>IDENTIFIANT UNIQUE - CODE-BARRES 2D</w:t>
      </w:r>
    </w:p>
    <w:p w14:paraId="2E403B54" w14:textId="77777777" w:rsidR="00903ED1" w:rsidRPr="00F631A8" w:rsidRDefault="00903ED1" w:rsidP="00CB615C">
      <w:pPr>
        <w:widowControl/>
        <w:spacing w:after="0" w:line="240" w:lineRule="auto"/>
        <w:rPr>
          <w:rFonts w:ascii="Times New Roman" w:hAnsi="Times New Roman" w:cs="Times New Roman"/>
        </w:rPr>
      </w:pPr>
    </w:p>
    <w:p w14:paraId="7130D5FC" w14:textId="77777777" w:rsidR="00903ED1" w:rsidRPr="00F631A8" w:rsidRDefault="00080994" w:rsidP="00CB615C">
      <w:pPr>
        <w:widowControl/>
        <w:spacing w:after="0" w:line="240" w:lineRule="auto"/>
        <w:rPr>
          <w:rFonts w:ascii="Times New Roman" w:hAnsi="Times New Roman" w:cs="Times New Roman"/>
        </w:rPr>
      </w:pPr>
      <w:proofErr w:type="gramStart"/>
      <w:r>
        <w:rPr>
          <w:rFonts w:ascii="Times New Roman" w:hAnsi="Times New Roman"/>
          <w:highlight w:val="lightGray"/>
        </w:rPr>
        <w:t>code</w:t>
      </w:r>
      <w:proofErr w:type="gramEnd"/>
      <w:r>
        <w:rPr>
          <w:rFonts w:ascii="Times New Roman" w:hAnsi="Times New Roman"/>
          <w:highlight w:val="lightGray"/>
        </w:rPr>
        <w:t>-barres 2D portant l’identifiant unique inclus.</w:t>
      </w:r>
    </w:p>
    <w:p w14:paraId="798E27E5" w14:textId="77777777" w:rsidR="00903ED1" w:rsidRPr="00F631A8" w:rsidRDefault="00903ED1" w:rsidP="00CB615C">
      <w:pPr>
        <w:widowControl/>
        <w:spacing w:after="0" w:line="240" w:lineRule="auto"/>
        <w:rPr>
          <w:rFonts w:ascii="Times New Roman" w:hAnsi="Times New Roman" w:cs="Times New Roman"/>
        </w:rPr>
      </w:pPr>
    </w:p>
    <w:p w14:paraId="5D9D6610" w14:textId="77777777" w:rsidR="00903ED1" w:rsidRPr="00F631A8" w:rsidRDefault="00903ED1" w:rsidP="00CB615C">
      <w:pPr>
        <w:widowControl/>
        <w:spacing w:after="0" w:line="240" w:lineRule="auto"/>
        <w:rPr>
          <w:rFonts w:ascii="Times New Roman" w:hAnsi="Times New Roman" w:cs="Times New Roman"/>
        </w:rPr>
      </w:pPr>
    </w:p>
    <w:p w14:paraId="7A6166F9" w14:textId="77777777" w:rsidR="00903ED1" w:rsidRPr="00F631A8"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18. </w:t>
      </w:r>
      <w:r>
        <w:rPr>
          <w:rFonts w:ascii="Times New Roman" w:hAnsi="Times New Roman"/>
          <w:b/>
        </w:rPr>
        <w:tab/>
        <w:t>IDENTIFIANT UNIQUE - DONNÉES LISIBLES PAR LES HUMAINS</w:t>
      </w:r>
    </w:p>
    <w:p w14:paraId="05B865A2" w14:textId="77777777" w:rsidR="00903ED1" w:rsidRPr="00F631A8" w:rsidRDefault="00903ED1" w:rsidP="00CB615C">
      <w:pPr>
        <w:widowControl/>
        <w:spacing w:after="0" w:line="240" w:lineRule="auto"/>
        <w:rPr>
          <w:rFonts w:ascii="Times New Roman" w:hAnsi="Times New Roman" w:cs="Times New Roman"/>
        </w:rPr>
      </w:pPr>
    </w:p>
    <w:p w14:paraId="0E1F9F0B"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PC</w:t>
      </w:r>
    </w:p>
    <w:p w14:paraId="6E251C65"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SN</w:t>
      </w:r>
    </w:p>
    <w:p w14:paraId="20BF3FC3" w14:textId="77777777" w:rsidR="00903ED1" w:rsidRPr="00F631A8" w:rsidRDefault="00080994" w:rsidP="00CB615C">
      <w:pPr>
        <w:widowControl/>
        <w:spacing w:after="0" w:line="240" w:lineRule="auto"/>
        <w:rPr>
          <w:rFonts w:ascii="Times New Roman" w:hAnsi="Times New Roman" w:cs="Times New Roman"/>
        </w:rPr>
      </w:pPr>
      <w:r>
        <w:rPr>
          <w:rFonts w:ascii="Times New Roman" w:hAnsi="Times New Roman"/>
        </w:rPr>
        <w:t>NN</w:t>
      </w:r>
    </w:p>
    <w:p w14:paraId="1A44300A" w14:textId="2FA4FD4A" w:rsidR="00D96AEB" w:rsidRDefault="00D96AEB">
      <w:pPr>
        <w:rPr>
          <w:rFonts w:ascii="Times New Roman" w:hAnsi="Times New Roman" w:cs="Times New Roman"/>
          <w:b/>
        </w:rPr>
      </w:pPr>
      <w:r>
        <w:rPr>
          <w:rFonts w:ascii="Times New Roman" w:hAnsi="Times New Roman" w:cs="Times New Roman"/>
          <w:b/>
        </w:rPr>
        <w:br w:type="page"/>
      </w:r>
    </w:p>
    <w:p w14:paraId="72480DF2" w14:textId="77777777" w:rsidR="005B5361" w:rsidRPr="0054432D" w:rsidRDefault="005B5361"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lastRenderedPageBreak/>
        <w:t>MENTIONS DEVANT FIGURER SUR L’EMBALLAGE EXTÉRIEUR</w:t>
      </w:r>
    </w:p>
    <w:p w14:paraId="514BF3D3" w14:textId="77777777" w:rsidR="005B5361" w:rsidRPr="0054432D" w:rsidRDefault="005B5361"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69D5C9AE" w14:textId="77777777" w:rsidR="005B5361" w:rsidRPr="0054432D" w:rsidRDefault="005B5361"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BOÎTE INTERMÉDIAIRE POUR LE CONDITIONNEMENT MULTIPLE (SANS BLUE BOX)</w:t>
      </w:r>
    </w:p>
    <w:p w14:paraId="49A704DB" w14:textId="77777777" w:rsidR="005B5361" w:rsidRPr="0054432D" w:rsidRDefault="005B5361" w:rsidP="00CB615C">
      <w:pPr>
        <w:widowControl/>
        <w:spacing w:after="0" w:line="240" w:lineRule="auto"/>
        <w:rPr>
          <w:rFonts w:ascii="Times New Roman" w:hAnsi="Times New Roman" w:cs="Times New Roman"/>
        </w:rPr>
      </w:pPr>
    </w:p>
    <w:p w14:paraId="27722DEF" w14:textId="77777777" w:rsidR="005B5361" w:rsidRPr="0054432D" w:rsidRDefault="005B5361" w:rsidP="00CB615C">
      <w:pPr>
        <w:widowControl/>
        <w:spacing w:after="0" w:line="240" w:lineRule="auto"/>
        <w:rPr>
          <w:rFonts w:ascii="Times New Roman" w:hAnsi="Times New Roman" w:cs="Times New Roman"/>
        </w:rPr>
      </w:pPr>
    </w:p>
    <w:p w14:paraId="625904A3"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DÉNOMINATION DU MÉDICAMENT</w:t>
      </w:r>
    </w:p>
    <w:p w14:paraId="0C13C0C0" w14:textId="77777777" w:rsidR="005B5361" w:rsidRPr="0054432D" w:rsidRDefault="005B5361" w:rsidP="00CB615C">
      <w:pPr>
        <w:widowControl/>
        <w:spacing w:after="0" w:line="240" w:lineRule="auto"/>
        <w:rPr>
          <w:rFonts w:ascii="Times New Roman" w:hAnsi="Times New Roman" w:cs="Times New Roman"/>
        </w:rPr>
      </w:pPr>
    </w:p>
    <w:p w14:paraId="6CD64FED" w14:textId="77777777" w:rsidR="005B5361" w:rsidRPr="00824948" w:rsidRDefault="005B5361" w:rsidP="00CB615C">
      <w:pPr>
        <w:widowControl/>
        <w:spacing w:after="0" w:line="240" w:lineRule="auto"/>
        <w:rPr>
          <w:rFonts w:ascii="Times New Roman" w:hAnsi="Times New Roman" w:cs="Times New Roman"/>
        </w:rPr>
      </w:pPr>
      <w:proofErr w:type="spellStart"/>
      <w:r w:rsidRPr="00824948">
        <w:rPr>
          <w:rFonts w:ascii="Times New Roman" w:hAnsi="Times New Roman"/>
        </w:rPr>
        <w:t>Fingolimod</w:t>
      </w:r>
      <w:proofErr w:type="spellEnd"/>
      <w:r w:rsidRPr="00824948">
        <w:rPr>
          <w:rFonts w:ascii="Times New Roman" w:hAnsi="Times New Roman"/>
        </w:rPr>
        <w:t xml:space="preserve"> Mylan 0,5 mg, gélule</w:t>
      </w:r>
    </w:p>
    <w:p w14:paraId="74C5308E" w14:textId="77777777" w:rsidR="005B5361" w:rsidRPr="00824948" w:rsidRDefault="005B5361" w:rsidP="00CB615C">
      <w:pPr>
        <w:widowControl/>
        <w:spacing w:after="0" w:line="240" w:lineRule="auto"/>
        <w:rPr>
          <w:rFonts w:ascii="Times New Roman" w:hAnsi="Times New Roman" w:cs="Times New Roman"/>
        </w:rPr>
      </w:pPr>
      <w:proofErr w:type="spellStart"/>
      <w:proofErr w:type="gramStart"/>
      <w:r w:rsidRPr="00824948">
        <w:rPr>
          <w:rFonts w:ascii="Times New Roman" w:hAnsi="Times New Roman"/>
        </w:rPr>
        <w:t>fingolimod</w:t>
      </w:r>
      <w:proofErr w:type="spellEnd"/>
      <w:proofErr w:type="gramEnd"/>
    </w:p>
    <w:p w14:paraId="4BE4A25C" w14:textId="77777777" w:rsidR="005B5361" w:rsidRPr="00824948" w:rsidRDefault="005B5361" w:rsidP="00CB615C">
      <w:pPr>
        <w:widowControl/>
        <w:spacing w:after="0" w:line="240" w:lineRule="auto"/>
        <w:rPr>
          <w:rFonts w:ascii="Times New Roman" w:hAnsi="Times New Roman" w:cs="Times New Roman"/>
        </w:rPr>
      </w:pPr>
    </w:p>
    <w:p w14:paraId="1D35771F" w14:textId="77777777" w:rsidR="005B5361" w:rsidRPr="00824948" w:rsidRDefault="005B5361" w:rsidP="00CB615C">
      <w:pPr>
        <w:widowControl/>
        <w:spacing w:after="0" w:line="240" w:lineRule="auto"/>
        <w:rPr>
          <w:rFonts w:ascii="Times New Roman" w:hAnsi="Times New Roman" w:cs="Times New Roman"/>
        </w:rPr>
      </w:pPr>
    </w:p>
    <w:p w14:paraId="27278F9E"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948">
        <w:rPr>
          <w:rFonts w:ascii="Times New Roman" w:hAnsi="Times New Roman"/>
          <w:b/>
        </w:rPr>
        <w:t xml:space="preserve">2. </w:t>
      </w:r>
      <w:r w:rsidRPr="00824948">
        <w:rPr>
          <w:rFonts w:ascii="Times New Roman" w:hAnsi="Times New Roman"/>
          <w:b/>
        </w:rPr>
        <w:tab/>
      </w:r>
      <w:r>
        <w:rPr>
          <w:rFonts w:ascii="Times New Roman" w:hAnsi="Times New Roman"/>
          <w:b/>
        </w:rPr>
        <w:t>COMPOSITION EN SUBSTANCE(S) ACTIVE(S)</w:t>
      </w:r>
    </w:p>
    <w:p w14:paraId="33BD7272" w14:textId="77777777" w:rsidR="005B5361" w:rsidRPr="0054432D" w:rsidRDefault="005B5361" w:rsidP="00CB615C">
      <w:pPr>
        <w:widowControl/>
        <w:spacing w:after="0" w:line="240" w:lineRule="auto"/>
        <w:rPr>
          <w:rFonts w:ascii="Times New Roman" w:hAnsi="Times New Roman" w:cs="Times New Roman"/>
        </w:rPr>
      </w:pPr>
    </w:p>
    <w:p w14:paraId="05DC5549" w14:textId="77777777" w:rsidR="005B5361" w:rsidRPr="0054432D" w:rsidRDefault="005B5361" w:rsidP="00CB615C">
      <w:pPr>
        <w:widowControl/>
        <w:spacing w:after="0" w:line="240" w:lineRule="auto"/>
        <w:rPr>
          <w:rFonts w:ascii="Times New Roman" w:hAnsi="Times New Roman" w:cs="Times New Roman"/>
        </w:rPr>
      </w:pPr>
      <w:r>
        <w:rPr>
          <w:rFonts w:ascii="Times New Roman" w:hAnsi="Times New Roman"/>
        </w:rPr>
        <w:t xml:space="preserve">Chaque gélule contient 0,5 mg de </w:t>
      </w:r>
      <w:proofErr w:type="spellStart"/>
      <w:r>
        <w:rPr>
          <w:rFonts w:ascii="Times New Roman" w:hAnsi="Times New Roman"/>
        </w:rPr>
        <w:t>fingolimod</w:t>
      </w:r>
      <w:proofErr w:type="spellEnd"/>
      <w:r>
        <w:rPr>
          <w:rFonts w:ascii="Times New Roman" w:hAnsi="Times New Roman"/>
        </w:rPr>
        <w:t xml:space="preserve"> (sous forme de chlorhydrate).</w:t>
      </w:r>
    </w:p>
    <w:p w14:paraId="70C08B23" w14:textId="77777777" w:rsidR="005B5361" w:rsidRPr="0054432D" w:rsidRDefault="005B5361" w:rsidP="00CB615C">
      <w:pPr>
        <w:widowControl/>
        <w:spacing w:after="0" w:line="240" w:lineRule="auto"/>
        <w:rPr>
          <w:rFonts w:ascii="Times New Roman" w:hAnsi="Times New Roman" w:cs="Times New Roman"/>
        </w:rPr>
      </w:pPr>
    </w:p>
    <w:p w14:paraId="25A6B1B5" w14:textId="77777777" w:rsidR="005B5361" w:rsidRPr="0054432D" w:rsidRDefault="005B5361" w:rsidP="00CB615C">
      <w:pPr>
        <w:widowControl/>
        <w:spacing w:after="0" w:line="240" w:lineRule="auto"/>
        <w:rPr>
          <w:rFonts w:ascii="Times New Roman" w:hAnsi="Times New Roman" w:cs="Times New Roman"/>
        </w:rPr>
      </w:pPr>
    </w:p>
    <w:p w14:paraId="06FC2720"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LISTE DES EXCIPIENTS</w:t>
      </w:r>
    </w:p>
    <w:p w14:paraId="1275BD36" w14:textId="77777777" w:rsidR="005B5361" w:rsidRPr="0054432D" w:rsidRDefault="005B5361" w:rsidP="00CB615C">
      <w:pPr>
        <w:widowControl/>
        <w:spacing w:after="0" w:line="240" w:lineRule="auto"/>
        <w:rPr>
          <w:rFonts w:ascii="Times New Roman" w:hAnsi="Times New Roman" w:cs="Times New Roman"/>
        </w:rPr>
      </w:pPr>
    </w:p>
    <w:p w14:paraId="49E87824" w14:textId="77777777" w:rsidR="005B5361" w:rsidRPr="0054432D" w:rsidRDefault="005B5361" w:rsidP="00CB615C">
      <w:pPr>
        <w:widowControl/>
        <w:spacing w:after="0" w:line="240" w:lineRule="auto"/>
        <w:rPr>
          <w:rFonts w:ascii="Times New Roman" w:hAnsi="Times New Roman" w:cs="Times New Roman"/>
        </w:rPr>
      </w:pPr>
    </w:p>
    <w:p w14:paraId="7655C767"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4. </w:t>
      </w:r>
      <w:r>
        <w:rPr>
          <w:rFonts w:ascii="Times New Roman" w:hAnsi="Times New Roman"/>
          <w:b/>
        </w:rPr>
        <w:tab/>
        <w:t>FORME PHARMACEUTIQUE ET CONTENU</w:t>
      </w:r>
    </w:p>
    <w:p w14:paraId="53CFC1D0" w14:textId="77777777" w:rsidR="005B5361" w:rsidRPr="0054432D" w:rsidRDefault="005B5361" w:rsidP="00CB615C">
      <w:pPr>
        <w:widowControl/>
        <w:spacing w:after="0" w:line="240" w:lineRule="auto"/>
        <w:rPr>
          <w:rFonts w:ascii="Times New Roman" w:hAnsi="Times New Roman" w:cs="Times New Roman"/>
        </w:rPr>
      </w:pPr>
    </w:p>
    <w:p w14:paraId="644B2B17" w14:textId="77777777" w:rsidR="005B5361" w:rsidRPr="0054432D" w:rsidRDefault="005B5361" w:rsidP="00CB615C">
      <w:pPr>
        <w:widowControl/>
        <w:spacing w:after="0" w:line="240" w:lineRule="auto"/>
        <w:rPr>
          <w:rFonts w:ascii="Times New Roman" w:hAnsi="Times New Roman" w:cs="Times New Roman"/>
        </w:rPr>
      </w:pPr>
      <w:r>
        <w:rPr>
          <w:rFonts w:ascii="Times New Roman" w:hAnsi="Times New Roman"/>
        </w:rPr>
        <w:t>28 gélules. Composant d’un conditionnement multiple. Ne doit pas être vendu séparément.</w:t>
      </w:r>
    </w:p>
    <w:p w14:paraId="32C10C17" w14:textId="77777777" w:rsidR="005B5361" w:rsidRPr="0054432D" w:rsidRDefault="005B5361" w:rsidP="00CB615C">
      <w:pPr>
        <w:widowControl/>
        <w:spacing w:after="0" w:line="240" w:lineRule="auto"/>
        <w:rPr>
          <w:rFonts w:ascii="Times New Roman" w:hAnsi="Times New Roman" w:cs="Times New Roman"/>
        </w:rPr>
      </w:pPr>
    </w:p>
    <w:p w14:paraId="32F99610" w14:textId="77777777" w:rsidR="005B5361" w:rsidRPr="0054432D" w:rsidRDefault="005B5361" w:rsidP="00CB615C">
      <w:pPr>
        <w:widowControl/>
        <w:spacing w:after="0" w:line="240" w:lineRule="auto"/>
        <w:rPr>
          <w:rFonts w:ascii="Times New Roman" w:hAnsi="Times New Roman" w:cs="Times New Roman"/>
        </w:rPr>
      </w:pPr>
    </w:p>
    <w:p w14:paraId="2BFEB722"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5. </w:t>
      </w:r>
      <w:r>
        <w:rPr>
          <w:rFonts w:ascii="Times New Roman" w:hAnsi="Times New Roman"/>
          <w:b/>
        </w:rPr>
        <w:tab/>
        <w:t>MODE ET VOIE(S) D’ADMINISTRATION</w:t>
      </w:r>
    </w:p>
    <w:p w14:paraId="65C46C97" w14:textId="77777777" w:rsidR="005B5361" w:rsidRPr="0054432D" w:rsidRDefault="005B5361" w:rsidP="00CB615C">
      <w:pPr>
        <w:widowControl/>
        <w:spacing w:after="0" w:line="240" w:lineRule="auto"/>
        <w:rPr>
          <w:rFonts w:ascii="Times New Roman" w:hAnsi="Times New Roman" w:cs="Times New Roman"/>
        </w:rPr>
      </w:pPr>
    </w:p>
    <w:p w14:paraId="3B86C382" w14:textId="77777777" w:rsidR="005B5361" w:rsidRPr="0054432D" w:rsidRDefault="005B5361" w:rsidP="00CB615C">
      <w:pPr>
        <w:widowControl/>
        <w:spacing w:after="0" w:line="240" w:lineRule="auto"/>
        <w:rPr>
          <w:rFonts w:ascii="Times New Roman" w:hAnsi="Times New Roman" w:cs="Times New Roman"/>
        </w:rPr>
      </w:pPr>
      <w:r>
        <w:rPr>
          <w:rFonts w:ascii="Times New Roman" w:hAnsi="Times New Roman"/>
        </w:rPr>
        <w:t>Lire la notice avant utilisation.</w:t>
      </w:r>
    </w:p>
    <w:p w14:paraId="3C072639" w14:textId="77777777" w:rsidR="005B5361" w:rsidRPr="0054432D" w:rsidRDefault="005B5361" w:rsidP="00CB615C">
      <w:pPr>
        <w:widowControl/>
        <w:spacing w:after="0" w:line="240" w:lineRule="auto"/>
        <w:rPr>
          <w:rFonts w:ascii="Times New Roman" w:hAnsi="Times New Roman" w:cs="Times New Roman"/>
        </w:rPr>
      </w:pPr>
      <w:r>
        <w:rPr>
          <w:rFonts w:ascii="Times New Roman" w:hAnsi="Times New Roman"/>
        </w:rPr>
        <w:t>Voie orale.</w:t>
      </w:r>
    </w:p>
    <w:p w14:paraId="795223EF" w14:textId="77777777" w:rsidR="005B5361" w:rsidRPr="0054432D" w:rsidRDefault="005B5361" w:rsidP="00CB615C">
      <w:pPr>
        <w:widowControl/>
        <w:spacing w:after="0" w:line="240" w:lineRule="auto"/>
        <w:rPr>
          <w:rFonts w:ascii="Times New Roman" w:hAnsi="Times New Roman" w:cs="Times New Roman"/>
        </w:rPr>
      </w:pPr>
      <w:r>
        <w:rPr>
          <w:rFonts w:ascii="Times New Roman" w:hAnsi="Times New Roman"/>
        </w:rPr>
        <w:t>Avaler chaque gélule entière.</w:t>
      </w:r>
    </w:p>
    <w:p w14:paraId="5F396FC0" w14:textId="77777777" w:rsidR="005B5361" w:rsidRPr="0054432D" w:rsidRDefault="005B5361" w:rsidP="00CB615C">
      <w:pPr>
        <w:widowControl/>
        <w:spacing w:after="0" w:line="240" w:lineRule="auto"/>
        <w:rPr>
          <w:rFonts w:ascii="Times New Roman" w:hAnsi="Times New Roman" w:cs="Times New Roman"/>
        </w:rPr>
      </w:pPr>
    </w:p>
    <w:p w14:paraId="3980F031" w14:textId="77777777" w:rsidR="005B5361" w:rsidRPr="0054432D" w:rsidRDefault="005B5361" w:rsidP="00CB615C">
      <w:pPr>
        <w:widowControl/>
        <w:spacing w:after="0" w:line="240" w:lineRule="auto"/>
        <w:rPr>
          <w:rFonts w:ascii="Times New Roman" w:hAnsi="Times New Roman" w:cs="Times New Roman"/>
        </w:rPr>
      </w:pPr>
    </w:p>
    <w:p w14:paraId="228B60AB"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6. </w:t>
      </w:r>
      <w:r>
        <w:rPr>
          <w:rFonts w:ascii="Times New Roman" w:hAnsi="Times New Roman"/>
          <w:b/>
        </w:rPr>
        <w:tab/>
        <w:t>MISE EN GARDE SPÉCIALE INDIQUANT QUE LE MÉDICAMENT DOIT ÊTRE CONSERVÉ HORS DE VUE ET DE PORTÉE DES ENFANTS</w:t>
      </w:r>
    </w:p>
    <w:p w14:paraId="580843EE" w14:textId="77777777" w:rsidR="005B5361" w:rsidRPr="0054432D" w:rsidRDefault="005B5361" w:rsidP="00CB615C">
      <w:pPr>
        <w:widowControl/>
        <w:spacing w:after="0" w:line="240" w:lineRule="auto"/>
        <w:rPr>
          <w:rFonts w:ascii="Times New Roman" w:hAnsi="Times New Roman" w:cs="Times New Roman"/>
        </w:rPr>
      </w:pPr>
    </w:p>
    <w:p w14:paraId="5022EA0F" w14:textId="77777777" w:rsidR="005B5361" w:rsidRPr="0054432D" w:rsidRDefault="005B5361" w:rsidP="00CB615C">
      <w:pPr>
        <w:widowControl/>
        <w:spacing w:after="0" w:line="240" w:lineRule="auto"/>
        <w:rPr>
          <w:rFonts w:ascii="Times New Roman" w:hAnsi="Times New Roman" w:cs="Times New Roman"/>
        </w:rPr>
      </w:pPr>
      <w:r>
        <w:rPr>
          <w:rFonts w:ascii="Times New Roman" w:hAnsi="Times New Roman"/>
        </w:rPr>
        <w:t>Tenir hors de la vue et de la portée des enfants.</w:t>
      </w:r>
    </w:p>
    <w:p w14:paraId="667A312A" w14:textId="77777777" w:rsidR="005B5361" w:rsidRPr="0054432D" w:rsidRDefault="005B5361" w:rsidP="00CB615C">
      <w:pPr>
        <w:widowControl/>
        <w:spacing w:after="0" w:line="240" w:lineRule="auto"/>
        <w:rPr>
          <w:rFonts w:ascii="Times New Roman" w:hAnsi="Times New Roman" w:cs="Times New Roman"/>
        </w:rPr>
      </w:pPr>
    </w:p>
    <w:p w14:paraId="78BD11CA" w14:textId="77777777" w:rsidR="005B5361" w:rsidRPr="0054432D" w:rsidRDefault="005B5361" w:rsidP="00CB615C">
      <w:pPr>
        <w:widowControl/>
        <w:spacing w:after="0" w:line="240" w:lineRule="auto"/>
        <w:rPr>
          <w:rFonts w:ascii="Times New Roman" w:hAnsi="Times New Roman" w:cs="Times New Roman"/>
        </w:rPr>
      </w:pPr>
    </w:p>
    <w:p w14:paraId="0860640E"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7. </w:t>
      </w:r>
      <w:r>
        <w:rPr>
          <w:rFonts w:ascii="Times New Roman" w:hAnsi="Times New Roman"/>
          <w:b/>
        </w:rPr>
        <w:tab/>
        <w:t>AUTRE(S) MISE(S) EN GARDE SPÉCIALE(S), SI NÉCESSAIRE</w:t>
      </w:r>
    </w:p>
    <w:p w14:paraId="74EB0F53" w14:textId="77777777" w:rsidR="005B5361" w:rsidRPr="0054432D" w:rsidRDefault="005B5361" w:rsidP="00CB615C">
      <w:pPr>
        <w:widowControl/>
        <w:spacing w:after="0" w:line="240" w:lineRule="auto"/>
        <w:rPr>
          <w:rFonts w:ascii="Times New Roman" w:hAnsi="Times New Roman" w:cs="Times New Roman"/>
        </w:rPr>
      </w:pPr>
    </w:p>
    <w:p w14:paraId="78B7E3BA" w14:textId="77777777" w:rsidR="005B5361" w:rsidRPr="0054432D" w:rsidRDefault="005B5361" w:rsidP="00CB615C">
      <w:pPr>
        <w:widowControl/>
        <w:spacing w:after="0" w:line="240" w:lineRule="auto"/>
        <w:rPr>
          <w:rFonts w:ascii="Times New Roman" w:hAnsi="Times New Roman" w:cs="Times New Roman"/>
        </w:rPr>
      </w:pPr>
    </w:p>
    <w:p w14:paraId="41A84B16"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8. </w:t>
      </w:r>
      <w:r>
        <w:rPr>
          <w:rFonts w:ascii="Times New Roman" w:hAnsi="Times New Roman"/>
          <w:b/>
        </w:rPr>
        <w:tab/>
        <w:t>DATE DE PÉREMPTION</w:t>
      </w:r>
    </w:p>
    <w:p w14:paraId="70554FD9" w14:textId="77777777" w:rsidR="005B5361" w:rsidRPr="0054432D" w:rsidRDefault="005B5361" w:rsidP="00CB615C">
      <w:pPr>
        <w:widowControl/>
        <w:spacing w:after="0" w:line="240" w:lineRule="auto"/>
        <w:rPr>
          <w:rFonts w:ascii="Times New Roman" w:hAnsi="Times New Roman" w:cs="Times New Roman"/>
        </w:rPr>
      </w:pPr>
    </w:p>
    <w:p w14:paraId="13E53544" w14:textId="77777777" w:rsidR="005B5361" w:rsidRPr="0054432D" w:rsidRDefault="005B5361" w:rsidP="00CB615C">
      <w:pPr>
        <w:widowControl/>
        <w:spacing w:after="0" w:line="240" w:lineRule="auto"/>
        <w:rPr>
          <w:rFonts w:ascii="Times New Roman" w:hAnsi="Times New Roman" w:cs="Times New Roman"/>
        </w:rPr>
      </w:pPr>
      <w:r>
        <w:rPr>
          <w:rFonts w:ascii="Times New Roman" w:hAnsi="Times New Roman"/>
        </w:rPr>
        <w:t>EXP</w:t>
      </w:r>
    </w:p>
    <w:p w14:paraId="5B3927E0" w14:textId="77777777" w:rsidR="005B5361" w:rsidRPr="0054432D" w:rsidRDefault="005B5361" w:rsidP="00CB615C">
      <w:pPr>
        <w:widowControl/>
        <w:spacing w:after="0" w:line="240" w:lineRule="auto"/>
        <w:rPr>
          <w:rFonts w:ascii="Times New Roman" w:hAnsi="Times New Roman" w:cs="Times New Roman"/>
        </w:rPr>
      </w:pPr>
    </w:p>
    <w:p w14:paraId="3ABBA2BA" w14:textId="77777777" w:rsidR="005B5361" w:rsidRPr="0054432D" w:rsidRDefault="005B5361" w:rsidP="00CB615C">
      <w:pPr>
        <w:widowControl/>
        <w:spacing w:after="0" w:line="240" w:lineRule="auto"/>
        <w:rPr>
          <w:rFonts w:ascii="Times New Roman" w:hAnsi="Times New Roman" w:cs="Times New Roman"/>
        </w:rPr>
      </w:pPr>
    </w:p>
    <w:p w14:paraId="4B5E980E"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9. </w:t>
      </w:r>
      <w:r>
        <w:rPr>
          <w:rFonts w:ascii="Times New Roman" w:hAnsi="Times New Roman"/>
          <w:b/>
        </w:rPr>
        <w:tab/>
        <w:t>PRÉCAUTIONS PARTICULIÈRES DE CONSERVATION</w:t>
      </w:r>
    </w:p>
    <w:p w14:paraId="06FC2CCD" w14:textId="77777777" w:rsidR="005B5361" w:rsidRPr="0054432D" w:rsidRDefault="005B5361" w:rsidP="00CB615C">
      <w:pPr>
        <w:widowControl/>
        <w:spacing w:after="0" w:line="240" w:lineRule="auto"/>
        <w:rPr>
          <w:rFonts w:ascii="Times New Roman" w:hAnsi="Times New Roman" w:cs="Times New Roman"/>
          <w:u w:val="single"/>
        </w:rPr>
      </w:pPr>
    </w:p>
    <w:p w14:paraId="134F748A" w14:textId="0C1B8FC3" w:rsidR="005B5361" w:rsidRPr="0054432D" w:rsidRDefault="00CC0570" w:rsidP="00CB615C">
      <w:pPr>
        <w:widowControl/>
        <w:spacing w:after="0" w:line="240" w:lineRule="auto"/>
        <w:rPr>
          <w:rFonts w:ascii="Times New Roman" w:hAnsi="Times New Roman" w:cs="Times New Roman"/>
        </w:rPr>
      </w:pPr>
      <w:r w:rsidRPr="00CC0570">
        <w:rPr>
          <w:rFonts w:ascii="Times New Roman" w:hAnsi="Times New Roman"/>
        </w:rPr>
        <w:t>A</w:t>
      </w:r>
      <w:r w:rsidR="005B5361">
        <w:rPr>
          <w:rFonts w:ascii="Times New Roman" w:hAnsi="Times New Roman"/>
        </w:rPr>
        <w:t xml:space="preserve"> conserver à une température ne dépassant pas 25 °C.</w:t>
      </w:r>
    </w:p>
    <w:p w14:paraId="6A369138" w14:textId="4988D347" w:rsidR="005B5361" w:rsidRPr="0054432D" w:rsidRDefault="00CC0570" w:rsidP="00CB615C">
      <w:pPr>
        <w:widowControl/>
        <w:spacing w:after="0" w:line="240" w:lineRule="auto"/>
        <w:rPr>
          <w:rFonts w:ascii="Times New Roman" w:hAnsi="Times New Roman" w:cs="Times New Roman"/>
        </w:rPr>
      </w:pPr>
      <w:r w:rsidRPr="00CC0570">
        <w:rPr>
          <w:rFonts w:ascii="Times New Roman" w:hAnsi="Times New Roman"/>
        </w:rPr>
        <w:t>A</w:t>
      </w:r>
      <w:r w:rsidR="005B5361">
        <w:rPr>
          <w:rFonts w:ascii="Times New Roman" w:hAnsi="Times New Roman"/>
        </w:rPr>
        <w:t xml:space="preserve"> conserver dans l’emballage d’origine à l’abri de l’humidité.</w:t>
      </w:r>
    </w:p>
    <w:p w14:paraId="4A6E0F4C" w14:textId="77777777" w:rsidR="005B5361" w:rsidRPr="0054432D" w:rsidRDefault="005B5361" w:rsidP="00CB615C">
      <w:pPr>
        <w:widowControl/>
        <w:spacing w:after="0" w:line="240" w:lineRule="auto"/>
        <w:rPr>
          <w:rFonts w:ascii="Times New Roman" w:hAnsi="Times New Roman" w:cs="Times New Roman"/>
          <w:highlight w:val="lightGray"/>
        </w:rPr>
      </w:pPr>
    </w:p>
    <w:p w14:paraId="7B4DBD68" w14:textId="77777777" w:rsidR="005B5361" w:rsidRPr="0054432D" w:rsidRDefault="005B5361" w:rsidP="00CB615C">
      <w:pPr>
        <w:widowControl/>
        <w:spacing w:after="0" w:line="240" w:lineRule="auto"/>
        <w:rPr>
          <w:rFonts w:ascii="Times New Roman" w:hAnsi="Times New Roman" w:cs="Times New Roman"/>
        </w:rPr>
      </w:pPr>
    </w:p>
    <w:p w14:paraId="70684713" w14:textId="77777777" w:rsidR="005B5361" w:rsidRPr="005E3FEB" w:rsidRDefault="005B5361" w:rsidP="00CB615C">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 xml:space="preserve">10. </w:t>
      </w:r>
      <w:r>
        <w:rPr>
          <w:rFonts w:ascii="Times New Roman" w:hAnsi="Times New Roman"/>
          <w:b/>
        </w:rPr>
        <w:tab/>
        <w:t>PRÉCAUTIONS PARTICULIÈRES D’ÉLIMINATION DES MÉDICAMENTS NON UTILISÉS OU DES DÉCHETS PROVENANT DE CES MÉDICAMENTS S’IL Y A LIEU</w:t>
      </w:r>
    </w:p>
    <w:p w14:paraId="6B7B8D53" w14:textId="77777777" w:rsidR="005B5361" w:rsidRPr="0054432D" w:rsidRDefault="005B5361" w:rsidP="00CB615C">
      <w:pPr>
        <w:keepNext/>
        <w:widowControl/>
        <w:spacing w:after="0" w:line="240" w:lineRule="auto"/>
        <w:rPr>
          <w:rFonts w:ascii="Times New Roman" w:hAnsi="Times New Roman" w:cs="Times New Roman"/>
        </w:rPr>
      </w:pPr>
    </w:p>
    <w:p w14:paraId="7DE998DE" w14:textId="77777777" w:rsidR="005B5361" w:rsidRPr="0054432D" w:rsidRDefault="005B5361" w:rsidP="00CB615C">
      <w:pPr>
        <w:widowControl/>
        <w:spacing w:after="0" w:line="240" w:lineRule="auto"/>
        <w:rPr>
          <w:rFonts w:ascii="Times New Roman" w:hAnsi="Times New Roman" w:cs="Times New Roman"/>
        </w:rPr>
      </w:pPr>
    </w:p>
    <w:p w14:paraId="059A7643" w14:textId="77777777" w:rsidR="005B5361" w:rsidRPr="005E3FEB" w:rsidRDefault="005B5361" w:rsidP="00312255">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 xml:space="preserve">11. </w:t>
      </w:r>
      <w:r>
        <w:rPr>
          <w:rFonts w:ascii="Times New Roman" w:hAnsi="Times New Roman"/>
          <w:b/>
        </w:rPr>
        <w:tab/>
        <w:t>NOM ET ADRESSE DU TITULAIRE DE L’AUTORISATION DE MISE SUR LE MARCHÉ</w:t>
      </w:r>
    </w:p>
    <w:p w14:paraId="11B79453" w14:textId="77777777" w:rsidR="005B5361" w:rsidRPr="0054432D" w:rsidRDefault="005B5361" w:rsidP="00CB615C">
      <w:pPr>
        <w:widowControl/>
        <w:spacing w:after="0" w:line="240" w:lineRule="auto"/>
        <w:rPr>
          <w:rFonts w:ascii="Times New Roman" w:hAnsi="Times New Roman" w:cs="Times New Roman"/>
        </w:rPr>
      </w:pPr>
    </w:p>
    <w:p w14:paraId="1F12B109" w14:textId="11D611CE" w:rsidR="00101097" w:rsidRPr="000A298F" w:rsidRDefault="005B5361" w:rsidP="00CB615C">
      <w:pPr>
        <w:widowControl/>
        <w:spacing w:after="0"/>
        <w:rPr>
          <w:rFonts w:ascii="Times New Roman" w:eastAsia="Times New Roman" w:hAnsi="Times New Roman" w:cs="Times New Roman"/>
          <w:lang w:val="en-US"/>
        </w:rPr>
      </w:pPr>
      <w:r w:rsidRPr="000A298F">
        <w:rPr>
          <w:rFonts w:ascii="Times New Roman" w:hAnsi="Times New Roman"/>
          <w:lang w:val="en-US"/>
        </w:rPr>
        <w:t xml:space="preserve">Mylan </w:t>
      </w:r>
      <w:r w:rsidR="00D4439A" w:rsidRPr="000A298F">
        <w:rPr>
          <w:rFonts w:ascii="Times New Roman" w:hAnsi="Times New Roman"/>
          <w:lang w:val="en-US"/>
        </w:rPr>
        <w:t>Pharmaceuticals</w:t>
      </w:r>
      <w:r w:rsidRPr="000A298F">
        <w:rPr>
          <w:rFonts w:ascii="Times New Roman" w:hAnsi="Times New Roman"/>
          <w:lang w:val="en-US"/>
        </w:rPr>
        <w:t xml:space="preserve"> Limited, </w:t>
      </w:r>
      <w:proofErr w:type="spellStart"/>
      <w:r w:rsidR="00101097" w:rsidRPr="000A298F">
        <w:rPr>
          <w:rFonts w:ascii="Times New Roman" w:eastAsia="Times New Roman" w:hAnsi="Times New Roman" w:cs="Times New Roman"/>
          <w:lang w:val="en-US"/>
        </w:rPr>
        <w:t>Damastown</w:t>
      </w:r>
      <w:proofErr w:type="spellEnd"/>
      <w:r w:rsidR="00101097" w:rsidRPr="000A298F">
        <w:rPr>
          <w:rFonts w:ascii="Times New Roman" w:eastAsia="Times New Roman" w:hAnsi="Times New Roman" w:cs="Times New Roman"/>
          <w:lang w:val="en-US"/>
        </w:rPr>
        <w:t xml:space="preserve"> Industrial Park, </w:t>
      </w:r>
      <w:proofErr w:type="spellStart"/>
      <w:r w:rsidR="00101097" w:rsidRPr="000A298F">
        <w:rPr>
          <w:rFonts w:ascii="Times New Roman" w:eastAsia="Times New Roman" w:hAnsi="Times New Roman" w:cs="Times New Roman"/>
          <w:lang w:val="en-US"/>
        </w:rPr>
        <w:t>Mulhuddart</w:t>
      </w:r>
      <w:proofErr w:type="spellEnd"/>
      <w:r w:rsidR="00101097" w:rsidRPr="000A298F">
        <w:rPr>
          <w:rFonts w:ascii="Times New Roman" w:eastAsia="Times New Roman" w:hAnsi="Times New Roman" w:cs="Times New Roman"/>
          <w:lang w:val="en-US"/>
        </w:rPr>
        <w:t>, Dublin 15, DUBLIN</w:t>
      </w:r>
    </w:p>
    <w:p w14:paraId="4AC1FF88" w14:textId="5C75B45F" w:rsidR="005B5361" w:rsidRPr="00107057" w:rsidRDefault="00101097" w:rsidP="00CB615C">
      <w:pPr>
        <w:widowControl/>
        <w:spacing w:after="0" w:line="240" w:lineRule="auto"/>
        <w:rPr>
          <w:rFonts w:ascii="Times New Roman" w:hAnsi="Times New Roman" w:cs="Times New Roman"/>
        </w:rPr>
      </w:pPr>
      <w:r w:rsidRPr="00107057">
        <w:rPr>
          <w:rFonts w:ascii="Times New Roman" w:eastAsia="Times New Roman" w:hAnsi="Times New Roman" w:cs="Times New Roman"/>
        </w:rPr>
        <w:t>Irlande</w:t>
      </w:r>
      <w:r w:rsidR="005B5361" w:rsidRPr="00107057">
        <w:rPr>
          <w:rFonts w:ascii="Times New Roman" w:hAnsi="Times New Roman"/>
        </w:rPr>
        <w:t>.</w:t>
      </w:r>
    </w:p>
    <w:p w14:paraId="0F74D3E9" w14:textId="77777777" w:rsidR="005B5361" w:rsidRPr="00107057" w:rsidRDefault="005B5361" w:rsidP="00CB615C">
      <w:pPr>
        <w:widowControl/>
        <w:spacing w:after="0" w:line="240" w:lineRule="auto"/>
        <w:rPr>
          <w:rFonts w:ascii="Times New Roman" w:hAnsi="Times New Roman" w:cs="Times New Roman"/>
        </w:rPr>
      </w:pPr>
    </w:p>
    <w:p w14:paraId="0FF23A69" w14:textId="77777777" w:rsidR="005B5361" w:rsidRPr="00107057" w:rsidRDefault="005B5361" w:rsidP="00CB615C">
      <w:pPr>
        <w:widowControl/>
        <w:spacing w:after="0" w:line="240" w:lineRule="auto"/>
        <w:rPr>
          <w:rFonts w:ascii="Times New Roman" w:hAnsi="Times New Roman" w:cs="Times New Roman"/>
        </w:rPr>
      </w:pPr>
    </w:p>
    <w:p w14:paraId="5AB77A6D"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12. </w:t>
      </w:r>
      <w:r>
        <w:rPr>
          <w:rFonts w:ascii="Times New Roman" w:hAnsi="Times New Roman"/>
          <w:b/>
        </w:rPr>
        <w:tab/>
        <w:t>NUMÉRO(S) D’AUTORISATION DE MISE SUR LE MARCHÉ</w:t>
      </w:r>
    </w:p>
    <w:p w14:paraId="4BE08ED9" w14:textId="77777777" w:rsidR="005B5361" w:rsidRPr="0054432D" w:rsidRDefault="005B5361" w:rsidP="00CB615C">
      <w:pPr>
        <w:widowControl/>
        <w:spacing w:after="0" w:line="240" w:lineRule="auto"/>
        <w:rPr>
          <w:rFonts w:ascii="Times New Roman" w:hAnsi="Times New Roman" w:cs="Times New Roman"/>
        </w:rPr>
      </w:pPr>
    </w:p>
    <w:p w14:paraId="0D028537" w14:textId="77777777" w:rsidR="00570BF6" w:rsidRPr="00F631A8" w:rsidRDefault="00570BF6" w:rsidP="00CB615C">
      <w:pPr>
        <w:widowControl/>
        <w:spacing w:after="0" w:line="240" w:lineRule="auto"/>
        <w:rPr>
          <w:rFonts w:ascii="Times New Roman" w:hAnsi="Times New Roman" w:cs="Times New Roman"/>
        </w:rPr>
      </w:pPr>
      <w:r>
        <w:rPr>
          <w:rFonts w:ascii="Times New Roman" w:hAnsi="Times New Roman"/>
        </w:rPr>
        <w:t>EU/1/21/1573/009</w:t>
      </w:r>
    </w:p>
    <w:p w14:paraId="34BD3711" w14:textId="77777777" w:rsidR="00570BF6" w:rsidRPr="00F631A8" w:rsidRDefault="00570BF6" w:rsidP="00CB615C">
      <w:pPr>
        <w:widowControl/>
        <w:spacing w:after="0" w:line="240" w:lineRule="auto"/>
        <w:rPr>
          <w:rFonts w:ascii="Times New Roman" w:hAnsi="Times New Roman" w:cs="Times New Roman"/>
        </w:rPr>
      </w:pPr>
      <w:r>
        <w:rPr>
          <w:rFonts w:ascii="Times New Roman" w:hAnsi="Times New Roman"/>
          <w:highlight w:val="lightGray"/>
        </w:rPr>
        <w:t>EU/1/21/1573/022</w:t>
      </w:r>
    </w:p>
    <w:p w14:paraId="745B5715" w14:textId="77777777" w:rsidR="005B5361" w:rsidRPr="0054432D" w:rsidRDefault="005B5361" w:rsidP="00CB615C">
      <w:pPr>
        <w:widowControl/>
        <w:spacing w:after="0" w:line="240" w:lineRule="auto"/>
        <w:rPr>
          <w:rFonts w:ascii="Times New Roman" w:hAnsi="Times New Roman" w:cs="Times New Roman"/>
        </w:rPr>
      </w:pPr>
    </w:p>
    <w:p w14:paraId="6F28ADAE" w14:textId="77777777" w:rsidR="005B5361" w:rsidRPr="0054432D" w:rsidRDefault="005B5361" w:rsidP="00CB615C">
      <w:pPr>
        <w:widowControl/>
        <w:spacing w:after="0" w:line="240" w:lineRule="auto"/>
        <w:rPr>
          <w:rFonts w:ascii="Times New Roman" w:hAnsi="Times New Roman" w:cs="Times New Roman"/>
        </w:rPr>
      </w:pPr>
    </w:p>
    <w:p w14:paraId="069BE021"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13. </w:t>
      </w:r>
      <w:r>
        <w:rPr>
          <w:rFonts w:ascii="Times New Roman" w:hAnsi="Times New Roman"/>
          <w:b/>
        </w:rPr>
        <w:tab/>
        <w:t>NUMÉRO DU LOT</w:t>
      </w:r>
    </w:p>
    <w:p w14:paraId="24F20577" w14:textId="77777777" w:rsidR="005B5361" w:rsidRPr="0054432D" w:rsidRDefault="005B5361" w:rsidP="00CB615C">
      <w:pPr>
        <w:widowControl/>
        <w:spacing w:after="0" w:line="240" w:lineRule="auto"/>
        <w:rPr>
          <w:rFonts w:ascii="Times New Roman" w:hAnsi="Times New Roman" w:cs="Times New Roman"/>
        </w:rPr>
      </w:pPr>
    </w:p>
    <w:p w14:paraId="73C877E6" w14:textId="77777777" w:rsidR="005B5361" w:rsidRPr="0054432D" w:rsidRDefault="005B5361" w:rsidP="00CB615C">
      <w:pPr>
        <w:widowControl/>
        <w:spacing w:after="0" w:line="240" w:lineRule="auto"/>
        <w:rPr>
          <w:rFonts w:ascii="Times New Roman" w:hAnsi="Times New Roman" w:cs="Times New Roman"/>
        </w:rPr>
      </w:pPr>
      <w:r>
        <w:rPr>
          <w:rFonts w:ascii="Times New Roman" w:hAnsi="Times New Roman"/>
        </w:rPr>
        <w:t>Lot</w:t>
      </w:r>
    </w:p>
    <w:p w14:paraId="6CACB24E" w14:textId="77777777" w:rsidR="005B5361" w:rsidRPr="0054432D" w:rsidRDefault="005B5361" w:rsidP="00CB615C">
      <w:pPr>
        <w:widowControl/>
        <w:spacing w:after="0" w:line="240" w:lineRule="auto"/>
        <w:rPr>
          <w:rFonts w:ascii="Times New Roman" w:hAnsi="Times New Roman" w:cs="Times New Roman"/>
        </w:rPr>
      </w:pPr>
    </w:p>
    <w:p w14:paraId="38414F00" w14:textId="77777777" w:rsidR="005B5361" w:rsidRPr="0054432D" w:rsidRDefault="005B5361" w:rsidP="00CB615C">
      <w:pPr>
        <w:widowControl/>
        <w:spacing w:after="0" w:line="240" w:lineRule="auto"/>
        <w:rPr>
          <w:rFonts w:ascii="Times New Roman" w:hAnsi="Times New Roman" w:cs="Times New Roman"/>
        </w:rPr>
      </w:pPr>
    </w:p>
    <w:p w14:paraId="3C8085CC"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14. </w:t>
      </w:r>
      <w:r>
        <w:rPr>
          <w:rFonts w:ascii="Times New Roman" w:hAnsi="Times New Roman"/>
          <w:b/>
        </w:rPr>
        <w:tab/>
        <w:t>CONDITIONS DE PRESCRIPTION ET DE DÉLIVRANCE</w:t>
      </w:r>
    </w:p>
    <w:p w14:paraId="2999B1F0" w14:textId="77777777" w:rsidR="005B5361" w:rsidRPr="0054432D" w:rsidRDefault="005B5361" w:rsidP="00CB615C">
      <w:pPr>
        <w:widowControl/>
        <w:spacing w:after="0" w:line="240" w:lineRule="auto"/>
        <w:rPr>
          <w:rFonts w:ascii="Times New Roman" w:hAnsi="Times New Roman" w:cs="Times New Roman"/>
        </w:rPr>
      </w:pPr>
    </w:p>
    <w:p w14:paraId="084BFAF7" w14:textId="77777777" w:rsidR="005B5361" w:rsidRPr="0054432D" w:rsidRDefault="005B5361" w:rsidP="00CB615C">
      <w:pPr>
        <w:widowControl/>
        <w:spacing w:after="0" w:line="240" w:lineRule="auto"/>
        <w:rPr>
          <w:rFonts w:ascii="Times New Roman" w:hAnsi="Times New Roman" w:cs="Times New Roman"/>
        </w:rPr>
      </w:pPr>
    </w:p>
    <w:p w14:paraId="65E780BD"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15. </w:t>
      </w:r>
      <w:r>
        <w:rPr>
          <w:rFonts w:ascii="Times New Roman" w:hAnsi="Times New Roman"/>
          <w:b/>
        </w:rPr>
        <w:tab/>
        <w:t>INDICATIONS D’UTILISATION</w:t>
      </w:r>
    </w:p>
    <w:p w14:paraId="7D42B689" w14:textId="77777777" w:rsidR="005B5361" w:rsidRPr="0054432D" w:rsidRDefault="005B5361" w:rsidP="00CB615C">
      <w:pPr>
        <w:widowControl/>
        <w:spacing w:after="0" w:line="240" w:lineRule="auto"/>
        <w:rPr>
          <w:rFonts w:ascii="Times New Roman" w:hAnsi="Times New Roman" w:cs="Times New Roman"/>
        </w:rPr>
      </w:pPr>
    </w:p>
    <w:p w14:paraId="0361AAD9" w14:textId="77777777" w:rsidR="005B5361" w:rsidRPr="0054432D" w:rsidRDefault="005B5361" w:rsidP="00CB615C">
      <w:pPr>
        <w:widowControl/>
        <w:spacing w:after="0" w:line="240" w:lineRule="auto"/>
        <w:rPr>
          <w:rFonts w:ascii="Times New Roman" w:hAnsi="Times New Roman" w:cs="Times New Roman"/>
        </w:rPr>
      </w:pPr>
    </w:p>
    <w:p w14:paraId="54E3EAB9"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16. </w:t>
      </w:r>
      <w:r>
        <w:rPr>
          <w:rFonts w:ascii="Times New Roman" w:hAnsi="Times New Roman"/>
          <w:b/>
        </w:rPr>
        <w:tab/>
        <w:t>INFORMATIONS EN BRAILLE</w:t>
      </w:r>
    </w:p>
    <w:p w14:paraId="46B09545" w14:textId="77777777" w:rsidR="005B5361" w:rsidRPr="0054432D" w:rsidRDefault="005B5361" w:rsidP="00CB615C">
      <w:pPr>
        <w:widowControl/>
        <w:spacing w:after="0" w:line="240" w:lineRule="auto"/>
        <w:rPr>
          <w:rFonts w:ascii="Times New Roman" w:hAnsi="Times New Roman" w:cs="Times New Roman"/>
        </w:rPr>
      </w:pPr>
    </w:p>
    <w:p w14:paraId="7F5B5EA4" w14:textId="77777777" w:rsidR="005B5361" w:rsidRPr="0054432D" w:rsidRDefault="005B5361" w:rsidP="00CB615C">
      <w:pPr>
        <w:widowControl/>
        <w:spacing w:after="0" w:line="240" w:lineRule="auto"/>
        <w:rPr>
          <w:rFonts w:ascii="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0,5 mg</w:t>
      </w:r>
    </w:p>
    <w:p w14:paraId="6F4AACF7" w14:textId="77777777" w:rsidR="005B5361" w:rsidRPr="0054432D" w:rsidRDefault="005B5361" w:rsidP="00CB615C">
      <w:pPr>
        <w:widowControl/>
        <w:spacing w:after="0" w:line="240" w:lineRule="auto"/>
        <w:rPr>
          <w:rFonts w:ascii="Times New Roman" w:hAnsi="Times New Roman" w:cs="Times New Roman"/>
        </w:rPr>
      </w:pPr>
    </w:p>
    <w:p w14:paraId="1EDA7572" w14:textId="77777777" w:rsidR="005B5361" w:rsidRPr="0054432D" w:rsidRDefault="005B5361" w:rsidP="00CB615C">
      <w:pPr>
        <w:widowControl/>
        <w:spacing w:after="0" w:line="240" w:lineRule="auto"/>
        <w:rPr>
          <w:rFonts w:ascii="Times New Roman" w:hAnsi="Times New Roman" w:cs="Times New Roman"/>
        </w:rPr>
      </w:pPr>
    </w:p>
    <w:p w14:paraId="3DD857AD"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17. </w:t>
      </w:r>
      <w:r>
        <w:rPr>
          <w:rFonts w:ascii="Times New Roman" w:hAnsi="Times New Roman"/>
          <w:b/>
        </w:rPr>
        <w:tab/>
        <w:t>IDENTIFIANT UNIQUE - CODE-BARRES 2D</w:t>
      </w:r>
    </w:p>
    <w:p w14:paraId="2FA869B5" w14:textId="77777777" w:rsidR="005B5361" w:rsidRPr="0054432D" w:rsidRDefault="005B5361" w:rsidP="00CB615C">
      <w:pPr>
        <w:widowControl/>
        <w:spacing w:after="0" w:line="240" w:lineRule="auto"/>
        <w:rPr>
          <w:rFonts w:ascii="Times New Roman" w:hAnsi="Times New Roman" w:cs="Times New Roman"/>
        </w:rPr>
      </w:pPr>
    </w:p>
    <w:p w14:paraId="6AEC00C5" w14:textId="77777777" w:rsidR="005B5361" w:rsidRPr="0054432D" w:rsidRDefault="005B5361" w:rsidP="00CB615C">
      <w:pPr>
        <w:widowControl/>
        <w:spacing w:after="0" w:line="240" w:lineRule="auto"/>
        <w:rPr>
          <w:rFonts w:ascii="Times New Roman" w:hAnsi="Times New Roman" w:cs="Times New Roman"/>
        </w:rPr>
      </w:pPr>
    </w:p>
    <w:p w14:paraId="7AE6725C" w14:textId="77777777" w:rsidR="005B5361" w:rsidRPr="005E3FEB" w:rsidRDefault="005B5361"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18. </w:t>
      </w:r>
      <w:r>
        <w:rPr>
          <w:rFonts w:ascii="Times New Roman" w:hAnsi="Times New Roman"/>
          <w:b/>
        </w:rPr>
        <w:tab/>
        <w:t>IDENTIFIANT UNIQUE - DONNÉES LISIBLES PAR LES HUMAINS</w:t>
      </w:r>
    </w:p>
    <w:p w14:paraId="75BE29BB" w14:textId="77777777" w:rsidR="005B5361" w:rsidRPr="0054432D" w:rsidRDefault="005B5361" w:rsidP="00CB615C">
      <w:pPr>
        <w:widowControl/>
        <w:spacing w:after="0" w:line="240" w:lineRule="auto"/>
        <w:rPr>
          <w:rFonts w:ascii="Times New Roman" w:hAnsi="Times New Roman" w:cs="Times New Roman"/>
        </w:rPr>
      </w:pPr>
    </w:p>
    <w:p w14:paraId="1B53E3F2" w14:textId="77777777" w:rsidR="005B5361" w:rsidRDefault="005B5361" w:rsidP="00CB615C">
      <w:pPr>
        <w:widowControl/>
        <w:spacing w:after="0" w:line="240" w:lineRule="auto"/>
        <w:rPr>
          <w:rFonts w:ascii="Times New Roman" w:hAnsi="Times New Roman" w:cs="Times New Roman"/>
        </w:rPr>
      </w:pPr>
    </w:p>
    <w:p w14:paraId="7C5C7BE0" w14:textId="59F667D5" w:rsidR="005B5361" w:rsidRDefault="005B5361" w:rsidP="00CB615C">
      <w:pPr>
        <w:widowControl/>
        <w:rPr>
          <w:rFonts w:ascii="Times New Roman" w:hAnsi="Times New Roman" w:cs="Times New Roman"/>
          <w:b/>
        </w:rPr>
      </w:pPr>
    </w:p>
    <w:p w14:paraId="63FDD30F" w14:textId="032F0283" w:rsidR="00903ED1" w:rsidRDefault="00080994" w:rsidP="00CB615C">
      <w:pPr>
        <w:widowControl/>
        <w:rPr>
          <w:rFonts w:ascii="Times New Roman" w:hAnsi="Times New Roman" w:cs="Times New Roman"/>
          <w:b/>
        </w:rPr>
      </w:pPr>
      <w:r>
        <w:br w:type="page"/>
      </w:r>
    </w:p>
    <w:p w14:paraId="0A0FF8EE" w14:textId="77777777" w:rsidR="005E4F00" w:rsidRPr="00F34D10" w:rsidRDefault="00080994"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lastRenderedPageBreak/>
        <w:t>MENTIONS MINIMALES DEVANT FIGURER SUR LES PLAQUETTES</w:t>
      </w:r>
    </w:p>
    <w:p w14:paraId="21CD6634" w14:textId="77777777" w:rsidR="005E4F00" w:rsidRDefault="005E4F00"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FD6A504" w14:textId="77777777" w:rsidR="005E4F00" w:rsidRPr="00F34D10" w:rsidRDefault="00080994"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t>PLAQUETTE</w:t>
      </w:r>
    </w:p>
    <w:p w14:paraId="48857946" w14:textId="77777777" w:rsidR="005E4F00" w:rsidRDefault="005E4F00" w:rsidP="00CB615C">
      <w:pPr>
        <w:widowControl/>
        <w:spacing w:after="0" w:line="240" w:lineRule="auto"/>
        <w:rPr>
          <w:rFonts w:ascii="Times New Roman" w:hAnsi="Times New Roman" w:cs="Times New Roman"/>
        </w:rPr>
      </w:pPr>
    </w:p>
    <w:p w14:paraId="0CB92692" w14:textId="77777777" w:rsidR="001075B4" w:rsidRDefault="001075B4" w:rsidP="00CB615C">
      <w:pPr>
        <w:widowControl/>
        <w:spacing w:after="0" w:line="240" w:lineRule="auto"/>
        <w:rPr>
          <w:rFonts w:ascii="Times New Roman" w:hAnsi="Times New Roman" w:cs="Times New Roman"/>
        </w:rPr>
      </w:pPr>
    </w:p>
    <w:p w14:paraId="438A3EB5" w14:textId="77777777" w:rsidR="005E4F00" w:rsidRPr="00283649" w:rsidRDefault="00080994" w:rsidP="00CB615C">
      <w:pPr>
        <w:widowControl/>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DÉNOMINATION DU MÉDICAMENT</w:t>
      </w:r>
    </w:p>
    <w:p w14:paraId="29947C26" w14:textId="77777777" w:rsidR="005E4F00" w:rsidRDefault="005E4F00" w:rsidP="00CB615C">
      <w:pPr>
        <w:widowControl/>
        <w:spacing w:after="0" w:line="240" w:lineRule="auto"/>
        <w:rPr>
          <w:rFonts w:ascii="Times New Roman" w:hAnsi="Times New Roman" w:cs="Times New Roman"/>
        </w:rPr>
      </w:pPr>
    </w:p>
    <w:p w14:paraId="406B81D7" w14:textId="71AB51EE" w:rsidR="005E4F00" w:rsidRPr="00824948" w:rsidRDefault="00080994" w:rsidP="00CB615C">
      <w:pPr>
        <w:widowControl/>
        <w:spacing w:after="0" w:line="240" w:lineRule="auto"/>
        <w:rPr>
          <w:rFonts w:ascii="Times New Roman" w:hAnsi="Times New Roman" w:cs="Times New Roman"/>
        </w:rPr>
      </w:pPr>
      <w:proofErr w:type="spellStart"/>
      <w:r w:rsidRPr="00824948">
        <w:rPr>
          <w:rFonts w:ascii="Times New Roman" w:hAnsi="Times New Roman"/>
        </w:rPr>
        <w:t>Fingolimod</w:t>
      </w:r>
      <w:proofErr w:type="spellEnd"/>
      <w:r w:rsidRPr="00824948">
        <w:rPr>
          <w:rFonts w:ascii="Times New Roman" w:hAnsi="Times New Roman"/>
        </w:rPr>
        <w:t xml:space="preserve"> Mylan 0,5 mg, gélule</w:t>
      </w:r>
    </w:p>
    <w:p w14:paraId="7760EC3E" w14:textId="77777777" w:rsidR="005E4F00" w:rsidRPr="00824948" w:rsidRDefault="00080994" w:rsidP="00CB615C">
      <w:pPr>
        <w:widowControl/>
        <w:spacing w:after="0" w:line="240" w:lineRule="auto"/>
        <w:rPr>
          <w:rFonts w:ascii="Times New Roman" w:hAnsi="Times New Roman" w:cs="Times New Roman"/>
        </w:rPr>
      </w:pPr>
      <w:proofErr w:type="spellStart"/>
      <w:proofErr w:type="gramStart"/>
      <w:r w:rsidRPr="00824948">
        <w:rPr>
          <w:rFonts w:ascii="Times New Roman" w:hAnsi="Times New Roman"/>
        </w:rPr>
        <w:t>fingolimod</w:t>
      </w:r>
      <w:proofErr w:type="spellEnd"/>
      <w:proofErr w:type="gramEnd"/>
    </w:p>
    <w:p w14:paraId="5C54103E" w14:textId="77777777" w:rsidR="005E4F00" w:rsidRPr="00824948" w:rsidRDefault="005E4F00" w:rsidP="00CB615C">
      <w:pPr>
        <w:widowControl/>
        <w:spacing w:after="0" w:line="240" w:lineRule="auto"/>
        <w:rPr>
          <w:rFonts w:ascii="Times New Roman" w:hAnsi="Times New Roman" w:cs="Times New Roman"/>
        </w:rPr>
      </w:pPr>
    </w:p>
    <w:p w14:paraId="1FFFEEF8" w14:textId="77777777" w:rsidR="005E4F00" w:rsidRPr="00824948" w:rsidRDefault="005E4F00" w:rsidP="00CB615C">
      <w:pPr>
        <w:widowControl/>
        <w:spacing w:after="0" w:line="240" w:lineRule="auto"/>
        <w:rPr>
          <w:rFonts w:ascii="Times New Roman" w:hAnsi="Times New Roman" w:cs="Times New Roman"/>
        </w:rPr>
      </w:pPr>
    </w:p>
    <w:p w14:paraId="387F6EC5" w14:textId="77777777" w:rsidR="005E4F00" w:rsidRPr="00283649"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948">
        <w:rPr>
          <w:rFonts w:ascii="Times New Roman" w:hAnsi="Times New Roman"/>
          <w:b/>
        </w:rPr>
        <w:t xml:space="preserve">2. </w:t>
      </w:r>
      <w:r w:rsidRPr="00824948">
        <w:rPr>
          <w:rFonts w:ascii="Times New Roman" w:hAnsi="Times New Roman"/>
          <w:b/>
        </w:rPr>
        <w:tab/>
      </w:r>
      <w:r>
        <w:rPr>
          <w:rFonts w:ascii="Times New Roman" w:hAnsi="Times New Roman"/>
          <w:b/>
        </w:rPr>
        <w:t>NOM DU TITULAIRE DE L’AUTORISATION DE MISE SUR LE MARCHÉ</w:t>
      </w:r>
    </w:p>
    <w:p w14:paraId="0BC94AC5" w14:textId="77777777" w:rsidR="005E4F00" w:rsidRDefault="005E4F00" w:rsidP="00CB615C">
      <w:pPr>
        <w:widowControl/>
        <w:spacing w:after="0" w:line="240" w:lineRule="auto"/>
        <w:rPr>
          <w:rFonts w:ascii="Times New Roman" w:hAnsi="Times New Roman" w:cs="Times New Roman"/>
        </w:rPr>
      </w:pPr>
    </w:p>
    <w:p w14:paraId="44461AD1" w14:textId="2A95849E" w:rsidR="005E4F00" w:rsidRPr="007053DA" w:rsidRDefault="00080994" w:rsidP="00CB615C">
      <w:pPr>
        <w:widowControl/>
        <w:spacing w:after="0" w:line="240" w:lineRule="auto"/>
        <w:rPr>
          <w:rFonts w:ascii="Times New Roman" w:hAnsi="Times New Roman" w:cs="Times New Roman"/>
        </w:rPr>
      </w:pPr>
      <w:r>
        <w:rPr>
          <w:rFonts w:ascii="Times New Roman" w:hAnsi="Times New Roman"/>
        </w:rPr>
        <w:t xml:space="preserve">Mylan </w:t>
      </w:r>
      <w:r w:rsidR="00D4439A">
        <w:rPr>
          <w:rFonts w:ascii="Times New Roman" w:hAnsi="Times New Roman"/>
        </w:rPr>
        <w:t>Pharmaceuticals</w:t>
      </w:r>
      <w:r>
        <w:rPr>
          <w:rFonts w:ascii="Times New Roman" w:hAnsi="Times New Roman"/>
        </w:rPr>
        <w:t xml:space="preserve"> Limited</w:t>
      </w:r>
    </w:p>
    <w:p w14:paraId="507FA70E" w14:textId="77777777" w:rsidR="005E4F00" w:rsidRDefault="005E4F00" w:rsidP="00CB615C">
      <w:pPr>
        <w:widowControl/>
        <w:spacing w:after="0" w:line="240" w:lineRule="auto"/>
        <w:rPr>
          <w:rFonts w:ascii="Times New Roman" w:hAnsi="Times New Roman" w:cs="Times New Roman"/>
        </w:rPr>
      </w:pPr>
    </w:p>
    <w:p w14:paraId="4C38A9D7" w14:textId="77777777" w:rsidR="005E4F00" w:rsidRDefault="005E4F00" w:rsidP="00CB615C">
      <w:pPr>
        <w:widowControl/>
        <w:spacing w:after="0" w:line="240" w:lineRule="auto"/>
        <w:rPr>
          <w:rFonts w:ascii="Times New Roman" w:hAnsi="Times New Roman" w:cs="Times New Roman"/>
        </w:rPr>
      </w:pPr>
    </w:p>
    <w:p w14:paraId="34D86A35" w14:textId="77777777" w:rsidR="005E4F00" w:rsidRPr="00283649"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DATE DE PÉREMPTION</w:t>
      </w:r>
    </w:p>
    <w:p w14:paraId="6D6F4992" w14:textId="77777777" w:rsidR="005E4F00" w:rsidRDefault="005E4F00" w:rsidP="00CB615C">
      <w:pPr>
        <w:widowControl/>
        <w:spacing w:after="0" w:line="240" w:lineRule="auto"/>
        <w:rPr>
          <w:rFonts w:ascii="Times New Roman" w:hAnsi="Times New Roman" w:cs="Times New Roman"/>
        </w:rPr>
      </w:pPr>
    </w:p>
    <w:p w14:paraId="61664978" w14:textId="77777777" w:rsidR="005E4F00" w:rsidRPr="00957592" w:rsidRDefault="00080994" w:rsidP="00CB615C">
      <w:pPr>
        <w:widowControl/>
        <w:spacing w:after="0" w:line="240" w:lineRule="auto"/>
        <w:rPr>
          <w:rFonts w:ascii="Times New Roman" w:hAnsi="Times New Roman" w:cs="Times New Roman"/>
          <w:lang w:val="en-US"/>
        </w:rPr>
      </w:pPr>
      <w:r w:rsidRPr="00957592">
        <w:rPr>
          <w:rFonts w:ascii="Times New Roman" w:hAnsi="Times New Roman"/>
          <w:lang w:val="en-US"/>
        </w:rPr>
        <w:t>EXP</w:t>
      </w:r>
    </w:p>
    <w:p w14:paraId="2C1D5BEF" w14:textId="77777777" w:rsidR="005E4F00" w:rsidRPr="00957592" w:rsidRDefault="005E4F00" w:rsidP="00CB615C">
      <w:pPr>
        <w:widowControl/>
        <w:spacing w:after="0" w:line="240" w:lineRule="auto"/>
        <w:rPr>
          <w:rFonts w:ascii="Times New Roman" w:hAnsi="Times New Roman" w:cs="Times New Roman"/>
          <w:lang w:val="en-US"/>
        </w:rPr>
      </w:pPr>
    </w:p>
    <w:p w14:paraId="7D5CA368" w14:textId="77777777" w:rsidR="005E4F00" w:rsidRPr="00957592" w:rsidRDefault="005E4F00" w:rsidP="00CB615C">
      <w:pPr>
        <w:widowControl/>
        <w:spacing w:after="0" w:line="240" w:lineRule="auto"/>
        <w:rPr>
          <w:rFonts w:ascii="Times New Roman" w:hAnsi="Times New Roman" w:cs="Times New Roman"/>
          <w:lang w:val="en-US"/>
        </w:rPr>
      </w:pPr>
    </w:p>
    <w:p w14:paraId="65F5C6D6" w14:textId="77777777" w:rsidR="005E4F00" w:rsidRPr="00957592"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lang w:val="en-US"/>
        </w:rPr>
      </w:pPr>
      <w:r w:rsidRPr="00957592">
        <w:rPr>
          <w:rFonts w:ascii="Times New Roman" w:hAnsi="Times New Roman"/>
          <w:b/>
          <w:lang w:val="en-US"/>
        </w:rPr>
        <w:t xml:space="preserve">4. </w:t>
      </w:r>
      <w:r w:rsidRPr="00957592">
        <w:rPr>
          <w:rFonts w:ascii="Times New Roman" w:hAnsi="Times New Roman"/>
          <w:b/>
          <w:lang w:val="en-US"/>
        </w:rPr>
        <w:tab/>
        <w:t>NUMÉRO DU LOT</w:t>
      </w:r>
    </w:p>
    <w:p w14:paraId="20D9FBE7" w14:textId="77777777" w:rsidR="005E4F00" w:rsidRPr="00957592" w:rsidRDefault="005E4F00" w:rsidP="00CB615C">
      <w:pPr>
        <w:widowControl/>
        <w:spacing w:after="0" w:line="240" w:lineRule="auto"/>
        <w:rPr>
          <w:rFonts w:ascii="Times New Roman" w:hAnsi="Times New Roman" w:cs="Times New Roman"/>
          <w:lang w:val="en-US"/>
        </w:rPr>
      </w:pPr>
    </w:p>
    <w:p w14:paraId="65A17F91" w14:textId="77777777" w:rsidR="005E4F00" w:rsidRPr="00957592" w:rsidRDefault="00080994" w:rsidP="00CB615C">
      <w:pPr>
        <w:widowControl/>
        <w:spacing w:after="0" w:line="240" w:lineRule="auto"/>
        <w:rPr>
          <w:rFonts w:ascii="Times New Roman" w:hAnsi="Times New Roman" w:cs="Times New Roman"/>
          <w:lang w:val="en-US"/>
        </w:rPr>
      </w:pPr>
      <w:r w:rsidRPr="00957592">
        <w:rPr>
          <w:rFonts w:ascii="Times New Roman" w:hAnsi="Times New Roman"/>
          <w:lang w:val="en-US"/>
        </w:rPr>
        <w:t>Lot</w:t>
      </w:r>
    </w:p>
    <w:p w14:paraId="7FA7D5C8" w14:textId="77777777" w:rsidR="005E4F00" w:rsidRPr="00957592" w:rsidRDefault="005E4F00" w:rsidP="00CB615C">
      <w:pPr>
        <w:widowControl/>
        <w:spacing w:after="0" w:line="240" w:lineRule="auto"/>
        <w:rPr>
          <w:rFonts w:ascii="Times New Roman" w:hAnsi="Times New Roman" w:cs="Times New Roman"/>
          <w:lang w:val="en-US"/>
        </w:rPr>
      </w:pPr>
    </w:p>
    <w:p w14:paraId="64C16060" w14:textId="77777777" w:rsidR="005E4F00" w:rsidRPr="00957592" w:rsidRDefault="005E4F00" w:rsidP="00CB615C">
      <w:pPr>
        <w:widowControl/>
        <w:spacing w:after="0" w:line="240" w:lineRule="auto"/>
        <w:rPr>
          <w:rFonts w:ascii="Times New Roman" w:hAnsi="Times New Roman" w:cs="Times New Roman"/>
          <w:lang w:val="en-US"/>
        </w:rPr>
      </w:pPr>
    </w:p>
    <w:p w14:paraId="699B337D" w14:textId="77777777" w:rsidR="005E4F00" w:rsidRPr="00283649"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57592">
        <w:rPr>
          <w:rFonts w:ascii="Times New Roman" w:hAnsi="Times New Roman"/>
          <w:b/>
          <w:lang w:val="en-US"/>
        </w:rPr>
        <w:t xml:space="preserve">5. </w:t>
      </w:r>
      <w:r w:rsidRPr="00957592">
        <w:rPr>
          <w:rFonts w:ascii="Times New Roman" w:hAnsi="Times New Roman"/>
          <w:b/>
          <w:lang w:val="en-US"/>
        </w:rPr>
        <w:tab/>
      </w:r>
      <w:r>
        <w:rPr>
          <w:rFonts w:ascii="Times New Roman" w:hAnsi="Times New Roman"/>
          <w:b/>
        </w:rPr>
        <w:t>AUTRE</w:t>
      </w:r>
    </w:p>
    <w:p w14:paraId="021342D7" w14:textId="77777777" w:rsidR="005E4F00" w:rsidRDefault="005E4F00" w:rsidP="00CB615C">
      <w:pPr>
        <w:widowControl/>
        <w:tabs>
          <w:tab w:val="left" w:pos="0"/>
        </w:tabs>
        <w:spacing w:after="0" w:line="240" w:lineRule="auto"/>
        <w:rPr>
          <w:rFonts w:ascii="Times New Roman" w:eastAsia="Times New Roman" w:hAnsi="Times New Roman" w:cs="Times New Roman"/>
          <w:b/>
        </w:rPr>
      </w:pPr>
    </w:p>
    <w:p w14:paraId="37F7F252" w14:textId="77777777" w:rsidR="005E4F00" w:rsidRPr="00C23A0A" w:rsidRDefault="00080994" w:rsidP="00CB615C">
      <w:pPr>
        <w:widowControl/>
        <w:spacing w:after="0" w:line="240" w:lineRule="auto"/>
        <w:ind w:right="113"/>
        <w:rPr>
          <w:rFonts w:ascii="Times New Roman" w:eastAsia="Times New Roman" w:hAnsi="Times New Roman" w:cs="Times New Roman"/>
          <w:i/>
        </w:rPr>
      </w:pPr>
      <w:r>
        <w:rPr>
          <w:rFonts w:ascii="Times New Roman" w:hAnsi="Times New Roman"/>
          <w:i/>
          <w:highlight w:val="lightGray"/>
        </w:rPr>
        <w:t>[Pour les boîtes calendaires]</w:t>
      </w:r>
    </w:p>
    <w:p w14:paraId="3E1800D1" w14:textId="77777777" w:rsidR="005E4F00" w:rsidRDefault="00080994" w:rsidP="00CB615C">
      <w:pPr>
        <w:widowControl/>
        <w:tabs>
          <w:tab w:val="left" w:pos="0"/>
        </w:tabs>
        <w:spacing w:after="0" w:line="240" w:lineRule="auto"/>
        <w:rPr>
          <w:rFonts w:ascii="Times New Roman" w:eastAsia="Times New Roman" w:hAnsi="Times New Roman" w:cs="Times New Roman"/>
        </w:rPr>
      </w:pPr>
      <w:r>
        <w:rPr>
          <w:rFonts w:ascii="Times New Roman" w:hAnsi="Times New Roman"/>
          <w:highlight w:val="lightGray"/>
        </w:rPr>
        <w:t>DIM→LUN→MAR→MER→JEU→VEN→SAM</w:t>
      </w:r>
    </w:p>
    <w:p w14:paraId="39E43847" w14:textId="77777777" w:rsidR="005E4F00" w:rsidRDefault="00080994" w:rsidP="00CB615C">
      <w:pPr>
        <w:widowControl/>
        <w:rPr>
          <w:rFonts w:ascii="Times New Roman" w:eastAsia="Times New Roman" w:hAnsi="Times New Roman" w:cs="Times New Roman"/>
        </w:rPr>
      </w:pPr>
      <w:r>
        <w:br w:type="page"/>
      </w:r>
    </w:p>
    <w:p w14:paraId="19E3F970" w14:textId="77777777" w:rsidR="00392EEC" w:rsidRPr="00F34D10" w:rsidRDefault="00080994"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lastRenderedPageBreak/>
        <w:t>MENTIONS MINIMALES DEVANT FIGURER SUR LES PLAQUETTES</w:t>
      </w:r>
    </w:p>
    <w:p w14:paraId="59E50D43" w14:textId="77777777" w:rsidR="00392EEC" w:rsidRDefault="00392EEC"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33A996F" w14:textId="77777777" w:rsidR="00392EEC" w:rsidRPr="00F34D10" w:rsidRDefault="00080994"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Pr>
          <w:rFonts w:ascii="Times New Roman" w:hAnsi="Times New Roman"/>
          <w:b/>
        </w:rPr>
        <w:t>PLAQUETTE UNIDOSE</w:t>
      </w:r>
    </w:p>
    <w:p w14:paraId="3A1D05DA" w14:textId="77777777" w:rsidR="00392EEC" w:rsidRDefault="00392EEC" w:rsidP="00CB615C">
      <w:pPr>
        <w:widowControl/>
        <w:spacing w:after="0" w:line="240" w:lineRule="auto"/>
        <w:rPr>
          <w:rFonts w:ascii="Times New Roman" w:hAnsi="Times New Roman" w:cs="Times New Roman"/>
        </w:rPr>
      </w:pPr>
    </w:p>
    <w:p w14:paraId="205A5C09" w14:textId="77777777" w:rsidR="001075B4" w:rsidRDefault="001075B4" w:rsidP="00CB615C">
      <w:pPr>
        <w:widowControl/>
        <w:spacing w:after="0" w:line="240" w:lineRule="auto"/>
        <w:rPr>
          <w:rFonts w:ascii="Times New Roman" w:hAnsi="Times New Roman" w:cs="Times New Roman"/>
        </w:rPr>
      </w:pPr>
    </w:p>
    <w:p w14:paraId="06763D76" w14:textId="77777777" w:rsidR="00392EEC" w:rsidRPr="00C17C4F" w:rsidRDefault="00080994" w:rsidP="00CB615C">
      <w:pPr>
        <w:widowControl/>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DÉNOMINATION DU MÉDICAMENT</w:t>
      </w:r>
    </w:p>
    <w:p w14:paraId="0120935D" w14:textId="77777777" w:rsidR="00392EEC" w:rsidRDefault="00392EEC" w:rsidP="00CB615C">
      <w:pPr>
        <w:widowControl/>
        <w:spacing w:after="0" w:line="240" w:lineRule="auto"/>
        <w:rPr>
          <w:rFonts w:ascii="Times New Roman" w:hAnsi="Times New Roman" w:cs="Times New Roman"/>
        </w:rPr>
      </w:pPr>
    </w:p>
    <w:p w14:paraId="59C212CD" w14:textId="54731557" w:rsidR="00392EEC" w:rsidRPr="00824948" w:rsidRDefault="00080994" w:rsidP="00CB615C">
      <w:pPr>
        <w:widowControl/>
        <w:spacing w:after="0" w:line="240" w:lineRule="auto"/>
        <w:rPr>
          <w:rFonts w:ascii="Times New Roman" w:hAnsi="Times New Roman" w:cs="Times New Roman"/>
        </w:rPr>
      </w:pPr>
      <w:proofErr w:type="spellStart"/>
      <w:r w:rsidRPr="00824948">
        <w:rPr>
          <w:rFonts w:ascii="Times New Roman" w:hAnsi="Times New Roman"/>
        </w:rPr>
        <w:t>Fingolimod</w:t>
      </w:r>
      <w:proofErr w:type="spellEnd"/>
      <w:r w:rsidRPr="00824948">
        <w:rPr>
          <w:rFonts w:ascii="Times New Roman" w:hAnsi="Times New Roman"/>
        </w:rPr>
        <w:t xml:space="preserve"> Mylan 0,5 mg, gélule</w:t>
      </w:r>
    </w:p>
    <w:p w14:paraId="05582F46" w14:textId="77777777" w:rsidR="00392EEC" w:rsidRPr="00824948" w:rsidRDefault="00080994" w:rsidP="00CB615C">
      <w:pPr>
        <w:widowControl/>
        <w:spacing w:after="0" w:line="240" w:lineRule="auto"/>
        <w:rPr>
          <w:rFonts w:ascii="Times New Roman" w:hAnsi="Times New Roman" w:cs="Times New Roman"/>
        </w:rPr>
      </w:pPr>
      <w:proofErr w:type="spellStart"/>
      <w:proofErr w:type="gramStart"/>
      <w:r w:rsidRPr="00824948">
        <w:rPr>
          <w:rFonts w:ascii="Times New Roman" w:hAnsi="Times New Roman"/>
        </w:rPr>
        <w:t>fingolimod</w:t>
      </w:r>
      <w:proofErr w:type="spellEnd"/>
      <w:proofErr w:type="gramEnd"/>
    </w:p>
    <w:p w14:paraId="231A457B" w14:textId="77777777" w:rsidR="00392EEC" w:rsidRPr="00824948" w:rsidRDefault="00392EEC" w:rsidP="00CB615C">
      <w:pPr>
        <w:widowControl/>
        <w:spacing w:after="0" w:line="240" w:lineRule="auto"/>
        <w:rPr>
          <w:rFonts w:ascii="Times New Roman" w:hAnsi="Times New Roman" w:cs="Times New Roman"/>
        </w:rPr>
      </w:pPr>
    </w:p>
    <w:p w14:paraId="41E84A3D" w14:textId="77777777" w:rsidR="00392EEC" w:rsidRPr="00824948" w:rsidRDefault="00392EEC" w:rsidP="00CB615C">
      <w:pPr>
        <w:widowControl/>
        <w:spacing w:after="0" w:line="240" w:lineRule="auto"/>
        <w:rPr>
          <w:rFonts w:ascii="Times New Roman" w:hAnsi="Times New Roman" w:cs="Times New Roman"/>
        </w:rPr>
      </w:pPr>
    </w:p>
    <w:p w14:paraId="0774D5BD"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948">
        <w:rPr>
          <w:rFonts w:ascii="Times New Roman" w:hAnsi="Times New Roman"/>
          <w:b/>
        </w:rPr>
        <w:t xml:space="preserve">2. </w:t>
      </w:r>
      <w:r w:rsidRPr="00824948">
        <w:rPr>
          <w:rFonts w:ascii="Times New Roman" w:hAnsi="Times New Roman"/>
          <w:b/>
        </w:rPr>
        <w:tab/>
      </w:r>
      <w:r>
        <w:rPr>
          <w:rFonts w:ascii="Times New Roman" w:hAnsi="Times New Roman"/>
          <w:b/>
        </w:rPr>
        <w:t>NOM DU TITULAIRE DE L’AUTORISATION DE MISE SUR LE MARCHÉ</w:t>
      </w:r>
    </w:p>
    <w:p w14:paraId="28386364" w14:textId="77777777" w:rsidR="00392EEC" w:rsidRDefault="00392EEC" w:rsidP="00CB615C">
      <w:pPr>
        <w:widowControl/>
        <w:spacing w:after="0" w:line="240" w:lineRule="auto"/>
        <w:rPr>
          <w:rFonts w:ascii="Times New Roman" w:hAnsi="Times New Roman" w:cs="Times New Roman"/>
        </w:rPr>
      </w:pPr>
    </w:p>
    <w:p w14:paraId="1649C1DB" w14:textId="450D6EA6" w:rsidR="00392EEC" w:rsidRPr="007053DA" w:rsidRDefault="00080994" w:rsidP="00CB615C">
      <w:pPr>
        <w:widowControl/>
        <w:spacing w:after="0" w:line="240" w:lineRule="auto"/>
        <w:rPr>
          <w:rFonts w:ascii="Times New Roman" w:hAnsi="Times New Roman" w:cs="Times New Roman"/>
        </w:rPr>
      </w:pPr>
      <w:r>
        <w:rPr>
          <w:rFonts w:ascii="Times New Roman" w:hAnsi="Times New Roman"/>
        </w:rPr>
        <w:t xml:space="preserve">Mylan </w:t>
      </w:r>
      <w:r w:rsidR="00D4439A">
        <w:rPr>
          <w:rFonts w:ascii="Times New Roman" w:hAnsi="Times New Roman"/>
        </w:rPr>
        <w:t>Pharmaceuticals</w:t>
      </w:r>
      <w:r>
        <w:rPr>
          <w:rFonts w:ascii="Times New Roman" w:hAnsi="Times New Roman"/>
        </w:rPr>
        <w:t xml:space="preserve"> Limited</w:t>
      </w:r>
    </w:p>
    <w:p w14:paraId="269EAFD3" w14:textId="77777777" w:rsidR="00392EEC" w:rsidRDefault="00392EEC" w:rsidP="00CB615C">
      <w:pPr>
        <w:widowControl/>
        <w:spacing w:after="0" w:line="240" w:lineRule="auto"/>
        <w:rPr>
          <w:rFonts w:ascii="Times New Roman" w:hAnsi="Times New Roman" w:cs="Times New Roman"/>
        </w:rPr>
      </w:pPr>
    </w:p>
    <w:p w14:paraId="30CBED26" w14:textId="77777777" w:rsidR="00392EEC" w:rsidRDefault="00392EEC" w:rsidP="00CB615C">
      <w:pPr>
        <w:widowControl/>
        <w:spacing w:after="0" w:line="240" w:lineRule="auto"/>
        <w:rPr>
          <w:rFonts w:ascii="Times New Roman" w:hAnsi="Times New Roman" w:cs="Times New Roman"/>
        </w:rPr>
      </w:pPr>
    </w:p>
    <w:p w14:paraId="1A5586D3"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DATE DE PÉREMPTION</w:t>
      </w:r>
    </w:p>
    <w:p w14:paraId="5E221315" w14:textId="77777777" w:rsidR="00392EEC" w:rsidRDefault="00392EEC" w:rsidP="00CB615C">
      <w:pPr>
        <w:widowControl/>
        <w:spacing w:after="0" w:line="240" w:lineRule="auto"/>
        <w:rPr>
          <w:rFonts w:ascii="Times New Roman" w:hAnsi="Times New Roman" w:cs="Times New Roman"/>
        </w:rPr>
      </w:pPr>
    </w:p>
    <w:p w14:paraId="5C4302F0" w14:textId="77777777" w:rsidR="00392EEC" w:rsidRPr="00957592" w:rsidRDefault="00080994" w:rsidP="00CB615C">
      <w:pPr>
        <w:widowControl/>
        <w:spacing w:after="0" w:line="240" w:lineRule="auto"/>
        <w:rPr>
          <w:rFonts w:ascii="Times New Roman" w:hAnsi="Times New Roman" w:cs="Times New Roman"/>
          <w:lang w:val="en-US"/>
        </w:rPr>
      </w:pPr>
      <w:r w:rsidRPr="00957592">
        <w:rPr>
          <w:rFonts w:ascii="Times New Roman" w:hAnsi="Times New Roman"/>
          <w:lang w:val="en-US"/>
        </w:rPr>
        <w:t>EXP</w:t>
      </w:r>
    </w:p>
    <w:p w14:paraId="11D4AA20" w14:textId="77777777" w:rsidR="00392EEC" w:rsidRPr="00957592" w:rsidRDefault="00392EEC" w:rsidP="00CB615C">
      <w:pPr>
        <w:widowControl/>
        <w:spacing w:after="0" w:line="240" w:lineRule="auto"/>
        <w:rPr>
          <w:rFonts w:ascii="Times New Roman" w:hAnsi="Times New Roman" w:cs="Times New Roman"/>
          <w:lang w:val="en-US"/>
        </w:rPr>
      </w:pPr>
    </w:p>
    <w:p w14:paraId="268F478C" w14:textId="77777777" w:rsidR="00392EEC" w:rsidRPr="00957592" w:rsidRDefault="00392EEC" w:rsidP="00CB615C">
      <w:pPr>
        <w:widowControl/>
        <w:spacing w:after="0" w:line="240" w:lineRule="auto"/>
        <w:rPr>
          <w:rFonts w:ascii="Times New Roman" w:hAnsi="Times New Roman" w:cs="Times New Roman"/>
          <w:lang w:val="en-US"/>
        </w:rPr>
      </w:pPr>
    </w:p>
    <w:p w14:paraId="61B888FE" w14:textId="77777777" w:rsidR="00392EEC" w:rsidRPr="00957592"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lang w:val="en-US"/>
        </w:rPr>
      </w:pPr>
      <w:r w:rsidRPr="00957592">
        <w:rPr>
          <w:rFonts w:ascii="Times New Roman" w:hAnsi="Times New Roman"/>
          <w:b/>
          <w:lang w:val="en-US"/>
        </w:rPr>
        <w:t xml:space="preserve">4. </w:t>
      </w:r>
      <w:r w:rsidRPr="00957592">
        <w:rPr>
          <w:rFonts w:ascii="Times New Roman" w:hAnsi="Times New Roman"/>
          <w:b/>
          <w:lang w:val="en-US"/>
        </w:rPr>
        <w:tab/>
        <w:t>NUMÉRO DU LOT</w:t>
      </w:r>
    </w:p>
    <w:p w14:paraId="7F6C6EE2" w14:textId="77777777" w:rsidR="00392EEC" w:rsidRPr="00957592" w:rsidRDefault="00392EEC" w:rsidP="00CB615C">
      <w:pPr>
        <w:widowControl/>
        <w:spacing w:after="0" w:line="240" w:lineRule="auto"/>
        <w:rPr>
          <w:rFonts w:ascii="Times New Roman" w:hAnsi="Times New Roman" w:cs="Times New Roman"/>
          <w:lang w:val="en-US"/>
        </w:rPr>
      </w:pPr>
    </w:p>
    <w:p w14:paraId="7DE6C28B" w14:textId="77777777" w:rsidR="00392EEC" w:rsidRPr="00957592" w:rsidRDefault="00080994" w:rsidP="00CB615C">
      <w:pPr>
        <w:widowControl/>
        <w:spacing w:after="0" w:line="240" w:lineRule="auto"/>
        <w:rPr>
          <w:rFonts w:ascii="Times New Roman" w:hAnsi="Times New Roman" w:cs="Times New Roman"/>
          <w:lang w:val="en-US"/>
        </w:rPr>
      </w:pPr>
      <w:r w:rsidRPr="00957592">
        <w:rPr>
          <w:rFonts w:ascii="Times New Roman" w:hAnsi="Times New Roman"/>
          <w:lang w:val="en-US"/>
        </w:rPr>
        <w:t>Lot</w:t>
      </w:r>
    </w:p>
    <w:p w14:paraId="18C244D0" w14:textId="77777777" w:rsidR="00392EEC" w:rsidRPr="00957592" w:rsidRDefault="00392EEC" w:rsidP="00CB615C">
      <w:pPr>
        <w:widowControl/>
        <w:spacing w:after="0" w:line="240" w:lineRule="auto"/>
        <w:rPr>
          <w:rFonts w:ascii="Times New Roman" w:hAnsi="Times New Roman" w:cs="Times New Roman"/>
          <w:lang w:val="en-US"/>
        </w:rPr>
      </w:pPr>
    </w:p>
    <w:p w14:paraId="6FD68BD8" w14:textId="77777777" w:rsidR="00392EEC" w:rsidRPr="00957592" w:rsidRDefault="00392EEC" w:rsidP="00CB615C">
      <w:pPr>
        <w:widowControl/>
        <w:spacing w:after="0" w:line="240" w:lineRule="auto"/>
        <w:rPr>
          <w:rFonts w:ascii="Times New Roman" w:hAnsi="Times New Roman" w:cs="Times New Roman"/>
          <w:lang w:val="en-US"/>
        </w:rPr>
      </w:pPr>
    </w:p>
    <w:p w14:paraId="14BFC4B9"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957592">
        <w:rPr>
          <w:rFonts w:ascii="Times New Roman" w:hAnsi="Times New Roman"/>
          <w:b/>
          <w:lang w:val="en-US"/>
        </w:rPr>
        <w:t xml:space="preserve">5. </w:t>
      </w:r>
      <w:r w:rsidRPr="00957592">
        <w:rPr>
          <w:rFonts w:ascii="Times New Roman" w:hAnsi="Times New Roman"/>
          <w:b/>
          <w:lang w:val="en-US"/>
        </w:rPr>
        <w:tab/>
      </w:r>
      <w:r>
        <w:rPr>
          <w:rFonts w:ascii="Times New Roman" w:hAnsi="Times New Roman"/>
          <w:b/>
        </w:rPr>
        <w:t>AUTRE</w:t>
      </w:r>
    </w:p>
    <w:p w14:paraId="1BEAAC60" w14:textId="173F1A6D" w:rsidR="00392EEC" w:rsidRDefault="00392EEC" w:rsidP="00CB615C">
      <w:pPr>
        <w:widowControl/>
        <w:tabs>
          <w:tab w:val="left" w:pos="0"/>
        </w:tabs>
        <w:spacing w:after="0" w:line="240" w:lineRule="auto"/>
        <w:rPr>
          <w:rFonts w:ascii="Times New Roman" w:eastAsia="Times New Roman" w:hAnsi="Times New Roman" w:cs="Times New Roman"/>
          <w:b/>
        </w:rPr>
      </w:pPr>
    </w:p>
    <w:p w14:paraId="6AE5772D" w14:textId="6FA6DCC0" w:rsidR="00260A3C" w:rsidRPr="00D33FCD" w:rsidRDefault="00260A3C" w:rsidP="00CB615C">
      <w:pPr>
        <w:widowControl/>
        <w:tabs>
          <w:tab w:val="left" w:pos="0"/>
        </w:tabs>
        <w:spacing w:after="0" w:line="240" w:lineRule="auto"/>
        <w:rPr>
          <w:rFonts w:ascii="Times New Roman" w:eastAsia="Times New Roman" w:hAnsi="Times New Roman" w:cs="Times New Roman"/>
          <w:bCs/>
        </w:rPr>
      </w:pPr>
      <w:r>
        <w:rPr>
          <w:rFonts w:ascii="Times New Roman" w:eastAsia="Times New Roman" w:hAnsi="Times New Roman" w:cs="Times New Roman"/>
          <w:bCs/>
        </w:rPr>
        <w:t>Voie orale.</w:t>
      </w:r>
    </w:p>
    <w:p w14:paraId="14E39713" w14:textId="261700C5" w:rsidR="00392EEC" w:rsidRDefault="00080994" w:rsidP="00CB615C">
      <w:pPr>
        <w:widowControl/>
        <w:rPr>
          <w:rFonts w:ascii="Times New Roman" w:eastAsia="Times New Roman" w:hAnsi="Times New Roman" w:cs="Times New Roman"/>
          <w:b/>
        </w:rPr>
      </w:pPr>
      <w:r>
        <w:br w:type="page"/>
      </w:r>
    </w:p>
    <w:p w14:paraId="37A3CDE7" w14:textId="77777777" w:rsidR="00392EEC" w:rsidRDefault="00080994"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lastRenderedPageBreak/>
        <w:t>MENTIONS DEVANT FIGURER SUR LE CONDITIONNEMENT PRIMAIRE</w:t>
      </w:r>
    </w:p>
    <w:p w14:paraId="221EDDE1" w14:textId="77777777" w:rsidR="00392EEC" w:rsidRDefault="00392EEC"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532B4BE" w14:textId="77777777" w:rsidR="00392EEC" w:rsidRDefault="00080994" w:rsidP="00CB615C">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Pr>
          <w:rFonts w:ascii="Times New Roman" w:hAnsi="Times New Roman"/>
          <w:b/>
        </w:rPr>
        <w:t>FLACON</w:t>
      </w:r>
    </w:p>
    <w:p w14:paraId="554C92BF" w14:textId="77777777" w:rsidR="00392EEC" w:rsidRDefault="00392EEC" w:rsidP="00CB615C">
      <w:pPr>
        <w:widowControl/>
        <w:spacing w:after="0" w:line="240" w:lineRule="auto"/>
        <w:rPr>
          <w:rFonts w:ascii="Times New Roman" w:hAnsi="Times New Roman" w:cs="Times New Roman"/>
        </w:rPr>
      </w:pPr>
    </w:p>
    <w:p w14:paraId="45BEEB00" w14:textId="77777777" w:rsidR="001075B4" w:rsidRDefault="001075B4" w:rsidP="00CB615C">
      <w:pPr>
        <w:widowControl/>
        <w:spacing w:after="0" w:line="240" w:lineRule="auto"/>
        <w:rPr>
          <w:rFonts w:ascii="Times New Roman" w:hAnsi="Times New Roman" w:cs="Times New Roman"/>
        </w:rPr>
      </w:pPr>
    </w:p>
    <w:p w14:paraId="75A68C4A"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 </w:t>
      </w:r>
      <w:r>
        <w:rPr>
          <w:rFonts w:ascii="Times New Roman" w:hAnsi="Times New Roman"/>
          <w:b/>
        </w:rPr>
        <w:tab/>
        <w:t>DÉNOMINATION DU MÉDICAMENT</w:t>
      </w:r>
    </w:p>
    <w:p w14:paraId="1160EA19" w14:textId="77777777" w:rsidR="00392EEC" w:rsidRDefault="00392EEC" w:rsidP="00CB615C">
      <w:pPr>
        <w:widowControl/>
        <w:spacing w:after="0" w:line="240" w:lineRule="auto"/>
        <w:rPr>
          <w:rFonts w:ascii="Times New Roman" w:hAnsi="Times New Roman" w:cs="Times New Roman"/>
        </w:rPr>
      </w:pPr>
    </w:p>
    <w:p w14:paraId="4E017442" w14:textId="77777777" w:rsidR="00392EEC" w:rsidRPr="00824948" w:rsidRDefault="00080994" w:rsidP="00CB615C">
      <w:pPr>
        <w:widowControl/>
        <w:spacing w:after="0" w:line="240" w:lineRule="auto"/>
        <w:rPr>
          <w:rFonts w:ascii="Times New Roman" w:hAnsi="Times New Roman" w:cs="Times New Roman"/>
        </w:rPr>
      </w:pPr>
      <w:proofErr w:type="spellStart"/>
      <w:r w:rsidRPr="00824948">
        <w:rPr>
          <w:rFonts w:ascii="Times New Roman" w:hAnsi="Times New Roman"/>
        </w:rPr>
        <w:t>Fingolimod</w:t>
      </w:r>
      <w:proofErr w:type="spellEnd"/>
      <w:r w:rsidRPr="00824948">
        <w:rPr>
          <w:rFonts w:ascii="Times New Roman" w:hAnsi="Times New Roman"/>
        </w:rPr>
        <w:t xml:space="preserve"> Mylan 0,5 mg, gélule</w:t>
      </w:r>
    </w:p>
    <w:p w14:paraId="28D5E424" w14:textId="77777777" w:rsidR="00392EEC" w:rsidRPr="00824948" w:rsidRDefault="00080994" w:rsidP="00CB615C">
      <w:pPr>
        <w:widowControl/>
        <w:spacing w:after="0" w:line="240" w:lineRule="auto"/>
        <w:rPr>
          <w:rFonts w:ascii="Times New Roman" w:hAnsi="Times New Roman" w:cs="Times New Roman"/>
        </w:rPr>
      </w:pPr>
      <w:proofErr w:type="spellStart"/>
      <w:proofErr w:type="gramStart"/>
      <w:r w:rsidRPr="00824948">
        <w:rPr>
          <w:rFonts w:ascii="Times New Roman" w:hAnsi="Times New Roman"/>
        </w:rPr>
        <w:t>fingolimod</w:t>
      </w:r>
      <w:proofErr w:type="spellEnd"/>
      <w:proofErr w:type="gramEnd"/>
    </w:p>
    <w:p w14:paraId="309DFC97" w14:textId="77777777" w:rsidR="00392EEC" w:rsidRPr="00824948" w:rsidRDefault="00392EEC" w:rsidP="00CB615C">
      <w:pPr>
        <w:widowControl/>
        <w:spacing w:after="0" w:line="240" w:lineRule="auto"/>
        <w:rPr>
          <w:rFonts w:ascii="Times New Roman" w:hAnsi="Times New Roman" w:cs="Times New Roman"/>
        </w:rPr>
      </w:pPr>
    </w:p>
    <w:p w14:paraId="37EFF995" w14:textId="77777777" w:rsidR="00392EEC" w:rsidRPr="00824948" w:rsidRDefault="00392EEC" w:rsidP="00CB615C">
      <w:pPr>
        <w:widowControl/>
        <w:spacing w:after="0" w:line="240" w:lineRule="auto"/>
        <w:rPr>
          <w:rFonts w:ascii="Times New Roman" w:hAnsi="Times New Roman" w:cs="Times New Roman"/>
        </w:rPr>
      </w:pPr>
    </w:p>
    <w:p w14:paraId="0C46A2F9"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824948">
        <w:rPr>
          <w:rFonts w:ascii="Times New Roman" w:hAnsi="Times New Roman"/>
          <w:b/>
        </w:rPr>
        <w:t xml:space="preserve">2. </w:t>
      </w:r>
      <w:r w:rsidRPr="00824948">
        <w:rPr>
          <w:rFonts w:ascii="Times New Roman" w:hAnsi="Times New Roman"/>
          <w:b/>
        </w:rPr>
        <w:tab/>
      </w:r>
      <w:r>
        <w:rPr>
          <w:rFonts w:ascii="Times New Roman" w:hAnsi="Times New Roman"/>
          <w:b/>
        </w:rPr>
        <w:t>COMPOSITION EN SUBSTANCE(S) ACTIVE(S)</w:t>
      </w:r>
    </w:p>
    <w:p w14:paraId="0CE6D5C5" w14:textId="77777777" w:rsidR="00392EEC" w:rsidRDefault="00392EEC" w:rsidP="00CB615C">
      <w:pPr>
        <w:widowControl/>
        <w:spacing w:after="0" w:line="240" w:lineRule="auto"/>
        <w:rPr>
          <w:rFonts w:ascii="Times New Roman" w:hAnsi="Times New Roman" w:cs="Times New Roman"/>
        </w:rPr>
      </w:pPr>
    </w:p>
    <w:p w14:paraId="0EA39999" w14:textId="77777777" w:rsidR="00392EEC" w:rsidRDefault="00080994" w:rsidP="00CB615C">
      <w:pPr>
        <w:widowControl/>
        <w:spacing w:after="0" w:line="240" w:lineRule="auto"/>
        <w:rPr>
          <w:rFonts w:ascii="Times New Roman" w:hAnsi="Times New Roman" w:cs="Times New Roman"/>
        </w:rPr>
      </w:pPr>
      <w:r>
        <w:rPr>
          <w:rFonts w:ascii="Times New Roman" w:hAnsi="Times New Roman"/>
        </w:rPr>
        <w:t xml:space="preserve">Chaque gélule contient 0,5 mg de </w:t>
      </w:r>
      <w:proofErr w:type="spellStart"/>
      <w:r>
        <w:rPr>
          <w:rFonts w:ascii="Times New Roman" w:hAnsi="Times New Roman"/>
        </w:rPr>
        <w:t>fingolimod</w:t>
      </w:r>
      <w:proofErr w:type="spellEnd"/>
      <w:r>
        <w:rPr>
          <w:rFonts w:ascii="Times New Roman" w:hAnsi="Times New Roman"/>
        </w:rPr>
        <w:t xml:space="preserve"> (sous forme de chlorhydrate).</w:t>
      </w:r>
    </w:p>
    <w:p w14:paraId="35482A72" w14:textId="77777777" w:rsidR="00392EEC" w:rsidRDefault="00392EEC" w:rsidP="00CB615C">
      <w:pPr>
        <w:widowControl/>
        <w:spacing w:after="0" w:line="240" w:lineRule="auto"/>
        <w:rPr>
          <w:rFonts w:ascii="Times New Roman" w:hAnsi="Times New Roman" w:cs="Times New Roman"/>
        </w:rPr>
      </w:pPr>
    </w:p>
    <w:p w14:paraId="2C91232B" w14:textId="77777777" w:rsidR="00392EEC" w:rsidRDefault="00392EEC" w:rsidP="00CB615C">
      <w:pPr>
        <w:widowControl/>
        <w:spacing w:after="0" w:line="240" w:lineRule="auto"/>
        <w:rPr>
          <w:rFonts w:ascii="Times New Roman" w:hAnsi="Times New Roman" w:cs="Times New Roman"/>
        </w:rPr>
      </w:pPr>
    </w:p>
    <w:p w14:paraId="56FEF499"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3. </w:t>
      </w:r>
      <w:r>
        <w:rPr>
          <w:rFonts w:ascii="Times New Roman" w:hAnsi="Times New Roman"/>
          <w:b/>
        </w:rPr>
        <w:tab/>
        <w:t>LISTE DES EXCIPIENTS</w:t>
      </w:r>
    </w:p>
    <w:p w14:paraId="0DFA7278" w14:textId="77777777" w:rsidR="00392EEC" w:rsidRDefault="00392EEC" w:rsidP="00CB615C">
      <w:pPr>
        <w:widowControl/>
        <w:spacing w:after="0" w:line="240" w:lineRule="auto"/>
        <w:rPr>
          <w:rFonts w:ascii="Times New Roman" w:hAnsi="Times New Roman" w:cs="Times New Roman"/>
        </w:rPr>
      </w:pPr>
    </w:p>
    <w:p w14:paraId="5C0613C0" w14:textId="77777777" w:rsidR="00392EEC" w:rsidRDefault="00392EEC" w:rsidP="00CB615C">
      <w:pPr>
        <w:widowControl/>
        <w:spacing w:after="0" w:line="240" w:lineRule="auto"/>
        <w:rPr>
          <w:rFonts w:ascii="Times New Roman" w:hAnsi="Times New Roman" w:cs="Times New Roman"/>
        </w:rPr>
      </w:pPr>
    </w:p>
    <w:p w14:paraId="70308264"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4. </w:t>
      </w:r>
      <w:r>
        <w:rPr>
          <w:rFonts w:ascii="Times New Roman" w:hAnsi="Times New Roman"/>
          <w:b/>
        </w:rPr>
        <w:tab/>
        <w:t>FORME PHARMACEUTIQUE ET CONTENU</w:t>
      </w:r>
    </w:p>
    <w:p w14:paraId="100727C6" w14:textId="77777777" w:rsidR="00392EEC" w:rsidRDefault="00392EEC" w:rsidP="00CB615C">
      <w:pPr>
        <w:widowControl/>
        <w:spacing w:after="0" w:line="240" w:lineRule="auto"/>
        <w:rPr>
          <w:rFonts w:ascii="Times New Roman" w:hAnsi="Times New Roman" w:cs="Times New Roman"/>
        </w:rPr>
      </w:pPr>
    </w:p>
    <w:p w14:paraId="7D8D8AB4" w14:textId="77777777" w:rsidR="00392EEC" w:rsidRDefault="00080994" w:rsidP="00CB615C">
      <w:pPr>
        <w:widowControl/>
        <w:spacing w:after="0" w:line="240" w:lineRule="auto"/>
        <w:rPr>
          <w:rFonts w:ascii="Times New Roman" w:hAnsi="Times New Roman" w:cs="Times New Roman"/>
        </w:rPr>
      </w:pPr>
      <w:r>
        <w:rPr>
          <w:rFonts w:ascii="Times New Roman" w:hAnsi="Times New Roman"/>
          <w:highlight w:val="lightGray"/>
        </w:rPr>
        <w:t>Gélule</w:t>
      </w:r>
    </w:p>
    <w:p w14:paraId="3A0F08F0" w14:textId="77777777" w:rsidR="00392EEC" w:rsidRDefault="00392EEC" w:rsidP="00CB615C">
      <w:pPr>
        <w:widowControl/>
        <w:spacing w:after="0" w:line="240" w:lineRule="auto"/>
        <w:rPr>
          <w:rFonts w:ascii="Times New Roman" w:hAnsi="Times New Roman" w:cs="Times New Roman"/>
        </w:rPr>
      </w:pPr>
    </w:p>
    <w:p w14:paraId="6DD6A83D" w14:textId="77777777" w:rsidR="00392EEC" w:rsidRDefault="00080994" w:rsidP="00CB615C">
      <w:pPr>
        <w:widowControl/>
        <w:spacing w:after="0" w:line="240" w:lineRule="auto"/>
        <w:rPr>
          <w:rFonts w:ascii="Times New Roman" w:hAnsi="Times New Roman" w:cs="Times New Roman"/>
        </w:rPr>
      </w:pPr>
      <w:r>
        <w:rPr>
          <w:rFonts w:ascii="Times New Roman" w:hAnsi="Times New Roman"/>
        </w:rPr>
        <w:t>90</w:t>
      </w:r>
      <w:r>
        <w:t> </w:t>
      </w:r>
      <w:r>
        <w:rPr>
          <w:rFonts w:ascii="Times New Roman" w:hAnsi="Times New Roman"/>
        </w:rPr>
        <w:t>gélules</w:t>
      </w:r>
    </w:p>
    <w:p w14:paraId="5F01302F" w14:textId="77777777" w:rsidR="00392EEC" w:rsidRDefault="00080994" w:rsidP="00CB615C">
      <w:pPr>
        <w:widowControl/>
        <w:spacing w:after="0" w:line="240" w:lineRule="auto"/>
        <w:rPr>
          <w:rFonts w:ascii="Times New Roman" w:hAnsi="Times New Roman" w:cs="Times New Roman"/>
        </w:rPr>
      </w:pPr>
      <w:r>
        <w:rPr>
          <w:rFonts w:ascii="Times New Roman" w:hAnsi="Times New Roman"/>
          <w:highlight w:val="lightGray"/>
        </w:rPr>
        <w:t>100</w:t>
      </w:r>
      <w:r>
        <w:rPr>
          <w:highlight w:val="lightGray"/>
        </w:rPr>
        <w:t> </w:t>
      </w:r>
      <w:r>
        <w:rPr>
          <w:rFonts w:ascii="Times New Roman" w:hAnsi="Times New Roman"/>
          <w:highlight w:val="lightGray"/>
        </w:rPr>
        <w:t>gélules</w:t>
      </w:r>
    </w:p>
    <w:p w14:paraId="4BA25703" w14:textId="77777777" w:rsidR="00392EEC" w:rsidRDefault="00392EEC" w:rsidP="00CB615C">
      <w:pPr>
        <w:widowControl/>
        <w:spacing w:after="0" w:line="240" w:lineRule="auto"/>
        <w:rPr>
          <w:rFonts w:ascii="Times New Roman" w:hAnsi="Times New Roman" w:cs="Times New Roman"/>
        </w:rPr>
      </w:pPr>
    </w:p>
    <w:p w14:paraId="2DF0E30F" w14:textId="77777777" w:rsidR="00392EEC" w:rsidRDefault="00392EEC" w:rsidP="00CB615C">
      <w:pPr>
        <w:widowControl/>
        <w:spacing w:after="0" w:line="240" w:lineRule="auto"/>
        <w:rPr>
          <w:rFonts w:ascii="Times New Roman" w:hAnsi="Times New Roman" w:cs="Times New Roman"/>
        </w:rPr>
      </w:pPr>
    </w:p>
    <w:p w14:paraId="0D438F8B"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5. </w:t>
      </w:r>
      <w:r>
        <w:rPr>
          <w:rFonts w:ascii="Times New Roman" w:hAnsi="Times New Roman"/>
          <w:b/>
        </w:rPr>
        <w:tab/>
        <w:t>MODE ET VOIE(S) D’ADMINISTRATION</w:t>
      </w:r>
    </w:p>
    <w:p w14:paraId="73E679D8" w14:textId="77777777" w:rsidR="00392EEC" w:rsidRDefault="00392EEC" w:rsidP="00CB615C">
      <w:pPr>
        <w:widowControl/>
        <w:spacing w:after="0" w:line="240" w:lineRule="auto"/>
        <w:rPr>
          <w:rFonts w:ascii="Times New Roman" w:hAnsi="Times New Roman" w:cs="Times New Roman"/>
        </w:rPr>
      </w:pPr>
    </w:p>
    <w:p w14:paraId="6BDD5611" w14:textId="77777777" w:rsidR="00392EEC" w:rsidRDefault="00080994" w:rsidP="00CB615C">
      <w:pPr>
        <w:widowControl/>
        <w:spacing w:after="0" w:line="240" w:lineRule="auto"/>
        <w:rPr>
          <w:rFonts w:ascii="Times New Roman" w:hAnsi="Times New Roman" w:cs="Times New Roman"/>
        </w:rPr>
      </w:pPr>
      <w:r>
        <w:rPr>
          <w:rFonts w:ascii="Times New Roman" w:hAnsi="Times New Roman"/>
        </w:rPr>
        <w:t>Lire la notice avant utilisation.</w:t>
      </w:r>
    </w:p>
    <w:p w14:paraId="253BBB18" w14:textId="5E068A70" w:rsidR="00392EEC" w:rsidRDefault="00080994" w:rsidP="00CB615C">
      <w:pPr>
        <w:widowControl/>
        <w:spacing w:after="0" w:line="240" w:lineRule="auto"/>
        <w:rPr>
          <w:rFonts w:ascii="Times New Roman" w:hAnsi="Times New Roman" w:cs="Times New Roman"/>
        </w:rPr>
      </w:pPr>
      <w:r>
        <w:rPr>
          <w:rFonts w:ascii="Times New Roman" w:hAnsi="Times New Roman"/>
        </w:rPr>
        <w:t>Voie orale.</w:t>
      </w:r>
    </w:p>
    <w:p w14:paraId="7F85575D" w14:textId="77777777" w:rsidR="00392EEC" w:rsidRDefault="00080994" w:rsidP="00CB615C">
      <w:pPr>
        <w:widowControl/>
        <w:spacing w:after="0" w:line="240" w:lineRule="auto"/>
        <w:rPr>
          <w:rFonts w:ascii="Times New Roman" w:hAnsi="Times New Roman" w:cs="Times New Roman"/>
        </w:rPr>
      </w:pPr>
      <w:r>
        <w:rPr>
          <w:rFonts w:ascii="Times New Roman" w:hAnsi="Times New Roman"/>
        </w:rPr>
        <w:t>Avaler chaque gélule entière.</w:t>
      </w:r>
    </w:p>
    <w:p w14:paraId="39758E36" w14:textId="77777777" w:rsidR="00392EEC" w:rsidRDefault="00392EEC" w:rsidP="00CB615C">
      <w:pPr>
        <w:widowControl/>
        <w:spacing w:after="0" w:line="240" w:lineRule="auto"/>
        <w:rPr>
          <w:rFonts w:ascii="Times New Roman" w:hAnsi="Times New Roman" w:cs="Times New Roman"/>
        </w:rPr>
      </w:pPr>
    </w:p>
    <w:p w14:paraId="6DDD782B" w14:textId="77777777" w:rsidR="00392EEC" w:rsidRDefault="00392EEC" w:rsidP="00CB615C">
      <w:pPr>
        <w:widowControl/>
        <w:spacing w:after="0" w:line="240" w:lineRule="auto"/>
        <w:rPr>
          <w:rFonts w:ascii="Times New Roman" w:hAnsi="Times New Roman" w:cs="Times New Roman"/>
        </w:rPr>
      </w:pPr>
    </w:p>
    <w:p w14:paraId="6457FF8E"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t xml:space="preserve">6. </w:t>
      </w:r>
      <w:r>
        <w:rPr>
          <w:rFonts w:ascii="Times New Roman" w:hAnsi="Times New Roman"/>
          <w:b/>
        </w:rPr>
        <w:tab/>
        <w:t>MISE EN GARDE SPÉCIALE INDIQUANT QUE LE MÉDICAMENT DOIT ÊTRE CONSERVÉ HORS DE VUE ET DE PORTÉE DES ENFANTS</w:t>
      </w:r>
    </w:p>
    <w:p w14:paraId="1EF3E732" w14:textId="77777777" w:rsidR="00392EEC" w:rsidRDefault="00392EEC" w:rsidP="00CB615C">
      <w:pPr>
        <w:widowControl/>
        <w:spacing w:after="0" w:line="240" w:lineRule="auto"/>
        <w:rPr>
          <w:rFonts w:ascii="Times New Roman" w:hAnsi="Times New Roman" w:cs="Times New Roman"/>
        </w:rPr>
      </w:pPr>
    </w:p>
    <w:p w14:paraId="0DF91F44" w14:textId="77777777" w:rsidR="00392EEC" w:rsidRDefault="00080994" w:rsidP="00CB615C">
      <w:pPr>
        <w:widowControl/>
        <w:spacing w:after="0" w:line="240" w:lineRule="auto"/>
        <w:rPr>
          <w:rFonts w:ascii="Times New Roman" w:hAnsi="Times New Roman" w:cs="Times New Roman"/>
        </w:rPr>
      </w:pPr>
      <w:r>
        <w:rPr>
          <w:rFonts w:ascii="Times New Roman" w:hAnsi="Times New Roman"/>
        </w:rPr>
        <w:t>Tenir hors de la vue et de la portée des enfants.</w:t>
      </w:r>
    </w:p>
    <w:p w14:paraId="29312CBA" w14:textId="77777777" w:rsidR="00392EEC" w:rsidRDefault="00392EEC" w:rsidP="00CB615C">
      <w:pPr>
        <w:widowControl/>
        <w:spacing w:after="0" w:line="240" w:lineRule="auto"/>
        <w:rPr>
          <w:rFonts w:ascii="Times New Roman" w:hAnsi="Times New Roman" w:cs="Times New Roman"/>
        </w:rPr>
      </w:pPr>
    </w:p>
    <w:p w14:paraId="5E8D97D0" w14:textId="77777777" w:rsidR="00392EEC" w:rsidRDefault="00392EEC" w:rsidP="00CB615C">
      <w:pPr>
        <w:widowControl/>
        <w:spacing w:after="0" w:line="240" w:lineRule="auto"/>
        <w:rPr>
          <w:rFonts w:ascii="Times New Roman" w:hAnsi="Times New Roman" w:cs="Times New Roman"/>
        </w:rPr>
      </w:pPr>
    </w:p>
    <w:p w14:paraId="7905E1E6"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7. </w:t>
      </w:r>
      <w:r>
        <w:rPr>
          <w:rFonts w:ascii="Times New Roman" w:hAnsi="Times New Roman"/>
          <w:b/>
        </w:rPr>
        <w:tab/>
        <w:t>AUTRE(S) MISE(S) EN GARDE SPÉCIALE(S), SI NÉCESSAIRE</w:t>
      </w:r>
    </w:p>
    <w:p w14:paraId="71B81E80" w14:textId="77777777" w:rsidR="00392EEC" w:rsidRDefault="00392EEC" w:rsidP="00CB615C">
      <w:pPr>
        <w:widowControl/>
        <w:spacing w:after="0" w:line="240" w:lineRule="auto"/>
        <w:rPr>
          <w:rFonts w:ascii="Times New Roman" w:hAnsi="Times New Roman" w:cs="Times New Roman"/>
        </w:rPr>
      </w:pPr>
    </w:p>
    <w:p w14:paraId="3F770EB5" w14:textId="77777777" w:rsidR="00392EEC" w:rsidRDefault="00392EEC" w:rsidP="00CB615C">
      <w:pPr>
        <w:widowControl/>
        <w:spacing w:after="0" w:line="240" w:lineRule="auto"/>
        <w:rPr>
          <w:rFonts w:ascii="Times New Roman" w:hAnsi="Times New Roman" w:cs="Times New Roman"/>
        </w:rPr>
      </w:pPr>
    </w:p>
    <w:p w14:paraId="557C197C"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8. </w:t>
      </w:r>
      <w:r>
        <w:rPr>
          <w:rFonts w:ascii="Times New Roman" w:hAnsi="Times New Roman"/>
          <w:b/>
        </w:rPr>
        <w:tab/>
        <w:t>DATE DE PÉREMPTION</w:t>
      </w:r>
    </w:p>
    <w:p w14:paraId="14EA7AD3" w14:textId="77777777" w:rsidR="00392EEC" w:rsidRDefault="00392EEC" w:rsidP="00CB615C">
      <w:pPr>
        <w:widowControl/>
        <w:spacing w:after="0" w:line="240" w:lineRule="auto"/>
        <w:rPr>
          <w:rFonts w:ascii="Times New Roman" w:hAnsi="Times New Roman" w:cs="Times New Roman"/>
        </w:rPr>
      </w:pPr>
    </w:p>
    <w:p w14:paraId="02769CCA" w14:textId="77777777" w:rsidR="00392EEC" w:rsidRDefault="00080994" w:rsidP="00CB615C">
      <w:pPr>
        <w:widowControl/>
        <w:spacing w:after="0" w:line="240" w:lineRule="auto"/>
        <w:rPr>
          <w:rFonts w:ascii="Times New Roman" w:hAnsi="Times New Roman" w:cs="Times New Roman"/>
        </w:rPr>
      </w:pPr>
      <w:r>
        <w:rPr>
          <w:rFonts w:ascii="Times New Roman" w:hAnsi="Times New Roman"/>
        </w:rPr>
        <w:t>EXP</w:t>
      </w:r>
    </w:p>
    <w:p w14:paraId="1B69A456" w14:textId="77777777" w:rsidR="00392EEC" w:rsidRDefault="00392EEC" w:rsidP="00CB615C">
      <w:pPr>
        <w:widowControl/>
        <w:spacing w:after="0" w:line="240" w:lineRule="auto"/>
        <w:rPr>
          <w:rFonts w:ascii="Times New Roman" w:hAnsi="Times New Roman" w:cs="Times New Roman"/>
        </w:rPr>
      </w:pPr>
    </w:p>
    <w:p w14:paraId="3ED23E80" w14:textId="77777777" w:rsidR="00392EEC" w:rsidRDefault="00392EEC" w:rsidP="00CB615C">
      <w:pPr>
        <w:widowControl/>
        <w:spacing w:after="0" w:line="240" w:lineRule="auto"/>
        <w:rPr>
          <w:rFonts w:ascii="Times New Roman" w:hAnsi="Times New Roman" w:cs="Times New Roman"/>
        </w:rPr>
      </w:pPr>
    </w:p>
    <w:p w14:paraId="22B49B61"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9. </w:t>
      </w:r>
      <w:r>
        <w:rPr>
          <w:rFonts w:ascii="Times New Roman" w:hAnsi="Times New Roman"/>
          <w:b/>
        </w:rPr>
        <w:tab/>
        <w:t>PRÉCAUTIONS PARTICULIÈRES DE CONSERVATION</w:t>
      </w:r>
    </w:p>
    <w:p w14:paraId="05B99AC7" w14:textId="77777777" w:rsidR="00392EEC" w:rsidRPr="00DF15C7" w:rsidRDefault="00392EEC" w:rsidP="00CB615C">
      <w:pPr>
        <w:widowControl/>
        <w:spacing w:after="0" w:line="240" w:lineRule="auto"/>
        <w:rPr>
          <w:rFonts w:ascii="Times New Roman" w:hAnsi="Times New Roman" w:cs="Times New Roman"/>
          <w:u w:val="single"/>
        </w:rPr>
      </w:pPr>
    </w:p>
    <w:p w14:paraId="3C738329" w14:textId="1E38B6AD" w:rsidR="00392EEC" w:rsidRPr="00DC694D" w:rsidRDefault="00CC0570" w:rsidP="00CB615C">
      <w:pPr>
        <w:widowControl/>
        <w:spacing w:after="0" w:line="240" w:lineRule="auto"/>
        <w:rPr>
          <w:rFonts w:ascii="Times New Roman" w:hAnsi="Times New Roman" w:cs="Times New Roman"/>
        </w:rPr>
      </w:pPr>
      <w:r w:rsidRPr="00CC0570">
        <w:rPr>
          <w:rFonts w:ascii="Times New Roman" w:hAnsi="Times New Roman"/>
        </w:rPr>
        <w:t>A</w:t>
      </w:r>
      <w:r w:rsidR="00080994">
        <w:rPr>
          <w:rFonts w:ascii="Times New Roman" w:hAnsi="Times New Roman"/>
        </w:rPr>
        <w:t xml:space="preserve"> conserver à une température ne dépassant pas 25 °C.</w:t>
      </w:r>
    </w:p>
    <w:p w14:paraId="367B7E95" w14:textId="31642483" w:rsidR="00392EEC" w:rsidRDefault="00CC0570" w:rsidP="00CB615C">
      <w:pPr>
        <w:widowControl/>
        <w:spacing w:after="0" w:line="240" w:lineRule="auto"/>
        <w:rPr>
          <w:rFonts w:ascii="Times New Roman" w:hAnsi="Times New Roman" w:cs="Times New Roman"/>
        </w:rPr>
      </w:pPr>
      <w:r w:rsidRPr="00CC0570">
        <w:rPr>
          <w:rFonts w:ascii="Times New Roman" w:hAnsi="Times New Roman"/>
        </w:rPr>
        <w:t>A</w:t>
      </w:r>
      <w:r w:rsidR="00080994">
        <w:rPr>
          <w:rFonts w:ascii="Times New Roman" w:hAnsi="Times New Roman"/>
        </w:rPr>
        <w:t xml:space="preserve"> conserver dans l’emballage d’origine à l’abri de l’humidité.</w:t>
      </w:r>
    </w:p>
    <w:p w14:paraId="3AB3E6EE" w14:textId="77777777" w:rsidR="00392EEC" w:rsidRDefault="00392EEC" w:rsidP="00CB615C">
      <w:pPr>
        <w:widowControl/>
        <w:spacing w:after="0" w:line="240" w:lineRule="auto"/>
        <w:rPr>
          <w:rFonts w:ascii="Times New Roman" w:hAnsi="Times New Roman" w:cs="Times New Roman"/>
          <w:highlight w:val="lightGray"/>
        </w:rPr>
      </w:pPr>
    </w:p>
    <w:p w14:paraId="22AF1945" w14:textId="77777777" w:rsidR="00392EEC" w:rsidRDefault="00392EEC" w:rsidP="00CB615C">
      <w:pPr>
        <w:widowControl/>
        <w:spacing w:after="0" w:line="240" w:lineRule="auto"/>
        <w:rPr>
          <w:rFonts w:ascii="Times New Roman" w:hAnsi="Times New Roman" w:cs="Times New Roman"/>
        </w:rPr>
      </w:pPr>
    </w:p>
    <w:p w14:paraId="3269399E" w14:textId="77777777" w:rsidR="00392EEC" w:rsidRPr="00C17C4F" w:rsidRDefault="00080994" w:rsidP="00CB615C">
      <w:pPr>
        <w:keepNext/>
        <w:keepLines/>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Pr>
          <w:rFonts w:ascii="Times New Roman" w:hAnsi="Times New Roman"/>
          <w:b/>
        </w:rPr>
        <w:lastRenderedPageBreak/>
        <w:t xml:space="preserve">10. </w:t>
      </w:r>
      <w:r>
        <w:rPr>
          <w:rFonts w:ascii="Times New Roman" w:hAnsi="Times New Roman"/>
          <w:b/>
        </w:rPr>
        <w:tab/>
        <w:t>PRÉCAUTIONS PARTICULIÈRES D’ÉLIMINATION DES MÉDICAMENTS NON UTILISÉS OU DES DÉCHETS PROVENANT DE CES MÉDICAMENTS S’IL Y A LIEU</w:t>
      </w:r>
    </w:p>
    <w:p w14:paraId="09D43C2B" w14:textId="77777777" w:rsidR="00392EEC" w:rsidRDefault="00392EEC" w:rsidP="00CB615C">
      <w:pPr>
        <w:widowControl/>
        <w:spacing w:after="0" w:line="240" w:lineRule="auto"/>
        <w:rPr>
          <w:rFonts w:ascii="Times New Roman" w:hAnsi="Times New Roman" w:cs="Times New Roman"/>
        </w:rPr>
      </w:pPr>
    </w:p>
    <w:p w14:paraId="2E14E1F6" w14:textId="77777777" w:rsidR="00392EEC" w:rsidRDefault="00392EEC" w:rsidP="00CB615C">
      <w:pPr>
        <w:widowControl/>
        <w:spacing w:after="0" w:line="240" w:lineRule="auto"/>
        <w:rPr>
          <w:rFonts w:ascii="Times New Roman" w:hAnsi="Times New Roman" w:cs="Times New Roman"/>
        </w:rPr>
      </w:pPr>
    </w:p>
    <w:p w14:paraId="722D77E0" w14:textId="77777777" w:rsidR="00392EEC" w:rsidRPr="00C17C4F" w:rsidRDefault="00080994" w:rsidP="000C1E72">
      <w:pPr>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Pr>
          <w:rFonts w:ascii="Times New Roman" w:hAnsi="Times New Roman"/>
          <w:b/>
        </w:rPr>
        <w:t xml:space="preserve">11. </w:t>
      </w:r>
      <w:r>
        <w:rPr>
          <w:rFonts w:ascii="Times New Roman" w:hAnsi="Times New Roman"/>
          <w:b/>
        </w:rPr>
        <w:tab/>
        <w:t>NOM ET ADRESSE DU TITULAIRE DE L’AUTORISATION DE MISE SUR LE MARCHÉ</w:t>
      </w:r>
    </w:p>
    <w:p w14:paraId="555CC096" w14:textId="77777777" w:rsidR="00392EEC" w:rsidRDefault="00392EEC" w:rsidP="00CB615C">
      <w:pPr>
        <w:widowControl/>
        <w:spacing w:after="0" w:line="240" w:lineRule="auto"/>
        <w:rPr>
          <w:rFonts w:ascii="Times New Roman" w:hAnsi="Times New Roman" w:cs="Times New Roman"/>
        </w:rPr>
      </w:pPr>
    </w:p>
    <w:p w14:paraId="52FAF41D" w14:textId="2F5ABA8F" w:rsidR="00101097" w:rsidRPr="000A298F" w:rsidRDefault="00080994" w:rsidP="00CB615C">
      <w:pPr>
        <w:widowControl/>
        <w:spacing w:after="0"/>
        <w:rPr>
          <w:rFonts w:ascii="Times New Roman" w:eastAsia="Times New Roman" w:hAnsi="Times New Roman" w:cs="Times New Roman"/>
          <w:lang w:val="en-US"/>
        </w:rPr>
      </w:pPr>
      <w:r w:rsidRPr="000A298F">
        <w:rPr>
          <w:rFonts w:ascii="Times New Roman" w:hAnsi="Times New Roman"/>
          <w:lang w:val="en-US"/>
        </w:rPr>
        <w:t xml:space="preserve">Mylan </w:t>
      </w:r>
      <w:r w:rsidR="00D4439A" w:rsidRPr="000A298F">
        <w:rPr>
          <w:rFonts w:ascii="Times New Roman" w:hAnsi="Times New Roman"/>
          <w:lang w:val="en-US"/>
        </w:rPr>
        <w:t>Pharmaceuticals</w:t>
      </w:r>
      <w:r w:rsidRPr="000A298F">
        <w:rPr>
          <w:rFonts w:ascii="Times New Roman" w:hAnsi="Times New Roman"/>
          <w:lang w:val="en-US"/>
        </w:rPr>
        <w:t xml:space="preserve"> Limited, </w:t>
      </w:r>
      <w:proofErr w:type="spellStart"/>
      <w:r w:rsidR="00101097" w:rsidRPr="000A298F">
        <w:rPr>
          <w:rFonts w:ascii="Times New Roman" w:eastAsia="Times New Roman" w:hAnsi="Times New Roman" w:cs="Times New Roman"/>
          <w:lang w:val="en-US"/>
        </w:rPr>
        <w:t>Damastown</w:t>
      </w:r>
      <w:proofErr w:type="spellEnd"/>
      <w:r w:rsidR="00101097" w:rsidRPr="000A298F">
        <w:rPr>
          <w:rFonts w:ascii="Times New Roman" w:eastAsia="Times New Roman" w:hAnsi="Times New Roman" w:cs="Times New Roman"/>
          <w:lang w:val="en-US"/>
        </w:rPr>
        <w:t xml:space="preserve"> Industrial Park, </w:t>
      </w:r>
      <w:proofErr w:type="spellStart"/>
      <w:r w:rsidR="00101097" w:rsidRPr="000A298F">
        <w:rPr>
          <w:rFonts w:ascii="Times New Roman" w:eastAsia="Times New Roman" w:hAnsi="Times New Roman" w:cs="Times New Roman"/>
          <w:lang w:val="en-US"/>
        </w:rPr>
        <w:t>Mulhuddart</w:t>
      </w:r>
      <w:proofErr w:type="spellEnd"/>
      <w:r w:rsidR="00101097" w:rsidRPr="000A298F">
        <w:rPr>
          <w:rFonts w:ascii="Times New Roman" w:eastAsia="Times New Roman" w:hAnsi="Times New Roman" w:cs="Times New Roman"/>
          <w:lang w:val="en-US"/>
        </w:rPr>
        <w:t>, Dublin 15, DUBLIN</w:t>
      </w:r>
    </w:p>
    <w:p w14:paraId="62553034" w14:textId="46B3DB23" w:rsidR="00392EEC" w:rsidRPr="00107057" w:rsidRDefault="00101097" w:rsidP="00CB615C">
      <w:pPr>
        <w:widowControl/>
        <w:spacing w:after="0" w:line="240" w:lineRule="auto"/>
        <w:rPr>
          <w:rFonts w:ascii="Times New Roman" w:hAnsi="Times New Roman" w:cs="Times New Roman"/>
        </w:rPr>
      </w:pPr>
      <w:r w:rsidRPr="00107057">
        <w:rPr>
          <w:rFonts w:ascii="Times New Roman" w:eastAsia="Times New Roman" w:hAnsi="Times New Roman" w:cs="Times New Roman"/>
        </w:rPr>
        <w:t>Irlande</w:t>
      </w:r>
      <w:r w:rsidR="00080994" w:rsidRPr="00107057">
        <w:rPr>
          <w:rFonts w:ascii="Times New Roman" w:hAnsi="Times New Roman"/>
        </w:rPr>
        <w:t>.</w:t>
      </w:r>
    </w:p>
    <w:p w14:paraId="79272270" w14:textId="77777777" w:rsidR="00392EEC" w:rsidRPr="00107057" w:rsidRDefault="00392EEC" w:rsidP="00CB615C">
      <w:pPr>
        <w:widowControl/>
        <w:spacing w:after="0" w:line="240" w:lineRule="auto"/>
        <w:rPr>
          <w:rFonts w:ascii="Times New Roman" w:hAnsi="Times New Roman" w:cs="Times New Roman"/>
        </w:rPr>
      </w:pPr>
    </w:p>
    <w:p w14:paraId="6D6123F0" w14:textId="77777777" w:rsidR="00392EEC" w:rsidRPr="00107057" w:rsidRDefault="00392EEC" w:rsidP="00CB615C">
      <w:pPr>
        <w:widowControl/>
        <w:spacing w:after="0" w:line="240" w:lineRule="auto"/>
        <w:rPr>
          <w:rFonts w:ascii="Times New Roman" w:hAnsi="Times New Roman" w:cs="Times New Roman"/>
        </w:rPr>
      </w:pPr>
    </w:p>
    <w:p w14:paraId="42AC94C4"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12. </w:t>
      </w:r>
      <w:r>
        <w:rPr>
          <w:rFonts w:ascii="Times New Roman" w:hAnsi="Times New Roman"/>
          <w:b/>
        </w:rPr>
        <w:tab/>
        <w:t>NUMÉRO(S) D’AUTORISATION DE MISE SUR LE MARCHÉ</w:t>
      </w:r>
    </w:p>
    <w:p w14:paraId="71D3F04D" w14:textId="77777777" w:rsidR="00392EEC" w:rsidRDefault="00392EEC" w:rsidP="00CB615C">
      <w:pPr>
        <w:widowControl/>
        <w:spacing w:after="0" w:line="240" w:lineRule="auto"/>
        <w:rPr>
          <w:rFonts w:ascii="Times New Roman" w:hAnsi="Times New Roman" w:cs="Times New Roman"/>
        </w:rPr>
      </w:pPr>
    </w:p>
    <w:p w14:paraId="6AB6B6A7" w14:textId="3591B802" w:rsidR="00392EEC" w:rsidRPr="00412BBF" w:rsidRDefault="00570BF6" w:rsidP="00CB615C">
      <w:pPr>
        <w:widowControl/>
        <w:spacing w:after="0" w:line="240" w:lineRule="auto"/>
        <w:rPr>
          <w:rFonts w:ascii="Times New Roman" w:hAnsi="Times New Roman" w:cs="Times New Roman"/>
        </w:rPr>
      </w:pPr>
      <w:r>
        <w:rPr>
          <w:rFonts w:ascii="Times New Roman" w:hAnsi="Times New Roman"/>
        </w:rPr>
        <w:t>EU/1/21/1573/012</w:t>
      </w:r>
    </w:p>
    <w:p w14:paraId="4AB8816C" w14:textId="659072A0" w:rsidR="00570BF6" w:rsidRPr="00412BBF" w:rsidRDefault="00570BF6" w:rsidP="00CB615C">
      <w:pPr>
        <w:widowControl/>
        <w:spacing w:after="0" w:line="240" w:lineRule="auto"/>
        <w:rPr>
          <w:rFonts w:ascii="Times New Roman" w:hAnsi="Times New Roman" w:cs="Times New Roman"/>
        </w:rPr>
      </w:pPr>
      <w:r>
        <w:rPr>
          <w:rFonts w:ascii="Times New Roman" w:hAnsi="Times New Roman"/>
          <w:highlight w:val="lightGray"/>
        </w:rPr>
        <w:t>EU/1/21/1573/013</w:t>
      </w:r>
    </w:p>
    <w:p w14:paraId="10658259" w14:textId="77777777" w:rsidR="00392EEC" w:rsidRDefault="00392EEC" w:rsidP="00CB615C">
      <w:pPr>
        <w:widowControl/>
        <w:spacing w:after="0" w:line="240" w:lineRule="auto"/>
        <w:rPr>
          <w:rFonts w:ascii="Times New Roman" w:hAnsi="Times New Roman" w:cs="Times New Roman"/>
        </w:rPr>
      </w:pPr>
    </w:p>
    <w:p w14:paraId="21464D1A" w14:textId="77777777" w:rsidR="00392EEC" w:rsidRDefault="00392EEC" w:rsidP="00CB615C">
      <w:pPr>
        <w:widowControl/>
        <w:spacing w:after="0" w:line="240" w:lineRule="auto"/>
        <w:rPr>
          <w:rFonts w:ascii="Times New Roman" w:hAnsi="Times New Roman" w:cs="Times New Roman"/>
        </w:rPr>
      </w:pPr>
    </w:p>
    <w:p w14:paraId="21089DD6"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13. </w:t>
      </w:r>
      <w:r>
        <w:rPr>
          <w:rFonts w:ascii="Times New Roman" w:hAnsi="Times New Roman"/>
          <w:b/>
        </w:rPr>
        <w:tab/>
        <w:t>NUMÉRO DU LOT</w:t>
      </w:r>
    </w:p>
    <w:p w14:paraId="629BE7D7" w14:textId="77777777" w:rsidR="00392EEC" w:rsidRDefault="00392EEC" w:rsidP="00CB615C">
      <w:pPr>
        <w:widowControl/>
        <w:spacing w:after="0" w:line="240" w:lineRule="auto"/>
        <w:rPr>
          <w:rFonts w:ascii="Times New Roman" w:hAnsi="Times New Roman" w:cs="Times New Roman"/>
        </w:rPr>
      </w:pPr>
    </w:p>
    <w:p w14:paraId="121A1FCA" w14:textId="77777777" w:rsidR="00392EEC" w:rsidRDefault="00080994" w:rsidP="00CB615C">
      <w:pPr>
        <w:widowControl/>
        <w:spacing w:after="0" w:line="240" w:lineRule="auto"/>
        <w:rPr>
          <w:rFonts w:ascii="Times New Roman" w:hAnsi="Times New Roman" w:cs="Times New Roman"/>
        </w:rPr>
      </w:pPr>
      <w:r>
        <w:rPr>
          <w:rFonts w:ascii="Times New Roman" w:hAnsi="Times New Roman"/>
        </w:rPr>
        <w:t>Lot</w:t>
      </w:r>
    </w:p>
    <w:p w14:paraId="0F424574" w14:textId="77777777" w:rsidR="00392EEC" w:rsidRDefault="00392EEC" w:rsidP="00CB615C">
      <w:pPr>
        <w:widowControl/>
        <w:spacing w:after="0" w:line="240" w:lineRule="auto"/>
        <w:rPr>
          <w:rFonts w:ascii="Times New Roman" w:hAnsi="Times New Roman" w:cs="Times New Roman"/>
        </w:rPr>
      </w:pPr>
    </w:p>
    <w:p w14:paraId="7C6F2809" w14:textId="77777777" w:rsidR="00392EEC" w:rsidRDefault="00392EEC" w:rsidP="00CB615C">
      <w:pPr>
        <w:widowControl/>
        <w:spacing w:after="0" w:line="240" w:lineRule="auto"/>
        <w:rPr>
          <w:rFonts w:ascii="Times New Roman" w:hAnsi="Times New Roman" w:cs="Times New Roman"/>
        </w:rPr>
      </w:pPr>
    </w:p>
    <w:p w14:paraId="4F5FEA9D"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14. </w:t>
      </w:r>
      <w:r>
        <w:rPr>
          <w:rFonts w:ascii="Times New Roman" w:hAnsi="Times New Roman"/>
          <w:b/>
        </w:rPr>
        <w:tab/>
        <w:t>CONDITIONS DE PRESCRIPTION ET DE DÉLIVRANCE</w:t>
      </w:r>
    </w:p>
    <w:p w14:paraId="2DB860ED" w14:textId="77777777" w:rsidR="00392EEC" w:rsidRDefault="00392EEC" w:rsidP="00CB615C">
      <w:pPr>
        <w:widowControl/>
        <w:spacing w:after="0" w:line="240" w:lineRule="auto"/>
        <w:rPr>
          <w:rFonts w:ascii="Times New Roman" w:hAnsi="Times New Roman" w:cs="Times New Roman"/>
        </w:rPr>
      </w:pPr>
    </w:p>
    <w:p w14:paraId="156B406A" w14:textId="77777777" w:rsidR="00392EEC" w:rsidRDefault="00392EEC" w:rsidP="00CB615C">
      <w:pPr>
        <w:widowControl/>
        <w:spacing w:after="0" w:line="240" w:lineRule="auto"/>
        <w:rPr>
          <w:rFonts w:ascii="Times New Roman" w:hAnsi="Times New Roman" w:cs="Times New Roman"/>
        </w:rPr>
      </w:pPr>
    </w:p>
    <w:p w14:paraId="4E92CD97"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15. </w:t>
      </w:r>
      <w:r>
        <w:rPr>
          <w:rFonts w:ascii="Times New Roman" w:hAnsi="Times New Roman"/>
          <w:b/>
        </w:rPr>
        <w:tab/>
        <w:t>INDICATIONS D’UTILISATION</w:t>
      </w:r>
    </w:p>
    <w:p w14:paraId="70E604B3" w14:textId="77777777" w:rsidR="00392EEC" w:rsidRDefault="00392EEC" w:rsidP="00CB615C">
      <w:pPr>
        <w:widowControl/>
        <w:spacing w:after="0" w:line="240" w:lineRule="auto"/>
        <w:rPr>
          <w:rFonts w:ascii="Times New Roman" w:hAnsi="Times New Roman" w:cs="Times New Roman"/>
        </w:rPr>
      </w:pPr>
    </w:p>
    <w:p w14:paraId="434F47FB" w14:textId="77777777" w:rsidR="00392EEC" w:rsidRDefault="00392EEC" w:rsidP="00CB615C">
      <w:pPr>
        <w:widowControl/>
        <w:spacing w:after="0" w:line="240" w:lineRule="auto"/>
        <w:rPr>
          <w:rFonts w:ascii="Times New Roman" w:hAnsi="Times New Roman" w:cs="Times New Roman"/>
        </w:rPr>
      </w:pPr>
    </w:p>
    <w:p w14:paraId="538932E3"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16. </w:t>
      </w:r>
      <w:r>
        <w:rPr>
          <w:rFonts w:ascii="Times New Roman" w:hAnsi="Times New Roman"/>
          <w:b/>
        </w:rPr>
        <w:tab/>
        <w:t>INFORMATIONS EN BRAILLE</w:t>
      </w:r>
    </w:p>
    <w:p w14:paraId="51720BFA" w14:textId="77777777" w:rsidR="00392EEC" w:rsidRDefault="00392EEC" w:rsidP="00CB615C">
      <w:pPr>
        <w:widowControl/>
        <w:spacing w:after="0" w:line="240" w:lineRule="auto"/>
        <w:rPr>
          <w:rFonts w:ascii="Times New Roman" w:hAnsi="Times New Roman" w:cs="Times New Roman"/>
        </w:rPr>
      </w:pPr>
    </w:p>
    <w:p w14:paraId="1F4243AC" w14:textId="3BF9D0BE" w:rsidR="00392EEC" w:rsidRDefault="00080994" w:rsidP="00CB615C">
      <w:pPr>
        <w:widowControl/>
        <w:spacing w:after="0" w:line="240" w:lineRule="auto"/>
        <w:rPr>
          <w:rFonts w:ascii="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0,5 mg</w:t>
      </w:r>
    </w:p>
    <w:p w14:paraId="4C2AECC2" w14:textId="77777777" w:rsidR="00392EEC" w:rsidRDefault="00392EEC" w:rsidP="00CB615C">
      <w:pPr>
        <w:widowControl/>
        <w:spacing w:after="0" w:line="240" w:lineRule="auto"/>
        <w:rPr>
          <w:rFonts w:ascii="Times New Roman" w:hAnsi="Times New Roman" w:cs="Times New Roman"/>
        </w:rPr>
      </w:pPr>
    </w:p>
    <w:p w14:paraId="25C9AF10" w14:textId="77777777" w:rsidR="00392EEC" w:rsidRDefault="00392EEC" w:rsidP="00CB615C">
      <w:pPr>
        <w:widowControl/>
        <w:spacing w:after="0" w:line="240" w:lineRule="auto"/>
        <w:rPr>
          <w:rFonts w:ascii="Times New Roman" w:hAnsi="Times New Roman" w:cs="Times New Roman"/>
        </w:rPr>
      </w:pPr>
    </w:p>
    <w:p w14:paraId="454DB175"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17. </w:t>
      </w:r>
      <w:r>
        <w:rPr>
          <w:rFonts w:ascii="Times New Roman" w:hAnsi="Times New Roman"/>
          <w:b/>
        </w:rPr>
        <w:tab/>
        <w:t>IDENTIFIANT UNIQUE - CODE-BARRES 2D</w:t>
      </w:r>
    </w:p>
    <w:p w14:paraId="4E33FF6E" w14:textId="54B29C19" w:rsidR="00392EEC" w:rsidRDefault="00392EEC" w:rsidP="00CB615C">
      <w:pPr>
        <w:widowControl/>
        <w:spacing w:after="0" w:line="240" w:lineRule="auto"/>
        <w:rPr>
          <w:rFonts w:ascii="Times New Roman" w:hAnsi="Times New Roman" w:cs="Times New Roman"/>
        </w:rPr>
      </w:pPr>
    </w:p>
    <w:p w14:paraId="5CA9C992" w14:textId="77777777" w:rsidR="00392EEC" w:rsidRDefault="00392EEC" w:rsidP="00CB615C">
      <w:pPr>
        <w:widowControl/>
        <w:spacing w:after="0" w:line="240" w:lineRule="auto"/>
        <w:rPr>
          <w:rFonts w:ascii="Times New Roman" w:hAnsi="Times New Roman" w:cs="Times New Roman"/>
        </w:rPr>
      </w:pPr>
    </w:p>
    <w:p w14:paraId="78A6D60E" w14:textId="77777777" w:rsidR="00392EEC" w:rsidRPr="00C17C4F" w:rsidRDefault="00080994" w:rsidP="00CB615C">
      <w:pPr>
        <w:widowControl/>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Pr>
          <w:rFonts w:ascii="Times New Roman" w:hAnsi="Times New Roman"/>
          <w:b/>
        </w:rPr>
        <w:t xml:space="preserve">18. </w:t>
      </w:r>
      <w:r>
        <w:rPr>
          <w:rFonts w:ascii="Times New Roman" w:hAnsi="Times New Roman"/>
          <w:b/>
        </w:rPr>
        <w:tab/>
        <w:t>IDENTIFIANT UNIQUE - DONNÉES LISIBLES PAR LES HUMAINS</w:t>
      </w:r>
    </w:p>
    <w:p w14:paraId="336EC621" w14:textId="77777777" w:rsidR="00392EEC" w:rsidRDefault="00392EEC" w:rsidP="00CB615C">
      <w:pPr>
        <w:widowControl/>
        <w:spacing w:after="0" w:line="240" w:lineRule="auto"/>
        <w:rPr>
          <w:rFonts w:ascii="Times New Roman" w:hAnsi="Times New Roman" w:cs="Times New Roman"/>
        </w:rPr>
      </w:pPr>
    </w:p>
    <w:p w14:paraId="4809AFA2" w14:textId="77777777" w:rsidR="00785897" w:rsidRDefault="00785897" w:rsidP="00CB615C">
      <w:pPr>
        <w:widowControl/>
        <w:spacing w:after="0" w:line="240" w:lineRule="auto"/>
        <w:rPr>
          <w:rFonts w:ascii="Times New Roman" w:hAnsi="Times New Roman" w:cs="Times New Roman"/>
          <w:b/>
        </w:rPr>
      </w:pPr>
    </w:p>
    <w:p w14:paraId="2CB8DEB5" w14:textId="77777777" w:rsidR="00785897" w:rsidRDefault="00785897" w:rsidP="00CB615C">
      <w:pPr>
        <w:widowControl/>
        <w:spacing w:after="0" w:line="240" w:lineRule="auto"/>
        <w:rPr>
          <w:rFonts w:ascii="Times New Roman" w:hAnsi="Times New Roman" w:cs="Times New Roman"/>
          <w:b/>
        </w:rPr>
      </w:pPr>
    </w:p>
    <w:p w14:paraId="45B51166" w14:textId="3F27F7F5" w:rsidR="00F631A8" w:rsidRDefault="00080994" w:rsidP="00CB615C">
      <w:pPr>
        <w:widowControl/>
        <w:spacing w:after="0" w:line="240" w:lineRule="auto"/>
        <w:rPr>
          <w:rFonts w:ascii="Times New Roman" w:hAnsi="Times New Roman" w:cs="Times New Roman"/>
          <w:b/>
        </w:rPr>
      </w:pPr>
      <w:r>
        <w:br w:type="page"/>
      </w:r>
    </w:p>
    <w:p w14:paraId="1EE812F0" w14:textId="482B4AD8" w:rsidR="0003695E" w:rsidRDefault="0003695E" w:rsidP="00CB615C">
      <w:pPr>
        <w:widowControl/>
        <w:tabs>
          <w:tab w:val="left" w:pos="0"/>
        </w:tabs>
        <w:spacing w:after="0" w:line="240" w:lineRule="auto"/>
        <w:jc w:val="center"/>
        <w:rPr>
          <w:rFonts w:ascii="Times New Roman" w:eastAsia="Times New Roman" w:hAnsi="Times New Roman" w:cs="Times New Roman"/>
          <w:b/>
        </w:rPr>
      </w:pPr>
    </w:p>
    <w:p w14:paraId="3FE30926" w14:textId="03E2D7FE"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3084CEF1" w14:textId="7203B8B5"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13D1EAB2" w14:textId="77257AB7"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73E1A654" w14:textId="32B6DB6E"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2C0CC8A1" w14:textId="01798EC6"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2F6703F1" w14:textId="1E0F0F5E"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42CD4DD2" w14:textId="592F4A1E"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063B345F" w14:textId="2854E154"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5B550B90" w14:textId="68A9680E"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4609CBA2" w14:textId="00D5EAEF"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29A28793" w14:textId="5B37E772"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0AB6EBFA" w14:textId="268792AA"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3A124A1E" w14:textId="6AB229E0"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4FFD736E" w14:textId="494222DE"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09408BAC" w14:textId="0C3B03FA"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4F145407" w14:textId="59E871F3"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45685636" w14:textId="4EC034C7"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3EB583FE" w14:textId="54958EF9"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089ACF49" w14:textId="360EDB6B"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73045EAD" w14:textId="09B105A4"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6732228B" w14:textId="096410A8"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009D5BCB" w14:textId="77777777" w:rsidR="008F22C4" w:rsidRDefault="008F22C4" w:rsidP="00CB615C">
      <w:pPr>
        <w:widowControl/>
        <w:tabs>
          <w:tab w:val="left" w:pos="0"/>
        </w:tabs>
        <w:spacing w:after="0" w:line="240" w:lineRule="auto"/>
        <w:jc w:val="center"/>
        <w:rPr>
          <w:rFonts w:ascii="Times New Roman" w:eastAsia="Times New Roman" w:hAnsi="Times New Roman" w:cs="Times New Roman"/>
          <w:b/>
        </w:rPr>
      </w:pPr>
    </w:p>
    <w:p w14:paraId="03868C4D" w14:textId="25170952" w:rsidR="001C7C0E" w:rsidRDefault="00A9788E" w:rsidP="00CB615C">
      <w:pPr>
        <w:pStyle w:val="Titre1"/>
        <w:widowControl/>
      </w:pPr>
      <w:r>
        <w:t xml:space="preserve">B. </w:t>
      </w:r>
      <w:r w:rsidR="00080994" w:rsidRPr="00A9788E">
        <w:t>NOTICE</w:t>
      </w:r>
    </w:p>
    <w:p w14:paraId="44485EE8" w14:textId="77777777" w:rsidR="00A9788E" w:rsidRPr="00A9788E" w:rsidRDefault="00A9788E" w:rsidP="00CB615C">
      <w:pPr>
        <w:widowControl/>
        <w:tabs>
          <w:tab w:val="left" w:pos="0"/>
        </w:tabs>
        <w:spacing w:after="0" w:line="240" w:lineRule="auto"/>
        <w:ind w:left="360"/>
        <w:jc w:val="center"/>
        <w:rPr>
          <w:rFonts w:ascii="Times New Roman" w:eastAsia="Times New Roman" w:hAnsi="Times New Roman" w:cs="Times New Roman"/>
          <w:b/>
        </w:rPr>
      </w:pPr>
    </w:p>
    <w:p w14:paraId="5BC10EF5" w14:textId="4DAF5258" w:rsidR="00107057" w:rsidRDefault="00107057" w:rsidP="00CB615C">
      <w:pPr>
        <w:widowControl/>
        <w:rPr>
          <w:rFonts w:ascii="Times New Roman" w:hAnsi="Times New Roman" w:cs="Times New Roman"/>
        </w:rPr>
      </w:pPr>
      <w:r>
        <w:rPr>
          <w:rFonts w:ascii="Times New Roman" w:hAnsi="Times New Roman" w:cs="Times New Roman"/>
        </w:rPr>
        <w:br w:type="page"/>
      </w:r>
    </w:p>
    <w:p w14:paraId="1867B48F" w14:textId="5864ED3F" w:rsidR="001C7C0E" w:rsidRPr="005E3BF6" w:rsidRDefault="00080994" w:rsidP="00CB615C">
      <w:pPr>
        <w:widowControl/>
        <w:spacing w:after="0" w:line="240" w:lineRule="auto"/>
        <w:jc w:val="center"/>
        <w:rPr>
          <w:rFonts w:ascii="Times New Roman" w:eastAsia="Times New Roman" w:hAnsi="Times New Roman" w:cs="Times New Roman"/>
        </w:rPr>
      </w:pPr>
      <w:r>
        <w:rPr>
          <w:rFonts w:ascii="Times New Roman" w:hAnsi="Times New Roman"/>
          <w:b/>
        </w:rPr>
        <w:lastRenderedPageBreak/>
        <w:t>Notice : Information du patient</w:t>
      </w:r>
    </w:p>
    <w:p w14:paraId="5D868679" w14:textId="77777777" w:rsidR="001C7C0E" w:rsidRPr="005E3BF6" w:rsidRDefault="001C7C0E" w:rsidP="00CB615C">
      <w:pPr>
        <w:widowControl/>
        <w:spacing w:after="0" w:line="240" w:lineRule="auto"/>
        <w:rPr>
          <w:rFonts w:ascii="Times New Roman" w:hAnsi="Times New Roman" w:cs="Times New Roman"/>
        </w:rPr>
      </w:pPr>
    </w:p>
    <w:p w14:paraId="61F9892F" w14:textId="2260AFD8" w:rsidR="00E00B39" w:rsidRPr="005E3BF6" w:rsidRDefault="00080994" w:rsidP="00CB615C">
      <w:pPr>
        <w:widowControl/>
        <w:spacing w:after="0" w:line="240" w:lineRule="auto"/>
        <w:jc w:val="center"/>
        <w:rPr>
          <w:rFonts w:ascii="Times New Roman" w:eastAsia="Times New Roman" w:hAnsi="Times New Roman" w:cs="Times New Roman"/>
          <w:b/>
          <w:bCs/>
        </w:rPr>
      </w:pPr>
      <w:proofErr w:type="spellStart"/>
      <w:r>
        <w:rPr>
          <w:rFonts w:ascii="Times New Roman" w:hAnsi="Times New Roman"/>
          <w:b/>
        </w:rPr>
        <w:t>Fingolimod</w:t>
      </w:r>
      <w:proofErr w:type="spellEnd"/>
      <w:r>
        <w:rPr>
          <w:rFonts w:ascii="Times New Roman" w:hAnsi="Times New Roman"/>
          <w:b/>
        </w:rPr>
        <w:t xml:space="preserve"> Mylan 0,5 mg, gélule</w:t>
      </w:r>
    </w:p>
    <w:p w14:paraId="0CE1B676" w14:textId="3973005A" w:rsidR="001C7C0E" w:rsidRPr="005E3BF6" w:rsidRDefault="00080994" w:rsidP="00CB615C">
      <w:pPr>
        <w:widowControl/>
        <w:spacing w:after="0" w:line="240" w:lineRule="auto"/>
        <w:jc w:val="center"/>
        <w:rPr>
          <w:rFonts w:ascii="Times New Roman" w:eastAsia="Times New Roman" w:hAnsi="Times New Roman" w:cs="Times New Roman"/>
        </w:rPr>
      </w:pPr>
      <w:proofErr w:type="spellStart"/>
      <w:proofErr w:type="gramStart"/>
      <w:r>
        <w:rPr>
          <w:rFonts w:ascii="Times New Roman" w:hAnsi="Times New Roman"/>
        </w:rPr>
        <w:t>fingolimod</w:t>
      </w:r>
      <w:proofErr w:type="spellEnd"/>
      <w:proofErr w:type="gramEnd"/>
    </w:p>
    <w:p w14:paraId="050E6192" w14:textId="77777777" w:rsidR="001C7C0E" w:rsidRPr="005E3BF6" w:rsidRDefault="001C7C0E" w:rsidP="00CB615C">
      <w:pPr>
        <w:widowControl/>
        <w:spacing w:after="0" w:line="240" w:lineRule="auto"/>
        <w:rPr>
          <w:rFonts w:ascii="Times New Roman" w:hAnsi="Times New Roman" w:cs="Times New Roman"/>
        </w:rPr>
      </w:pPr>
    </w:p>
    <w:p w14:paraId="13C1DEDB"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Veuillez lire attentivement cette notice avant de prendre ce médicament car elle contient des informations importantes pour vous.</w:t>
      </w:r>
    </w:p>
    <w:p w14:paraId="0F8F2F9C" w14:textId="19C6249E" w:rsidR="001C7C0E" w:rsidRPr="005E3BF6" w:rsidRDefault="00080994" w:rsidP="00CB615C">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Gardez cette notice. Vous pourriez avoir besoin de la relire.</w:t>
      </w:r>
    </w:p>
    <w:p w14:paraId="0322220E" w14:textId="071140E8" w:rsidR="001C7C0E" w:rsidRPr="005E3BF6" w:rsidRDefault="00080994" w:rsidP="00CB615C">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Si vous avez d’autres questions, interrogez votre médecin ou votre pharmacien.</w:t>
      </w:r>
    </w:p>
    <w:p w14:paraId="4F813745" w14:textId="1FE16707" w:rsidR="001C7C0E" w:rsidRPr="005E3BF6" w:rsidRDefault="00080994" w:rsidP="00CB615C">
      <w:pPr>
        <w:pStyle w:val="Paragraphedeliste"/>
        <w:widowControl/>
        <w:numPr>
          <w:ilvl w:val="0"/>
          <w:numId w:val="2"/>
        </w:numPr>
        <w:tabs>
          <w:tab w:val="left" w:pos="1"/>
        </w:tabs>
        <w:spacing w:after="0" w:line="240" w:lineRule="auto"/>
        <w:ind w:left="567" w:hanging="567"/>
        <w:rPr>
          <w:rFonts w:ascii="Times New Roman" w:eastAsia="Times New Roman" w:hAnsi="Times New Roman" w:cs="Times New Roman"/>
        </w:rPr>
      </w:pPr>
      <w:r>
        <w:rPr>
          <w:rFonts w:ascii="Times New Roman" w:hAnsi="Times New Roman"/>
        </w:rPr>
        <w:t>Ce médicament vous a été personnellement prescrit. Ne le donnez pas à d’autres personnes. Il pourrait leur être nocif, même si les signes de leur maladie sont identiques aux vôtres.</w:t>
      </w:r>
    </w:p>
    <w:p w14:paraId="2B323726" w14:textId="18124AB8" w:rsidR="001C7C0E" w:rsidRPr="005E3BF6" w:rsidRDefault="00080994" w:rsidP="00CB615C">
      <w:pPr>
        <w:pStyle w:val="Paragraphedeliste"/>
        <w:widowControl/>
        <w:numPr>
          <w:ilvl w:val="0"/>
          <w:numId w:val="2"/>
        </w:numPr>
        <w:tabs>
          <w:tab w:val="left" w:pos="680"/>
        </w:tabs>
        <w:spacing w:after="0" w:line="240" w:lineRule="auto"/>
        <w:ind w:left="567" w:hanging="567"/>
        <w:rPr>
          <w:rFonts w:ascii="Times New Roman" w:eastAsia="Times New Roman" w:hAnsi="Times New Roman" w:cs="Times New Roman"/>
        </w:rPr>
      </w:pPr>
      <w:r>
        <w:rPr>
          <w:rFonts w:ascii="Times New Roman" w:hAnsi="Times New Roman"/>
        </w:rPr>
        <w:t>Si vous ressentez un quelconque effet indésirable, parlez-en à votre médecin ou votre pharmacien. Ceci s’applique aussi à tout effet indésirable qui ne serait pas mentionné dans cette notice. Voir rubrique 4.</w:t>
      </w:r>
    </w:p>
    <w:p w14:paraId="407A788F" w14:textId="77777777" w:rsidR="001C7C0E" w:rsidRPr="005E3BF6" w:rsidRDefault="001C7C0E" w:rsidP="00CB615C">
      <w:pPr>
        <w:widowControl/>
        <w:spacing w:after="0" w:line="240" w:lineRule="auto"/>
        <w:ind w:left="284" w:hanging="284"/>
        <w:rPr>
          <w:rFonts w:ascii="Times New Roman" w:hAnsi="Times New Roman" w:cs="Times New Roman"/>
        </w:rPr>
      </w:pPr>
    </w:p>
    <w:p w14:paraId="356FD1ED" w14:textId="017F3441" w:rsidR="001C7C0E" w:rsidRDefault="00080994" w:rsidP="00CB615C">
      <w:pPr>
        <w:widowControl/>
        <w:spacing w:after="0" w:line="240" w:lineRule="auto"/>
        <w:ind w:left="284" w:hanging="284"/>
        <w:rPr>
          <w:rFonts w:ascii="Times New Roman" w:eastAsia="Times New Roman" w:hAnsi="Times New Roman" w:cs="Times New Roman"/>
          <w:b/>
          <w:bCs/>
        </w:rPr>
      </w:pPr>
      <w:r>
        <w:rPr>
          <w:rFonts w:ascii="Times New Roman" w:hAnsi="Times New Roman"/>
          <w:b/>
        </w:rPr>
        <w:t>Que contient cette notice ?</w:t>
      </w:r>
    </w:p>
    <w:p w14:paraId="08044103" w14:textId="77777777" w:rsidR="00981C96" w:rsidRPr="005E3BF6" w:rsidRDefault="00981C96" w:rsidP="00CB615C">
      <w:pPr>
        <w:widowControl/>
        <w:spacing w:after="0" w:line="240" w:lineRule="auto"/>
        <w:ind w:left="284" w:hanging="284"/>
        <w:rPr>
          <w:rFonts w:ascii="Times New Roman" w:eastAsia="Times New Roman" w:hAnsi="Times New Roman" w:cs="Times New Roman"/>
        </w:rPr>
      </w:pPr>
    </w:p>
    <w:p w14:paraId="1DD551FB" w14:textId="1F056D8E" w:rsidR="001C7C0E" w:rsidRPr="005E3BF6" w:rsidRDefault="00080994" w:rsidP="00CB615C">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1.</w:t>
      </w:r>
      <w:r>
        <w:rPr>
          <w:rFonts w:ascii="Times New Roman" w:hAnsi="Times New Roman"/>
        </w:rPr>
        <w:tab/>
        <w:t xml:space="preserve">Qu’est-ce que </w:t>
      </w:r>
      <w:proofErr w:type="spellStart"/>
      <w:r>
        <w:rPr>
          <w:rFonts w:ascii="Times New Roman" w:hAnsi="Times New Roman"/>
        </w:rPr>
        <w:t>Fingolimod</w:t>
      </w:r>
      <w:proofErr w:type="spellEnd"/>
      <w:r>
        <w:rPr>
          <w:rFonts w:ascii="Times New Roman" w:hAnsi="Times New Roman"/>
        </w:rPr>
        <w:t xml:space="preserve"> Mylan et dans quels cas est-il utilisé</w:t>
      </w:r>
    </w:p>
    <w:p w14:paraId="1BB6DEB5" w14:textId="30E6812D" w:rsidR="001C7C0E" w:rsidRPr="005E3BF6" w:rsidRDefault="00080994" w:rsidP="00CB615C">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2.</w:t>
      </w:r>
      <w:r>
        <w:rPr>
          <w:rFonts w:ascii="Times New Roman" w:hAnsi="Times New Roman"/>
        </w:rPr>
        <w:tab/>
        <w:t xml:space="preserve">Quelles sont les informations à connaître avant de prendre </w:t>
      </w:r>
      <w:proofErr w:type="spellStart"/>
      <w:r>
        <w:rPr>
          <w:rFonts w:ascii="Times New Roman" w:hAnsi="Times New Roman"/>
        </w:rPr>
        <w:t>Fingolimod</w:t>
      </w:r>
      <w:proofErr w:type="spellEnd"/>
      <w:r>
        <w:rPr>
          <w:rFonts w:ascii="Times New Roman" w:hAnsi="Times New Roman"/>
        </w:rPr>
        <w:t xml:space="preserve"> Mylan</w:t>
      </w:r>
    </w:p>
    <w:p w14:paraId="518A7508" w14:textId="2956D6FE" w:rsidR="001C7C0E" w:rsidRPr="005E3BF6" w:rsidRDefault="00080994" w:rsidP="00CB615C">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3.</w:t>
      </w:r>
      <w:r>
        <w:rPr>
          <w:rFonts w:ascii="Times New Roman" w:hAnsi="Times New Roman"/>
        </w:rPr>
        <w:tab/>
        <w:t xml:space="preserve">Comment prendre </w:t>
      </w:r>
      <w:proofErr w:type="spellStart"/>
      <w:r>
        <w:rPr>
          <w:rFonts w:ascii="Times New Roman" w:hAnsi="Times New Roman"/>
        </w:rPr>
        <w:t>Fingolimod</w:t>
      </w:r>
      <w:proofErr w:type="spellEnd"/>
      <w:r>
        <w:rPr>
          <w:rFonts w:ascii="Times New Roman" w:hAnsi="Times New Roman"/>
        </w:rPr>
        <w:t xml:space="preserve"> Mylan</w:t>
      </w:r>
    </w:p>
    <w:p w14:paraId="47B8A559" w14:textId="77777777" w:rsidR="001C7C0E" w:rsidRPr="005E3BF6" w:rsidRDefault="00080994" w:rsidP="00CB615C">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4.</w:t>
      </w:r>
      <w:r>
        <w:rPr>
          <w:rFonts w:ascii="Times New Roman" w:hAnsi="Times New Roman"/>
        </w:rPr>
        <w:tab/>
        <w:t>Quels sont les effets indésirables éventuels ?</w:t>
      </w:r>
    </w:p>
    <w:p w14:paraId="11AC2153" w14:textId="449547EF" w:rsidR="001C7C0E" w:rsidRPr="005E3BF6" w:rsidRDefault="00080994" w:rsidP="00CB615C">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5.</w:t>
      </w:r>
      <w:r>
        <w:rPr>
          <w:rFonts w:ascii="Times New Roman" w:hAnsi="Times New Roman"/>
        </w:rPr>
        <w:tab/>
        <w:t xml:space="preserve">Comment conserver </w:t>
      </w:r>
      <w:proofErr w:type="spellStart"/>
      <w:r>
        <w:rPr>
          <w:rFonts w:ascii="Times New Roman" w:hAnsi="Times New Roman"/>
        </w:rPr>
        <w:t>Fingolimod</w:t>
      </w:r>
      <w:proofErr w:type="spellEnd"/>
      <w:r>
        <w:rPr>
          <w:rFonts w:ascii="Times New Roman" w:hAnsi="Times New Roman"/>
        </w:rPr>
        <w:t xml:space="preserve"> Mylan</w:t>
      </w:r>
    </w:p>
    <w:p w14:paraId="13872667" w14:textId="77777777" w:rsidR="001C7C0E" w:rsidRPr="005E3BF6" w:rsidRDefault="00080994" w:rsidP="00CB615C">
      <w:pPr>
        <w:widowControl/>
        <w:tabs>
          <w:tab w:val="left" w:pos="567"/>
        </w:tabs>
        <w:spacing w:after="0" w:line="240" w:lineRule="auto"/>
        <w:ind w:left="567" w:hanging="567"/>
        <w:rPr>
          <w:rFonts w:ascii="Times New Roman" w:eastAsia="Times New Roman" w:hAnsi="Times New Roman" w:cs="Times New Roman"/>
        </w:rPr>
      </w:pPr>
      <w:r>
        <w:rPr>
          <w:rFonts w:ascii="Times New Roman" w:hAnsi="Times New Roman"/>
        </w:rPr>
        <w:t>6.</w:t>
      </w:r>
      <w:r>
        <w:rPr>
          <w:rFonts w:ascii="Times New Roman" w:hAnsi="Times New Roman"/>
        </w:rPr>
        <w:tab/>
        <w:t>Contenu de l’emballage et autres informations</w:t>
      </w:r>
    </w:p>
    <w:p w14:paraId="62079D78" w14:textId="263EC7B1" w:rsidR="00BD30B3" w:rsidRDefault="00BD30B3" w:rsidP="00CB615C">
      <w:pPr>
        <w:widowControl/>
        <w:spacing w:after="0" w:line="240" w:lineRule="auto"/>
        <w:rPr>
          <w:rFonts w:ascii="Times New Roman" w:hAnsi="Times New Roman" w:cs="Times New Roman"/>
        </w:rPr>
      </w:pPr>
    </w:p>
    <w:p w14:paraId="517F87BC" w14:textId="77777777" w:rsidR="00981C96" w:rsidRPr="005E3BF6" w:rsidRDefault="00981C96" w:rsidP="00CB615C">
      <w:pPr>
        <w:widowControl/>
        <w:spacing w:after="0" w:line="240" w:lineRule="auto"/>
        <w:rPr>
          <w:rFonts w:ascii="Times New Roman" w:hAnsi="Times New Roman" w:cs="Times New Roman"/>
        </w:rPr>
      </w:pPr>
    </w:p>
    <w:p w14:paraId="1650E1DE" w14:textId="3CE38A1A" w:rsidR="001C7C0E" w:rsidRPr="005E3BF6" w:rsidRDefault="00080994" w:rsidP="00CB615C">
      <w:pPr>
        <w:widowControl/>
        <w:spacing w:after="0" w:line="240" w:lineRule="auto"/>
        <w:ind w:left="567" w:hanging="567"/>
        <w:rPr>
          <w:rFonts w:ascii="Times New Roman" w:eastAsia="Times New Roman" w:hAnsi="Times New Roman" w:cs="Times New Roman"/>
        </w:rPr>
      </w:pPr>
      <w:r>
        <w:rPr>
          <w:rFonts w:ascii="Times New Roman" w:hAnsi="Times New Roman"/>
          <w:b/>
        </w:rPr>
        <w:t>1.</w:t>
      </w:r>
      <w:r>
        <w:rPr>
          <w:rFonts w:ascii="Times New Roman" w:hAnsi="Times New Roman"/>
          <w:b/>
        </w:rPr>
        <w:tab/>
        <w:t xml:space="preserve">Qu’est-ce que </w:t>
      </w:r>
      <w:proofErr w:type="spellStart"/>
      <w:r>
        <w:rPr>
          <w:rFonts w:ascii="Times New Roman" w:hAnsi="Times New Roman"/>
          <w:b/>
        </w:rPr>
        <w:t>Fingolimod</w:t>
      </w:r>
      <w:proofErr w:type="spellEnd"/>
      <w:r>
        <w:rPr>
          <w:rFonts w:ascii="Times New Roman" w:hAnsi="Times New Roman"/>
          <w:b/>
        </w:rPr>
        <w:t xml:space="preserve"> Mylan et dans quels cas est-il utilisé</w:t>
      </w:r>
    </w:p>
    <w:p w14:paraId="37F5C65C" w14:textId="77777777" w:rsidR="001C7C0E" w:rsidRPr="005E3BF6" w:rsidRDefault="001C7C0E" w:rsidP="00CB615C">
      <w:pPr>
        <w:widowControl/>
        <w:spacing w:after="0" w:line="240" w:lineRule="auto"/>
        <w:rPr>
          <w:rFonts w:ascii="Times New Roman" w:hAnsi="Times New Roman" w:cs="Times New Roman"/>
        </w:rPr>
      </w:pPr>
    </w:p>
    <w:p w14:paraId="6AC7808D" w14:textId="2E60FB92"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 xml:space="preserve">Qu’est-ce que </w:t>
      </w:r>
      <w:proofErr w:type="spellStart"/>
      <w:r>
        <w:rPr>
          <w:rFonts w:ascii="Times New Roman" w:hAnsi="Times New Roman"/>
          <w:b/>
        </w:rPr>
        <w:t>Fingolimod</w:t>
      </w:r>
      <w:proofErr w:type="spellEnd"/>
      <w:r>
        <w:rPr>
          <w:rFonts w:ascii="Times New Roman" w:hAnsi="Times New Roman"/>
          <w:b/>
        </w:rPr>
        <w:t xml:space="preserve"> Mylan</w:t>
      </w:r>
    </w:p>
    <w:p w14:paraId="029B85DB" w14:textId="3A9C293C" w:rsidR="001C7C0E" w:rsidRPr="005E3BF6"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contient la substance active </w:t>
      </w:r>
      <w:proofErr w:type="spellStart"/>
      <w:r>
        <w:rPr>
          <w:rFonts w:ascii="Times New Roman" w:hAnsi="Times New Roman"/>
        </w:rPr>
        <w:t>fingolimod</w:t>
      </w:r>
      <w:proofErr w:type="spellEnd"/>
      <w:r>
        <w:rPr>
          <w:rFonts w:ascii="Times New Roman" w:hAnsi="Times New Roman"/>
        </w:rPr>
        <w:t>.</w:t>
      </w:r>
    </w:p>
    <w:p w14:paraId="236AD3F0" w14:textId="77777777" w:rsidR="001C7C0E" w:rsidRPr="005E3BF6" w:rsidRDefault="001C7C0E" w:rsidP="00CB615C">
      <w:pPr>
        <w:widowControl/>
        <w:spacing w:after="0" w:line="240" w:lineRule="auto"/>
        <w:rPr>
          <w:rFonts w:ascii="Times New Roman" w:hAnsi="Times New Roman" w:cs="Times New Roman"/>
        </w:rPr>
      </w:pPr>
    </w:p>
    <w:p w14:paraId="54516C90" w14:textId="694BDDF9"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 xml:space="preserve">Dans quels cas </w:t>
      </w:r>
      <w:proofErr w:type="spellStart"/>
      <w:r>
        <w:rPr>
          <w:rFonts w:ascii="Times New Roman" w:hAnsi="Times New Roman"/>
          <w:b/>
        </w:rPr>
        <w:t>Fingolimod</w:t>
      </w:r>
      <w:proofErr w:type="spellEnd"/>
      <w:r>
        <w:rPr>
          <w:rFonts w:ascii="Times New Roman" w:hAnsi="Times New Roman"/>
          <w:b/>
        </w:rPr>
        <w:t xml:space="preserve"> Mylan est-il utilisé</w:t>
      </w:r>
    </w:p>
    <w:p w14:paraId="52BEC101" w14:textId="0AC37A30" w:rsidR="001C7C0E" w:rsidRPr="005E3BF6"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est utilisé pour traiter la sclérose en plaques (SEP) rémittente-récurrente chez l’adulte, l’enfant et l’adolescent (âgé de 10 ans et plus) plus spécifiquement :</w:t>
      </w:r>
    </w:p>
    <w:p w14:paraId="0BD390ED" w14:textId="77777777" w:rsidR="007471DF" w:rsidRPr="005E3BF6" w:rsidRDefault="00080994" w:rsidP="00CB615C">
      <w:pPr>
        <w:pStyle w:val="Paragraphedeliste"/>
        <w:widowControl/>
        <w:numPr>
          <w:ilvl w:val="0"/>
          <w:numId w:val="19"/>
        </w:numPr>
        <w:spacing w:after="0" w:line="240" w:lineRule="auto"/>
        <w:ind w:left="567" w:hanging="567"/>
        <w:rPr>
          <w:rFonts w:ascii="Times New Roman" w:eastAsia="Times New Roman" w:hAnsi="Times New Roman" w:cs="Times New Roman"/>
        </w:rPr>
      </w:pPr>
      <w:proofErr w:type="gramStart"/>
      <w:r>
        <w:rPr>
          <w:rFonts w:ascii="Times New Roman" w:hAnsi="Times New Roman"/>
        </w:rPr>
        <w:t>chez</w:t>
      </w:r>
      <w:proofErr w:type="gramEnd"/>
      <w:r>
        <w:rPr>
          <w:rFonts w:ascii="Times New Roman" w:hAnsi="Times New Roman"/>
        </w:rPr>
        <w:t xml:space="preserve"> les patients n’ayant pas répondu malgré un autre traitement de la SEP.</w:t>
      </w:r>
    </w:p>
    <w:p w14:paraId="7AFF2464" w14:textId="6C156514" w:rsidR="001C7C0E" w:rsidRPr="005E3BF6" w:rsidRDefault="00080994" w:rsidP="00CB615C">
      <w:pPr>
        <w:widowControl/>
        <w:spacing w:after="0" w:line="240" w:lineRule="auto"/>
        <w:ind w:left="567" w:hanging="567"/>
        <w:rPr>
          <w:rFonts w:ascii="Times New Roman" w:eastAsia="Times New Roman" w:hAnsi="Times New Roman" w:cs="Times New Roman"/>
        </w:rPr>
      </w:pPr>
      <w:proofErr w:type="gramStart"/>
      <w:r>
        <w:rPr>
          <w:rFonts w:ascii="Times New Roman" w:hAnsi="Times New Roman"/>
        </w:rPr>
        <w:t>ou</w:t>
      </w:r>
      <w:proofErr w:type="gramEnd"/>
    </w:p>
    <w:p w14:paraId="29241926" w14:textId="04AD46B9" w:rsidR="001C7C0E" w:rsidRPr="005E3BF6" w:rsidRDefault="00080994" w:rsidP="00CB615C">
      <w:pPr>
        <w:pStyle w:val="Paragraphedeliste"/>
        <w:widowControl/>
        <w:numPr>
          <w:ilvl w:val="0"/>
          <w:numId w:val="19"/>
        </w:numPr>
        <w:spacing w:after="0" w:line="240" w:lineRule="auto"/>
        <w:ind w:left="567" w:hanging="567"/>
        <w:rPr>
          <w:rFonts w:ascii="Times New Roman" w:eastAsia="Times New Roman" w:hAnsi="Times New Roman" w:cs="Times New Roman"/>
        </w:rPr>
      </w:pPr>
      <w:proofErr w:type="gramStart"/>
      <w:r>
        <w:rPr>
          <w:rFonts w:ascii="Times New Roman" w:hAnsi="Times New Roman"/>
        </w:rPr>
        <w:t>chez</w:t>
      </w:r>
      <w:proofErr w:type="gramEnd"/>
      <w:r>
        <w:rPr>
          <w:rFonts w:ascii="Times New Roman" w:hAnsi="Times New Roman"/>
        </w:rPr>
        <w:t xml:space="preserve"> les patients présentant une SEP sévère d’évolution rapide.</w:t>
      </w:r>
    </w:p>
    <w:p w14:paraId="68E5945A" w14:textId="77777777" w:rsidR="001C7C0E" w:rsidRPr="005E3BF6" w:rsidRDefault="001C7C0E" w:rsidP="00CB615C">
      <w:pPr>
        <w:widowControl/>
        <w:spacing w:after="0" w:line="240" w:lineRule="auto"/>
        <w:rPr>
          <w:rFonts w:ascii="Times New Roman" w:hAnsi="Times New Roman" w:cs="Times New Roman"/>
        </w:rPr>
      </w:pPr>
    </w:p>
    <w:p w14:paraId="4A7940D3" w14:textId="67AE284A" w:rsidR="001C7C0E" w:rsidRPr="005E3BF6"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ne guérit pas la SEP mais aide à réduire le nombre de poussées et à ralentir la progression du handicap physique dû à la SEP.</w:t>
      </w:r>
    </w:p>
    <w:p w14:paraId="28B8A95C" w14:textId="77777777" w:rsidR="001C7C0E" w:rsidRPr="005E3BF6" w:rsidRDefault="001C7C0E" w:rsidP="00CB615C">
      <w:pPr>
        <w:widowControl/>
        <w:spacing w:after="0" w:line="240" w:lineRule="auto"/>
        <w:rPr>
          <w:rFonts w:ascii="Times New Roman" w:hAnsi="Times New Roman" w:cs="Times New Roman"/>
        </w:rPr>
      </w:pPr>
    </w:p>
    <w:p w14:paraId="4F45E592"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Qu’est-ce que la sclérose en plaques</w:t>
      </w:r>
    </w:p>
    <w:p w14:paraId="4784DFE4"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La SEP est une maladie chronique (affection évoluant au long cours) qui touche le système nerveux central (SNC), comprenant le cerveau et la moelle épinière. Dans la SEP, l’inflammation détruit la gaine protectrice (la « myéline ») qui entoure les nerfs dans le système nerveux central et les empêche de fonctionner correctement. Ce processus est appelé démyélinisation.</w:t>
      </w:r>
    </w:p>
    <w:p w14:paraId="4F8DFD1A" w14:textId="77777777" w:rsidR="001C7C0E" w:rsidRPr="005E3BF6" w:rsidRDefault="001C7C0E" w:rsidP="00CB615C">
      <w:pPr>
        <w:widowControl/>
        <w:spacing w:after="0" w:line="240" w:lineRule="auto"/>
        <w:rPr>
          <w:rFonts w:ascii="Times New Roman" w:hAnsi="Times New Roman" w:cs="Times New Roman"/>
        </w:rPr>
      </w:pPr>
    </w:p>
    <w:p w14:paraId="7CAF8462" w14:textId="77777777" w:rsidR="00E00B39"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La sclérose en plaques rémittente-récurrente est caractérisée par l’apparition répétée de symptômes neurologiques (poussées) qui reflètent l’inflammation dans le SNC. Les symptômes varient d’un patient à l’autre mais de façon caractéristique, il s’agit de difficultés pour marcher, d’engourdissement, de problèmes de vision ou de troubles de l’équilibre. Les symptômes d’une poussée peuvent disparaître complètement lorsque la poussée est terminée, mais certains problèmes peuvent persister.</w:t>
      </w:r>
    </w:p>
    <w:p w14:paraId="03AE07A9" w14:textId="77777777" w:rsidR="00E00B39" w:rsidRPr="005E3BF6" w:rsidRDefault="00E00B39" w:rsidP="00CB615C">
      <w:pPr>
        <w:widowControl/>
        <w:spacing w:after="0" w:line="240" w:lineRule="auto"/>
        <w:ind w:left="1"/>
        <w:rPr>
          <w:rFonts w:ascii="Times New Roman" w:eastAsia="Times New Roman" w:hAnsi="Times New Roman" w:cs="Times New Roman"/>
        </w:rPr>
      </w:pPr>
    </w:p>
    <w:p w14:paraId="5ED9CD59" w14:textId="5504F444"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 xml:space="preserve">Comment agit </w:t>
      </w:r>
      <w:proofErr w:type="spellStart"/>
      <w:r>
        <w:rPr>
          <w:rFonts w:ascii="Times New Roman" w:hAnsi="Times New Roman"/>
          <w:b/>
        </w:rPr>
        <w:t>Fingolimod</w:t>
      </w:r>
      <w:proofErr w:type="spellEnd"/>
      <w:r>
        <w:rPr>
          <w:rFonts w:ascii="Times New Roman" w:hAnsi="Times New Roman"/>
          <w:b/>
        </w:rPr>
        <w:t xml:space="preserve"> Mylan</w:t>
      </w:r>
    </w:p>
    <w:p w14:paraId="64A7BF59" w14:textId="2E787012" w:rsidR="001C7C0E" w:rsidRPr="005E3BF6" w:rsidRDefault="00080994" w:rsidP="00CB615C">
      <w:pPr>
        <w:widowControl/>
        <w:spacing w:after="0" w:line="240" w:lineRule="auto"/>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aide à se protéger contre des attaques du SNC par le système immunitaire en réduisant la capacité de certains types de globules blancs (lymphocytes) à circuler librement dans l’organisme et en les empêchant d’atteindre le cerveau et la moelle épinière. Cela limite l’atteinte </w:t>
      </w:r>
      <w:r>
        <w:rPr>
          <w:rFonts w:ascii="Times New Roman" w:hAnsi="Times New Roman"/>
        </w:rPr>
        <w:lastRenderedPageBreak/>
        <w:t>neurologique causée par la SEP. Ce médicament réduit également certaines réactions immunitaires de votre corps.</w:t>
      </w:r>
    </w:p>
    <w:p w14:paraId="43AC902B" w14:textId="248722DC" w:rsidR="00BD30B3" w:rsidRDefault="00BD30B3" w:rsidP="00CB615C">
      <w:pPr>
        <w:widowControl/>
        <w:spacing w:after="0" w:line="240" w:lineRule="auto"/>
        <w:rPr>
          <w:rFonts w:ascii="Times New Roman" w:hAnsi="Times New Roman" w:cs="Times New Roman"/>
        </w:rPr>
      </w:pPr>
    </w:p>
    <w:p w14:paraId="6F510EC3" w14:textId="77777777" w:rsidR="00981C96" w:rsidRPr="005E3BF6" w:rsidRDefault="00981C96" w:rsidP="00CB615C">
      <w:pPr>
        <w:widowControl/>
        <w:spacing w:after="0" w:line="240" w:lineRule="auto"/>
        <w:rPr>
          <w:rFonts w:ascii="Times New Roman" w:hAnsi="Times New Roman" w:cs="Times New Roman"/>
        </w:rPr>
      </w:pPr>
    </w:p>
    <w:p w14:paraId="47BF24D8" w14:textId="23E2800B" w:rsidR="001C7C0E" w:rsidRPr="005E3BF6" w:rsidRDefault="00080994" w:rsidP="00CB615C">
      <w:pPr>
        <w:keepNext/>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2.</w:t>
      </w:r>
      <w:r>
        <w:rPr>
          <w:rFonts w:ascii="Times New Roman" w:hAnsi="Times New Roman"/>
          <w:b/>
        </w:rPr>
        <w:tab/>
        <w:t xml:space="preserve">Quelles sont les informations à connaître avant de prendre </w:t>
      </w:r>
      <w:proofErr w:type="spellStart"/>
      <w:r>
        <w:rPr>
          <w:rFonts w:ascii="Times New Roman" w:hAnsi="Times New Roman"/>
          <w:b/>
        </w:rPr>
        <w:t>Fingolimod</w:t>
      </w:r>
      <w:proofErr w:type="spellEnd"/>
      <w:r>
        <w:rPr>
          <w:rFonts w:ascii="Times New Roman" w:hAnsi="Times New Roman"/>
          <w:b/>
        </w:rPr>
        <w:t xml:space="preserve"> Mylan</w:t>
      </w:r>
    </w:p>
    <w:p w14:paraId="0AF53F0D" w14:textId="77777777" w:rsidR="001C7C0E" w:rsidRPr="005E3BF6" w:rsidRDefault="001C7C0E" w:rsidP="00CB615C">
      <w:pPr>
        <w:keepNext/>
        <w:widowControl/>
        <w:spacing w:after="0" w:line="240" w:lineRule="auto"/>
        <w:rPr>
          <w:rFonts w:ascii="Times New Roman" w:hAnsi="Times New Roman" w:cs="Times New Roman"/>
        </w:rPr>
      </w:pPr>
    </w:p>
    <w:p w14:paraId="7D807B42" w14:textId="7A683482" w:rsidR="001C7C0E" w:rsidRPr="005E3BF6" w:rsidRDefault="00080994" w:rsidP="00CB615C">
      <w:pPr>
        <w:keepNext/>
        <w:widowControl/>
        <w:spacing w:after="0" w:line="240" w:lineRule="auto"/>
        <w:ind w:left="1"/>
        <w:rPr>
          <w:rFonts w:ascii="Times New Roman" w:eastAsia="Times New Roman" w:hAnsi="Times New Roman" w:cs="Times New Roman"/>
        </w:rPr>
      </w:pPr>
      <w:r>
        <w:rPr>
          <w:rFonts w:ascii="Times New Roman" w:hAnsi="Times New Roman"/>
          <w:b/>
        </w:rPr>
        <w:t xml:space="preserve">Ne prenez jamais </w:t>
      </w:r>
      <w:proofErr w:type="spellStart"/>
      <w:r>
        <w:rPr>
          <w:rFonts w:ascii="Times New Roman" w:hAnsi="Times New Roman"/>
          <w:b/>
        </w:rPr>
        <w:t>Fingolimod</w:t>
      </w:r>
      <w:proofErr w:type="spellEnd"/>
      <w:r>
        <w:rPr>
          <w:rFonts w:ascii="Times New Roman" w:hAnsi="Times New Roman"/>
          <w:b/>
        </w:rPr>
        <w:t xml:space="preserve"> Mylan</w:t>
      </w:r>
    </w:p>
    <w:p w14:paraId="088C6DE9" w14:textId="77777777" w:rsidR="009F1F85" w:rsidRPr="005E3BF6" w:rsidRDefault="00080994" w:rsidP="00CB615C">
      <w:pPr>
        <w:pStyle w:val="Paragraphedeliste"/>
        <w:widowControl/>
        <w:numPr>
          <w:ilvl w:val="0"/>
          <w:numId w:val="3"/>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êtes allergique </w:t>
      </w:r>
      <w:r>
        <w:rPr>
          <w:rFonts w:ascii="Times New Roman" w:hAnsi="Times New Roman"/>
        </w:rPr>
        <w:t xml:space="preserve">au </w:t>
      </w:r>
      <w:proofErr w:type="spellStart"/>
      <w:r>
        <w:rPr>
          <w:rFonts w:ascii="Times New Roman" w:hAnsi="Times New Roman"/>
        </w:rPr>
        <w:t>fingolimod</w:t>
      </w:r>
      <w:proofErr w:type="spellEnd"/>
      <w:r>
        <w:rPr>
          <w:rFonts w:ascii="Times New Roman" w:hAnsi="Times New Roman"/>
        </w:rPr>
        <w:t xml:space="preserve"> ou à l’un des autres composants contenus dans ce médicament mentionnés dans la rubrique 6.</w:t>
      </w:r>
    </w:p>
    <w:p w14:paraId="45059341" w14:textId="42ECBE52" w:rsidR="001C7C0E" w:rsidRPr="004E1D41" w:rsidRDefault="00080994" w:rsidP="00CB615C">
      <w:pPr>
        <w:pStyle w:val="Paragraphedeliste"/>
        <w:widowControl/>
        <w:numPr>
          <w:ilvl w:val="0"/>
          <w:numId w:val="3"/>
        </w:numPr>
        <w:spacing w:after="0" w:line="240" w:lineRule="auto"/>
        <w:ind w:left="567" w:hanging="567"/>
        <w:rPr>
          <w:rFonts w:ascii="Times New Roman" w:eastAsia="Times New Roman" w:hAnsi="Times New Roman" w:cs="Times New Roman"/>
        </w:rPr>
      </w:pPr>
      <w:proofErr w:type="gramStart"/>
      <w:r>
        <w:rPr>
          <w:rFonts w:ascii="Times New Roman" w:hAnsi="Times New Roman"/>
        </w:rPr>
        <w:t>si</w:t>
      </w:r>
      <w:proofErr w:type="gramEnd"/>
      <w:r>
        <w:rPr>
          <w:rFonts w:ascii="Times New Roman" w:hAnsi="Times New Roman"/>
        </w:rPr>
        <w:t xml:space="preserve"> votre </w:t>
      </w:r>
      <w:r>
        <w:rPr>
          <w:rFonts w:ascii="Times New Roman" w:hAnsi="Times New Roman"/>
          <w:b/>
        </w:rPr>
        <w:t xml:space="preserve">réponse immunitaire est diminuée </w:t>
      </w:r>
      <w:r>
        <w:rPr>
          <w:rFonts w:ascii="Times New Roman" w:hAnsi="Times New Roman"/>
        </w:rPr>
        <w:t>(à cause d’un syndrome d’immunodéficience, d’une maladie ou de médicaments qui suppriment la réponse immunitaire).</w:t>
      </w:r>
    </w:p>
    <w:p w14:paraId="3943CB74" w14:textId="143FEF1B" w:rsidR="003D4777" w:rsidRPr="004E1D41" w:rsidRDefault="003D4777" w:rsidP="00CB615C">
      <w:pPr>
        <w:pStyle w:val="Paragraphedeliste"/>
        <w:widowControl/>
        <w:numPr>
          <w:ilvl w:val="0"/>
          <w:numId w:val="3"/>
        </w:numPr>
        <w:spacing w:after="0" w:line="240" w:lineRule="auto"/>
        <w:ind w:left="567" w:hanging="567"/>
        <w:rPr>
          <w:rFonts w:ascii="Times New Roman" w:hAnsi="Times New Roman" w:cs="Times New Roman"/>
        </w:rPr>
      </w:pPr>
      <w:proofErr w:type="gramStart"/>
      <w:r w:rsidRPr="004E1D41">
        <w:rPr>
          <w:rFonts w:ascii="Times New Roman" w:hAnsi="Times New Roman" w:cs="Times New Roman"/>
        </w:rPr>
        <w:t>si</w:t>
      </w:r>
      <w:proofErr w:type="gramEnd"/>
      <w:r w:rsidRPr="004E1D41">
        <w:rPr>
          <w:rFonts w:ascii="Times New Roman" w:hAnsi="Times New Roman" w:cs="Times New Roman"/>
        </w:rPr>
        <w:t xml:space="preserve"> votre médecin suspecte que vous puissiez avoir une </w:t>
      </w:r>
      <w:r w:rsidRPr="004E1D41">
        <w:rPr>
          <w:rFonts w:ascii="Times New Roman" w:hAnsi="Times New Roman" w:cs="Times New Roman"/>
          <w:b/>
          <w:bCs/>
        </w:rPr>
        <w:t xml:space="preserve">infection du cerveau rare appelée </w:t>
      </w:r>
      <w:proofErr w:type="spellStart"/>
      <w:r w:rsidRPr="004E1D41">
        <w:rPr>
          <w:rFonts w:ascii="Times New Roman" w:hAnsi="Times New Roman" w:cs="Times New Roman"/>
          <w:b/>
          <w:bCs/>
        </w:rPr>
        <w:t>leucoencéphalopathie</w:t>
      </w:r>
      <w:proofErr w:type="spellEnd"/>
      <w:r w:rsidRPr="004E1D41">
        <w:rPr>
          <w:rFonts w:ascii="Times New Roman" w:hAnsi="Times New Roman" w:cs="Times New Roman"/>
          <w:b/>
          <w:bCs/>
        </w:rPr>
        <w:t xml:space="preserve"> multifocale progressive (LEMP) ou si la LEMP a été confirmée</w:t>
      </w:r>
      <w:r w:rsidRPr="004E1D41">
        <w:rPr>
          <w:rFonts w:ascii="Times New Roman" w:hAnsi="Times New Roman" w:cs="Times New Roman"/>
        </w:rPr>
        <w:t>.</w:t>
      </w:r>
    </w:p>
    <w:p w14:paraId="01EEFD42" w14:textId="6D54FB56" w:rsidR="001C7C0E" w:rsidRPr="005E3BF6" w:rsidRDefault="00080994" w:rsidP="00CB615C">
      <w:pPr>
        <w:pStyle w:val="Paragraphedeliste"/>
        <w:widowControl/>
        <w:numPr>
          <w:ilvl w:val="0"/>
          <w:numId w:val="3"/>
        </w:numPr>
        <w:spacing w:after="0" w:line="240" w:lineRule="auto"/>
        <w:ind w:left="567" w:hanging="567"/>
        <w:rPr>
          <w:rFonts w:ascii="Times New Roman" w:eastAsia="Times New Roman" w:hAnsi="Times New Roman" w:cs="Times New Roman"/>
        </w:rPr>
      </w:pPr>
      <w:proofErr w:type="gramStart"/>
      <w:r>
        <w:rPr>
          <w:rFonts w:ascii="Times New Roman" w:hAnsi="Times New Roman"/>
        </w:rPr>
        <w:t>si</w:t>
      </w:r>
      <w:proofErr w:type="gramEnd"/>
      <w:r>
        <w:rPr>
          <w:rFonts w:ascii="Times New Roman" w:hAnsi="Times New Roman"/>
        </w:rPr>
        <w:t xml:space="preserve"> vous avez une </w:t>
      </w:r>
      <w:r>
        <w:rPr>
          <w:rFonts w:ascii="Times New Roman" w:hAnsi="Times New Roman"/>
          <w:b/>
        </w:rPr>
        <w:t xml:space="preserve">infection active sévère ou une infection chronique active </w:t>
      </w:r>
      <w:r>
        <w:rPr>
          <w:rFonts w:ascii="Times New Roman" w:hAnsi="Times New Roman"/>
        </w:rPr>
        <w:t>telle qu’une hépatite ou une tuberculose.</w:t>
      </w:r>
    </w:p>
    <w:p w14:paraId="48767BE2" w14:textId="741934D9" w:rsidR="001C7C0E" w:rsidRPr="005E3BF6" w:rsidRDefault="00080994" w:rsidP="00CB615C">
      <w:pPr>
        <w:pStyle w:val="Paragraphedeliste"/>
        <w:widowControl/>
        <w:numPr>
          <w:ilvl w:val="0"/>
          <w:numId w:val="3"/>
        </w:numPr>
        <w:tabs>
          <w:tab w:val="left" w:pos="1"/>
        </w:tabs>
        <w:spacing w:after="0" w:line="240" w:lineRule="auto"/>
        <w:ind w:left="567" w:hanging="567"/>
        <w:rPr>
          <w:rFonts w:ascii="Times New Roman" w:eastAsia="Times New Roman" w:hAnsi="Times New Roman" w:cs="Times New Roman"/>
        </w:rPr>
      </w:pPr>
      <w:proofErr w:type="gramStart"/>
      <w:r>
        <w:rPr>
          <w:rFonts w:ascii="Times New Roman" w:hAnsi="Times New Roman"/>
        </w:rPr>
        <w:t>si</w:t>
      </w:r>
      <w:proofErr w:type="gramEnd"/>
      <w:r>
        <w:rPr>
          <w:rFonts w:ascii="Times New Roman" w:hAnsi="Times New Roman"/>
        </w:rPr>
        <w:t xml:space="preserve"> vous souffrez d’un </w:t>
      </w:r>
      <w:r>
        <w:rPr>
          <w:rFonts w:ascii="Times New Roman" w:hAnsi="Times New Roman"/>
          <w:b/>
        </w:rPr>
        <w:t>cancer évolutif</w:t>
      </w:r>
      <w:r>
        <w:rPr>
          <w:rFonts w:ascii="Times New Roman" w:hAnsi="Times New Roman"/>
        </w:rPr>
        <w:t>.</w:t>
      </w:r>
    </w:p>
    <w:p w14:paraId="047B5BB5" w14:textId="5FEB52D8" w:rsidR="001C7C0E" w:rsidRPr="005E3BF6" w:rsidRDefault="00080994" w:rsidP="00CB615C">
      <w:pPr>
        <w:pStyle w:val="Paragraphedeliste"/>
        <w:widowControl/>
        <w:numPr>
          <w:ilvl w:val="0"/>
          <w:numId w:val="3"/>
        </w:numPr>
        <w:spacing w:after="0" w:line="240" w:lineRule="auto"/>
        <w:ind w:left="567" w:hanging="567"/>
        <w:rPr>
          <w:rFonts w:ascii="Times New Roman" w:eastAsia="Times New Roman" w:hAnsi="Times New Roman" w:cs="Times New Roman"/>
        </w:rPr>
      </w:pPr>
      <w:proofErr w:type="gramStart"/>
      <w:r>
        <w:rPr>
          <w:rFonts w:ascii="Times New Roman" w:hAnsi="Times New Roman"/>
        </w:rPr>
        <w:t>si</w:t>
      </w:r>
      <w:proofErr w:type="gramEnd"/>
      <w:r>
        <w:rPr>
          <w:rFonts w:ascii="Times New Roman" w:hAnsi="Times New Roman"/>
        </w:rPr>
        <w:t xml:space="preserve"> vous avez des </w:t>
      </w:r>
      <w:r>
        <w:rPr>
          <w:rFonts w:ascii="Times New Roman" w:hAnsi="Times New Roman"/>
          <w:b/>
        </w:rPr>
        <w:t>problèmes hépatiques sévères</w:t>
      </w:r>
      <w:r>
        <w:rPr>
          <w:rFonts w:ascii="Times New Roman" w:hAnsi="Times New Roman"/>
        </w:rPr>
        <w:t>.</w:t>
      </w:r>
    </w:p>
    <w:p w14:paraId="0B79E7A1" w14:textId="5D70339C" w:rsidR="001C7C0E" w:rsidRPr="005E3BF6" w:rsidRDefault="00080994" w:rsidP="00CB615C">
      <w:pPr>
        <w:pStyle w:val="Paragraphedeliste"/>
        <w:widowControl/>
        <w:numPr>
          <w:ilvl w:val="0"/>
          <w:numId w:val="3"/>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avez eu dans les 6 derniers mois une crise cardiaque, une angine de poitrine, un accident vasculaire cérébral ou un signe d’alerte d’accident vasculaire cérébral ou certains types d’insuffisance cardiaque</w:t>
      </w:r>
      <w:r>
        <w:rPr>
          <w:rFonts w:ascii="Times New Roman" w:hAnsi="Times New Roman"/>
        </w:rPr>
        <w:t>.</w:t>
      </w:r>
    </w:p>
    <w:p w14:paraId="5EB7B9CB" w14:textId="11B5471C" w:rsidR="001C7C0E" w:rsidRPr="005E3BF6" w:rsidRDefault="00080994" w:rsidP="00CB615C">
      <w:pPr>
        <w:pStyle w:val="Paragraphedeliste"/>
        <w:widowControl/>
        <w:numPr>
          <w:ilvl w:val="0"/>
          <w:numId w:val="3"/>
        </w:numPr>
        <w:spacing w:after="0" w:line="240" w:lineRule="auto"/>
        <w:ind w:left="567" w:hanging="567"/>
        <w:rPr>
          <w:rFonts w:ascii="Times New Roman" w:eastAsia="Times New Roman" w:hAnsi="Times New Roman" w:cs="Times New Roman"/>
        </w:rPr>
      </w:pPr>
      <w:proofErr w:type="gramStart"/>
      <w:r>
        <w:rPr>
          <w:rFonts w:ascii="Times New Roman" w:hAnsi="Times New Roman"/>
        </w:rPr>
        <w:t>si</w:t>
      </w:r>
      <w:proofErr w:type="gramEnd"/>
      <w:r>
        <w:rPr>
          <w:rFonts w:ascii="Times New Roman" w:hAnsi="Times New Roman"/>
        </w:rPr>
        <w:t xml:space="preserve"> vous avez certaines formes de </w:t>
      </w:r>
      <w:r>
        <w:rPr>
          <w:rFonts w:ascii="Times New Roman" w:hAnsi="Times New Roman"/>
          <w:b/>
        </w:rPr>
        <w:t xml:space="preserve">rythme cardiaque irrégulier ou anormal </w:t>
      </w:r>
      <w:r>
        <w:rPr>
          <w:rFonts w:ascii="Times New Roman" w:hAnsi="Times New Roman"/>
        </w:rPr>
        <w:t>(arythmies) y compris un électrocardiogramme (ECG) montrant un allongement de l’intervalle QT.</w:t>
      </w:r>
    </w:p>
    <w:p w14:paraId="495F8453" w14:textId="2F3D386D" w:rsidR="001C7C0E" w:rsidRPr="005E3BF6" w:rsidRDefault="00080994" w:rsidP="00CB615C">
      <w:pPr>
        <w:pStyle w:val="Paragraphedeliste"/>
        <w:widowControl/>
        <w:numPr>
          <w:ilvl w:val="0"/>
          <w:numId w:val="3"/>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prenez ou avez récemment pris un médicament pour traiter un rythme cardiaque irrégulier </w:t>
      </w:r>
      <w:r>
        <w:rPr>
          <w:rFonts w:ascii="Times New Roman" w:hAnsi="Times New Roman"/>
        </w:rPr>
        <w:t xml:space="preserve">tel que quinidine, </w:t>
      </w:r>
      <w:proofErr w:type="spellStart"/>
      <w:r>
        <w:rPr>
          <w:rFonts w:ascii="Times New Roman" w:hAnsi="Times New Roman"/>
        </w:rPr>
        <w:t>disopyramide</w:t>
      </w:r>
      <w:proofErr w:type="spellEnd"/>
      <w:r>
        <w:rPr>
          <w:rFonts w:ascii="Times New Roman" w:hAnsi="Times New Roman"/>
        </w:rPr>
        <w:t xml:space="preserve">, amiodarone ou </w:t>
      </w:r>
      <w:proofErr w:type="spellStart"/>
      <w:r>
        <w:rPr>
          <w:rFonts w:ascii="Times New Roman" w:hAnsi="Times New Roman"/>
        </w:rPr>
        <w:t>sotalol</w:t>
      </w:r>
      <w:proofErr w:type="spellEnd"/>
      <w:r>
        <w:rPr>
          <w:rFonts w:ascii="Times New Roman" w:hAnsi="Times New Roman"/>
        </w:rPr>
        <w:t>.</w:t>
      </w:r>
    </w:p>
    <w:p w14:paraId="36FE2EAD" w14:textId="33FCB873" w:rsidR="009F1F85" w:rsidRPr="005E3FEB" w:rsidRDefault="00080994" w:rsidP="00CB615C">
      <w:pPr>
        <w:pStyle w:val="Paragraphedeliste"/>
        <w:widowControl/>
        <w:numPr>
          <w:ilvl w:val="0"/>
          <w:numId w:val="27"/>
        </w:numPr>
        <w:spacing w:after="0" w:line="240" w:lineRule="auto"/>
        <w:ind w:left="567" w:hanging="567"/>
        <w:rPr>
          <w:rFonts w:ascii="Times New Roman" w:eastAsia="Times New Roman" w:hAnsi="Times New Roman" w:cs="Times New Roman"/>
          <w:spacing w:val="-4"/>
        </w:rPr>
      </w:pPr>
      <w:proofErr w:type="gramStart"/>
      <w:r>
        <w:rPr>
          <w:rFonts w:ascii="Times New Roman" w:hAnsi="Times New Roman"/>
        </w:rPr>
        <w:t>si</w:t>
      </w:r>
      <w:proofErr w:type="gramEnd"/>
      <w:r>
        <w:rPr>
          <w:rFonts w:ascii="Times New Roman" w:hAnsi="Times New Roman"/>
        </w:rPr>
        <w:t xml:space="preserve"> vous êtes </w:t>
      </w:r>
      <w:r>
        <w:rPr>
          <w:rFonts w:ascii="Times New Roman" w:hAnsi="Times New Roman"/>
          <w:b/>
        </w:rPr>
        <w:t>enceinte</w:t>
      </w:r>
      <w:r>
        <w:rPr>
          <w:rFonts w:ascii="Times New Roman" w:hAnsi="Times New Roman"/>
        </w:rPr>
        <w:t xml:space="preserve"> ou </w:t>
      </w:r>
      <w:r>
        <w:rPr>
          <w:rFonts w:ascii="Times New Roman" w:hAnsi="Times New Roman"/>
          <w:b/>
        </w:rPr>
        <w:t>en âge de procréer et n’utilisez pas une contraception efficace</w:t>
      </w:r>
      <w:r>
        <w:rPr>
          <w:rFonts w:ascii="Times New Roman" w:hAnsi="Times New Roman"/>
        </w:rPr>
        <w:t>.</w:t>
      </w:r>
    </w:p>
    <w:p w14:paraId="52F8506F" w14:textId="6C4AAFAD" w:rsidR="001C7C0E" w:rsidRPr="005E3BF6" w:rsidRDefault="00080994" w:rsidP="00CB615C">
      <w:pPr>
        <w:widowControl/>
        <w:spacing w:after="0" w:line="240" w:lineRule="auto"/>
        <w:ind w:left="567" w:hanging="567"/>
        <w:rPr>
          <w:rFonts w:ascii="Times New Roman" w:eastAsia="Times New Roman" w:hAnsi="Times New Roman" w:cs="Times New Roman"/>
        </w:rPr>
      </w:pPr>
      <w:r>
        <w:rPr>
          <w:rFonts w:ascii="Times New Roman" w:hAnsi="Times New Roman"/>
        </w:rPr>
        <w:t>Si vous êtes dans une des situations ci-dessus</w:t>
      </w:r>
      <w:r>
        <w:t xml:space="preserve"> </w:t>
      </w:r>
      <w:r>
        <w:rPr>
          <w:rFonts w:ascii="Times New Roman" w:hAnsi="Times New Roman"/>
        </w:rPr>
        <w:t xml:space="preserve">ou si vous n’êtes pas sûr(e), </w:t>
      </w:r>
      <w:r>
        <w:rPr>
          <w:rFonts w:ascii="Times New Roman" w:hAnsi="Times New Roman"/>
          <w:b/>
        </w:rPr>
        <w:t xml:space="preserve">ne prenez pas </w:t>
      </w:r>
      <w:proofErr w:type="spellStart"/>
      <w:r>
        <w:rPr>
          <w:rFonts w:ascii="Times New Roman" w:hAnsi="Times New Roman"/>
          <w:b/>
        </w:rPr>
        <w:t>Fingolimod</w:t>
      </w:r>
      <w:proofErr w:type="spellEnd"/>
      <w:r>
        <w:rPr>
          <w:rFonts w:ascii="Times New Roman" w:hAnsi="Times New Roman"/>
          <w:b/>
        </w:rPr>
        <w:t xml:space="preserve"> Mylan et parlez-en à votre médecin</w:t>
      </w:r>
      <w:r>
        <w:rPr>
          <w:rFonts w:ascii="Times New Roman" w:hAnsi="Times New Roman"/>
        </w:rPr>
        <w:t>.</w:t>
      </w:r>
    </w:p>
    <w:p w14:paraId="1B328AF8" w14:textId="77777777" w:rsidR="001C7C0E" w:rsidRPr="005E3BF6" w:rsidRDefault="001C7C0E" w:rsidP="00CB615C">
      <w:pPr>
        <w:widowControl/>
        <w:spacing w:after="0" w:line="240" w:lineRule="auto"/>
        <w:rPr>
          <w:rFonts w:ascii="Times New Roman" w:hAnsi="Times New Roman" w:cs="Times New Roman"/>
        </w:rPr>
      </w:pPr>
    </w:p>
    <w:p w14:paraId="02EEFD9B"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Avertissements et précautions</w:t>
      </w:r>
    </w:p>
    <w:p w14:paraId="2583C541" w14:textId="7459935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Adressez-vous à votre médecin avant de prendre </w:t>
      </w:r>
      <w:proofErr w:type="spellStart"/>
      <w:r>
        <w:rPr>
          <w:rFonts w:ascii="Times New Roman" w:hAnsi="Times New Roman"/>
        </w:rPr>
        <w:t>Fingolimod</w:t>
      </w:r>
      <w:proofErr w:type="spellEnd"/>
      <w:r>
        <w:rPr>
          <w:rFonts w:ascii="Times New Roman" w:hAnsi="Times New Roman"/>
        </w:rPr>
        <w:t xml:space="preserve"> Mylan :</w:t>
      </w:r>
    </w:p>
    <w:p w14:paraId="4B330CF5" w14:textId="1ABA8D90"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avez de graves problèmes respiratoires pendant le sommeil (apnée du sommeil sévère).</w:t>
      </w:r>
    </w:p>
    <w:p w14:paraId="0084E248" w14:textId="1BB90919"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on vous a dit que votre électrocardiogramme était anormal.</w:t>
      </w:r>
    </w:p>
    <w:p w14:paraId="04E99E61" w14:textId="4E946404"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avez des symptômes de fréquence cardiaque lente (par exemple étourdissements, nausées ou palpitations)</w:t>
      </w:r>
      <w:r>
        <w:rPr>
          <w:rFonts w:ascii="Times New Roman" w:hAnsi="Times New Roman"/>
        </w:rPr>
        <w:t>.</w:t>
      </w:r>
    </w:p>
    <w:p w14:paraId="116DA7E3" w14:textId="2B3D70D9"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prenez ou avez récemment pris des médicaments qui ralentissent le rythme cardiaque </w:t>
      </w:r>
      <w:r>
        <w:rPr>
          <w:rFonts w:ascii="Times New Roman" w:hAnsi="Times New Roman"/>
        </w:rPr>
        <w:t>(comme les bêta-bloquants, le vérapamil, le diltiazem ou l’</w:t>
      </w:r>
      <w:proofErr w:type="spellStart"/>
      <w:r>
        <w:rPr>
          <w:rFonts w:ascii="Times New Roman" w:hAnsi="Times New Roman"/>
        </w:rPr>
        <w:t>ivabradine</w:t>
      </w:r>
      <w:proofErr w:type="spellEnd"/>
      <w:r>
        <w:rPr>
          <w:rFonts w:ascii="Times New Roman" w:hAnsi="Times New Roman"/>
        </w:rPr>
        <w:t xml:space="preserve">, la </w:t>
      </w:r>
      <w:proofErr w:type="spellStart"/>
      <w:r>
        <w:rPr>
          <w:rFonts w:ascii="Times New Roman" w:hAnsi="Times New Roman"/>
        </w:rPr>
        <w:t>digoxine</w:t>
      </w:r>
      <w:proofErr w:type="spellEnd"/>
      <w:r>
        <w:rPr>
          <w:rFonts w:ascii="Times New Roman" w:hAnsi="Times New Roman"/>
        </w:rPr>
        <w:t>, les anticholinestérasiques ou la pilocarpine).</w:t>
      </w:r>
    </w:p>
    <w:p w14:paraId="36CE7ABA" w14:textId="6F034B53"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présentez des antécédents de perte de connaissance subite ou d’évanouissement (syncope)</w:t>
      </w:r>
      <w:r>
        <w:rPr>
          <w:rFonts w:ascii="Times New Roman" w:hAnsi="Times New Roman"/>
        </w:rPr>
        <w:t>.</w:t>
      </w:r>
    </w:p>
    <w:p w14:paraId="2A47022D" w14:textId="70F9DC5E"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prévoyez de vous faire vacciner</w:t>
      </w:r>
      <w:r>
        <w:rPr>
          <w:rFonts w:ascii="Times New Roman" w:hAnsi="Times New Roman"/>
        </w:rPr>
        <w:t>.</w:t>
      </w:r>
    </w:p>
    <w:p w14:paraId="012B44C7" w14:textId="314FE9BB"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n’avez jamais eu la varicelle</w:t>
      </w:r>
      <w:r>
        <w:rPr>
          <w:rFonts w:ascii="Times New Roman" w:hAnsi="Times New Roman"/>
        </w:rPr>
        <w:t>.</w:t>
      </w:r>
    </w:p>
    <w:p w14:paraId="73FA4441" w14:textId="6F9B4B99"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présentez ou avez présenté des troubles visuels </w:t>
      </w:r>
      <w:r>
        <w:rPr>
          <w:rFonts w:ascii="Times New Roman" w:hAnsi="Times New Roman"/>
        </w:rPr>
        <w:t xml:space="preserve">ou d’autres signes de gonflement (« œdème ») dans la zone de la vision centrale (macula) à l’arrière de l’œil (une affection appelée œdème maculaire, voir ci-dessous), une inflammation ou infection oculaire (uvéite) </w:t>
      </w:r>
      <w:r>
        <w:rPr>
          <w:rFonts w:ascii="Times New Roman" w:hAnsi="Times New Roman"/>
          <w:b/>
        </w:rPr>
        <w:t xml:space="preserve">ou si vous êtes diabétique </w:t>
      </w:r>
      <w:r>
        <w:rPr>
          <w:rFonts w:ascii="Times New Roman" w:hAnsi="Times New Roman"/>
        </w:rPr>
        <w:t>(ce qui peut entraîner des problèmes au niveau des yeux).</w:t>
      </w:r>
    </w:p>
    <w:p w14:paraId="63197A22" w14:textId="02FBDC13"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b/>
        </w:rPr>
        <w:t>si</w:t>
      </w:r>
      <w:proofErr w:type="gramEnd"/>
      <w:r>
        <w:rPr>
          <w:rFonts w:ascii="Times New Roman" w:hAnsi="Times New Roman"/>
          <w:b/>
        </w:rPr>
        <w:t xml:space="preserve"> vous avez des problèmes hépatiques</w:t>
      </w:r>
      <w:r>
        <w:rPr>
          <w:rFonts w:ascii="Times New Roman" w:hAnsi="Times New Roman"/>
        </w:rPr>
        <w:t>.</w:t>
      </w:r>
    </w:p>
    <w:p w14:paraId="636F4DC8" w14:textId="48E2576A"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rPr>
        <w:t>si</w:t>
      </w:r>
      <w:proofErr w:type="gramEnd"/>
      <w:r>
        <w:rPr>
          <w:rFonts w:ascii="Times New Roman" w:hAnsi="Times New Roman"/>
        </w:rPr>
        <w:t xml:space="preserve"> vous avez une </w:t>
      </w:r>
      <w:r>
        <w:rPr>
          <w:rFonts w:ascii="Times New Roman" w:hAnsi="Times New Roman"/>
          <w:b/>
        </w:rPr>
        <w:t>pression artérielle élevée qui ne peut pas être contrôlée par les médicaments</w:t>
      </w:r>
      <w:r>
        <w:rPr>
          <w:rFonts w:ascii="Times New Roman" w:hAnsi="Times New Roman"/>
        </w:rPr>
        <w:t>.</w:t>
      </w:r>
    </w:p>
    <w:p w14:paraId="4007CCEB" w14:textId="7D824EF5" w:rsidR="001C7C0E" w:rsidRPr="005E3BF6" w:rsidRDefault="00080994" w:rsidP="00CB615C">
      <w:pPr>
        <w:pStyle w:val="Paragraphedeliste"/>
        <w:widowControl/>
        <w:numPr>
          <w:ilvl w:val="0"/>
          <w:numId w:val="4"/>
        </w:numPr>
        <w:spacing w:after="0" w:line="240" w:lineRule="auto"/>
        <w:ind w:left="567" w:hanging="567"/>
        <w:rPr>
          <w:rFonts w:ascii="Times New Roman" w:eastAsia="Times New Roman" w:hAnsi="Times New Roman" w:cs="Times New Roman"/>
        </w:rPr>
      </w:pPr>
      <w:proofErr w:type="gramStart"/>
      <w:r>
        <w:rPr>
          <w:rFonts w:ascii="Times New Roman" w:hAnsi="Times New Roman"/>
        </w:rPr>
        <w:t>si</w:t>
      </w:r>
      <w:proofErr w:type="gramEnd"/>
      <w:r>
        <w:rPr>
          <w:rFonts w:ascii="Times New Roman" w:hAnsi="Times New Roman"/>
        </w:rPr>
        <w:t xml:space="preserve"> vous souffrez de </w:t>
      </w:r>
      <w:r>
        <w:rPr>
          <w:rFonts w:ascii="Times New Roman" w:hAnsi="Times New Roman"/>
          <w:b/>
        </w:rPr>
        <w:t xml:space="preserve">problèmes pulmonaires sévères </w:t>
      </w:r>
      <w:r>
        <w:rPr>
          <w:rFonts w:ascii="Times New Roman" w:hAnsi="Times New Roman"/>
        </w:rPr>
        <w:t>ou de la toux des fumeurs.</w:t>
      </w:r>
    </w:p>
    <w:p w14:paraId="064D365B" w14:textId="7FD2B1E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Si l’une des situations ci-dessus vous concerne ou que vous n’êtes pas sûr(e),</w:t>
      </w:r>
      <w:r>
        <w:rPr>
          <w:rFonts w:ascii="Times New Roman" w:hAnsi="Times New Roman"/>
          <w:b/>
        </w:rPr>
        <w:t xml:space="preserve"> parlez-en à votre médecin avant de prendre </w:t>
      </w:r>
      <w:proofErr w:type="spellStart"/>
      <w:r>
        <w:rPr>
          <w:rFonts w:ascii="Times New Roman" w:hAnsi="Times New Roman"/>
          <w:b/>
        </w:rPr>
        <w:t>Fingolimod</w:t>
      </w:r>
      <w:proofErr w:type="spellEnd"/>
      <w:r>
        <w:rPr>
          <w:rFonts w:ascii="Times New Roman" w:hAnsi="Times New Roman"/>
          <w:b/>
        </w:rPr>
        <w:t xml:space="preserve"> Mylan.</w:t>
      </w:r>
    </w:p>
    <w:p w14:paraId="5B2AF283" w14:textId="77777777" w:rsidR="001C7C0E" w:rsidRPr="005E3BF6" w:rsidRDefault="001C7C0E" w:rsidP="00CB615C">
      <w:pPr>
        <w:widowControl/>
        <w:spacing w:after="0" w:line="240" w:lineRule="auto"/>
        <w:rPr>
          <w:rFonts w:ascii="Times New Roman" w:hAnsi="Times New Roman" w:cs="Times New Roman"/>
        </w:rPr>
      </w:pPr>
    </w:p>
    <w:p w14:paraId="19A660F0"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Fréquence cardiaque lente (bradycardie) et battements de cœur irréguliers</w:t>
      </w:r>
    </w:p>
    <w:p w14:paraId="2917811B" w14:textId="3497376E" w:rsidR="00EF1960"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En début de traitement ou après avoir pris la première dose de 0,5 mg si vous preniez auparavant une dose quotidienne de 0,25 mg, </w:t>
      </w:r>
      <w:proofErr w:type="spellStart"/>
      <w:r>
        <w:rPr>
          <w:rFonts w:ascii="Times New Roman" w:hAnsi="Times New Roman"/>
        </w:rPr>
        <w:t>Fingolimod</w:t>
      </w:r>
      <w:proofErr w:type="spellEnd"/>
      <w:r>
        <w:rPr>
          <w:rFonts w:ascii="Times New Roman" w:hAnsi="Times New Roman"/>
        </w:rPr>
        <w:t xml:space="preserve"> Mylan entraîne un ralentissement de la fréquence cardiaque. </w:t>
      </w:r>
      <w:r>
        <w:rPr>
          <w:rFonts w:ascii="Times New Roman" w:hAnsi="Times New Roman"/>
        </w:rPr>
        <w:lastRenderedPageBreak/>
        <w:t xml:space="preserve">De ce fait, vous pourriez ressentir des étourdissements ou une fatigue ou être conscient(e) de vos battements de cœur, ou votre pression artérielle pourrait chuter. </w:t>
      </w:r>
      <w:r>
        <w:rPr>
          <w:rFonts w:ascii="Times New Roman" w:hAnsi="Times New Roman"/>
          <w:b/>
        </w:rPr>
        <w:t xml:space="preserve">Si ces effets sont sévères, prévenez votre médecin, car vous aurez besoin d’un traitement immédiat. </w:t>
      </w:r>
      <w:r>
        <w:rPr>
          <w:rFonts w:ascii="Times New Roman" w:hAnsi="Times New Roman"/>
        </w:rPr>
        <w:t>Ce médicament peut également provoquer un rythme cardiaque irrégulier, en particulier après l’administration de la première dose. En général, le rythme cardiaque irrégulier redevient normal en moins de 24 heures. La fréquence cardiaque faible redevient généralement normale en un mois. Pendant cette période, aucun effet cliniquement significatif de la fréquence cardiaque n’est généralement attendu.</w:t>
      </w:r>
    </w:p>
    <w:p w14:paraId="4EE40CE2" w14:textId="77777777" w:rsidR="00EF1960" w:rsidRDefault="00EF1960" w:rsidP="00CB615C">
      <w:pPr>
        <w:widowControl/>
        <w:spacing w:after="0" w:line="240" w:lineRule="auto"/>
        <w:ind w:left="1"/>
        <w:rPr>
          <w:rFonts w:ascii="Times New Roman" w:eastAsia="Times New Roman" w:hAnsi="Times New Roman" w:cs="Times New Roman"/>
          <w:spacing w:val="-1"/>
        </w:rPr>
      </w:pPr>
    </w:p>
    <w:p w14:paraId="2B09E55D" w14:textId="2CDFD445"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Votre médecin vous demandera de rester à l’hôpital ou dans une clinique pendant au moins 6 heures avec des mesures du pouls et de la tension artérielle toutes les heures après avoir pris la première dose de </w:t>
      </w:r>
      <w:proofErr w:type="spellStart"/>
      <w:r>
        <w:rPr>
          <w:rFonts w:ascii="Times New Roman" w:hAnsi="Times New Roman"/>
        </w:rPr>
        <w:t>Fingolimod</w:t>
      </w:r>
      <w:proofErr w:type="spellEnd"/>
      <w:r>
        <w:rPr>
          <w:rFonts w:ascii="Times New Roman" w:hAnsi="Times New Roman"/>
        </w:rPr>
        <w:t xml:space="preserve"> Mylan ou après avoir pris la première dose de 0,5 mg si vous preniez auparavant une dose quotidienne de 0,25 mg afin que des mesures appropriées puissent être prises en cas de survenue d’effets indésirables pouvant apparaître à l’instauration du traitement. Vous devez avoir un électrocardiogramme avant la première dose de ce médicament et après la période de surveillance de 6 heures. Votre médecin pourra surveiller votre électrocardiogramme de façon continue pendant cette période. Si après cette période de 6 heures, votre rythme cardiaque est très lent ou continue à diminuer, ou si votre électrocardiogramme montre des anomalies, vous pourriez avoir besoin d’être surveillé pendant une période plus longue (au moins 2 heures de plus et possiblement jusqu’au lendemain), jusqu’à ce que ces effets aient disparu. Des précautions identiques peuvent s’appliquer si vous reprenez </w:t>
      </w:r>
      <w:proofErr w:type="spellStart"/>
      <w:r>
        <w:rPr>
          <w:rFonts w:ascii="Times New Roman" w:hAnsi="Times New Roman"/>
        </w:rPr>
        <w:t>Fingolimod</w:t>
      </w:r>
      <w:proofErr w:type="spellEnd"/>
      <w:r>
        <w:rPr>
          <w:rFonts w:ascii="Times New Roman" w:hAnsi="Times New Roman"/>
        </w:rPr>
        <w:t xml:space="preserve"> Mylan après une interruption de traitement, ceci en fonction de la durée de l’interruption et de la durée de traitement avant l’interruption.</w:t>
      </w:r>
    </w:p>
    <w:p w14:paraId="35B0F575" w14:textId="77777777" w:rsidR="001C7C0E" w:rsidRPr="005E3BF6" w:rsidRDefault="001C7C0E" w:rsidP="00CB615C">
      <w:pPr>
        <w:widowControl/>
        <w:spacing w:after="0" w:line="240" w:lineRule="auto"/>
        <w:rPr>
          <w:rFonts w:ascii="Times New Roman" w:hAnsi="Times New Roman" w:cs="Times New Roman"/>
        </w:rPr>
      </w:pPr>
    </w:p>
    <w:p w14:paraId="60C546B8" w14:textId="4C68487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vous avez ou si vous êtes à risque d’avoir un rythme cardiaque irrégulier ou anormal, si votre électrocardiogramme est anormal, ou si vous avez une maladie cardiaque ou une insuffisance cardiaque, </w:t>
      </w:r>
      <w:proofErr w:type="spellStart"/>
      <w:r>
        <w:rPr>
          <w:rFonts w:ascii="Times New Roman" w:hAnsi="Times New Roman"/>
        </w:rPr>
        <w:t>Fingolimod</w:t>
      </w:r>
      <w:proofErr w:type="spellEnd"/>
      <w:r>
        <w:rPr>
          <w:rFonts w:ascii="Times New Roman" w:hAnsi="Times New Roman"/>
        </w:rPr>
        <w:t xml:space="preserve"> Mylan peut ne pas être un traitement adapté.</w:t>
      </w:r>
    </w:p>
    <w:p w14:paraId="0B36EA0C" w14:textId="77777777" w:rsidR="001C7C0E" w:rsidRPr="005E3BF6" w:rsidRDefault="001C7C0E" w:rsidP="00CB615C">
      <w:pPr>
        <w:widowControl/>
        <w:spacing w:after="0" w:line="240" w:lineRule="auto"/>
        <w:rPr>
          <w:rFonts w:ascii="Times New Roman" w:hAnsi="Times New Roman" w:cs="Times New Roman"/>
        </w:rPr>
      </w:pPr>
    </w:p>
    <w:p w14:paraId="54BD82BC" w14:textId="0055A9C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vous présentez des antécédents de perte de connaissance subite ou de ralentissement du rythme cardiaque, </w:t>
      </w:r>
      <w:proofErr w:type="spellStart"/>
      <w:r>
        <w:rPr>
          <w:rFonts w:ascii="Times New Roman" w:hAnsi="Times New Roman"/>
        </w:rPr>
        <w:t>Fingolimod</w:t>
      </w:r>
      <w:proofErr w:type="spellEnd"/>
      <w:r>
        <w:rPr>
          <w:rFonts w:ascii="Times New Roman" w:hAnsi="Times New Roman"/>
        </w:rPr>
        <w:t xml:space="preserve"> Mylan peut ne pas être un traitement adapté. Vous devrez consulter un cardiologue (spécialiste du cœur) afin d’avoir un avis sur les mesures à mettre en place pour débuter le traitement, y compris une surveillance jusqu’au lendemain.</w:t>
      </w:r>
    </w:p>
    <w:p w14:paraId="054D3EDE" w14:textId="77777777" w:rsidR="001C7C0E" w:rsidRPr="005E3BF6" w:rsidRDefault="001C7C0E" w:rsidP="00CB615C">
      <w:pPr>
        <w:widowControl/>
        <w:spacing w:after="0" w:line="240" w:lineRule="auto"/>
        <w:rPr>
          <w:rFonts w:ascii="Times New Roman" w:hAnsi="Times New Roman" w:cs="Times New Roman"/>
        </w:rPr>
      </w:pPr>
    </w:p>
    <w:p w14:paraId="7F717295" w14:textId="6AABD78F"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Dans le cas où vous prenez des médicaments qui peuvent entraîner un ralentissement du rythme cardiaque, </w:t>
      </w:r>
      <w:proofErr w:type="spellStart"/>
      <w:r>
        <w:rPr>
          <w:rFonts w:ascii="Times New Roman" w:hAnsi="Times New Roman"/>
        </w:rPr>
        <w:t>Fingolimod</w:t>
      </w:r>
      <w:proofErr w:type="spellEnd"/>
      <w:r>
        <w:rPr>
          <w:rFonts w:ascii="Times New Roman" w:hAnsi="Times New Roman"/>
        </w:rPr>
        <w:t xml:space="preserve"> Mylan peut ne pas être un traitement adapté. Vous devrez consulter un cardiologue qui évaluera si vous pouvez prendre d’autres médicaments qui ne diminuent pas votre rythme cardiaque et ainsi permettre l’initiation d’un traitement par </w:t>
      </w:r>
      <w:proofErr w:type="spellStart"/>
      <w:r>
        <w:rPr>
          <w:rFonts w:ascii="Times New Roman" w:hAnsi="Times New Roman"/>
        </w:rPr>
        <w:t>Fingolimod</w:t>
      </w:r>
      <w:proofErr w:type="spellEnd"/>
      <w:r>
        <w:rPr>
          <w:rFonts w:ascii="Times New Roman" w:hAnsi="Times New Roman"/>
        </w:rPr>
        <w:t xml:space="preserve"> Mylan. Si un changement de traitement est impossible, le cardiologue proposera des mesures à mettre en place au moment de la première prise de </w:t>
      </w:r>
      <w:proofErr w:type="spellStart"/>
      <w:r>
        <w:rPr>
          <w:rFonts w:ascii="Times New Roman" w:hAnsi="Times New Roman"/>
        </w:rPr>
        <w:t>Fingolimod</w:t>
      </w:r>
      <w:proofErr w:type="spellEnd"/>
      <w:r>
        <w:rPr>
          <w:rFonts w:ascii="Times New Roman" w:hAnsi="Times New Roman"/>
        </w:rPr>
        <w:t xml:space="preserve"> Mylan, ce qui pourra inclure une surveillance jusqu’au lendemain.</w:t>
      </w:r>
    </w:p>
    <w:p w14:paraId="3E45B737" w14:textId="77777777" w:rsidR="001C7C0E" w:rsidRPr="005E3BF6" w:rsidRDefault="001C7C0E" w:rsidP="00CB615C">
      <w:pPr>
        <w:widowControl/>
        <w:spacing w:after="0" w:line="240" w:lineRule="auto"/>
        <w:rPr>
          <w:rFonts w:ascii="Times New Roman" w:hAnsi="Times New Roman" w:cs="Times New Roman"/>
        </w:rPr>
      </w:pPr>
    </w:p>
    <w:p w14:paraId="139280D7"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Si vous n’avez jamais eu la varicelle</w:t>
      </w:r>
    </w:p>
    <w:p w14:paraId="766572FF" w14:textId="74BF8326"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vous n’avez jamais eu la varicelle, votre médecin contrôlera votre immunité contre le virus à l’origine de la maladie (virus de la varicelle et du zona). Si vous n’êtes pas protégé(e) contre le virus, il pourra être nécessaire de vous faire vacciner avant de débuter le traitement par </w:t>
      </w:r>
      <w:proofErr w:type="spellStart"/>
      <w:r>
        <w:rPr>
          <w:rFonts w:ascii="Times New Roman" w:hAnsi="Times New Roman"/>
        </w:rPr>
        <w:t>Fingolimod</w:t>
      </w:r>
      <w:proofErr w:type="spellEnd"/>
      <w:r>
        <w:rPr>
          <w:rFonts w:ascii="Times New Roman" w:hAnsi="Times New Roman"/>
        </w:rPr>
        <w:t xml:space="preserve"> Mylan. Dans ce cas, votre médecin diffèrera jusqu’à un mois le début du traitement une fois la vaccination complète terminée.</w:t>
      </w:r>
    </w:p>
    <w:p w14:paraId="2CF99800" w14:textId="77777777" w:rsidR="001C7C0E" w:rsidRPr="005E3BF6" w:rsidRDefault="001C7C0E" w:rsidP="00CB615C">
      <w:pPr>
        <w:widowControl/>
        <w:spacing w:after="0" w:line="240" w:lineRule="auto"/>
        <w:rPr>
          <w:rFonts w:ascii="Times New Roman" w:hAnsi="Times New Roman" w:cs="Times New Roman"/>
        </w:rPr>
      </w:pPr>
    </w:p>
    <w:p w14:paraId="7E48F91C"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Infections</w:t>
      </w:r>
    </w:p>
    <w:p w14:paraId="65219FF0" w14:textId="4728863A" w:rsidR="00EF1960"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diminue le nombre de globules blancs (en particulier le nombre de lymphocytes). Les globules blancs combattent les infections. Pendant le traitement avec ce médicament (et jusqu’à deux mois après son arrêt), vous pourrez être plus sensible aux infections. Une infection que vous avez déjà pourrait s’aggraver. Les infections pourraient être graves et potentiellement fatales. Si vous pensez avoir une infection, si vous avez de la fièvre, si vous ressentez des symptômes grippaux, si vous avez un zona ou avez des maux de tête accompagnés de raideur de la nuque, sensibilité à la lumière, nausées, éruption cutanée et/ou confusion ou convulsions (crises épileptiques) (ceux-ci peuvent être des symptômes de méningite et/ou d’encéphalite causés par une infection par un champignon (fongique) ou par le virus de l’herpès), contactez immédiatement votre médecin parce que ces signes peuvent être graves et mettre votre vie en danger. </w:t>
      </w:r>
    </w:p>
    <w:p w14:paraId="6B6029E2" w14:textId="77777777" w:rsidR="001C7C0E" w:rsidRPr="005E3BF6" w:rsidRDefault="001C7C0E" w:rsidP="00CB615C">
      <w:pPr>
        <w:widowControl/>
        <w:spacing w:after="0" w:line="240" w:lineRule="auto"/>
        <w:rPr>
          <w:rFonts w:ascii="Times New Roman" w:hAnsi="Times New Roman" w:cs="Times New Roman"/>
        </w:rPr>
      </w:pPr>
    </w:p>
    <w:p w14:paraId="6333C074" w14:textId="18A2968B"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cas d’infection par le papillomavirus humain (HPV), comprenant papillomes, dysplasies, verrues et cancers liés au HPV, ont été rapportés chez des patients traités par </w:t>
      </w:r>
      <w:proofErr w:type="spellStart"/>
      <w:r>
        <w:rPr>
          <w:rFonts w:ascii="Times New Roman" w:hAnsi="Times New Roman"/>
        </w:rPr>
        <w:t>Fingolimod</w:t>
      </w:r>
      <w:proofErr w:type="spellEnd"/>
      <w:r>
        <w:rPr>
          <w:rFonts w:ascii="Times New Roman" w:hAnsi="Times New Roman"/>
        </w:rPr>
        <w:t xml:space="preserve"> Mylan</w:t>
      </w:r>
      <w:r>
        <w:rPr>
          <w:rFonts w:ascii="Times New Roman" w:hAnsi="Times New Roman"/>
          <w:i/>
        </w:rPr>
        <w:t xml:space="preserve">. </w:t>
      </w:r>
      <w:r>
        <w:rPr>
          <w:rFonts w:ascii="Times New Roman" w:hAnsi="Times New Roman"/>
        </w:rPr>
        <w:t>Votre médecin évaluera si vous devez être vacciné contre le virus HPV avant de débuter le traitement. Si vous êtes une femme, votre médecin vous recommandera également un dépistage HPV.</w:t>
      </w:r>
    </w:p>
    <w:p w14:paraId="40CF0C23" w14:textId="77777777" w:rsidR="003D4777" w:rsidRPr="003D4777" w:rsidRDefault="003D4777" w:rsidP="00CB615C">
      <w:pPr>
        <w:widowControl/>
        <w:spacing w:after="0" w:line="240" w:lineRule="auto"/>
        <w:rPr>
          <w:rFonts w:ascii="Times New Roman" w:hAnsi="Times New Roman" w:cs="Times New Roman"/>
        </w:rPr>
      </w:pPr>
    </w:p>
    <w:p w14:paraId="62116EEF" w14:textId="77777777" w:rsidR="003D4777" w:rsidRPr="003D4777" w:rsidRDefault="003D4777" w:rsidP="00CB615C">
      <w:pPr>
        <w:widowControl/>
        <w:spacing w:after="0" w:line="240" w:lineRule="auto"/>
        <w:rPr>
          <w:rFonts w:ascii="Times New Roman" w:hAnsi="Times New Roman" w:cs="Times New Roman"/>
          <w:u w:val="single"/>
        </w:rPr>
      </w:pPr>
      <w:r w:rsidRPr="003D4777">
        <w:rPr>
          <w:rFonts w:ascii="Times New Roman" w:hAnsi="Times New Roman" w:cs="Times New Roman"/>
          <w:u w:val="single"/>
        </w:rPr>
        <w:t>LEMP</w:t>
      </w:r>
    </w:p>
    <w:p w14:paraId="51D9A6F5" w14:textId="2B06CCF3" w:rsidR="003D4777" w:rsidRPr="003D4777" w:rsidRDefault="003D4777" w:rsidP="00CB615C">
      <w:pPr>
        <w:widowControl/>
        <w:spacing w:after="0" w:line="240" w:lineRule="auto"/>
        <w:rPr>
          <w:rFonts w:ascii="Times New Roman" w:hAnsi="Times New Roman" w:cs="Times New Roman"/>
        </w:rPr>
      </w:pPr>
      <w:r w:rsidRPr="003D4777">
        <w:rPr>
          <w:rFonts w:ascii="Times New Roman" w:hAnsi="Times New Roman" w:cs="Times New Roman"/>
        </w:rPr>
        <w:t>La LEMP est une maladie rare du cerveau causée par une infection qui peut entraîner un handicap sévère ou le décès.</w:t>
      </w:r>
      <w:r w:rsidR="003B5939">
        <w:rPr>
          <w:rFonts w:ascii="Times New Roman" w:hAnsi="Times New Roman" w:cs="Times New Roman"/>
        </w:rPr>
        <w:t xml:space="preserve"> </w:t>
      </w:r>
      <w:r w:rsidRPr="003D4777">
        <w:rPr>
          <w:rFonts w:ascii="Times New Roman" w:hAnsi="Times New Roman" w:cs="Times New Roman"/>
        </w:rPr>
        <w:t>Votre médecin vous prescrira une imagerie par résonance magnétique (IRM) avant l’initiation du traitement et au cours du traitement pour surveiller le risque de LEMP.</w:t>
      </w:r>
    </w:p>
    <w:p w14:paraId="25E6E091" w14:textId="77777777" w:rsidR="003D4777" w:rsidRPr="003D4777" w:rsidRDefault="003D4777" w:rsidP="00CB615C">
      <w:pPr>
        <w:widowControl/>
        <w:spacing w:after="0" w:line="240" w:lineRule="auto"/>
        <w:rPr>
          <w:rFonts w:ascii="Times New Roman" w:hAnsi="Times New Roman" w:cs="Times New Roman"/>
        </w:rPr>
      </w:pPr>
    </w:p>
    <w:p w14:paraId="2541F32B" w14:textId="77777777" w:rsidR="003D4777" w:rsidRPr="003D4777" w:rsidRDefault="003D4777" w:rsidP="00CB615C">
      <w:pPr>
        <w:widowControl/>
        <w:spacing w:after="0" w:line="240" w:lineRule="auto"/>
        <w:rPr>
          <w:rFonts w:ascii="Times New Roman" w:hAnsi="Times New Roman" w:cs="Times New Roman"/>
        </w:rPr>
      </w:pPr>
      <w:r w:rsidRPr="003D4777">
        <w:rPr>
          <w:rFonts w:ascii="Times New Roman" w:hAnsi="Times New Roman" w:cs="Times New Roman"/>
        </w:rPr>
        <w:t>Si vous pensez que votre sclérose en plaques s’aggrave ou si vous constatez un nouveau symptôme, par exemple un changement d’humeur ou de comportement, une faiblesse nouvelle ou aggravée d’un côté du corps, des troubles visuels, une confusion, des pertes de mémoire ou des difficultés de parole et communication, parlez-en à votre médecin dès que possible. Ceux-ci peuvent être des symptômes de la LEMP. Parlez-en également avec votre partenaire ou vos soignants et informez-les de votre traitement. Les symptômes peuvent survenir sans que vous ne vous en rendiez compte par vous-même.</w:t>
      </w:r>
    </w:p>
    <w:p w14:paraId="6E1A7FF3" w14:textId="77777777" w:rsidR="003D4777" w:rsidRPr="003D4777" w:rsidRDefault="003D4777" w:rsidP="00CB615C">
      <w:pPr>
        <w:widowControl/>
        <w:spacing w:after="0" w:line="240" w:lineRule="auto"/>
        <w:rPr>
          <w:rFonts w:ascii="Times New Roman" w:hAnsi="Times New Roman" w:cs="Times New Roman"/>
        </w:rPr>
      </w:pPr>
    </w:p>
    <w:p w14:paraId="09AB8A7C" w14:textId="0632A902" w:rsidR="003D4777" w:rsidRPr="003D4777" w:rsidRDefault="003D4777" w:rsidP="00CB615C">
      <w:pPr>
        <w:widowControl/>
        <w:spacing w:after="0" w:line="240" w:lineRule="auto"/>
        <w:rPr>
          <w:rFonts w:ascii="Times New Roman" w:hAnsi="Times New Roman" w:cs="Times New Roman"/>
        </w:rPr>
      </w:pPr>
      <w:r w:rsidRPr="003D4777">
        <w:rPr>
          <w:rFonts w:ascii="Times New Roman" w:hAnsi="Times New Roman" w:cs="Times New Roman"/>
        </w:rPr>
        <w:t xml:space="preserve">Si vous êtes atteint de LEMP, elle peut être traitée et votre traitement par </w:t>
      </w:r>
      <w:proofErr w:type="spellStart"/>
      <w:r>
        <w:rPr>
          <w:rFonts w:ascii="Times New Roman" w:hAnsi="Times New Roman" w:cs="Times New Roman"/>
        </w:rPr>
        <w:t>Fingolimod</w:t>
      </w:r>
      <w:proofErr w:type="spellEnd"/>
      <w:r>
        <w:rPr>
          <w:rFonts w:ascii="Times New Roman" w:hAnsi="Times New Roman" w:cs="Times New Roman"/>
        </w:rPr>
        <w:t xml:space="preserve"> Mylan</w:t>
      </w:r>
      <w:r w:rsidRPr="003D4777">
        <w:rPr>
          <w:rFonts w:ascii="Times New Roman" w:hAnsi="Times New Roman" w:cs="Times New Roman"/>
        </w:rPr>
        <w:t xml:space="preserve"> sera arrêté. Certaines personnes subissent une réaction inflammatoire à l’arrêt de </w:t>
      </w:r>
      <w:proofErr w:type="spellStart"/>
      <w:r>
        <w:rPr>
          <w:rFonts w:ascii="Times New Roman" w:hAnsi="Times New Roman" w:cs="Times New Roman"/>
        </w:rPr>
        <w:t>Fingolimod</w:t>
      </w:r>
      <w:proofErr w:type="spellEnd"/>
      <w:r>
        <w:rPr>
          <w:rFonts w:ascii="Times New Roman" w:hAnsi="Times New Roman" w:cs="Times New Roman"/>
        </w:rPr>
        <w:t xml:space="preserve"> Mylan</w:t>
      </w:r>
      <w:r w:rsidRPr="003D4777">
        <w:rPr>
          <w:rFonts w:ascii="Times New Roman" w:hAnsi="Times New Roman" w:cs="Times New Roman"/>
        </w:rPr>
        <w:t>. Cette réaction (nommée syndrome inflammatoire de reconstitution immune ou IRIS) peut engendrer une détérioration de votre état, y compris une détérioration de votre fonction cérébrale.</w:t>
      </w:r>
    </w:p>
    <w:p w14:paraId="536B1DFF" w14:textId="77777777" w:rsidR="001C7C0E" w:rsidRPr="005E3BF6" w:rsidRDefault="001C7C0E" w:rsidP="00CB615C">
      <w:pPr>
        <w:widowControl/>
        <w:spacing w:after="0" w:line="240" w:lineRule="auto"/>
        <w:rPr>
          <w:rFonts w:ascii="Times New Roman" w:hAnsi="Times New Roman" w:cs="Times New Roman"/>
        </w:rPr>
      </w:pPr>
    </w:p>
    <w:p w14:paraId="4F6AA324"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Œdème maculaire</w:t>
      </w:r>
    </w:p>
    <w:p w14:paraId="49017E4F" w14:textId="3DC9B0D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vous présentez ou avez présenté des troubles visuels ou d’autres signes de gonflement (« œdème ») dans la zone de la vision centrale (macula) à l’arrière de l’œil, une inflammation ou infection oculaire (uvéite) ou si vous êtes diabétique, votre médecin pourra vous demander de passer un examen ophtalmologique avant de débuter le traitement par </w:t>
      </w:r>
      <w:proofErr w:type="spellStart"/>
      <w:r>
        <w:rPr>
          <w:rFonts w:ascii="Times New Roman" w:hAnsi="Times New Roman"/>
        </w:rPr>
        <w:t>Fingolimod</w:t>
      </w:r>
      <w:proofErr w:type="spellEnd"/>
      <w:r>
        <w:rPr>
          <w:rFonts w:ascii="Times New Roman" w:hAnsi="Times New Roman"/>
        </w:rPr>
        <w:t xml:space="preserve"> Mylan.</w:t>
      </w:r>
    </w:p>
    <w:p w14:paraId="59577B8F" w14:textId="77777777" w:rsidR="001C7C0E" w:rsidRPr="005E3BF6" w:rsidRDefault="001C7C0E" w:rsidP="00CB615C">
      <w:pPr>
        <w:widowControl/>
        <w:spacing w:after="0" w:line="240" w:lineRule="auto"/>
        <w:rPr>
          <w:rFonts w:ascii="Times New Roman" w:hAnsi="Times New Roman" w:cs="Times New Roman"/>
        </w:rPr>
      </w:pPr>
    </w:p>
    <w:p w14:paraId="685FF777" w14:textId="78B2432C" w:rsidR="00A103F1"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Votre médecin pourra vous demander de passer un examen ophtalmologique 3 à 4 mois après avoir débuté le traitement par </w:t>
      </w:r>
      <w:proofErr w:type="spellStart"/>
      <w:r>
        <w:rPr>
          <w:rFonts w:ascii="Times New Roman" w:hAnsi="Times New Roman"/>
        </w:rPr>
        <w:t>Fingolimod</w:t>
      </w:r>
      <w:proofErr w:type="spellEnd"/>
      <w:r>
        <w:rPr>
          <w:rFonts w:ascii="Times New Roman" w:hAnsi="Times New Roman"/>
        </w:rPr>
        <w:t xml:space="preserve"> Mylan.</w:t>
      </w:r>
    </w:p>
    <w:p w14:paraId="1BEE032B" w14:textId="77777777" w:rsidR="00A103F1" w:rsidRPr="005E3BF6" w:rsidRDefault="00A103F1" w:rsidP="00CB615C">
      <w:pPr>
        <w:widowControl/>
        <w:spacing w:after="0" w:line="240" w:lineRule="auto"/>
        <w:ind w:left="1"/>
        <w:rPr>
          <w:rFonts w:ascii="Times New Roman" w:eastAsia="Times New Roman" w:hAnsi="Times New Roman" w:cs="Times New Roman"/>
        </w:rPr>
      </w:pPr>
    </w:p>
    <w:p w14:paraId="723559E1" w14:textId="6E15953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La macula est la petite zone de la rétine située à l’arrière de l’œil et qui vous permet de voir clairement et nettement les formes, les couleurs et les détails. </w:t>
      </w:r>
      <w:proofErr w:type="spellStart"/>
      <w:r>
        <w:rPr>
          <w:rFonts w:ascii="Times New Roman" w:hAnsi="Times New Roman"/>
        </w:rPr>
        <w:t>Fingolimod</w:t>
      </w:r>
      <w:proofErr w:type="spellEnd"/>
      <w:r>
        <w:rPr>
          <w:rFonts w:ascii="Times New Roman" w:hAnsi="Times New Roman"/>
        </w:rPr>
        <w:t xml:space="preserve"> Mylan peut provoquer un gonflement dans la macula, une affection appelée œdème maculaire. L’œdème survient généralement au cours des quatre premiers mois de traitement.</w:t>
      </w:r>
    </w:p>
    <w:p w14:paraId="03C5F917" w14:textId="77777777" w:rsidR="001C7C0E" w:rsidRPr="005E3BF6" w:rsidRDefault="001C7C0E" w:rsidP="00CB615C">
      <w:pPr>
        <w:widowControl/>
        <w:spacing w:after="0" w:line="240" w:lineRule="auto"/>
        <w:rPr>
          <w:rFonts w:ascii="Times New Roman" w:hAnsi="Times New Roman" w:cs="Times New Roman"/>
        </w:rPr>
      </w:pPr>
    </w:p>
    <w:p w14:paraId="5CF18DA4" w14:textId="5EF4AC60"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Votre risque de développer un œdème maculaire est plus élevé si vous êtes </w:t>
      </w:r>
      <w:r>
        <w:rPr>
          <w:rFonts w:ascii="Times New Roman" w:hAnsi="Times New Roman"/>
          <w:b/>
        </w:rPr>
        <w:t xml:space="preserve">diabétique </w:t>
      </w:r>
      <w:r>
        <w:rPr>
          <w:rFonts w:ascii="Times New Roman" w:hAnsi="Times New Roman"/>
        </w:rPr>
        <w:t>ou si vous avez eu une inflammation de l’œil appelée uvéite. Dans ces cas, votre médecin vous demandera de passer un examen ophtalmologique régulièrement afin de détecter un œdème maculaire.</w:t>
      </w:r>
    </w:p>
    <w:p w14:paraId="2AE544E7" w14:textId="77777777" w:rsidR="00A103F1" w:rsidRPr="005E3BF6" w:rsidRDefault="00A103F1" w:rsidP="00CB615C">
      <w:pPr>
        <w:widowControl/>
        <w:spacing w:after="0" w:line="240" w:lineRule="auto"/>
        <w:ind w:left="1"/>
        <w:rPr>
          <w:rFonts w:ascii="Times New Roman" w:eastAsia="Times New Roman" w:hAnsi="Times New Roman" w:cs="Times New Roman"/>
        </w:rPr>
      </w:pPr>
    </w:p>
    <w:p w14:paraId="32E13351" w14:textId="064BDB85" w:rsidR="00A103F1"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vous avez eu un œdème maculaire, parlez-en à votre médecin avant de reprendre le traitement par </w:t>
      </w:r>
      <w:proofErr w:type="spellStart"/>
      <w:r>
        <w:rPr>
          <w:rFonts w:ascii="Times New Roman" w:hAnsi="Times New Roman"/>
        </w:rPr>
        <w:t>Fingolimod</w:t>
      </w:r>
      <w:proofErr w:type="spellEnd"/>
      <w:r>
        <w:rPr>
          <w:rFonts w:ascii="Times New Roman" w:hAnsi="Times New Roman"/>
        </w:rPr>
        <w:t xml:space="preserve"> Mylan. </w:t>
      </w:r>
    </w:p>
    <w:p w14:paraId="67D57D0B" w14:textId="77777777" w:rsidR="00A103F1" w:rsidRPr="005E3BF6" w:rsidRDefault="00A103F1" w:rsidP="00CB615C">
      <w:pPr>
        <w:widowControl/>
        <w:spacing w:after="0" w:line="240" w:lineRule="auto"/>
        <w:ind w:left="1"/>
        <w:rPr>
          <w:rFonts w:ascii="Times New Roman" w:eastAsia="Times New Roman" w:hAnsi="Times New Roman" w:cs="Times New Roman"/>
        </w:rPr>
      </w:pPr>
    </w:p>
    <w:p w14:paraId="0C58925C" w14:textId="55566594" w:rsidR="001C7C0E" w:rsidRPr="005E3BF6" w:rsidRDefault="00080994" w:rsidP="0021615D">
      <w:pPr>
        <w:widowControl/>
        <w:spacing w:after="0" w:line="240" w:lineRule="auto"/>
        <w:ind w:left="1"/>
        <w:rPr>
          <w:rFonts w:ascii="Times New Roman" w:eastAsia="Times New Roman" w:hAnsi="Times New Roman" w:cs="Times New Roman"/>
        </w:rPr>
      </w:pPr>
      <w:r>
        <w:rPr>
          <w:rFonts w:ascii="Times New Roman" w:hAnsi="Times New Roman"/>
        </w:rPr>
        <w:t>L’œdème maculaire peut provoquer certains symptômes visuels identiques à ceux d’une poussée de sclérose en plaques (névrite optique). Au tout</w:t>
      </w:r>
      <w:r w:rsidR="0021615D">
        <w:rPr>
          <w:rFonts w:ascii="Times New Roman" w:hAnsi="Times New Roman"/>
        </w:rPr>
        <w:t xml:space="preserve"> </w:t>
      </w:r>
      <w:r>
        <w:rPr>
          <w:rFonts w:ascii="Times New Roman" w:hAnsi="Times New Roman"/>
        </w:rPr>
        <w:t>début, il peut ne provoquer aucun symptôme. Assurez-vous d’informer votre médecin de tout changement de votre vision.</w:t>
      </w:r>
    </w:p>
    <w:p w14:paraId="3CF38613"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Votre médecin pourra vous demander de passer un examen ophtalmologique, notamment si :</w:t>
      </w:r>
    </w:p>
    <w:p w14:paraId="656B58A6" w14:textId="7C3F637D" w:rsidR="001C7C0E" w:rsidRPr="005E3BF6" w:rsidRDefault="00080994" w:rsidP="00CB615C">
      <w:pPr>
        <w:pStyle w:val="Paragraphedeliste"/>
        <w:widowControl/>
        <w:numPr>
          <w:ilvl w:val="0"/>
          <w:numId w:val="5"/>
        </w:numPr>
        <w:spacing w:after="0" w:line="240" w:lineRule="auto"/>
        <w:ind w:left="567" w:hanging="567"/>
        <w:rPr>
          <w:rFonts w:ascii="Times New Roman" w:eastAsia="Times New Roman" w:hAnsi="Times New Roman" w:cs="Times New Roman"/>
        </w:rPr>
      </w:pPr>
      <w:proofErr w:type="gramStart"/>
      <w:r>
        <w:rPr>
          <w:rFonts w:ascii="Times New Roman" w:hAnsi="Times New Roman"/>
        </w:rPr>
        <w:t>le</w:t>
      </w:r>
      <w:proofErr w:type="gramEnd"/>
      <w:r>
        <w:rPr>
          <w:rFonts w:ascii="Times New Roman" w:hAnsi="Times New Roman"/>
        </w:rPr>
        <w:t xml:space="preserve"> centre de votre vision devient flou ou présente des ombres ;</w:t>
      </w:r>
    </w:p>
    <w:p w14:paraId="6234B8A9" w14:textId="2DD65D7C" w:rsidR="001C7C0E" w:rsidRPr="005E3BF6" w:rsidRDefault="00080994" w:rsidP="00CB615C">
      <w:pPr>
        <w:pStyle w:val="Paragraphedeliste"/>
        <w:widowControl/>
        <w:numPr>
          <w:ilvl w:val="0"/>
          <w:numId w:val="5"/>
        </w:numPr>
        <w:spacing w:after="0" w:line="240" w:lineRule="auto"/>
        <w:ind w:left="567" w:hanging="567"/>
        <w:rPr>
          <w:rFonts w:ascii="Times New Roman" w:eastAsia="Times New Roman" w:hAnsi="Times New Roman" w:cs="Times New Roman"/>
        </w:rPr>
      </w:pPr>
      <w:proofErr w:type="gramStart"/>
      <w:r>
        <w:rPr>
          <w:rFonts w:ascii="Times New Roman" w:hAnsi="Times New Roman"/>
        </w:rPr>
        <w:t>vous</w:t>
      </w:r>
      <w:proofErr w:type="gramEnd"/>
      <w:r>
        <w:rPr>
          <w:rFonts w:ascii="Times New Roman" w:hAnsi="Times New Roman"/>
        </w:rPr>
        <w:t xml:space="preserve"> développez un point noir dans le centre de votre vision ;</w:t>
      </w:r>
    </w:p>
    <w:p w14:paraId="1B9D1BDD" w14:textId="33ED9F6C" w:rsidR="001C7C0E" w:rsidRPr="005E3BF6" w:rsidRDefault="00080994" w:rsidP="00CB615C">
      <w:pPr>
        <w:pStyle w:val="Paragraphedeliste"/>
        <w:widowControl/>
        <w:numPr>
          <w:ilvl w:val="0"/>
          <w:numId w:val="5"/>
        </w:numPr>
        <w:spacing w:after="0" w:line="240" w:lineRule="auto"/>
        <w:ind w:left="567" w:hanging="567"/>
        <w:rPr>
          <w:rFonts w:ascii="Times New Roman" w:eastAsia="Times New Roman" w:hAnsi="Times New Roman" w:cs="Times New Roman"/>
        </w:rPr>
      </w:pPr>
      <w:proofErr w:type="gramStart"/>
      <w:r>
        <w:rPr>
          <w:rFonts w:ascii="Times New Roman" w:hAnsi="Times New Roman"/>
        </w:rPr>
        <w:t>vous</w:t>
      </w:r>
      <w:proofErr w:type="gramEnd"/>
      <w:r>
        <w:rPr>
          <w:rFonts w:ascii="Times New Roman" w:hAnsi="Times New Roman"/>
        </w:rPr>
        <w:t xml:space="preserve"> avez des problèmes pour voir les couleurs ou les détails fins.</w:t>
      </w:r>
    </w:p>
    <w:p w14:paraId="7542B969" w14:textId="77777777" w:rsidR="001C7C0E" w:rsidRPr="005E3BF6" w:rsidRDefault="001C7C0E" w:rsidP="00CB615C">
      <w:pPr>
        <w:widowControl/>
        <w:spacing w:after="0" w:line="240" w:lineRule="auto"/>
        <w:rPr>
          <w:rFonts w:ascii="Times New Roman" w:hAnsi="Times New Roman" w:cs="Times New Roman"/>
        </w:rPr>
      </w:pPr>
    </w:p>
    <w:p w14:paraId="1BCFDFF7"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Tests de la fonction hépatique</w:t>
      </w:r>
    </w:p>
    <w:p w14:paraId="10CFD316" w14:textId="085E466E"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vous avez des problèmes hépatiques graves, vous ne devez pas prendre </w:t>
      </w:r>
      <w:proofErr w:type="spellStart"/>
      <w:r>
        <w:rPr>
          <w:rFonts w:ascii="Times New Roman" w:hAnsi="Times New Roman"/>
        </w:rPr>
        <w:t>Fingolimod</w:t>
      </w:r>
      <w:proofErr w:type="spellEnd"/>
      <w:r>
        <w:rPr>
          <w:rFonts w:ascii="Times New Roman" w:hAnsi="Times New Roman"/>
        </w:rPr>
        <w:t xml:space="preserve"> Mylan. </w:t>
      </w:r>
      <w:proofErr w:type="spellStart"/>
      <w:r>
        <w:rPr>
          <w:rFonts w:ascii="Times New Roman" w:hAnsi="Times New Roman"/>
        </w:rPr>
        <w:t>Fingolimod</w:t>
      </w:r>
      <w:proofErr w:type="spellEnd"/>
      <w:r>
        <w:rPr>
          <w:rFonts w:ascii="Times New Roman" w:hAnsi="Times New Roman"/>
        </w:rPr>
        <w:t xml:space="preserve"> Mylan peut affecter votre fonction hépatique. Vous ne remarquerez probablement aucun symptôme, mais si vous constatez un jaunissement de la peau ou du blanc des yeux, une coloration anormalement foncée des urines (de couleur brune), des douleurs du côté droit de votre ventre, de la </w:t>
      </w:r>
      <w:r>
        <w:rPr>
          <w:rFonts w:ascii="Times New Roman" w:hAnsi="Times New Roman"/>
        </w:rPr>
        <w:lastRenderedPageBreak/>
        <w:t xml:space="preserve">fatigue, une perte d’appétit ou si vous présentez des nausées et vomissements inexpliqués, </w:t>
      </w:r>
      <w:r>
        <w:rPr>
          <w:rFonts w:ascii="Times New Roman" w:hAnsi="Times New Roman"/>
          <w:b/>
        </w:rPr>
        <w:t>prévenez immédiatement votre médecin</w:t>
      </w:r>
      <w:r>
        <w:rPr>
          <w:rFonts w:ascii="Times New Roman" w:hAnsi="Times New Roman"/>
        </w:rPr>
        <w:t>.</w:t>
      </w:r>
    </w:p>
    <w:p w14:paraId="0FE1A9FE" w14:textId="77777777" w:rsidR="001C7C0E" w:rsidRPr="005E3BF6" w:rsidRDefault="001C7C0E" w:rsidP="00CB615C">
      <w:pPr>
        <w:widowControl/>
        <w:spacing w:after="0" w:line="240" w:lineRule="auto"/>
        <w:rPr>
          <w:rFonts w:ascii="Times New Roman" w:hAnsi="Times New Roman" w:cs="Times New Roman"/>
        </w:rPr>
      </w:pPr>
    </w:p>
    <w:p w14:paraId="5F433530" w14:textId="1501D18A"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vous développez l’un de ces symptômes après le début du traitement par </w:t>
      </w:r>
      <w:proofErr w:type="spellStart"/>
      <w:r>
        <w:rPr>
          <w:rFonts w:ascii="Times New Roman" w:hAnsi="Times New Roman"/>
        </w:rPr>
        <w:t>Fingolimod</w:t>
      </w:r>
      <w:proofErr w:type="spellEnd"/>
      <w:r>
        <w:rPr>
          <w:rFonts w:ascii="Times New Roman" w:hAnsi="Times New Roman"/>
        </w:rPr>
        <w:t xml:space="preserve"> Mylan, </w:t>
      </w:r>
      <w:r>
        <w:rPr>
          <w:rFonts w:ascii="Times New Roman" w:hAnsi="Times New Roman"/>
          <w:b/>
        </w:rPr>
        <w:t>prévenez immédiatement votre médecin.</w:t>
      </w:r>
    </w:p>
    <w:p w14:paraId="305C49F4" w14:textId="77777777" w:rsidR="001C7C0E" w:rsidRPr="005E3BF6" w:rsidRDefault="001C7C0E" w:rsidP="00CB615C">
      <w:pPr>
        <w:widowControl/>
        <w:spacing w:after="0" w:line="240" w:lineRule="auto"/>
        <w:rPr>
          <w:rFonts w:ascii="Times New Roman" w:hAnsi="Times New Roman" w:cs="Times New Roman"/>
        </w:rPr>
      </w:pPr>
    </w:p>
    <w:p w14:paraId="5F8DF579" w14:textId="0085F6F8"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Avant, pendant et après le traitement, votre médecin demandera des analyses de sang pour surveiller votre fonction hépatique. Si les résultats de ces analyses montrent un problème au niveau de votre foie, vous pourriez être amené à interrompre le traitement par </w:t>
      </w:r>
      <w:proofErr w:type="spellStart"/>
      <w:r>
        <w:rPr>
          <w:rFonts w:ascii="Times New Roman" w:hAnsi="Times New Roman"/>
        </w:rPr>
        <w:t>Fingolimod</w:t>
      </w:r>
      <w:proofErr w:type="spellEnd"/>
      <w:r>
        <w:rPr>
          <w:rFonts w:ascii="Times New Roman" w:hAnsi="Times New Roman"/>
        </w:rPr>
        <w:t xml:space="preserve"> Mylan.</w:t>
      </w:r>
    </w:p>
    <w:p w14:paraId="640F0902" w14:textId="77777777" w:rsidR="001C7C0E" w:rsidRPr="005E3BF6" w:rsidRDefault="001C7C0E" w:rsidP="00CB615C">
      <w:pPr>
        <w:widowControl/>
        <w:spacing w:after="0" w:line="240" w:lineRule="auto"/>
        <w:rPr>
          <w:rFonts w:ascii="Times New Roman" w:hAnsi="Times New Roman" w:cs="Times New Roman"/>
        </w:rPr>
      </w:pPr>
    </w:p>
    <w:p w14:paraId="2FD97AB4"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Hypertension</w:t>
      </w:r>
    </w:p>
    <w:p w14:paraId="45451139" w14:textId="77C75739"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Étant donné que </w:t>
      </w:r>
      <w:proofErr w:type="spellStart"/>
      <w:r>
        <w:rPr>
          <w:rFonts w:ascii="Times New Roman" w:hAnsi="Times New Roman"/>
        </w:rPr>
        <w:t>Fingolimod</w:t>
      </w:r>
      <w:proofErr w:type="spellEnd"/>
      <w:r>
        <w:rPr>
          <w:rFonts w:ascii="Times New Roman" w:hAnsi="Times New Roman"/>
        </w:rPr>
        <w:t xml:space="preserve"> Mylan entraîne une légère augmentation de la pression artérielle, votre médecin pourra contrôler régulièrement votre pression artérielle.</w:t>
      </w:r>
    </w:p>
    <w:p w14:paraId="05B29CA4" w14:textId="77777777" w:rsidR="001C7C0E" w:rsidRPr="005E3BF6" w:rsidRDefault="001C7C0E" w:rsidP="00CB615C">
      <w:pPr>
        <w:widowControl/>
        <w:spacing w:after="0" w:line="240" w:lineRule="auto"/>
        <w:rPr>
          <w:rFonts w:ascii="Times New Roman" w:hAnsi="Times New Roman" w:cs="Times New Roman"/>
        </w:rPr>
      </w:pPr>
    </w:p>
    <w:p w14:paraId="302FE664"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Problèmes pulmonaires</w:t>
      </w:r>
    </w:p>
    <w:p w14:paraId="62E1D158" w14:textId="43BBD349" w:rsidR="001C7C0E" w:rsidRPr="005E3BF6"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a un effet léger sur la fonction pulmonaire. Les patients qui présentent des problèmes pulmonaires sévères ou la toux du fumeur peuvent avoir un risque plus élevé de développer des effets indésirables.</w:t>
      </w:r>
    </w:p>
    <w:p w14:paraId="0C28F89C" w14:textId="77777777" w:rsidR="001C7C0E" w:rsidRPr="005E3BF6" w:rsidRDefault="001C7C0E" w:rsidP="00CB615C">
      <w:pPr>
        <w:widowControl/>
        <w:spacing w:after="0" w:line="240" w:lineRule="auto"/>
        <w:rPr>
          <w:rFonts w:ascii="Times New Roman" w:hAnsi="Times New Roman" w:cs="Times New Roman"/>
        </w:rPr>
      </w:pPr>
    </w:p>
    <w:p w14:paraId="1AD631C5"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Numération formule sanguine</w:t>
      </w:r>
    </w:p>
    <w:p w14:paraId="03904A83" w14:textId="1F87CAB4"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L’effet attendu du traitement par </w:t>
      </w:r>
      <w:proofErr w:type="spellStart"/>
      <w:r>
        <w:rPr>
          <w:rFonts w:ascii="Times New Roman" w:hAnsi="Times New Roman"/>
        </w:rPr>
        <w:t>Fingolimod</w:t>
      </w:r>
      <w:proofErr w:type="spellEnd"/>
      <w:r>
        <w:rPr>
          <w:rFonts w:ascii="Times New Roman" w:hAnsi="Times New Roman"/>
        </w:rPr>
        <w:t xml:space="preserve"> Mylan est de diminuer le nombre de globules blancs dans votre sang. En général, il revient à la normale dans les 2 mois suivant l’arrêt du traitement. Si vous devez faire des analyses de sang, prévenez le médecin que vous prenez ce médicament. Sinon, il pourrait être impossible pour le médecin de comprendre les résultats de l’analyse et, pour certains types d’analyse de sang, il pourra être nécessaire de prélever plus de sang que d’habitude.</w:t>
      </w:r>
    </w:p>
    <w:p w14:paraId="5187478D" w14:textId="77777777" w:rsidR="001C7C0E" w:rsidRPr="005E3BF6" w:rsidRDefault="001C7C0E" w:rsidP="00CB615C">
      <w:pPr>
        <w:widowControl/>
        <w:spacing w:after="0" w:line="240" w:lineRule="auto"/>
        <w:rPr>
          <w:rFonts w:ascii="Times New Roman" w:hAnsi="Times New Roman" w:cs="Times New Roman"/>
        </w:rPr>
      </w:pPr>
    </w:p>
    <w:p w14:paraId="5BD8562A" w14:textId="68771970"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Avant de commencer à prendre </w:t>
      </w:r>
      <w:proofErr w:type="spellStart"/>
      <w:r>
        <w:rPr>
          <w:rFonts w:ascii="Times New Roman" w:hAnsi="Times New Roman"/>
        </w:rPr>
        <w:t>Fingolimod</w:t>
      </w:r>
      <w:proofErr w:type="spellEnd"/>
      <w:r>
        <w:rPr>
          <w:rFonts w:ascii="Times New Roman" w:hAnsi="Times New Roman"/>
        </w:rPr>
        <w:t xml:space="preserve"> Mylan, votre médecin confirmera si vous avez assez de globules blancs dans votre sang et pourra répéter les contrôles régulièrement. Dans le cas où vous n’auriez pas assez de globules blancs, vous pourriez être amené à interrompre le traitement.</w:t>
      </w:r>
    </w:p>
    <w:p w14:paraId="156E838B" w14:textId="77777777" w:rsidR="001C7C0E" w:rsidRPr="005E3BF6" w:rsidRDefault="001C7C0E" w:rsidP="00CB615C">
      <w:pPr>
        <w:widowControl/>
        <w:spacing w:after="0" w:line="240" w:lineRule="auto"/>
        <w:rPr>
          <w:rFonts w:ascii="Times New Roman" w:hAnsi="Times New Roman" w:cs="Times New Roman"/>
        </w:rPr>
      </w:pPr>
    </w:p>
    <w:p w14:paraId="4BB92FC1"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Syndrome d’encéphalopathie postérieure réversible (SEPR)</w:t>
      </w:r>
    </w:p>
    <w:p w14:paraId="1B7974D9" w14:textId="748DFD1A" w:rsidR="00A103F1"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Une maladie appelée syndrome d’encéphalopathie postérieure réversible (SEPR) a été rarement rapportée chez les patients atteints de SEP et traités par </w:t>
      </w:r>
      <w:proofErr w:type="spellStart"/>
      <w:r>
        <w:rPr>
          <w:rFonts w:ascii="Times New Roman" w:hAnsi="Times New Roman"/>
        </w:rPr>
        <w:t>fingolimod</w:t>
      </w:r>
      <w:proofErr w:type="spellEnd"/>
      <w:r>
        <w:rPr>
          <w:rFonts w:ascii="Times New Roman" w:hAnsi="Times New Roman"/>
        </w:rPr>
        <w:t>. Les symptômes peuvent inclure apparition soudaine de maux de tête sévères, confusion, crises épileptiques et troubles de la vision. Parlez-en à votre médecin immédiatement, si vous présentez un de ces symptômes pendant votre traitement, celui-ci pouvant être grave.</w:t>
      </w:r>
    </w:p>
    <w:p w14:paraId="791B3CC6" w14:textId="77777777" w:rsidR="00A103F1" w:rsidRPr="005E3BF6" w:rsidRDefault="00A103F1" w:rsidP="00CB615C">
      <w:pPr>
        <w:widowControl/>
        <w:spacing w:after="0" w:line="240" w:lineRule="auto"/>
        <w:ind w:left="1"/>
        <w:rPr>
          <w:rFonts w:ascii="Times New Roman" w:eastAsia="Times New Roman" w:hAnsi="Times New Roman" w:cs="Times New Roman"/>
        </w:rPr>
      </w:pPr>
    </w:p>
    <w:p w14:paraId="06FE8BE3" w14:textId="30F3D5EF"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u w:val="single" w:color="000000"/>
        </w:rPr>
        <w:t>Cancers</w:t>
      </w:r>
    </w:p>
    <w:p w14:paraId="6E4939A3" w14:textId="22182929" w:rsidR="001C7C0E"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Des cancers cutanés ont été rapportés chez des patients atteints de sclérose en plaques et traités par </w:t>
      </w:r>
      <w:proofErr w:type="spellStart"/>
      <w:r>
        <w:rPr>
          <w:rFonts w:ascii="Times New Roman" w:hAnsi="Times New Roman"/>
        </w:rPr>
        <w:t>fingolimod</w:t>
      </w:r>
      <w:proofErr w:type="spellEnd"/>
      <w:r>
        <w:rPr>
          <w:rFonts w:ascii="Times New Roman" w:hAnsi="Times New Roman"/>
        </w:rPr>
        <w:t xml:space="preserve">. Informez votre médecin immédiatement si vous constatez des nodules cutanés (par exemple nodules brillants et nacrés), taches ou plaies ouvertes qui ne s’atténuent pas au bout de quelques semaines. Les symptômes de cancer cutané peuvent inclure une croissance anormale ou des changements du tissu cutané (par exemple grains de beauté inhabituels) s’associant à un changement de couleur, de forme ou de taille au cours du temps. Avant de débuter </w:t>
      </w:r>
      <w:proofErr w:type="spellStart"/>
      <w:r>
        <w:rPr>
          <w:rFonts w:ascii="Times New Roman" w:hAnsi="Times New Roman"/>
        </w:rPr>
        <w:t>Fingolimod</w:t>
      </w:r>
      <w:proofErr w:type="spellEnd"/>
      <w:r>
        <w:rPr>
          <w:rFonts w:ascii="Times New Roman" w:hAnsi="Times New Roman"/>
        </w:rPr>
        <w:t xml:space="preserve"> Mylan, un examen dermatologique (examen de la peau) est nécessaire pour vérifier l’absence de nodules cutanés. Votre médecin pratiquera également des examens dermatologiques réguliers pendant votre traitement. Si des problèmes cutanés apparaissent, votre médecin pourra vous orienter vers un dermatologue, qui après consultation pourra décider qu’il est important de vous surveiller régulièrement.</w:t>
      </w:r>
    </w:p>
    <w:p w14:paraId="7AD1C8F2" w14:textId="26A775D5" w:rsidR="003D3EB2" w:rsidRDefault="003D3EB2" w:rsidP="00CB615C">
      <w:pPr>
        <w:widowControl/>
        <w:spacing w:after="0" w:line="240" w:lineRule="auto"/>
        <w:ind w:left="1"/>
        <w:rPr>
          <w:rFonts w:ascii="Times New Roman" w:eastAsia="Times New Roman" w:hAnsi="Times New Roman" w:cs="Times New Roman"/>
        </w:rPr>
      </w:pPr>
    </w:p>
    <w:p w14:paraId="01603AAF" w14:textId="66AA58BD" w:rsidR="003D3EB2"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Un type de cancer du système lymphatique (lymphome) a été rapporté chez les patients atteints de sclérose en plaques et traités par </w:t>
      </w:r>
      <w:proofErr w:type="spellStart"/>
      <w:r>
        <w:rPr>
          <w:rFonts w:ascii="Times New Roman" w:hAnsi="Times New Roman"/>
        </w:rPr>
        <w:t>fingolimod</w:t>
      </w:r>
      <w:proofErr w:type="spellEnd"/>
      <w:r>
        <w:rPr>
          <w:rFonts w:ascii="Times New Roman" w:hAnsi="Times New Roman"/>
        </w:rPr>
        <w:t>.</w:t>
      </w:r>
    </w:p>
    <w:p w14:paraId="0A350892" w14:textId="77777777" w:rsidR="001C7C0E" w:rsidRPr="005E3BF6" w:rsidRDefault="001C7C0E" w:rsidP="00CB615C">
      <w:pPr>
        <w:widowControl/>
        <w:spacing w:after="0" w:line="240" w:lineRule="auto"/>
        <w:rPr>
          <w:rFonts w:ascii="Times New Roman" w:hAnsi="Times New Roman" w:cs="Times New Roman"/>
        </w:rPr>
      </w:pPr>
    </w:p>
    <w:p w14:paraId="2F968150" w14:textId="77777777" w:rsidR="001C7C0E" w:rsidRPr="005E3BF6" w:rsidRDefault="00080994" w:rsidP="00DD348E">
      <w:pPr>
        <w:keepNext/>
        <w:widowControl/>
        <w:spacing w:after="0" w:line="240" w:lineRule="auto"/>
        <w:rPr>
          <w:rFonts w:ascii="Times New Roman" w:eastAsia="Times New Roman" w:hAnsi="Times New Roman" w:cs="Times New Roman"/>
        </w:rPr>
      </w:pPr>
      <w:r>
        <w:rPr>
          <w:rFonts w:ascii="Times New Roman" w:hAnsi="Times New Roman"/>
          <w:u w:val="single" w:color="000000"/>
        </w:rPr>
        <w:t>Exposition et protection solaire</w:t>
      </w:r>
    </w:p>
    <w:p w14:paraId="3BEB9D59" w14:textId="77777777" w:rsidR="001C7C0E" w:rsidRPr="005E3BF6" w:rsidRDefault="00080994" w:rsidP="00DD348E">
      <w:pPr>
        <w:keepNext/>
        <w:widowControl/>
        <w:spacing w:after="0" w:line="240" w:lineRule="auto"/>
        <w:rPr>
          <w:rFonts w:ascii="Times New Roman" w:eastAsia="Times New Roman" w:hAnsi="Times New Roman" w:cs="Times New Roman"/>
        </w:rPr>
      </w:pPr>
      <w:r>
        <w:rPr>
          <w:rFonts w:ascii="Times New Roman" w:hAnsi="Times New Roman"/>
        </w:rPr>
        <w:t xml:space="preserve">Le </w:t>
      </w:r>
      <w:proofErr w:type="spellStart"/>
      <w:r>
        <w:rPr>
          <w:rFonts w:ascii="Times New Roman" w:hAnsi="Times New Roman"/>
        </w:rPr>
        <w:t>fingolimod</w:t>
      </w:r>
      <w:proofErr w:type="spellEnd"/>
      <w:r>
        <w:rPr>
          <w:rFonts w:ascii="Times New Roman" w:hAnsi="Times New Roman"/>
        </w:rPr>
        <w:t xml:space="preserve"> fragilise votre système immunitaire. Cela augmente votre risque de développer des cancers, particulièrement les cancers cutanés. Vous devez limiter votre exposition solaire et aux rayons UV en :</w:t>
      </w:r>
    </w:p>
    <w:p w14:paraId="59003D84" w14:textId="4F6A7139" w:rsidR="001C7C0E" w:rsidRPr="005E3BF6" w:rsidRDefault="00080994" w:rsidP="00CB615C">
      <w:pPr>
        <w:pStyle w:val="Paragraphedeliste"/>
        <w:widowControl/>
        <w:numPr>
          <w:ilvl w:val="0"/>
          <w:numId w:val="1"/>
        </w:numPr>
        <w:spacing w:after="0" w:line="240" w:lineRule="auto"/>
        <w:ind w:left="567" w:hanging="567"/>
        <w:rPr>
          <w:rFonts w:ascii="Times New Roman" w:eastAsia="Times New Roman" w:hAnsi="Times New Roman" w:cs="Times New Roman"/>
        </w:rPr>
      </w:pPr>
      <w:proofErr w:type="gramStart"/>
      <w:r>
        <w:rPr>
          <w:rFonts w:ascii="Times New Roman" w:hAnsi="Times New Roman"/>
        </w:rPr>
        <w:t>portant</w:t>
      </w:r>
      <w:proofErr w:type="gramEnd"/>
      <w:r>
        <w:rPr>
          <w:rFonts w:ascii="Times New Roman" w:hAnsi="Times New Roman"/>
        </w:rPr>
        <w:t xml:space="preserve"> des vêtements protecteurs appropriés.</w:t>
      </w:r>
    </w:p>
    <w:p w14:paraId="7944D727" w14:textId="26004E40" w:rsidR="001C7C0E" w:rsidRDefault="00080994" w:rsidP="00CB615C">
      <w:pPr>
        <w:pStyle w:val="Paragraphedeliste"/>
        <w:widowControl/>
        <w:numPr>
          <w:ilvl w:val="0"/>
          <w:numId w:val="1"/>
        </w:numPr>
        <w:spacing w:after="0" w:line="240" w:lineRule="auto"/>
        <w:ind w:left="567" w:hanging="567"/>
        <w:rPr>
          <w:rFonts w:ascii="Times New Roman" w:eastAsia="Times New Roman" w:hAnsi="Times New Roman" w:cs="Times New Roman"/>
        </w:rPr>
      </w:pPr>
      <w:proofErr w:type="gramStart"/>
      <w:r>
        <w:rPr>
          <w:rFonts w:ascii="Times New Roman" w:hAnsi="Times New Roman"/>
        </w:rPr>
        <w:lastRenderedPageBreak/>
        <w:t>appliquant</w:t>
      </w:r>
      <w:proofErr w:type="gramEnd"/>
      <w:r>
        <w:rPr>
          <w:rFonts w:ascii="Times New Roman" w:hAnsi="Times New Roman"/>
        </w:rPr>
        <w:t xml:space="preserve"> régulièrement de la crème solaire avec un haut degré de protection contre les UV.</w:t>
      </w:r>
    </w:p>
    <w:p w14:paraId="74C6B8ED" w14:textId="004123AC" w:rsidR="00667234" w:rsidRDefault="00667234" w:rsidP="00CB615C">
      <w:pPr>
        <w:widowControl/>
        <w:spacing w:after="0" w:line="240" w:lineRule="auto"/>
        <w:rPr>
          <w:rFonts w:ascii="Times New Roman" w:eastAsia="Times New Roman" w:hAnsi="Times New Roman" w:cs="Times New Roman"/>
        </w:rPr>
      </w:pPr>
    </w:p>
    <w:p w14:paraId="75FF7DA9" w14:textId="77777777" w:rsidR="00667234" w:rsidRPr="00667234" w:rsidRDefault="00080994" w:rsidP="00CB615C">
      <w:pPr>
        <w:widowControl/>
        <w:spacing w:after="0" w:line="240" w:lineRule="auto"/>
        <w:rPr>
          <w:rFonts w:ascii="Times New Roman" w:hAnsi="Times New Roman" w:cs="Times New Roman"/>
          <w:u w:val="single"/>
        </w:rPr>
      </w:pPr>
      <w:r>
        <w:rPr>
          <w:rFonts w:ascii="Times New Roman" w:hAnsi="Times New Roman"/>
          <w:u w:val="single"/>
        </w:rPr>
        <w:t xml:space="preserve">Lésions cérébrales inhabituelles associées à une poussée de SEP </w:t>
      </w:r>
    </w:p>
    <w:p w14:paraId="6584A84A" w14:textId="71461FE7" w:rsidR="00667234" w:rsidRPr="00667234" w:rsidRDefault="00080994" w:rsidP="00CB615C">
      <w:pPr>
        <w:widowControl/>
        <w:spacing w:after="0" w:line="240" w:lineRule="auto"/>
        <w:rPr>
          <w:rFonts w:ascii="Times New Roman" w:hAnsi="Times New Roman" w:cs="Times New Roman"/>
        </w:rPr>
      </w:pPr>
      <w:r>
        <w:rPr>
          <w:rFonts w:ascii="Times New Roman" w:hAnsi="Times New Roman"/>
        </w:rPr>
        <w:t xml:space="preserve">De rares cas de lésions cérébrales exceptionnellement importantes associées à une poussée de SEP ont été rapportés chez des patients traités par </w:t>
      </w:r>
      <w:proofErr w:type="spellStart"/>
      <w:r>
        <w:rPr>
          <w:rFonts w:ascii="Times New Roman" w:hAnsi="Times New Roman"/>
        </w:rPr>
        <w:t>fingolimod</w:t>
      </w:r>
      <w:proofErr w:type="spellEnd"/>
      <w:r>
        <w:rPr>
          <w:rFonts w:ascii="Times New Roman" w:hAnsi="Times New Roman"/>
        </w:rPr>
        <w:t>. En cas de poussée sévère, votre médecin pourra demander la réalisation d’une IRM pour évaluer cette affection et décidera si vous devez arrêter le traitement.</w:t>
      </w:r>
    </w:p>
    <w:p w14:paraId="2D390E4D" w14:textId="77777777" w:rsidR="00667234" w:rsidRPr="00667234" w:rsidRDefault="00667234" w:rsidP="00CB615C">
      <w:pPr>
        <w:widowControl/>
        <w:spacing w:after="0" w:line="240" w:lineRule="auto"/>
        <w:rPr>
          <w:rFonts w:ascii="Times New Roman" w:hAnsi="Times New Roman" w:cs="Times New Roman"/>
        </w:rPr>
      </w:pPr>
    </w:p>
    <w:p w14:paraId="00E67DA3" w14:textId="15630346" w:rsidR="00667234" w:rsidRPr="00667234" w:rsidRDefault="00080994" w:rsidP="00CB615C">
      <w:pPr>
        <w:widowControl/>
        <w:spacing w:after="0" w:line="240" w:lineRule="auto"/>
        <w:rPr>
          <w:rFonts w:ascii="Times New Roman" w:hAnsi="Times New Roman" w:cs="Times New Roman"/>
          <w:u w:val="single"/>
        </w:rPr>
      </w:pPr>
      <w:r>
        <w:rPr>
          <w:rFonts w:ascii="Times New Roman" w:hAnsi="Times New Roman"/>
          <w:u w:val="single"/>
        </w:rPr>
        <w:t xml:space="preserve">Relais d’un autre traitement par </w:t>
      </w:r>
      <w:proofErr w:type="spellStart"/>
      <w:r>
        <w:rPr>
          <w:rFonts w:ascii="Times New Roman" w:hAnsi="Times New Roman"/>
          <w:u w:val="single"/>
        </w:rPr>
        <w:t>Fingolimod</w:t>
      </w:r>
      <w:proofErr w:type="spellEnd"/>
      <w:r>
        <w:rPr>
          <w:rFonts w:ascii="Times New Roman" w:hAnsi="Times New Roman"/>
          <w:u w:val="single"/>
        </w:rPr>
        <w:t xml:space="preserve"> Mylan</w:t>
      </w:r>
    </w:p>
    <w:p w14:paraId="0FD41BE2" w14:textId="2A42D3C9" w:rsidR="00667234"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Votre médecin pourra vous passer directement de l’interféron bêta, acétate de </w:t>
      </w:r>
      <w:proofErr w:type="spellStart"/>
      <w:r>
        <w:rPr>
          <w:rFonts w:ascii="Times New Roman" w:hAnsi="Times New Roman"/>
        </w:rPr>
        <w:t>glatiramère</w:t>
      </w:r>
      <w:proofErr w:type="spellEnd"/>
      <w:r>
        <w:rPr>
          <w:rFonts w:ascii="Times New Roman" w:hAnsi="Times New Roman"/>
        </w:rPr>
        <w:t xml:space="preserve"> ou diméthylfumarate à </w:t>
      </w:r>
      <w:proofErr w:type="spellStart"/>
      <w:r>
        <w:rPr>
          <w:rFonts w:ascii="Times New Roman" w:hAnsi="Times New Roman"/>
        </w:rPr>
        <w:t>Fingolimod</w:t>
      </w:r>
      <w:proofErr w:type="spellEnd"/>
      <w:r>
        <w:rPr>
          <w:rFonts w:ascii="Times New Roman" w:hAnsi="Times New Roman"/>
        </w:rPr>
        <w:t xml:space="preserve"> Mylan si vous ne présentez pas de signes anormaux causés par votre traitement antérieur. Votre médecin pourra vous demander de faire un test sanguin afin d’exclure ces anomalies. Après avoir arrêté votre traitement par natalizumab, vous pourriez être amené à attendre 2 à 3 mois avant de pouvoir commencer le traitement par </w:t>
      </w:r>
      <w:proofErr w:type="spellStart"/>
      <w:r>
        <w:rPr>
          <w:rFonts w:ascii="Times New Roman" w:hAnsi="Times New Roman"/>
        </w:rPr>
        <w:t>Fingolimod</w:t>
      </w:r>
      <w:proofErr w:type="spellEnd"/>
      <w:r>
        <w:rPr>
          <w:rFonts w:ascii="Times New Roman" w:hAnsi="Times New Roman"/>
        </w:rPr>
        <w:t xml:space="preserve"> Mylan. En cas de changement de traitement du </w:t>
      </w:r>
      <w:proofErr w:type="spellStart"/>
      <w:r>
        <w:rPr>
          <w:rFonts w:ascii="Times New Roman" w:hAnsi="Times New Roman"/>
        </w:rPr>
        <w:t>tériflunomide</w:t>
      </w:r>
      <w:proofErr w:type="spellEnd"/>
      <w:r>
        <w:rPr>
          <w:rFonts w:ascii="Times New Roman" w:hAnsi="Times New Roman"/>
        </w:rPr>
        <w:t xml:space="preserve"> par </w:t>
      </w:r>
      <w:proofErr w:type="spellStart"/>
      <w:r>
        <w:rPr>
          <w:rFonts w:ascii="Times New Roman" w:hAnsi="Times New Roman"/>
        </w:rPr>
        <w:t>Fingolimod</w:t>
      </w:r>
      <w:proofErr w:type="spellEnd"/>
      <w:r>
        <w:rPr>
          <w:rFonts w:ascii="Times New Roman" w:hAnsi="Times New Roman"/>
        </w:rPr>
        <w:t xml:space="preserve"> Mylan, votre médecin pourra vous conseiller d’attendre un certain temps ou de suivre une procédure d’élimination accélérée. Si vous avez été traité par l’</w:t>
      </w:r>
      <w:proofErr w:type="spellStart"/>
      <w:r>
        <w:rPr>
          <w:rFonts w:ascii="Times New Roman" w:hAnsi="Times New Roman"/>
        </w:rPr>
        <w:t>alemtuzumab</w:t>
      </w:r>
      <w:proofErr w:type="spellEnd"/>
      <w:r>
        <w:rPr>
          <w:rFonts w:ascii="Times New Roman" w:hAnsi="Times New Roman"/>
        </w:rPr>
        <w:t xml:space="preserve">, une évaluation approfondie et une discussion avec votre médecin seront nécessaires avant de décider si </w:t>
      </w:r>
      <w:proofErr w:type="spellStart"/>
      <w:r>
        <w:rPr>
          <w:rFonts w:ascii="Times New Roman" w:hAnsi="Times New Roman"/>
        </w:rPr>
        <w:t>Fingolimod</w:t>
      </w:r>
      <w:proofErr w:type="spellEnd"/>
      <w:r>
        <w:rPr>
          <w:rFonts w:ascii="Times New Roman" w:hAnsi="Times New Roman"/>
        </w:rPr>
        <w:t xml:space="preserve"> Mylan est un traitement adapté à votre situation.</w:t>
      </w:r>
    </w:p>
    <w:p w14:paraId="573E56E9" w14:textId="77777777" w:rsidR="00667234" w:rsidRPr="005E3BF6" w:rsidRDefault="00667234" w:rsidP="00CB615C">
      <w:pPr>
        <w:widowControl/>
        <w:spacing w:after="0" w:line="240" w:lineRule="auto"/>
        <w:rPr>
          <w:rFonts w:ascii="Times New Roman" w:hAnsi="Times New Roman" w:cs="Times New Roman"/>
        </w:rPr>
      </w:pPr>
    </w:p>
    <w:p w14:paraId="23D8036F" w14:textId="77777777" w:rsidR="00667234" w:rsidRPr="00667234" w:rsidRDefault="00080994" w:rsidP="00CB615C">
      <w:pPr>
        <w:widowControl/>
        <w:spacing w:after="0" w:line="240" w:lineRule="auto"/>
        <w:rPr>
          <w:rFonts w:ascii="Times New Roman" w:hAnsi="Times New Roman" w:cs="Times New Roman"/>
          <w:u w:val="single"/>
        </w:rPr>
      </w:pPr>
      <w:r>
        <w:rPr>
          <w:rFonts w:ascii="Times New Roman" w:hAnsi="Times New Roman"/>
          <w:u w:val="single"/>
        </w:rPr>
        <w:t xml:space="preserve">Femmes en âge de procréer </w:t>
      </w:r>
    </w:p>
    <w:p w14:paraId="31088CDF" w14:textId="0D1F7F02" w:rsidR="00667234" w:rsidRPr="00667234" w:rsidRDefault="00080994" w:rsidP="00CB615C">
      <w:pPr>
        <w:widowControl/>
        <w:spacing w:after="0" w:line="240" w:lineRule="auto"/>
        <w:rPr>
          <w:rFonts w:ascii="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peut nuire à l’enfant à naître s’il est utilisé pendant la grossesse. Avant de commencer le traitement, votre médecin vous expliquera le risque encouru et vous demandera de faire un test de grossesse afin de s’assurer que vous n’êtes pas enceinte. Votre médecin vous donnera une carte expliquant pourquoi vous ne devez pas débuter une grossesse pendant le traitement par </w:t>
      </w:r>
      <w:proofErr w:type="spellStart"/>
      <w:r>
        <w:rPr>
          <w:rFonts w:ascii="Times New Roman" w:hAnsi="Times New Roman"/>
        </w:rPr>
        <w:t>Fingolimod</w:t>
      </w:r>
      <w:proofErr w:type="spellEnd"/>
      <w:r>
        <w:rPr>
          <w:rFonts w:ascii="Times New Roman" w:hAnsi="Times New Roman"/>
        </w:rPr>
        <w:t xml:space="preserve"> Mylan. Cette carte vous expliquera également que faire pour éviter une grossesse pendant que vous prenez ce médicament. Vous devez utiliser une contraception efficace pendant le traitement et pendant les 2 mois après l’arrêt du traitement (voir la rubrique « Grossesse et allaitement »).</w:t>
      </w:r>
    </w:p>
    <w:p w14:paraId="30110ECB" w14:textId="77777777" w:rsidR="00667234" w:rsidRPr="00667234" w:rsidRDefault="00667234" w:rsidP="00CB615C">
      <w:pPr>
        <w:widowControl/>
        <w:spacing w:after="0" w:line="240" w:lineRule="auto"/>
        <w:rPr>
          <w:rFonts w:ascii="Times New Roman" w:hAnsi="Times New Roman" w:cs="Times New Roman"/>
        </w:rPr>
      </w:pPr>
    </w:p>
    <w:p w14:paraId="19715C0A" w14:textId="19CF7FE1" w:rsidR="00667234" w:rsidRPr="00667234" w:rsidRDefault="00080994" w:rsidP="00CB615C">
      <w:pPr>
        <w:widowControl/>
        <w:spacing w:after="0" w:line="240" w:lineRule="auto"/>
        <w:rPr>
          <w:rFonts w:ascii="Times New Roman" w:hAnsi="Times New Roman" w:cs="Times New Roman"/>
          <w:u w:val="single"/>
        </w:rPr>
      </w:pPr>
      <w:r>
        <w:rPr>
          <w:rFonts w:ascii="Times New Roman" w:hAnsi="Times New Roman"/>
          <w:u w:val="single"/>
        </w:rPr>
        <w:t xml:space="preserve">Aggravation de la SEP après l’arrêt du traitement par </w:t>
      </w:r>
      <w:proofErr w:type="spellStart"/>
      <w:r>
        <w:rPr>
          <w:rFonts w:ascii="Times New Roman" w:hAnsi="Times New Roman"/>
          <w:u w:val="single"/>
        </w:rPr>
        <w:t>Fingolimod</w:t>
      </w:r>
      <w:proofErr w:type="spellEnd"/>
      <w:r>
        <w:rPr>
          <w:rFonts w:ascii="Times New Roman" w:hAnsi="Times New Roman"/>
          <w:u w:val="single"/>
        </w:rPr>
        <w:t xml:space="preserve"> Mylan </w:t>
      </w:r>
    </w:p>
    <w:p w14:paraId="2CE49A64" w14:textId="0C582288" w:rsidR="00667234" w:rsidRPr="00667234" w:rsidRDefault="00080994" w:rsidP="00CB615C">
      <w:pPr>
        <w:widowControl/>
        <w:spacing w:after="0" w:line="240" w:lineRule="auto"/>
        <w:rPr>
          <w:rFonts w:ascii="Times New Roman" w:hAnsi="Times New Roman" w:cs="Times New Roman"/>
        </w:rPr>
      </w:pPr>
      <w:r>
        <w:rPr>
          <w:rFonts w:ascii="Times New Roman" w:hAnsi="Times New Roman"/>
        </w:rPr>
        <w:t xml:space="preserve">Vous ne devez pas arrêter de prendre ce médicament ou modifier la posologie sans en parler à votre médecin. </w:t>
      </w:r>
    </w:p>
    <w:p w14:paraId="5903AEFD" w14:textId="77777777" w:rsidR="00667234" w:rsidRPr="00667234" w:rsidRDefault="00080994" w:rsidP="00CB615C">
      <w:pPr>
        <w:widowControl/>
        <w:spacing w:after="0" w:line="240" w:lineRule="auto"/>
        <w:rPr>
          <w:rFonts w:ascii="Times New Roman" w:hAnsi="Times New Roman" w:cs="Times New Roman"/>
        </w:rPr>
      </w:pPr>
      <w:r>
        <w:rPr>
          <w:rFonts w:ascii="Times New Roman" w:hAnsi="Times New Roman"/>
        </w:rPr>
        <w:t xml:space="preserve"> </w:t>
      </w:r>
    </w:p>
    <w:p w14:paraId="7D5D16BE" w14:textId="0FD6F903" w:rsidR="00667234" w:rsidRPr="00667234" w:rsidRDefault="00080994" w:rsidP="00CB615C">
      <w:pPr>
        <w:widowControl/>
        <w:spacing w:after="0" w:line="240" w:lineRule="auto"/>
        <w:rPr>
          <w:rFonts w:ascii="Times New Roman" w:hAnsi="Times New Roman" w:cs="Times New Roman"/>
        </w:rPr>
      </w:pPr>
      <w:r>
        <w:rPr>
          <w:rFonts w:ascii="Times New Roman" w:hAnsi="Times New Roman"/>
        </w:rPr>
        <w:t xml:space="preserve">Prévenez immédiatement votre médecin si vous pensez que votre SEP s’aggrave après avoir arrêté votre traitement par </w:t>
      </w:r>
      <w:proofErr w:type="spellStart"/>
      <w:r>
        <w:rPr>
          <w:rFonts w:ascii="Times New Roman" w:hAnsi="Times New Roman"/>
        </w:rPr>
        <w:t>Fingolimod</w:t>
      </w:r>
      <w:proofErr w:type="spellEnd"/>
      <w:r>
        <w:rPr>
          <w:rFonts w:ascii="Times New Roman" w:hAnsi="Times New Roman"/>
        </w:rPr>
        <w:t xml:space="preserve"> Mylan. Cela pourrait être grave (voir « Si vous arrêtez de prendre </w:t>
      </w:r>
      <w:proofErr w:type="spellStart"/>
      <w:r>
        <w:rPr>
          <w:rFonts w:ascii="Times New Roman" w:hAnsi="Times New Roman"/>
        </w:rPr>
        <w:t>Fingolimod</w:t>
      </w:r>
      <w:proofErr w:type="spellEnd"/>
      <w:r>
        <w:rPr>
          <w:rFonts w:ascii="Times New Roman" w:hAnsi="Times New Roman"/>
        </w:rPr>
        <w:t xml:space="preserve"> Mylan » à la rubrique 3, et également « Quels sont les effets indésirables éventuels ? » à la rubrique 4).</w:t>
      </w:r>
    </w:p>
    <w:p w14:paraId="60FEEA14" w14:textId="77777777" w:rsidR="001C7C0E" w:rsidRPr="005E3BF6" w:rsidRDefault="001C7C0E" w:rsidP="00CB615C">
      <w:pPr>
        <w:widowControl/>
        <w:spacing w:after="0" w:line="240" w:lineRule="auto"/>
        <w:rPr>
          <w:rFonts w:ascii="Times New Roman" w:hAnsi="Times New Roman" w:cs="Times New Roman"/>
        </w:rPr>
      </w:pPr>
    </w:p>
    <w:p w14:paraId="2E66E54C"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Patients âgés</w:t>
      </w:r>
    </w:p>
    <w:p w14:paraId="3C775AE5" w14:textId="2C3174BA"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L’expérience avec le </w:t>
      </w:r>
      <w:proofErr w:type="spellStart"/>
      <w:r>
        <w:rPr>
          <w:rFonts w:ascii="Times New Roman" w:hAnsi="Times New Roman"/>
        </w:rPr>
        <w:t>fingolimod</w:t>
      </w:r>
      <w:proofErr w:type="spellEnd"/>
      <w:r>
        <w:rPr>
          <w:rFonts w:ascii="Times New Roman" w:hAnsi="Times New Roman"/>
        </w:rPr>
        <w:t xml:space="preserve"> chez les patients âgés (au-dessus de 65 ans) est limitée. En cas de questions ou d’inquiétudes, demandez plus d’informations à votre médecin.</w:t>
      </w:r>
    </w:p>
    <w:p w14:paraId="49E6C534" w14:textId="77777777" w:rsidR="001C7C0E" w:rsidRPr="005E3BF6" w:rsidRDefault="001C7C0E" w:rsidP="00CB615C">
      <w:pPr>
        <w:widowControl/>
        <w:spacing w:after="0" w:line="240" w:lineRule="auto"/>
        <w:rPr>
          <w:rFonts w:ascii="Times New Roman" w:hAnsi="Times New Roman" w:cs="Times New Roman"/>
        </w:rPr>
      </w:pPr>
    </w:p>
    <w:p w14:paraId="352836B4"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Enfants et adolescents</w:t>
      </w:r>
    </w:p>
    <w:p w14:paraId="01F172E4" w14:textId="0057DBB1" w:rsidR="001C7C0E" w:rsidRPr="005E3BF6"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n’est pas destiné aux enfants de moins de 10 ans et n’a pas été étudié chez des patients atteints de sclérose en plaques dans cette tranche d’âge.</w:t>
      </w:r>
    </w:p>
    <w:p w14:paraId="26D1592A" w14:textId="77777777" w:rsidR="001C7C0E" w:rsidRPr="005E3BF6" w:rsidRDefault="001C7C0E" w:rsidP="00CB615C">
      <w:pPr>
        <w:widowControl/>
        <w:spacing w:after="0" w:line="240" w:lineRule="auto"/>
        <w:rPr>
          <w:rFonts w:ascii="Times New Roman" w:hAnsi="Times New Roman" w:cs="Times New Roman"/>
        </w:rPr>
      </w:pPr>
    </w:p>
    <w:p w14:paraId="48566CE9"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Les mises en garde et les précautions mentionnées ci-dessus s’appliquent également aux enfants et aux adolescents. Les informations suivantes sont particulièrement importantes pour les enfants et les adolescents et leurs aidants :</w:t>
      </w:r>
    </w:p>
    <w:p w14:paraId="369D1085" w14:textId="4F4B65D5" w:rsidR="001C7C0E" w:rsidRPr="005E3BF6" w:rsidRDefault="00080994" w:rsidP="00CB615C">
      <w:pPr>
        <w:pStyle w:val="Paragraphedeliste"/>
        <w:widowControl/>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 xml:space="preserve">Avant que vous débutiez le traitement par </w:t>
      </w:r>
      <w:proofErr w:type="spellStart"/>
      <w:r>
        <w:rPr>
          <w:rFonts w:ascii="Times New Roman" w:hAnsi="Times New Roman"/>
        </w:rPr>
        <w:t>Fingolimod</w:t>
      </w:r>
      <w:proofErr w:type="spellEnd"/>
      <w:r>
        <w:rPr>
          <w:rFonts w:ascii="Times New Roman" w:hAnsi="Times New Roman"/>
        </w:rPr>
        <w:t xml:space="preserve"> Mylan, votre médecin vérifiera l’état de vos vaccinations. Si vous n’avez pas reçu certaines vaccinations, il pourrait être nécessaire pour vous de les faire avant de débuter le traitement avec ce médicament.</w:t>
      </w:r>
    </w:p>
    <w:p w14:paraId="428F8B0B" w14:textId="63B8607A" w:rsidR="001C7C0E" w:rsidRPr="005E3BF6" w:rsidRDefault="00080994" w:rsidP="00CB615C">
      <w:pPr>
        <w:pStyle w:val="Paragraphedeliste"/>
        <w:widowControl/>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 xml:space="preserve">La première fois que vous prenez </w:t>
      </w:r>
      <w:proofErr w:type="spellStart"/>
      <w:r>
        <w:rPr>
          <w:rFonts w:ascii="Times New Roman" w:hAnsi="Times New Roman"/>
        </w:rPr>
        <w:t>Fingolimod</w:t>
      </w:r>
      <w:proofErr w:type="spellEnd"/>
      <w:r>
        <w:rPr>
          <w:rFonts w:ascii="Times New Roman" w:hAnsi="Times New Roman"/>
        </w:rPr>
        <w:t xml:space="preserve"> Mylan, ou lorsque vous passez d’une dose quotidienne de 0,25 mg à 0,5 mg, votre médecin surveillera votre fréquence cardiaque et vos battements de cœur (voir « Fréquence cardiaque lente (bradycardie) et battements de cœur irréguliers » ci-dessus).</w:t>
      </w:r>
    </w:p>
    <w:p w14:paraId="17D5FED7" w14:textId="2278A962" w:rsidR="001C7C0E" w:rsidRPr="005E3BF6" w:rsidRDefault="00080994" w:rsidP="00CB615C">
      <w:pPr>
        <w:pStyle w:val="Paragraphedeliste"/>
        <w:widowControl/>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t xml:space="preserve">Si vous présentez des convulsions ou des crises avant ou pendant la prise de </w:t>
      </w:r>
      <w:proofErr w:type="spellStart"/>
      <w:r>
        <w:rPr>
          <w:rFonts w:ascii="Times New Roman" w:hAnsi="Times New Roman"/>
        </w:rPr>
        <w:t>Fingolimod</w:t>
      </w:r>
      <w:proofErr w:type="spellEnd"/>
      <w:r>
        <w:rPr>
          <w:rFonts w:ascii="Times New Roman" w:hAnsi="Times New Roman"/>
        </w:rPr>
        <w:t xml:space="preserve"> Mylan, informez-en votre médecin.</w:t>
      </w:r>
    </w:p>
    <w:p w14:paraId="079E296B" w14:textId="43BD3BD7" w:rsidR="001C7C0E" w:rsidRPr="005E3BF6" w:rsidRDefault="00080994" w:rsidP="00CB615C">
      <w:pPr>
        <w:pStyle w:val="Paragraphedeliste"/>
        <w:widowControl/>
        <w:numPr>
          <w:ilvl w:val="0"/>
          <w:numId w:val="6"/>
        </w:numPr>
        <w:spacing w:after="0" w:line="240" w:lineRule="auto"/>
        <w:ind w:left="567" w:hanging="567"/>
        <w:rPr>
          <w:rFonts w:ascii="Times New Roman" w:eastAsia="Times New Roman" w:hAnsi="Times New Roman" w:cs="Times New Roman"/>
        </w:rPr>
      </w:pPr>
      <w:r>
        <w:rPr>
          <w:rFonts w:ascii="Times New Roman" w:hAnsi="Times New Roman"/>
        </w:rPr>
        <w:lastRenderedPageBreak/>
        <w:t xml:space="preserve">Si vous souffrez de dépression ou d’anxiété ou si vous devenez déprimé ou anxieux pendant que vous prenez </w:t>
      </w:r>
      <w:proofErr w:type="spellStart"/>
      <w:r>
        <w:rPr>
          <w:rFonts w:ascii="Times New Roman" w:hAnsi="Times New Roman"/>
        </w:rPr>
        <w:t>Fingolimod</w:t>
      </w:r>
      <w:proofErr w:type="spellEnd"/>
      <w:r>
        <w:rPr>
          <w:rFonts w:ascii="Times New Roman" w:hAnsi="Times New Roman"/>
        </w:rPr>
        <w:t xml:space="preserve"> Mylan, informez-en votre médecin. Vous aurez peut-être besoin d’une surveillance plus étroite.</w:t>
      </w:r>
    </w:p>
    <w:p w14:paraId="59A7A0E5" w14:textId="77777777" w:rsidR="001C7C0E" w:rsidRPr="005E3BF6" w:rsidRDefault="001C7C0E" w:rsidP="00CB615C">
      <w:pPr>
        <w:widowControl/>
        <w:spacing w:after="0" w:line="240" w:lineRule="auto"/>
        <w:rPr>
          <w:rFonts w:ascii="Times New Roman" w:hAnsi="Times New Roman" w:cs="Times New Roman"/>
        </w:rPr>
      </w:pPr>
    </w:p>
    <w:p w14:paraId="0ED465C8" w14:textId="132D419E"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 xml:space="preserve">Autres médicaments et </w:t>
      </w:r>
      <w:proofErr w:type="spellStart"/>
      <w:r>
        <w:rPr>
          <w:rFonts w:ascii="Times New Roman" w:hAnsi="Times New Roman"/>
          <w:b/>
        </w:rPr>
        <w:t>Fingolimod</w:t>
      </w:r>
      <w:proofErr w:type="spellEnd"/>
      <w:r>
        <w:rPr>
          <w:rFonts w:ascii="Times New Roman" w:hAnsi="Times New Roman"/>
          <w:b/>
        </w:rPr>
        <w:t xml:space="preserve"> Mylan</w:t>
      </w:r>
    </w:p>
    <w:p w14:paraId="0551756A"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Informez votre médecin ou pharmacien si vous prenez, avez récemment pris ou pourriez prendre tout autre médicament. Informez votre médecin si vous prenez l’un des médicaments suivants :</w:t>
      </w:r>
    </w:p>
    <w:p w14:paraId="4BF4CB25" w14:textId="7B03BEBE" w:rsidR="001C7C0E" w:rsidRPr="005E3BF6" w:rsidRDefault="00080994" w:rsidP="00CB615C">
      <w:pPr>
        <w:pStyle w:val="Paragraphedeliste"/>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Médicaments qui suppriment ou modulent le fonctionnement du système immunitaire</w:t>
      </w:r>
      <w:r>
        <w:rPr>
          <w:rFonts w:ascii="Times New Roman" w:hAnsi="Times New Roman"/>
        </w:rPr>
        <w:t xml:space="preserve">, incluant </w:t>
      </w:r>
      <w:r>
        <w:rPr>
          <w:rFonts w:ascii="Times New Roman" w:hAnsi="Times New Roman"/>
          <w:b/>
        </w:rPr>
        <w:t>les autres médicaments utilisés pour traiter la SEP</w:t>
      </w:r>
      <w:r>
        <w:rPr>
          <w:rFonts w:ascii="Times New Roman" w:hAnsi="Times New Roman"/>
        </w:rPr>
        <w:t xml:space="preserve">, tels </w:t>
      </w:r>
      <w:proofErr w:type="gramStart"/>
      <w:r>
        <w:rPr>
          <w:rFonts w:ascii="Times New Roman" w:hAnsi="Times New Roman"/>
        </w:rPr>
        <w:t>que interféron</w:t>
      </w:r>
      <w:proofErr w:type="gramEnd"/>
      <w:r>
        <w:rPr>
          <w:rFonts w:ascii="Times New Roman" w:hAnsi="Times New Roman"/>
        </w:rPr>
        <w:t xml:space="preserve"> bêta, acétate de </w:t>
      </w:r>
      <w:proofErr w:type="spellStart"/>
      <w:r>
        <w:rPr>
          <w:rFonts w:ascii="Times New Roman" w:hAnsi="Times New Roman"/>
        </w:rPr>
        <w:t>glatiramère</w:t>
      </w:r>
      <w:proofErr w:type="spellEnd"/>
      <w:r>
        <w:rPr>
          <w:rFonts w:ascii="Times New Roman" w:hAnsi="Times New Roman"/>
        </w:rPr>
        <w:t xml:space="preserve">, natalizumab, </w:t>
      </w:r>
      <w:proofErr w:type="spellStart"/>
      <w:r>
        <w:rPr>
          <w:rFonts w:ascii="Times New Roman" w:hAnsi="Times New Roman"/>
        </w:rPr>
        <w:t>mitoxantrone</w:t>
      </w:r>
      <w:proofErr w:type="spellEnd"/>
      <w:r>
        <w:rPr>
          <w:rFonts w:ascii="Times New Roman" w:hAnsi="Times New Roman"/>
        </w:rPr>
        <w:t xml:space="preserve">, </w:t>
      </w:r>
      <w:proofErr w:type="spellStart"/>
      <w:r>
        <w:rPr>
          <w:rFonts w:ascii="Times New Roman" w:hAnsi="Times New Roman"/>
        </w:rPr>
        <w:t>tériflunomide</w:t>
      </w:r>
      <w:proofErr w:type="spellEnd"/>
      <w:r>
        <w:rPr>
          <w:rFonts w:ascii="Times New Roman" w:hAnsi="Times New Roman"/>
        </w:rPr>
        <w:t xml:space="preserve">, diméthylfumarate ou </w:t>
      </w:r>
      <w:proofErr w:type="spellStart"/>
      <w:r>
        <w:rPr>
          <w:rFonts w:ascii="Times New Roman" w:hAnsi="Times New Roman"/>
        </w:rPr>
        <w:t>alemtuzumab</w:t>
      </w:r>
      <w:proofErr w:type="spellEnd"/>
      <w:r>
        <w:rPr>
          <w:rFonts w:ascii="Times New Roman" w:hAnsi="Times New Roman"/>
        </w:rPr>
        <w:t xml:space="preserve">. Vous ne devez pas utiliser </w:t>
      </w:r>
      <w:proofErr w:type="spellStart"/>
      <w:r>
        <w:rPr>
          <w:rFonts w:ascii="Times New Roman" w:hAnsi="Times New Roman"/>
        </w:rPr>
        <w:t>Fingolimod</w:t>
      </w:r>
      <w:proofErr w:type="spellEnd"/>
      <w:r>
        <w:rPr>
          <w:rFonts w:ascii="Times New Roman" w:hAnsi="Times New Roman"/>
        </w:rPr>
        <w:t xml:space="preserve"> Mylan avec ces médicaments car cela pourrait intensifier l’effet sur le système immunitaire (voir aussi « Ne prenez jamais </w:t>
      </w:r>
      <w:proofErr w:type="spellStart"/>
      <w:r>
        <w:rPr>
          <w:rFonts w:ascii="Times New Roman" w:hAnsi="Times New Roman"/>
        </w:rPr>
        <w:t>Fingolimod</w:t>
      </w:r>
      <w:proofErr w:type="spellEnd"/>
      <w:r>
        <w:rPr>
          <w:rFonts w:ascii="Times New Roman" w:hAnsi="Times New Roman"/>
        </w:rPr>
        <w:t xml:space="preserve"> Mylan »).</w:t>
      </w:r>
    </w:p>
    <w:p w14:paraId="09221EF7" w14:textId="556E3DCB" w:rsidR="001C7C0E" w:rsidRPr="005E3BF6" w:rsidRDefault="00080994" w:rsidP="00CB615C">
      <w:pPr>
        <w:pStyle w:val="Paragraphedeliste"/>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 xml:space="preserve">Corticoïdes, </w:t>
      </w:r>
      <w:r>
        <w:rPr>
          <w:rFonts w:ascii="Times New Roman" w:hAnsi="Times New Roman"/>
        </w:rPr>
        <w:t>en raison d’un effet additif possible sur le système immunitaire.</w:t>
      </w:r>
    </w:p>
    <w:p w14:paraId="7D9A6094" w14:textId="1A8E7060" w:rsidR="00563D34" w:rsidRPr="005E3BF6" w:rsidRDefault="00080994" w:rsidP="00CB615C">
      <w:pPr>
        <w:pStyle w:val="Paragraphedeliste"/>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Vaccins</w:t>
      </w:r>
      <w:r>
        <w:rPr>
          <w:rFonts w:ascii="Times New Roman" w:hAnsi="Times New Roman"/>
        </w:rPr>
        <w:t xml:space="preserve">. Si vous devez être vacciné, prenez d’abord l’avis de votre médecin. Vous ne devez pas recevoir un certain type de vaccins (vaccins vivants atténués) pendant le traitement par </w:t>
      </w:r>
      <w:proofErr w:type="spellStart"/>
      <w:r>
        <w:rPr>
          <w:rFonts w:ascii="Times New Roman" w:hAnsi="Times New Roman"/>
        </w:rPr>
        <w:t>Fingolimod</w:t>
      </w:r>
      <w:proofErr w:type="spellEnd"/>
      <w:r>
        <w:rPr>
          <w:rFonts w:ascii="Times New Roman" w:hAnsi="Times New Roman"/>
        </w:rPr>
        <w:t xml:space="preserve"> Mylan et jusqu’à deux mois après son arrêt car ils pourraient déclencher l’infection qu’ils étaient supposés prévenir. Les autres vaccins peuvent ne pas être aussi efficaces que d’habitude s’ils sont administrés pendant cette période.</w:t>
      </w:r>
    </w:p>
    <w:p w14:paraId="6836EA05" w14:textId="0F4A7360" w:rsidR="001C7C0E" w:rsidRPr="005E3BF6" w:rsidRDefault="00080994" w:rsidP="00CB615C">
      <w:pPr>
        <w:pStyle w:val="Paragraphedeliste"/>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 xml:space="preserve">Médicaments qui ralentissent le rythme cardiaque </w:t>
      </w:r>
      <w:r>
        <w:rPr>
          <w:rFonts w:ascii="Times New Roman" w:hAnsi="Times New Roman"/>
        </w:rPr>
        <w:t xml:space="preserve">(par exemple bêta-bloquants tels que aténolol). L’utilisation de </w:t>
      </w:r>
      <w:proofErr w:type="spellStart"/>
      <w:r>
        <w:rPr>
          <w:rFonts w:ascii="Times New Roman" w:hAnsi="Times New Roman"/>
        </w:rPr>
        <w:t>Fingolimod</w:t>
      </w:r>
      <w:proofErr w:type="spellEnd"/>
      <w:r>
        <w:rPr>
          <w:rFonts w:ascii="Times New Roman" w:hAnsi="Times New Roman"/>
        </w:rPr>
        <w:t xml:space="preserve"> Mylan avec ces médicaments pourrait intensifier l’effet sur le rythme cardiaque au cours des premiers jours de traitement.</w:t>
      </w:r>
    </w:p>
    <w:p w14:paraId="6AE268B7" w14:textId="1480FBE8" w:rsidR="001C7C0E" w:rsidRPr="005E3BF6" w:rsidRDefault="00080994" w:rsidP="00CB615C">
      <w:pPr>
        <w:pStyle w:val="Paragraphedeliste"/>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Médicaments utilisés pour traiter un rythme cardiaque irrégulier</w:t>
      </w:r>
      <w:r>
        <w:rPr>
          <w:rFonts w:ascii="Times New Roman" w:hAnsi="Times New Roman"/>
        </w:rPr>
        <w:t xml:space="preserve">, tel que quinidine, </w:t>
      </w:r>
      <w:proofErr w:type="spellStart"/>
      <w:r>
        <w:rPr>
          <w:rFonts w:ascii="Times New Roman" w:hAnsi="Times New Roman"/>
        </w:rPr>
        <w:t>disopyramide</w:t>
      </w:r>
      <w:proofErr w:type="spellEnd"/>
      <w:r>
        <w:rPr>
          <w:rFonts w:ascii="Times New Roman" w:hAnsi="Times New Roman"/>
        </w:rPr>
        <w:t xml:space="preserve">, amiodarone ou </w:t>
      </w:r>
      <w:proofErr w:type="spellStart"/>
      <w:r>
        <w:rPr>
          <w:rFonts w:ascii="Times New Roman" w:hAnsi="Times New Roman"/>
        </w:rPr>
        <w:t>sotalol</w:t>
      </w:r>
      <w:proofErr w:type="spellEnd"/>
      <w:r>
        <w:rPr>
          <w:rFonts w:ascii="Times New Roman" w:hAnsi="Times New Roman"/>
        </w:rPr>
        <w:t xml:space="preserve">. Vous ne devez pas prendre </w:t>
      </w:r>
      <w:proofErr w:type="spellStart"/>
      <w:r>
        <w:rPr>
          <w:rFonts w:ascii="Times New Roman" w:hAnsi="Times New Roman"/>
        </w:rPr>
        <w:t>Fingolimod</w:t>
      </w:r>
      <w:proofErr w:type="spellEnd"/>
      <w:r>
        <w:rPr>
          <w:rFonts w:ascii="Times New Roman" w:hAnsi="Times New Roman"/>
        </w:rPr>
        <w:t xml:space="preserve"> Mylan si vous prenez l’un de ces médicaments car il pourrait intensifier l’effet sur le rythme cardiaque irrégulier (voir également « Ne prenez jamais </w:t>
      </w:r>
      <w:proofErr w:type="spellStart"/>
      <w:r>
        <w:rPr>
          <w:rFonts w:ascii="Times New Roman" w:hAnsi="Times New Roman"/>
        </w:rPr>
        <w:t>Fingolimod</w:t>
      </w:r>
      <w:proofErr w:type="spellEnd"/>
      <w:r>
        <w:rPr>
          <w:rFonts w:ascii="Times New Roman" w:hAnsi="Times New Roman"/>
        </w:rPr>
        <w:t xml:space="preserve"> Mylan »).</w:t>
      </w:r>
    </w:p>
    <w:p w14:paraId="668E70EF" w14:textId="0143654A" w:rsidR="00563D34" w:rsidRPr="005E3BF6" w:rsidRDefault="00080994" w:rsidP="00CB615C">
      <w:pPr>
        <w:pStyle w:val="Paragraphedeliste"/>
        <w:widowControl/>
        <w:numPr>
          <w:ilvl w:val="0"/>
          <w:numId w:val="7"/>
        </w:numPr>
        <w:spacing w:after="0" w:line="240" w:lineRule="auto"/>
        <w:ind w:left="567" w:hanging="567"/>
        <w:rPr>
          <w:rFonts w:ascii="Times New Roman" w:eastAsia="Times New Roman" w:hAnsi="Times New Roman" w:cs="Times New Roman"/>
        </w:rPr>
      </w:pPr>
      <w:r>
        <w:rPr>
          <w:rFonts w:ascii="Times New Roman" w:hAnsi="Times New Roman"/>
          <w:b/>
        </w:rPr>
        <w:t>Autres médicaments</w:t>
      </w:r>
      <w:r>
        <w:rPr>
          <w:rFonts w:ascii="Times New Roman" w:hAnsi="Times New Roman"/>
        </w:rPr>
        <w:t> :</w:t>
      </w:r>
    </w:p>
    <w:p w14:paraId="509B0C6E" w14:textId="77777777" w:rsidR="00563D34" w:rsidRPr="005E3BF6" w:rsidRDefault="00080994" w:rsidP="00CB615C">
      <w:pPr>
        <w:pStyle w:val="Paragraphedeliste"/>
        <w:widowControl/>
        <w:numPr>
          <w:ilvl w:val="0"/>
          <w:numId w:val="8"/>
        </w:numPr>
        <w:spacing w:after="0" w:line="240" w:lineRule="auto"/>
        <w:ind w:left="1134" w:hanging="567"/>
        <w:rPr>
          <w:rFonts w:ascii="Times New Roman" w:eastAsia="Times New Roman" w:hAnsi="Times New Roman" w:cs="Times New Roman"/>
        </w:rPr>
      </w:pPr>
      <w:proofErr w:type="gramStart"/>
      <w:r>
        <w:rPr>
          <w:rFonts w:ascii="Times New Roman" w:hAnsi="Times New Roman"/>
        </w:rPr>
        <w:t>anti</w:t>
      </w:r>
      <w:proofErr w:type="gramEnd"/>
      <w:r>
        <w:rPr>
          <w:rFonts w:ascii="Times New Roman" w:hAnsi="Times New Roman"/>
        </w:rPr>
        <w:t xml:space="preserve">-protéasiques, anti-infectieux tels que le </w:t>
      </w:r>
      <w:proofErr w:type="spellStart"/>
      <w:r>
        <w:rPr>
          <w:rFonts w:ascii="Times New Roman" w:hAnsi="Times New Roman"/>
        </w:rPr>
        <w:t>kétoconazole</w:t>
      </w:r>
      <w:proofErr w:type="spellEnd"/>
      <w:r>
        <w:rPr>
          <w:rFonts w:ascii="Times New Roman" w:hAnsi="Times New Roman"/>
        </w:rPr>
        <w:t xml:space="preserve">, les antifongiques azolés, clarithromycine ou </w:t>
      </w:r>
      <w:proofErr w:type="spellStart"/>
      <w:r>
        <w:rPr>
          <w:rFonts w:ascii="Times New Roman" w:hAnsi="Times New Roman"/>
        </w:rPr>
        <w:t>télithromycine</w:t>
      </w:r>
      <w:proofErr w:type="spellEnd"/>
      <w:r>
        <w:rPr>
          <w:rFonts w:ascii="Times New Roman" w:hAnsi="Times New Roman"/>
        </w:rPr>
        <w:t>.</w:t>
      </w:r>
    </w:p>
    <w:p w14:paraId="2BFC98AC" w14:textId="181D3332" w:rsidR="001C7C0E" w:rsidRPr="005E3BF6" w:rsidRDefault="00080994" w:rsidP="00CB615C">
      <w:pPr>
        <w:pStyle w:val="Paragraphedeliste"/>
        <w:widowControl/>
        <w:numPr>
          <w:ilvl w:val="0"/>
          <w:numId w:val="8"/>
        </w:numPr>
        <w:spacing w:after="0" w:line="240" w:lineRule="auto"/>
        <w:ind w:left="1134" w:hanging="567"/>
        <w:rPr>
          <w:rFonts w:ascii="Times New Roman" w:eastAsia="Times New Roman" w:hAnsi="Times New Roman" w:cs="Times New Roman"/>
        </w:rPr>
      </w:pPr>
      <w:proofErr w:type="gramStart"/>
      <w:r>
        <w:rPr>
          <w:rFonts w:ascii="Times New Roman" w:hAnsi="Times New Roman"/>
        </w:rPr>
        <w:t>carbamazépine</w:t>
      </w:r>
      <w:proofErr w:type="gramEnd"/>
      <w:r>
        <w:rPr>
          <w:rFonts w:ascii="Times New Roman" w:hAnsi="Times New Roman"/>
        </w:rPr>
        <w:t>, rifampicine, phénobarbital, phénytoïne, éfavirenz ou millepertuis (</w:t>
      </w:r>
      <w:proofErr w:type="spellStart"/>
      <w:r>
        <w:rPr>
          <w:rFonts w:ascii="Times New Roman" w:hAnsi="Times New Roman"/>
          <w:i/>
        </w:rPr>
        <w:t>Hypericum</w:t>
      </w:r>
      <w:proofErr w:type="spellEnd"/>
      <w:r>
        <w:rPr>
          <w:rFonts w:ascii="Times New Roman" w:hAnsi="Times New Roman"/>
          <w:i/>
        </w:rPr>
        <w:t xml:space="preserve"> </w:t>
      </w:r>
      <w:proofErr w:type="spellStart"/>
      <w:r>
        <w:rPr>
          <w:rFonts w:ascii="Times New Roman" w:hAnsi="Times New Roman"/>
          <w:i/>
        </w:rPr>
        <w:t>perforatum</w:t>
      </w:r>
      <w:proofErr w:type="spellEnd"/>
      <w:r>
        <w:rPr>
          <w:rFonts w:ascii="Times New Roman" w:hAnsi="Times New Roman"/>
        </w:rPr>
        <w:t xml:space="preserve">) (risque potentiel de diminution de l’efficacité de </w:t>
      </w:r>
      <w:proofErr w:type="spellStart"/>
      <w:r>
        <w:rPr>
          <w:rFonts w:ascii="Times New Roman" w:hAnsi="Times New Roman"/>
        </w:rPr>
        <w:t>Fingolimod</w:t>
      </w:r>
      <w:proofErr w:type="spellEnd"/>
      <w:r>
        <w:rPr>
          <w:rFonts w:ascii="Times New Roman" w:hAnsi="Times New Roman"/>
        </w:rPr>
        <w:t xml:space="preserve"> Mylan).</w:t>
      </w:r>
    </w:p>
    <w:p w14:paraId="1479B808" w14:textId="77777777" w:rsidR="001C7C0E" w:rsidRPr="005E3BF6" w:rsidRDefault="001C7C0E" w:rsidP="00CB615C">
      <w:pPr>
        <w:widowControl/>
        <w:spacing w:after="0" w:line="240" w:lineRule="auto"/>
        <w:rPr>
          <w:rFonts w:ascii="Times New Roman" w:hAnsi="Times New Roman" w:cs="Times New Roman"/>
        </w:rPr>
      </w:pPr>
    </w:p>
    <w:p w14:paraId="1C95D191"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Grossesse et allaitement</w:t>
      </w:r>
    </w:p>
    <w:p w14:paraId="3A95662B" w14:textId="7F0A0BEC" w:rsidR="001C7C0E"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Si vous êtes enceinte ou que vous allaitez, si vous pensez être enceinte ou planifiez une grossesse, demandez conseil à votre médecin avant de prendre ce médicament.</w:t>
      </w:r>
    </w:p>
    <w:p w14:paraId="3F786901" w14:textId="0961171F" w:rsidR="00344700" w:rsidRDefault="00344700" w:rsidP="00CB615C">
      <w:pPr>
        <w:widowControl/>
        <w:spacing w:after="0" w:line="240" w:lineRule="auto"/>
        <w:ind w:left="1"/>
        <w:rPr>
          <w:rFonts w:ascii="Times New Roman" w:eastAsia="Times New Roman" w:hAnsi="Times New Roman" w:cs="Times New Roman"/>
        </w:rPr>
      </w:pPr>
    </w:p>
    <w:p w14:paraId="1483ACAD" w14:textId="77777777" w:rsidR="00344700" w:rsidRPr="00180681" w:rsidRDefault="00080994" w:rsidP="00CB615C">
      <w:pPr>
        <w:widowControl/>
        <w:spacing w:after="0" w:line="240" w:lineRule="auto"/>
        <w:rPr>
          <w:rFonts w:ascii="Times New Roman" w:hAnsi="Times New Roman" w:cs="Times New Roman"/>
          <w:u w:val="single"/>
        </w:rPr>
      </w:pPr>
      <w:r>
        <w:rPr>
          <w:rFonts w:ascii="Times New Roman" w:hAnsi="Times New Roman"/>
          <w:u w:val="single"/>
        </w:rPr>
        <w:t>Grossesse</w:t>
      </w:r>
    </w:p>
    <w:p w14:paraId="1A84271E" w14:textId="33547800" w:rsidR="00344700" w:rsidRDefault="00080994" w:rsidP="00CB615C">
      <w:pPr>
        <w:widowControl/>
        <w:spacing w:after="0" w:line="240" w:lineRule="auto"/>
        <w:rPr>
          <w:rFonts w:ascii="Times New Roman" w:hAnsi="Times New Roman" w:cs="Times New Roman"/>
        </w:rPr>
      </w:pPr>
      <w:r>
        <w:rPr>
          <w:rFonts w:ascii="Times New Roman" w:hAnsi="Times New Roman"/>
        </w:rPr>
        <w:t xml:space="preserve">Vous ne devez pas prendre </w:t>
      </w:r>
      <w:proofErr w:type="spellStart"/>
      <w:r>
        <w:rPr>
          <w:rFonts w:ascii="Times New Roman" w:hAnsi="Times New Roman"/>
        </w:rPr>
        <w:t>Fingolimod</w:t>
      </w:r>
      <w:proofErr w:type="spellEnd"/>
      <w:r>
        <w:rPr>
          <w:rFonts w:ascii="Times New Roman" w:hAnsi="Times New Roman"/>
        </w:rPr>
        <w:t xml:space="preserve"> Mylan si vous êtes enceinte, si vous essayez d’être enceinte ou si vous êtes susceptible d’être enceinte et que vous n’utilisez pas de contraception efficace. Si ce médicament est utilisé pendant la grossesse, il existe un risque nocif pour l’enfant à naître. Le taux de malformations congénitales observé chez les nourrissons exposés au </w:t>
      </w:r>
      <w:proofErr w:type="spellStart"/>
      <w:r>
        <w:rPr>
          <w:rFonts w:ascii="Times New Roman" w:hAnsi="Times New Roman"/>
        </w:rPr>
        <w:t>fingolimod</w:t>
      </w:r>
      <w:proofErr w:type="spellEnd"/>
      <w:r>
        <w:rPr>
          <w:rFonts w:ascii="Times New Roman" w:hAnsi="Times New Roman"/>
        </w:rPr>
        <w:t xml:space="preserve"> pendant la grossesse est environ 2 fois supérieur à celui observé dans la population générale (chez qui le taux de malformations congénitales est d’environ 2 à 3 %). Les malformations les plus fréquemment rapportées incluaient des malformations cardiaques, rénales et </w:t>
      </w:r>
      <w:proofErr w:type="spellStart"/>
      <w:r>
        <w:rPr>
          <w:rFonts w:ascii="Times New Roman" w:hAnsi="Times New Roman"/>
        </w:rPr>
        <w:t>musculo-squelettiques</w:t>
      </w:r>
      <w:proofErr w:type="spellEnd"/>
      <w:r>
        <w:rPr>
          <w:rFonts w:ascii="Times New Roman" w:hAnsi="Times New Roman"/>
        </w:rPr>
        <w:t>.</w:t>
      </w:r>
    </w:p>
    <w:p w14:paraId="5ADD5B33" w14:textId="77777777" w:rsidR="00344700" w:rsidRDefault="00344700" w:rsidP="00CB615C">
      <w:pPr>
        <w:widowControl/>
        <w:spacing w:after="0" w:line="240" w:lineRule="auto"/>
        <w:rPr>
          <w:rFonts w:ascii="Times New Roman" w:hAnsi="Times New Roman" w:cs="Times New Roman"/>
        </w:rPr>
      </w:pPr>
    </w:p>
    <w:p w14:paraId="7900A14B" w14:textId="77777777" w:rsidR="00344700" w:rsidRPr="005E3BF6" w:rsidRDefault="00080994" w:rsidP="00CB615C">
      <w:pPr>
        <w:widowControl/>
        <w:spacing w:after="0" w:line="240" w:lineRule="auto"/>
        <w:rPr>
          <w:rFonts w:ascii="Times New Roman" w:hAnsi="Times New Roman" w:cs="Times New Roman"/>
        </w:rPr>
      </w:pPr>
      <w:r>
        <w:rPr>
          <w:rFonts w:ascii="Times New Roman" w:hAnsi="Times New Roman"/>
        </w:rPr>
        <w:t>Par conséquent, si vous êtes une femme en âge de procréer :</w:t>
      </w:r>
    </w:p>
    <w:p w14:paraId="265DFD2A" w14:textId="6A373A8C" w:rsidR="00344700" w:rsidRDefault="00080994" w:rsidP="00CB615C">
      <w:pPr>
        <w:pStyle w:val="Paragraphedeliste"/>
        <w:widowControl/>
        <w:numPr>
          <w:ilvl w:val="0"/>
          <w:numId w:val="28"/>
        </w:numPr>
        <w:spacing w:after="0" w:line="240" w:lineRule="auto"/>
        <w:ind w:left="567" w:hanging="567"/>
        <w:rPr>
          <w:rFonts w:ascii="Times New Roman" w:eastAsia="Times New Roman" w:hAnsi="Times New Roman" w:cs="Times New Roman"/>
        </w:rPr>
      </w:pPr>
      <w:proofErr w:type="gramStart"/>
      <w:r>
        <w:rPr>
          <w:rFonts w:ascii="Times New Roman" w:hAnsi="Times New Roman"/>
        </w:rPr>
        <w:t>avant</w:t>
      </w:r>
      <w:proofErr w:type="gramEnd"/>
      <w:r>
        <w:rPr>
          <w:rFonts w:ascii="Times New Roman" w:hAnsi="Times New Roman"/>
        </w:rPr>
        <w:t xml:space="preserve"> de débuter votre traitement par </w:t>
      </w:r>
      <w:proofErr w:type="spellStart"/>
      <w:r>
        <w:rPr>
          <w:rFonts w:ascii="Times New Roman" w:hAnsi="Times New Roman"/>
        </w:rPr>
        <w:t>Fingolimod</w:t>
      </w:r>
      <w:proofErr w:type="spellEnd"/>
      <w:r>
        <w:rPr>
          <w:rFonts w:ascii="Times New Roman" w:hAnsi="Times New Roman"/>
        </w:rPr>
        <w:t xml:space="preserve"> Mylan, votre médecin vous expliquera le risque pour l’enfant à naître et vous demandera de faire un test de grossesse afin de s’assurer que vous n’êtes pas enceinte,</w:t>
      </w:r>
    </w:p>
    <w:p w14:paraId="09A5857B" w14:textId="0B58906D" w:rsidR="00344700" w:rsidRDefault="00080994" w:rsidP="00DD348E">
      <w:pPr>
        <w:keepNext/>
        <w:widowControl/>
        <w:spacing w:after="0" w:line="240" w:lineRule="auto"/>
        <w:ind w:left="567" w:hanging="567"/>
        <w:rPr>
          <w:rFonts w:ascii="Times New Roman" w:eastAsia="Times New Roman" w:hAnsi="Times New Roman" w:cs="Times New Roman"/>
        </w:rPr>
      </w:pPr>
      <w:proofErr w:type="gramStart"/>
      <w:r>
        <w:rPr>
          <w:rFonts w:ascii="Times New Roman" w:hAnsi="Times New Roman"/>
        </w:rPr>
        <w:t>et</w:t>
      </w:r>
      <w:proofErr w:type="gramEnd"/>
    </w:p>
    <w:p w14:paraId="5FA95F84" w14:textId="42E3D154" w:rsidR="00344700" w:rsidRPr="005E3FEB" w:rsidRDefault="00080994" w:rsidP="00CB615C">
      <w:pPr>
        <w:pStyle w:val="Paragraphedeliste"/>
        <w:widowControl/>
        <w:numPr>
          <w:ilvl w:val="0"/>
          <w:numId w:val="28"/>
        </w:numPr>
        <w:spacing w:after="0" w:line="240" w:lineRule="auto"/>
        <w:ind w:left="567" w:right="139" w:hanging="567"/>
        <w:rPr>
          <w:rFonts w:ascii="Times New Roman" w:eastAsia="Times New Roman" w:hAnsi="Times New Roman" w:cs="Times New Roman"/>
        </w:rPr>
      </w:pPr>
      <w:proofErr w:type="gramStart"/>
      <w:r>
        <w:rPr>
          <w:rFonts w:ascii="Times New Roman" w:hAnsi="Times New Roman"/>
        </w:rPr>
        <w:t>vous</w:t>
      </w:r>
      <w:proofErr w:type="gramEnd"/>
      <w:r>
        <w:rPr>
          <w:rFonts w:ascii="Times New Roman" w:hAnsi="Times New Roman"/>
        </w:rPr>
        <w:t xml:space="preserve"> devez utiliser une contraception efficace pendant le traitement avec ce médicament et les deux mois suivant son arrêt afin d’éviter de débuter une grossesse. Renseignez-vous auprès de votre médecin sur les méthodes de contraception fiables.</w:t>
      </w:r>
    </w:p>
    <w:p w14:paraId="1BFAD3AB" w14:textId="77777777" w:rsidR="00344700" w:rsidRDefault="00344700" w:rsidP="00CB615C">
      <w:pPr>
        <w:widowControl/>
        <w:spacing w:after="0" w:line="240" w:lineRule="auto"/>
        <w:ind w:right="139"/>
        <w:rPr>
          <w:rFonts w:ascii="Times New Roman" w:eastAsia="Times New Roman" w:hAnsi="Times New Roman" w:cs="Times New Roman"/>
        </w:rPr>
      </w:pPr>
    </w:p>
    <w:p w14:paraId="38BF30EB" w14:textId="702B80E6" w:rsidR="00344700" w:rsidRPr="005E3FEB" w:rsidRDefault="00080994" w:rsidP="00CB615C">
      <w:pPr>
        <w:widowControl/>
        <w:spacing w:after="0" w:line="240" w:lineRule="auto"/>
        <w:ind w:right="139"/>
        <w:rPr>
          <w:rFonts w:ascii="Times New Roman" w:eastAsia="Times New Roman" w:hAnsi="Times New Roman" w:cs="Times New Roman"/>
        </w:rPr>
      </w:pPr>
      <w:r>
        <w:rPr>
          <w:rFonts w:ascii="Times New Roman" w:hAnsi="Times New Roman"/>
        </w:rPr>
        <w:t xml:space="preserve">Votre médecin vous donnera une carte expliquant pourquoi vous ne devez pas débuter une grossesse pendant le traitement par </w:t>
      </w:r>
      <w:proofErr w:type="spellStart"/>
      <w:r>
        <w:rPr>
          <w:rFonts w:ascii="Times New Roman" w:hAnsi="Times New Roman"/>
        </w:rPr>
        <w:t>Fingolimod</w:t>
      </w:r>
      <w:proofErr w:type="spellEnd"/>
      <w:r>
        <w:rPr>
          <w:rFonts w:ascii="Times New Roman" w:hAnsi="Times New Roman"/>
        </w:rPr>
        <w:t xml:space="preserve"> Mylan.</w:t>
      </w:r>
    </w:p>
    <w:p w14:paraId="0445892C" w14:textId="77777777" w:rsidR="001C7C0E" w:rsidRPr="005E3BF6" w:rsidRDefault="001C7C0E" w:rsidP="00CB615C">
      <w:pPr>
        <w:widowControl/>
        <w:spacing w:after="0" w:line="240" w:lineRule="auto"/>
        <w:rPr>
          <w:rFonts w:ascii="Times New Roman" w:hAnsi="Times New Roman" w:cs="Times New Roman"/>
        </w:rPr>
      </w:pPr>
    </w:p>
    <w:p w14:paraId="7AAC15C7" w14:textId="061DCFBF" w:rsidR="001C7C0E"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lastRenderedPageBreak/>
        <w:t xml:space="preserve">Si vous débutez une grossesse sous traitement par </w:t>
      </w:r>
      <w:proofErr w:type="spellStart"/>
      <w:r>
        <w:rPr>
          <w:rFonts w:ascii="Times New Roman" w:hAnsi="Times New Roman"/>
          <w:b/>
        </w:rPr>
        <w:t>Fingolimod</w:t>
      </w:r>
      <w:proofErr w:type="spellEnd"/>
      <w:r>
        <w:rPr>
          <w:rFonts w:ascii="Times New Roman" w:hAnsi="Times New Roman"/>
          <w:b/>
        </w:rPr>
        <w:t xml:space="preserve"> Mylan, prévenez immédiatement votre médecin.</w:t>
      </w:r>
      <w:r>
        <w:rPr>
          <w:rFonts w:ascii="Times New Roman" w:hAnsi="Times New Roman"/>
        </w:rPr>
        <w:t xml:space="preserve"> Votre médecin décidera d’arrêter le traitement (voir « Si vous arrêtez de prendre </w:t>
      </w:r>
      <w:proofErr w:type="spellStart"/>
      <w:r>
        <w:rPr>
          <w:rFonts w:ascii="Times New Roman" w:hAnsi="Times New Roman"/>
        </w:rPr>
        <w:t>Fingolimod</w:t>
      </w:r>
      <w:proofErr w:type="spellEnd"/>
      <w:r>
        <w:rPr>
          <w:rFonts w:ascii="Times New Roman" w:hAnsi="Times New Roman"/>
        </w:rPr>
        <w:t xml:space="preserve"> Mylan » à la rubrique 3, et « Quels sont les effets indésirables éventuels ? » à la rubrique 4). Vous aurez également besoin d’une surveillance prénatale spécialisée.</w:t>
      </w:r>
    </w:p>
    <w:p w14:paraId="07B0DA26" w14:textId="26AD9F99" w:rsidR="00C84EE1" w:rsidRDefault="00C84EE1" w:rsidP="00CB615C">
      <w:pPr>
        <w:widowControl/>
        <w:spacing w:after="0" w:line="240" w:lineRule="auto"/>
        <w:ind w:left="1"/>
        <w:rPr>
          <w:rFonts w:ascii="Times New Roman" w:eastAsia="Times New Roman" w:hAnsi="Times New Roman" w:cs="Times New Roman"/>
        </w:rPr>
      </w:pPr>
    </w:p>
    <w:p w14:paraId="36CC675C" w14:textId="1BA37031" w:rsidR="001C7C0E" w:rsidRPr="005E3BF6" w:rsidRDefault="00080994" w:rsidP="00CB615C">
      <w:pPr>
        <w:widowControl/>
        <w:spacing w:after="0" w:line="240" w:lineRule="auto"/>
        <w:rPr>
          <w:rFonts w:ascii="Times New Roman" w:hAnsi="Times New Roman" w:cs="Times New Roman"/>
        </w:rPr>
      </w:pPr>
      <w:r>
        <w:rPr>
          <w:rFonts w:ascii="Times New Roman" w:hAnsi="Times New Roman"/>
          <w:u w:val="single"/>
        </w:rPr>
        <w:t>Allaitement</w:t>
      </w:r>
    </w:p>
    <w:p w14:paraId="5AA5F5D5" w14:textId="5C587DEE"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 xml:space="preserve">Vous ne devez pas allaiter pendant le traitement par </w:t>
      </w:r>
      <w:proofErr w:type="spellStart"/>
      <w:r>
        <w:rPr>
          <w:rFonts w:ascii="Times New Roman" w:hAnsi="Times New Roman"/>
          <w:b/>
        </w:rPr>
        <w:t>Fingolimod</w:t>
      </w:r>
      <w:proofErr w:type="spellEnd"/>
      <w:r>
        <w:rPr>
          <w:rFonts w:ascii="Times New Roman" w:hAnsi="Times New Roman"/>
          <w:b/>
        </w:rPr>
        <w:t xml:space="preserve"> Mylan</w:t>
      </w:r>
      <w:r>
        <w:rPr>
          <w:rFonts w:ascii="Times New Roman" w:hAnsi="Times New Roman"/>
        </w:rPr>
        <w:t>. Le médicament peut passer dans le lait maternel et il existe un risque d’effets indésirables graves pour l’enfant.</w:t>
      </w:r>
    </w:p>
    <w:p w14:paraId="200F5E20" w14:textId="6AFC73A8" w:rsidR="001C7C0E" w:rsidRPr="005E3BF6" w:rsidRDefault="001C7C0E" w:rsidP="00CB615C">
      <w:pPr>
        <w:widowControl/>
        <w:spacing w:after="0" w:line="240" w:lineRule="auto"/>
        <w:rPr>
          <w:rFonts w:ascii="Times New Roman" w:eastAsia="Times New Roman" w:hAnsi="Times New Roman" w:cs="Times New Roman"/>
        </w:rPr>
      </w:pPr>
    </w:p>
    <w:p w14:paraId="32B0A61B"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Conduite de véhicules et utilisation de machines</w:t>
      </w:r>
    </w:p>
    <w:p w14:paraId="3DE12988" w14:textId="2759CF82"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Votre médecin déterminera si votre maladie vous permet de conduire des véhicules, y compris une bicyclette, et d’utiliser des machines en toute sécurité. Il n’est pas attendu que </w:t>
      </w:r>
      <w:proofErr w:type="spellStart"/>
      <w:r>
        <w:rPr>
          <w:rFonts w:ascii="Times New Roman" w:hAnsi="Times New Roman"/>
        </w:rPr>
        <w:t>Fingolimod</w:t>
      </w:r>
      <w:proofErr w:type="spellEnd"/>
      <w:r>
        <w:rPr>
          <w:rFonts w:ascii="Times New Roman" w:hAnsi="Times New Roman"/>
        </w:rPr>
        <w:t xml:space="preserve"> Mylan </w:t>
      </w:r>
      <w:proofErr w:type="gramStart"/>
      <w:r>
        <w:rPr>
          <w:rFonts w:ascii="Times New Roman" w:hAnsi="Times New Roman"/>
        </w:rPr>
        <w:t>ait</w:t>
      </w:r>
      <w:proofErr w:type="gramEnd"/>
      <w:r>
        <w:rPr>
          <w:rFonts w:ascii="Times New Roman" w:hAnsi="Times New Roman"/>
        </w:rPr>
        <w:t xml:space="preserve"> une influence sur votre aptitude à conduire des véhicules et à utiliser des machines.</w:t>
      </w:r>
    </w:p>
    <w:p w14:paraId="02032A71" w14:textId="77777777" w:rsidR="001C7C0E" w:rsidRPr="005E3BF6" w:rsidRDefault="001C7C0E" w:rsidP="00CB615C">
      <w:pPr>
        <w:widowControl/>
        <w:spacing w:after="0" w:line="240" w:lineRule="auto"/>
        <w:rPr>
          <w:rFonts w:ascii="Times New Roman" w:hAnsi="Times New Roman" w:cs="Times New Roman"/>
        </w:rPr>
      </w:pPr>
    </w:p>
    <w:p w14:paraId="4E7FD0F8" w14:textId="1320A81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Cependant, à l’initiation du traitement, vous devez rester à l’hôpital ou dans une clinique pendant 6 heures après avoir pris la première dose de ce médicament. Votre aptitude à conduire et à utiliser des machines pourrait être diminuée pendant et potentiellement après cette période.</w:t>
      </w:r>
    </w:p>
    <w:p w14:paraId="7881812E" w14:textId="13B03B90" w:rsidR="00F06F86" w:rsidRDefault="00F06F86" w:rsidP="00CB615C">
      <w:pPr>
        <w:widowControl/>
        <w:spacing w:after="0" w:line="240" w:lineRule="auto"/>
        <w:rPr>
          <w:rFonts w:ascii="Times New Roman" w:hAnsi="Times New Roman" w:cs="Times New Roman"/>
        </w:rPr>
      </w:pPr>
    </w:p>
    <w:p w14:paraId="6AE9CC5E" w14:textId="77777777" w:rsidR="00981C96" w:rsidRPr="005E3BF6" w:rsidRDefault="00981C96" w:rsidP="00CB615C">
      <w:pPr>
        <w:widowControl/>
        <w:spacing w:after="0" w:line="240" w:lineRule="auto"/>
        <w:rPr>
          <w:rFonts w:ascii="Times New Roman" w:hAnsi="Times New Roman" w:cs="Times New Roman"/>
        </w:rPr>
      </w:pPr>
    </w:p>
    <w:p w14:paraId="24859B0A" w14:textId="0B124292" w:rsidR="001C7C0E" w:rsidRPr="005E3BF6" w:rsidRDefault="00080994" w:rsidP="00CB615C">
      <w:pPr>
        <w:widowControl/>
        <w:tabs>
          <w:tab w:val="left" w:pos="567"/>
        </w:tabs>
        <w:spacing w:after="0" w:line="240" w:lineRule="auto"/>
        <w:ind w:left="1"/>
        <w:rPr>
          <w:rFonts w:ascii="Times New Roman" w:eastAsia="Times New Roman" w:hAnsi="Times New Roman" w:cs="Times New Roman"/>
        </w:rPr>
      </w:pPr>
      <w:r>
        <w:rPr>
          <w:rFonts w:ascii="Times New Roman" w:hAnsi="Times New Roman"/>
          <w:b/>
        </w:rPr>
        <w:t>3.</w:t>
      </w:r>
      <w:r>
        <w:rPr>
          <w:rFonts w:ascii="Times New Roman" w:hAnsi="Times New Roman"/>
          <w:b/>
        </w:rPr>
        <w:tab/>
        <w:t xml:space="preserve">Comment prendre </w:t>
      </w:r>
      <w:proofErr w:type="spellStart"/>
      <w:r>
        <w:rPr>
          <w:rFonts w:ascii="Times New Roman" w:hAnsi="Times New Roman"/>
          <w:b/>
        </w:rPr>
        <w:t>Fingolimod</w:t>
      </w:r>
      <w:proofErr w:type="spellEnd"/>
      <w:r>
        <w:rPr>
          <w:rFonts w:ascii="Times New Roman" w:hAnsi="Times New Roman"/>
          <w:b/>
        </w:rPr>
        <w:t xml:space="preserve"> Mylan</w:t>
      </w:r>
    </w:p>
    <w:p w14:paraId="3499A1A8" w14:textId="77777777" w:rsidR="001C7C0E" w:rsidRPr="005E3BF6" w:rsidRDefault="001C7C0E" w:rsidP="00CB615C">
      <w:pPr>
        <w:widowControl/>
        <w:spacing w:after="0" w:line="240" w:lineRule="auto"/>
        <w:rPr>
          <w:rFonts w:ascii="Times New Roman" w:hAnsi="Times New Roman" w:cs="Times New Roman"/>
        </w:rPr>
      </w:pPr>
    </w:p>
    <w:p w14:paraId="04DB6767" w14:textId="04C917D5"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traitement par </w:t>
      </w:r>
      <w:proofErr w:type="spellStart"/>
      <w:r>
        <w:rPr>
          <w:rFonts w:ascii="Times New Roman" w:hAnsi="Times New Roman"/>
        </w:rPr>
        <w:t>Fingolimod</w:t>
      </w:r>
      <w:proofErr w:type="spellEnd"/>
      <w:r>
        <w:rPr>
          <w:rFonts w:ascii="Times New Roman" w:hAnsi="Times New Roman"/>
        </w:rPr>
        <w:t xml:space="preserve"> Mylan sera surveillé par un médecin ayant l’expérience du traitement de la sclérose en plaques.</w:t>
      </w:r>
    </w:p>
    <w:p w14:paraId="701A84D3" w14:textId="77777777" w:rsidR="001C7C0E" w:rsidRPr="005E3BF6" w:rsidRDefault="001C7C0E" w:rsidP="00CB615C">
      <w:pPr>
        <w:widowControl/>
        <w:spacing w:after="0" w:line="240" w:lineRule="auto"/>
        <w:rPr>
          <w:rFonts w:ascii="Times New Roman" w:hAnsi="Times New Roman" w:cs="Times New Roman"/>
        </w:rPr>
      </w:pPr>
    </w:p>
    <w:p w14:paraId="44668B83"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Veillez à toujours prendre ce médicament en suivant exactement les indications de votre médecin. Vérifiez auprès de votre médecin en cas de doute.</w:t>
      </w:r>
    </w:p>
    <w:p w14:paraId="2D02F9FB" w14:textId="77777777" w:rsidR="001C7C0E" w:rsidRPr="005E3BF6" w:rsidRDefault="001C7C0E" w:rsidP="00CB615C">
      <w:pPr>
        <w:widowControl/>
        <w:spacing w:after="0" w:line="240" w:lineRule="auto"/>
        <w:rPr>
          <w:rFonts w:ascii="Times New Roman" w:hAnsi="Times New Roman" w:cs="Times New Roman"/>
        </w:rPr>
      </w:pPr>
    </w:p>
    <w:p w14:paraId="663CE068"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La dose recommandée est :</w:t>
      </w:r>
    </w:p>
    <w:p w14:paraId="48E9D888" w14:textId="77777777" w:rsidR="004F6E22" w:rsidRPr="005E3BF6" w:rsidRDefault="004F6E22" w:rsidP="00CB615C">
      <w:pPr>
        <w:widowControl/>
        <w:spacing w:after="0" w:line="240" w:lineRule="auto"/>
        <w:ind w:left="1"/>
        <w:rPr>
          <w:rFonts w:ascii="Times New Roman" w:eastAsia="Times New Roman" w:hAnsi="Times New Roman" w:cs="Times New Roman"/>
          <w:b/>
          <w:bCs/>
          <w:spacing w:val="-1"/>
        </w:rPr>
      </w:pPr>
    </w:p>
    <w:p w14:paraId="07C22E89" w14:textId="0BE154AA" w:rsidR="001C7C0E" w:rsidRPr="003D2334" w:rsidRDefault="00080994" w:rsidP="00CB615C">
      <w:pPr>
        <w:widowControl/>
        <w:spacing w:after="0" w:line="240" w:lineRule="auto"/>
        <w:ind w:left="1"/>
        <w:rPr>
          <w:rFonts w:ascii="Times New Roman" w:eastAsia="Times New Roman" w:hAnsi="Times New Roman" w:cs="Times New Roman"/>
          <w:u w:val="single"/>
        </w:rPr>
      </w:pPr>
      <w:r>
        <w:rPr>
          <w:rFonts w:ascii="Times New Roman" w:hAnsi="Times New Roman"/>
          <w:b/>
          <w:u w:val="single"/>
        </w:rPr>
        <w:t>Adultes</w:t>
      </w:r>
    </w:p>
    <w:p w14:paraId="3F7FF84A" w14:textId="5E1850AC" w:rsidR="001C7C0E" w:rsidRPr="00DE253E"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La posologie est d’une gélule de 0,5 mg par jour.</w:t>
      </w:r>
    </w:p>
    <w:p w14:paraId="2B650367" w14:textId="77777777" w:rsidR="001C7C0E" w:rsidRPr="00DE253E" w:rsidRDefault="001C7C0E" w:rsidP="00CB615C">
      <w:pPr>
        <w:widowControl/>
        <w:spacing w:after="0" w:line="240" w:lineRule="auto"/>
        <w:rPr>
          <w:rFonts w:ascii="Times New Roman" w:hAnsi="Times New Roman" w:cs="Times New Roman"/>
        </w:rPr>
      </w:pPr>
    </w:p>
    <w:p w14:paraId="38ED885B" w14:textId="66DE228C" w:rsidR="00DE253E" w:rsidRPr="003D2334" w:rsidRDefault="00080994" w:rsidP="00CB615C">
      <w:pPr>
        <w:widowControl/>
        <w:spacing w:after="0" w:line="240" w:lineRule="auto"/>
        <w:ind w:left="1"/>
        <w:rPr>
          <w:rFonts w:ascii="Times New Roman" w:eastAsia="Times New Roman" w:hAnsi="Times New Roman" w:cs="Times New Roman"/>
          <w:b/>
          <w:bCs/>
          <w:u w:val="single"/>
        </w:rPr>
      </w:pPr>
      <w:r>
        <w:rPr>
          <w:rFonts w:ascii="Times New Roman" w:hAnsi="Times New Roman"/>
          <w:b/>
          <w:u w:val="single"/>
        </w:rPr>
        <w:t>Enfants et adolescents (âgés de 10 ans et plus)</w:t>
      </w:r>
      <w:r>
        <w:rPr>
          <w:rFonts w:ascii="Times New Roman" w:hAnsi="Times New Roman"/>
          <w:b/>
        </w:rPr>
        <w:t xml:space="preserve"> </w:t>
      </w:r>
    </w:p>
    <w:p w14:paraId="5D405C0F" w14:textId="0B94DF48" w:rsidR="001C7C0E" w:rsidRDefault="00080994" w:rsidP="00CB615C">
      <w:pPr>
        <w:widowControl/>
        <w:spacing w:after="0" w:line="240" w:lineRule="auto"/>
        <w:ind w:left="1"/>
        <w:rPr>
          <w:rFonts w:ascii="Times New Roman" w:eastAsia="Times New Roman" w:hAnsi="Times New Roman" w:cs="Times New Roman"/>
          <w:b/>
          <w:bCs/>
        </w:rPr>
      </w:pPr>
      <w:r>
        <w:rPr>
          <w:rFonts w:ascii="Times New Roman" w:hAnsi="Times New Roman"/>
          <w:b/>
        </w:rPr>
        <w:t>La posologie dépend du poids :</w:t>
      </w:r>
    </w:p>
    <w:p w14:paraId="694686EC" w14:textId="254FEFA8" w:rsidR="00DE253E" w:rsidRPr="005E3FEB" w:rsidRDefault="00080994" w:rsidP="00CB615C">
      <w:pPr>
        <w:pStyle w:val="Paragraphedeliste"/>
        <w:widowControl/>
        <w:numPr>
          <w:ilvl w:val="0"/>
          <w:numId w:val="28"/>
        </w:numPr>
        <w:spacing w:after="0" w:line="240" w:lineRule="auto"/>
        <w:ind w:left="567" w:hanging="567"/>
        <w:rPr>
          <w:rFonts w:ascii="Times New Roman" w:eastAsia="Times New Roman" w:hAnsi="Times New Roman" w:cs="Times New Roman"/>
        </w:rPr>
      </w:pPr>
      <w:r>
        <w:rPr>
          <w:rFonts w:ascii="Times New Roman" w:hAnsi="Times New Roman"/>
          <w:i/>
        </w:rPr>
        <w:t xml:space="preserve">Enfants et adolescents pesant </w:t>
      </w:r>
      <w:r w:rsidR="00B558D9">
        <w:rPr>
          <w:rFonts w:ascii="Times New Roman" w:hAnsi="Times New Roman" w:cs="Times New Roman"/>
          <w:i/>
        </w:rPr>
        <w:t>≤</w:t>
      </w:r>
      <w:r>
        <w:rPr>
          <w:rFonts w:ascii="Times New Roman" w:hAnsi="Times New Roman"/>
          <w:i/>
        </w:rPr>
        <w:t> 40 kg :</w:t>
      </w:r>
      <w:r>
        <w:rPr>
          <w:rFonts w:ascii="Times New Roman" w:hAnsi="Times New Roman"/>
        </w:rPr>
        <w:t xml:space="preserve"> une gélule de 0,25 mg par jour.</w:t>
      </w:r>
    </w:p>
    <w:p w14:paraId="428948FC" w14:textId="2619CD11" w:rsidR="004F6E22" w:rsidRPr="005E3FEB" w:rsidRDefault="00080994" w:rsidP="00CB615C">
      <w:pPr>
        <w:pStyle w:val="Paragraphedeliste"/>
        <w:widowControl/>
        <w:numPr>
          <w:ilvl w:val="0"/>
          <w:numId w:val="28"/>
        </w:numPr>
        <w:tabs>
          <w:tab w:val="left" w:pos="680"/>
        </w:tabs>
        <w:spacing w:after="0" w:line="240" w:lineRule="auto"/>
        <w:ind w:left="567" w:hanging="567"/>
        <w:rPr>
          <w:rFonts w:ascii="Times New Roman" w:eastAsia="Times New Roman" w:hAnsi="Times New Roman" w:cs="Times New Roman"/>
          <w:b/>
        </w:rPr>
      </w:pPr>
      <w:r>
        <w:rPr>
          <w:rFonts w:ascii="Times New Roman" w:hAnsi="Times New Roman"/>
          <w:i/>
        </w:rPr>
        <w:t>Enfants et adolescents pesant &gt; 40 kg :</w:t>
      </w:r>
      <w:r>
        <w:rPr>
          <w:rFonts w:ascii="Times New Roman" w:hAnsi="Times New Roman"/>
        </w:rPr>
        <w:t xml:space="preserve"> une gélule de 0,5 mg par jour. </w:t>
      </w:r>
    </w:p>
    <w:p w14:paraId="01A82D2B" w14:textId="77777777" w:rsidR="008C0792" w:rsidRDefault="008C0792" w:rsidP="00CB615C">
      <w:pPr>
        <w:widowControl/>
        <w:tabs>
          <w:tab w:val="left" w:pos="680"/>
        </w:tabs>
        <w:spacing w:after="0" w:line="240" w:lineRule="auto"/>
        <w:rPr>
          <w:rFonts w:ascii="Times New Roman" w:eastAsia="Times New Roman" w:hAnsi="Times New Roman" w:cs="Times New Roman"/>
          <w:spacing w:val="-1"/>
        </w:rPr>
      </w:pPr>
    </w:p>
    <w:p w14:paraId="589E055B" w14:textId="7A73BF11" w:rsidR="004411D6" w:rsidRDefault="00080994" w:rsidP="00CB615C">
      <w:pPr>
        <w:widowControl/>
        <w:tabs>
          <w:tab w:val="left" w:pos="680"/>
        </w:tabs>
        <w:spacing w:after="0" w:line="240" w:lineRule="auto"/>
        <w:rPr>
          <w:rFonts w:ascii="Times New Roman" w:eastAsia="Times New Roman" w:hAnsi="Times New Roman" w:cs="Times New Roman"/>
          <w:spacing w:val="-1"/>
        </w:rPr>
      </w:pPr>
      <w:r>
        <w:rPr>
          <w:rFonts w:ascii="Times New Roman" w:hAnsi="Times New Roman"/>
        </w:rPr>
        <w:t>Les enfants et les adolescents qui débutent le traitement par une gélule de 0,25 mg par jour et qui atteignent ensuite un poids stable supérieur à 40 kg seront informés par leur médecin qu’ils doivent passer à une gélule de 0,5 mg par jour. Dans ce cas, il est recommandé de répéter la période d’observation utilisée lors de l’administration de la première dose.</w:t>
      </w:r>
    </w:p>
    <w:p w14:paraId="2E244B6C" w14:textId="77777777" w:rsidR="00DE253E" w:rsidRDefault="00DE253E" w:rsidP="00CB615C">
      <w:pPr>
        <w:widowControl/>
        <w:spacing w:after="0" w:line="240" w:lineRule="auto"/>
        <w:rPr>
          <w:rFonts w:ascii="Times New Roman" w:hAnsi="Times New Roman" w:cs="Times New Roman"/>
        </w:rPr>
      </w:pPr>
    </w:p>
    <w:p w14:paraId="11FF83E2" w14:textId="5875CDAC" w:rsidR="00082425" w:rsidRDefault="00080994" w:rsidP="00CB615C">
      <w:pPr>
        <w:widowControl/>
        <w:spacing w:after="0" w:line="240" w:lineRule="auto"/>
        <w:rPr>
          <w:rFonts w:ascii="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n’est disponible qu’en gélules de 0,5 mg qui ne sont pas adaptées aux enfants et aux adolescents pesant 40 kg ou moins. </w:t>
      </w:r>
    </w:p>
    <w:p w14:paraId="29572189" w14:textId="06A9BE13" w:rsidR="001C7C0E" w:rsidRDefault="00080994" w:rsidP="00CB615C">
      <w:pPr>
        <w:widowControl/>
        <w:spacing w:after="0" w:line="240" w:lineRule="auto"/>
        <w:rPr>
          <w:rFonts w:ascii="Times New Roman" w:hAnsi="Times New Roman" w:cs="Times New Roman"/>
        </w:rPr>
      </w:pPr>
      <w:r>
        <w:rPr>
          <w:rFonts w:ascii="Times New Roman" w:hAnsi="Times New Roman"/>
        </w:rPr>
        <w:t xml:space="preserve">D’autres médicaments contenant du </w:t>
      </w:r>
      <w:proofErr w:type="spellStart"/>
      <w:r>
        <w:rPr>
          <w:rFonts w:ascii="Times New Roman" w:hAnsi="Times New Roman"/>
        </w:rPr>
        <w:t>fingolimod</w:t>
      </w:r>
      <w:proofErr w:type="spellEnd"/>
      <w:r>
        <w:rPr>
          <w:rFonts w:ascii="Times New Roman" w:hAnsi="Times New Roman"/>
        </w:rPr>
        <w:t xml:space="preserve"> sont disponibles </w:t>
      </w:r>
      <w:r w:rsidR="00B558D9">
        <w:rPr>
          <w:rFonts w:ascii="Times New Roman" w:hAnsi="Times New Roman"/>
        </w:rPr>
        <w:t xml:space="preserve">au </w:t>
      </w:r>
      <w:r>
        <w:rPr>
          <w:rFonts w:ascii="Times New Roman" w:hAnsi="Times New Roman"/>
        </w:rPr>
        <w:t>dosage de 0,25 mg.</w:t>
      </w:r>
    </w:p>
    <w:p w14:paraId="3D279C46" w14:textId="05150F24" w:rsidR="00DE253E" w:rsidRDefault="00080994" w:rsidP="00CB615C">
      <w:pPr>
        <w:widowControl/>
        <w:spacing w:after="0" w:line="240" w:lineRule="auto"/>
        <w:rPr>
          <w:rFonts w:ascii="Times New Roman" w:hAnsi="Times New Roman" w:cs="Times New Roman"/>
        </w:rPr>
      </w:pPr>
      <w:r>
        <w:rPr>
          <w:rFonts w:ascii="Times New Roman" w:hAnsi="Times New Roman"/>
        </w:rPr>
        <w:t>Adressez-vous à votre médecin ou votre pharmacien.</w:t>
      </w:r>
    </w:p>
    <w:p w14:paraId="37D024A5" w14:textId="77777777" w:rsidR="00082425" w:rsidRPr="005E3BF6" w:rsidRDefault="00082425" w:rsidP="00CB615C">
      <w:pPr>
        <w:widowControl/>
        <w:spacing w:after="0" w:line="240" w:lineRule="auto"/>
        <w:rPr>
          <w:rFonts w:ascii="Times New Roman" w:hAnsi="Times New Roman" w:cs="Times New Roman"/>
        </w:rPr>
      </w:pPr>
    </w:p>
    <w:p w14:paraId="68F8B093" w14:textId="2C8245FE" w:rsidR="004F6E22"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Ne dépassez pas la posologie recommandée.</w:t>
      </w:r>
    </w:p>
    <w:p w14:paraId="1CC3F1E6" w14:textId="77777777" w:rsidR="004F6E22" w:rsidRPr="005E3BF6" w:rsidRDefault="004F6E22" w:rsidP="00CB615C">
      <w:pPr>
        <w:widowControl/>
        <w:spacing w:after="0" w:line="240" w:lineRule="auto"/>
        <w:rPr>
          <w:rFonts w:ascii="Times New Roman" w:eastAsia="Times New Roman" w:hAnsi="Times New Roman" w:cs="Times New Roman"/>
        </w:rPr>
      </w:pPr>
    </w:p>
    <w:p w14:paraId="0EAE55EC" w14:textId="1510EC12" w:rsidR="001C7C0E" w:rsidRPr="005E3BF6" w:rsidRDefault="00080994" w:rsidP="00CB615C">
      <w:pPr>
        <w:widowControl/>
        <w:spacing w:after="0" w:line="240" w:lineRule="auto"/>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est administré par voie orale.</w:t>
      </w:r>
    </w:p>
    <w:p w14:paraId="0BE73F18" w14:textId="77777777" w:rsidR="004F6E22" w:rsidRPr="005E3BF6" w:rsidRDefault="004F6E22" w:rsidP="00CB615C">
      <w:pPr>
        <w:widowControl/>
        <w:spacing w:after="0" w:line="240" w:lineRule="auto"/>
        <w:rPr>
          <w:rFonts w:ascii="Times New Roman" w:eastAsia="Times New Roman" w:hAnsi="Times New Roman" w:cs="Times New Roman"/>
        </w:rPr>
      </w:pPr>
    </w:p>
    <w:p w14:paraId="5122E758" w14:textId="02B84544"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Vous devez prendre </w:t>
      </w:r>
      <w:proofErr w:type="spellStart"/>
      <w:r>
        <w:rPr>
          <w:rFonts w:ascii="Times New Roman" w:hAnsi="Times New Roman"/>
        </w:rPr>
        <w:t>Fingolimod</w:t>
      </w:r>
      <w:proofErr w:type="spellEnd"/>
      <w:r>
        <w:rPr>
          <w:rFonts w:ascii="Times New Roman" w:hAnsi="Times New Roman"/>
        </w:rPr>
        <w:t xml:space="preserve"> Mylan une fois par jour avec un verre d’eau. Les gélules doivent toujours être avalées entières, sans les ouvrir. Ce médicament peut être pris au cours ou en dehors des repas.</w:t>
      </w:r>
    </w:p>
    <w:p w14:paraId="4312060B" w14:textId="63F5F0C0"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Le fait de prendre </w:t>
      </w:r>
      <w:proofErr w:type="spellStart"/>
      <w:r>
        <w:rPr>
          <w:rFonts w:ascii="Times New Roman" w:hAnsi="Times New Roman"/>
        </w:rPr>
        <w:t>Fingolimod</w:t>
      </w:r>
      <w:proofErr w:type="spellEnd"/>
      <w:r>
        <w:rPr>
          <w:rFonts w:ascii="Times New Roman" w:hAnsi="Times New Roman"/>
        </w:rPr>
        <w:t xml:space="preserve"> Mylan à la même heure chaque jour vous aidera à ne pas oublier de prendre votre médicament.</w:t>
      </w:r>
    </w:p>
    <w:p w14:paraId="257E9D21" w14:textId="77777777" w:rsidR="001C7C0E" w:rsidRPr="005E3BF6" w:rsidRDefault="001C7C0E" w:rsidP="00CB615C">
      <w:pPr>
        <w:widowControl/>
        <w:spacing w:after="0" w:line="240" w:lineRule="auto"/>
        <w:rPr>
          <w:rFonts w:ascii="Times New Roman" w:hAnsi="Times New Roman" w:cs="Times New Roman"/>
        </w:rPr>
      </w:pPr>
    </w:p>
    <w:p w14:paraId="795DF38F" w14:textId="02544673"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lastRenderedPageBreak/>
        <w:t>Si vous avez des questions sur la durée du traitement avec ce médicament, adressez-vous à votre médecin ou votre pharmacien.</w:t>
      </w:r>
    </w:p>
    <w:p w14:paraId="2455B920" w14:textId="77777777" w:rsidR="001C7C0E" w:rsidRPr="005E3BF6" w:rsidRDefault="001C7C0E" w:rsidP="00CB615C">
      <w:pPr>
        <w:widowControl/>
        <w:spacing w:after="0" w:line="240" w:lineRule="auto"/>
        <w:rPr>
          <w:rFonts w:ascii="Times New Roman" w:hAnsi="Times New Roman" w:cs="Times New Roman"/>
        </w:rPr>
      </w:pPr>
    </w:p>
    <w:p w14:paraId="07ABC3FD" w14:textId="3766B259"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 xml:space="preserve">Si vous avez pris plus de </w:t>
      </w:r>
      <w:proofErr w:type="spellStart"/>
      <w:r>
        <w:rPr>
          <w:rFonts w:ascii="Times New Roman" w:hAnsi="Times New Roman"/>
          <w:b/>
        </w:rPr>
        <w:t>Fingolimod</w:t>
      </w:r>
      <w:proofErr w:type="spellEnd"/>
      <w:r>
        <w:rPr>
          <w:rFonts w:ascii="Times New Roman" w:hAnsi="Times New Roman"/>
          <w:b/>
        </w:rPr>
        <w:t xml:space="preserve"> Mylan que vous n’auriez dû</w:t>
      </w:r>
    </w:p>
    <w:p w14:paraId="638A7FB3" w14:textId="5FBF7BC0"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vous avez pris trop de </w:t>
      </w:r>
      <w:proofErr w:type="spellStart"/>
      <w:r>
        <w:rPr>
          <w:rFonts w:ascii="Times New Roman" w:hAnsi="Times New Roman"/>
        </w:rPr>
        <w:t>Fingolimod</w:t>
      </w:r>
      <w:proofErr w:type="spellEnd"/>
      <w:r>
        <w:rPr>
          <w:rFonts w:ascii="Times New Roman" w:hAnsi="Times New Roman"/>
        </w:rPr>
        <w:t xml:space="preserve"> Mylan, appelez immédiatement votre médecin.</w:t>
      </w:r>
    </w:p>
    <w:p w14:paraId="5351D81C" w14:textId="77777777" w:rsidR="001C7C0E" w:rsidRPr="005E3BF6" w:rsidRDefault="001C7C0E" w:rsidP="00CB615C">
      <w:pPr>
        <w:widowControl/>
        <w:spacing w:after="0" w:line="240" w:lineRule="auto"/>
        <w:rPr>
          <w:rFonts w:ascii="Times New Roman" w:hAnsi="Times New Roman" w:cs="Times New Roman"/>
        </w:rPr>
      </w:pPr>
    </w:p>
    <w:p w14:paraId="05DC7B19" w14:textId="4C866D9D"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 xml:space="preserve">Si vous oubliez de prendre </w:t>
      </w:r>
      <w:proofErr w:type="spellStart"/>
      <w:r>
        <w:rPr>
          <w:rFonts w:ascii="Times New Roman" w:hAnsi="Times New Roman"/>
          <w:b/>
        </w:rPr>
        <w:t>Fingolimod</w:t>
      </w:r>
      <w:proofErr w:type="spellEnd"/>
      <w:r>
        <w:rPr>
          <w:rFonts w:ascii="Times New Roman" w:hAnsi="Times New Roman"/>
          <w:b/>
        </w:rPr>
        <w:t xml:space="preserve"> Mylan</w:t>
      </w:r>
    </w:p>
    <w:p w14:paraId="766B2826" w14:textId="7407B3E2"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Si vous prenez ce médicament depuis moins de 1 mois et que vous avez oublié de prendre une dose pendant toute une journée, appelez votre médecin avant de prendre la dose suivante. Votre médecin pourrait décider de vous garder sous surveillance au moment de la prise de la dose suivante.</w:t>
      </w:r>
    </w:p>
    <w:p w14:paraId="07F0313F" w14:textId="77777777" w:rsidR="001C7C0E" w:rsidRPr="005E3BF6" w:rsidRDefault="001C7C0E" w:rsidP="00CB615C">
      <w:pPr>
        <w:widowControl/>
        <w:spacing w:after="0" w:line="240" w:lineRule="auto"/>
        <w:rPr>
          <w:rFonts w:ascii="Times New Roman" w:hAnsi="Times New Roman" w:cs="Times New Roman"/>
        </w:rPr>
      </w:pPr>
    </w:p>
    <w:p w14:paraId="249DDFAE" w14:textId="51A1E5D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vous prenez </w:t>
      </w:r>
      <w:proofErr w:type="spellStart"/>
      <w:r>
        <w:rPr>
          <w:rFonts w:ascii="Times New Roman" w:hAnsi="Times New Roman"/>
        </w:rPr>
        <w:t>Fingolimod</w:t>
      </w:r>
      <w:proofErr w:type="spellEnd"/>
      <w:r>
        <w:rPr>
          <w:rFonts w:ascii="Times New Roman" w:hAnsi="Times New Roman"/>
        </w:rPr>
        <w:t xml:space="preserve"> Mylan depuis au moins 1 mois et que vous avez oublié de prendre votre traitement pendant plus de 2 semaines, appelez votre médecin avant de prendre la dose suivante. Votre médecin pourrait décider de vous garder sous surveillance au moment de la prise de la dose suivante. Cependant, si vous avez oublié de prendre votre traitement pendant moins de 2 semaines, vous pouvez prendre la dose suivante comme prévu.</w:t>
      </w:r>
    </w:p>
    <w:p w14:paraId="579AECFA" w14:textId="77777777" w:rsidR="001C7C0E" w:rsidRPr="005E3BF6" w:rsidRDefault="001C7C0E" w:rsidP="00CB615C">
      <w:pPr>
        <w:widowControl/>
        <w:spacing w:after="0" w:line="240" w:lineRule="auto"/>
        <w:rPr>
          <w:rFonts w:ascii="Times New Roman" w:hAnsi="Times New Roman" w:cs="Times New Roman"/>
        </w:rPr>
      </w:pPr>
    </w:p>
    <w:p w14:paraId="6D8219B2" w14:textId="77777777"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Ne prenez jamais de dose double pour compenser la dose que vous avez oublié de prendre.</w:t>
      </w:r>
    </w:p>
    <w:p w14:paraId="3320AA91" w14:textId="77777777" w:rsidR="001C7C0E" w:rsidRPr="005E3BF6" w:rsidRDefault="001C7C0E" w:rsidP="00CB615C">
      <w:pPr>
        <w:widowControl/>
        <w:spacing w:after="0" w:line="240" w:lineRule="auto"/>
        <w:rPr>
          <w:rFonts w:ascii="Times New Roman" w:hAnsi="Times New Roman" w:cs="Times New Roman"/>
        </w:rPr>
      </w:pPr>
    </w:p>
    <w:p w14:paraId="073C3B8B" w14:textId="5011DC5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b/>
        </w:rPr>
        <w:t xml:space="preserve">Si vous arrêtez de prendre </w:t>
      </w:r>
      <w:proofErr w:type="spellStart"/>
      <w:r>
        <w:rPr>
          <w:rFonts w:ascii="Times New Roman" w:hAnsi="Times New Roman"/>
          <w:b/>
        </w:rPr>
        <w:t>Fingolimod</w:t>
      </w:r>
      <w:proofErr w:type="spellEnd"/>
      <w:r>
        <w:rPr>
          <w:rFonts w:ascii="Times New Roman" w:hAnsi="Times New Roman"/>
          <w:b/>
        </w:rPr>
        <w:t xml:space="preserve"> Mylan</w:t>
      </w:r>
    </w:p>
    <w:p w14:paraId="2CC5062F" w14:textId="22C0010C"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Vous ne devez pas arrêter de prendre ce médicament ou modifier la posologie sans en parler à votre médecin.</w:t>
      </w:r>
    </w:p>
    <w:p w14:paraId="1D8B05E1" w14:textId="77777777" w:rsidR="001C7C0E" w:rsidRPr="005E3BF6" w:rsidRDefault="001C7C0E" w:rsidP="00CB615C">
      <w:pPr>
        <w:widowControl/>
        <w:spacing w:after="0" w:line="240" w:lineRule="auto"/>
        <w:rPr>
          <w:rFonts w:ascii="Times New Roman" w:hAnsi="Times New Roman" w:cs="Times New Roman"/>
        </w:rPr>
      </w:pPr>
    </w:p>
    <w:p w14:paraId="2616CB28" w14:textId="11B15EAD" w:rsidR="004F6E22" w:rsidRPr="005E3BF6" w:rsidRDefault="00080994" w:rsidP="00CB615C">
      <w:pPr>
        <w:widowControl/>
        <w:spacing w:after="0" w:line="240" w:lineRule="auto"/>
        <w:ind w:left="1"/>
        <w:rPr>
          <w:rFonts w:ascii="Times New Roman" w:eastAsia="Times New Roman" w:hAnsi="Times New Roman" w:cs="Times New Roman"/>
        </w:rPr>
      </w:pPr>
      <w:proofErr w:type="spellStart"/>
      <w:r>
        <w:rPr>
          <w:rFonts w:ascii="Times New Roman" w:hAnsi="Times New Roman"/>
        </w:rPr>
        <w:t>Fingolimod</w:t>
      </w:r>
      <w:proofErr w:type="spellEnd"/>
      <w:r>
        <w:rPr>
          <w:rFonts w:ascii="Times New Roman" w:hAnsi="Times New Roman"/>
        </w:rPr>
        <w:t xml:space="preserve"> Mylan peut persister dans votre organisme jusqu’à deux mois après l’arrêt du traitement. Votre taux de globules blancs (taux de lymphocytes) peut également rester faible pendant cette période et les effets indésirables décrits dans cette notice peuvent encore survenir. Après avoir arrêté ce médicament, vous pourriez être amené à attendre 6 à 8 semaines avant de pouvoir commencer un nouveau traitement dans la SEP.</w:t>
      </w:r>
    </w:p>
    <w:p w14:paraId="6AE52A6B" w14:textId="77777777" w:rsidR="004F6E22" w:rsidRPr="005E3BF6" w:rsidRDefault="004F6E22" w:rsidP="00CB615C">
      <w:pPr>
        <w:widowControl/>
        <w:spacing w:after="0" w:line="240" w:lineRule="auto"/>
        <w:ind w:left="1"/>
        <w:rPr>
          <w:rFonts w:ascii="Times New Roman" w:eastAsia="Times New Roman" w:hAnsi="Times New Roman" w:cs="Times New Roman"/>
        </w:rPr>
      </w:pPr>
    </w:p>
    <w:p w14:paraId="61AAE6F6" w14:textId="0CD730DE"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Si vous devez recommencer le traitement par </w:t>
      </w:r>
      <w:proofErr w:type="spellStart"/>
      <w:r>
        <w:rPr>
          <w:rFonts w:ascii="Times New Roman" w:hAnsi="Times New Roman"/>
        </w:rPr>
        <w:t>Fingolimod</w:t>
      </w:r>
      <w:proofErr w:type="spellEnd"/>
      <w:r>
        <w:rPr>
          <w:rFonts w:ascii="Times New Roman" w:hAnsi="Times New Roman"/>
        </w:rPr>
        <w:t xml:space="preserve"> Mylan plus de 2 semaines après avoir arrêté de le prendre, l’effet sur la fréquence cardiaque qui est observé normalement avec la première dose peut survenir à nouveau et vous devrez être surveillé à l’hôpital ou dans une clinique pour la ré-initiation du traitement. Ne recommencez pas à prendre ce médicament après l’avoir arrêté pendant plus de deux semaines sans avoir demandé conseil à votre médecin.</w:t>
      </w:r>
    </w:p>
    <w:p w14:paraId="746B6379" w14:textId="77777777" w:rsidR="001C7C0E" w:rsidRPr="005E3BF6" w:rsidRDefault="001C7C0E" w:rsidP="00CB615C">
      <w:pPr>
        <w:widowControl/>
        <w:spacing w:after="0" w:line="240" w:lineRule="auto"/>
        <w:rPr>
          <w:rFonts w:ascii="Times New Roman" w:hAnsi="Times New Roman" w:cs="Times New Roman"/>
        </w:rPr>
      </w:pPr>
    </w:p>
    <w:p w14:paraId="79C990DE" w14:textId="0F66F768" w:rsidR="004F6E22"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 xml:space="preserve">Votre médecin décidera si vous devez être surveillé après l’arrêt de </w:t>
      </w:r>
      <w:proofErr w:type="spellStart"/>
      <w:r>
        <w:rPr>
          <w:rFonts w:ascii="Times New Roman" w:hAnsi="Times New Roman"/>
        </w:rPr>
        <w:t>Fingolimod</w:t>
      </w:r>
      <w:proofErr w:type="spellEnd"/>
      <w:r>
        <w:rPr>
          <w:rFonts w:ascii="Times New Roman" w:hAnsi="Times New Roman"/>
        </w:rPr>
        <w:t xml:space="preserve"> Mylan et de quelle manière. Prévenez immédiatement votre médecin si vous pensez que votre SEP s’aggrave après avoir arrêté votre traitement. Cela pourrait être grave.</w:t>
      </w:r>
    </w:p>
    <w:p w14:paraId="34EEA03D" w14:textId="77777777" w:rsidR="004F6E22" w:rsidRPr="005E3BF6" w:rsidRDefault="004F6E22" w:rsidP="00CB615C">
      <w:pPr>
        <w:widowControl/>
        <w:spacing w:after="0" w:line="240" w:lineRule="auto"/>
        <w:ind w:left="1"/>
        <w:rPr>
          <w:rFonts w:ascii="Times New Roman" w:eastAsia="Times New Roman" w:hAnsi="Times New Roman" w:cs="Times New Roman"/>
        </w:rPr>
      </w:pPr>
    </w:p>
    <w:p w14:paraId="56D41FAD" w14:textId="44C782B8" w:rsidR="001C7C0E"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Si vous avez d’autres questions sur l’utilisation de ce médicament, demandez plus d’informations à votre médecin ou à votre pharmacien.</w:t>
      </w:r>
    </w:p>
    <w:p w14:paraId="2DE02CF6" w14:textId="26520FD0" w:rsidR="00865D06" w:rsidRDefault="00865D06" w:rsidP="00CB615C">
      <w:pPr>
        <w:widowControl/>
        <w:spacing w:after="0" w:line="240" w:lineRule="auto"/>
        <w:rPr>
          <w:rFonts w:ascii="Times New Roman" w:hAnsi="Times New Roman" w:cs="Times New Roman"/>
        </w:rPr>
      </w:pPr>
    </w:p>
    <w:p w14:paraId="35355423" w14:textId="77777777" w:rsidR="00981C96" w:rsidRPr="005E3BF6" w:rsidRDefault="00981C96" w:rsidP="00CB615C">
      <w:pPr>
        <w:widowControl/>
        <w:spacing w:after="0" w:line="240" w:lineRule="auto"/>
        <w:rPr>
          <w:rFonts w:ascii="Times New Roman" w:hAnsi="Times New Roman" w:cs="Times New Roman"/>
        </w:rPr>
      </w:pPr>
    </w:p>
    <w:p w14:paraId="257A4F4C" w14:textId="4186245E" w:rsidR="001C7C0E" w:rsidRPr="005E3BF6" w:rsidRDefault="00080994" w:rsidP="00CB615C">
      <w:pPr>
        <w:widowControl/>
        <w:tabs>
          <w:tab w:val="left" w:pos="680"/>
        </w:tabs>
        <w:spacing w:after="0" w:line="240" w:lineRule="auto"/>
        <w:ind w:left="1"/>
        <w:rPr>
          <w:rFonts w:ascii="Times New Roman" w:eastAsia="Times New Roman" w:hAnsi="Times New Roman" w:cs="Times New Roman"/>
          <w:b/>
          <w:bCs/>
        </w:rPr>
      </w:pPr>
      <w:r>
        <w:rPr>
          <w:rFonts w:ascii="Times New Roman" w:hAnsi="Times New Roman"/>
          <w:b/>
        </w:rPr>
        <w:t>4.</w:t>
      </w:r>
      <w:r>
        <w:rPr>
          <w:rFonts w:ascii="Times New Roman" w:hAnsi="Times New Roman"/>
          <w:b/>
        </w:rPr>
        <w:tab/>
        <w:t>Quels sont les effets indésirables éventuels ?</w:t>
      </w:r>
    </w:p>
    <w:p w14:paraId="522E0CAE" w14:textId="77777777" w:rsidR="004F6E22" w:rsidRPr="005E3BF6" w:rsidRDefault="004F6E22" w:rsidP="00CB615C">
      <w:pPr>
        <w:widowControl/>
        <w:tabs>
          <w:tab w:val="left" w:pos="680"/>
        </w:tabs>
        <w:spacing w:after="0" w:line="240" w:lineRule="auto"/>
        <w:ind w:left="1"/>
        <w:rPr>
          <w:rFonts w:ascii="Times New Roman" w:eastAsia="Times New Roman" w:hAnsi="Times New Roman" w:cs="Times New Roman"/>
        </w:rPr>
      </w:pPr>
    </w:p>
    <w:p w14:paraId="7281F20D" w14:textId="77777777" w:rsidR="004F6E22" w:rsidRPr="005E3BF6" w:rsidRDefault="00080994" w:rsidP="00CB615C">
      <w:pPr>
        <w:widowControl/>
        <w:spacing w:after="0" w:line="240" w:lineRule="auto"/>
        <w:ind w:left="1"/>
        <w:rPr>
          <w:rFonts w:ascii="Times New Roman" w:eastAsia="Times New Roman" w:hAnsi="Times New Roman" w:cs="Times New Roman"/>
        </w:rPr>
      </w:pPr>
      <w:r>
        <w:rPr>
          <w:rFonts w:ascii="Times New Roman" w:hAnsi="Times New Roman"/>
        </w:rPr>
        <w:t>Comme tous les médicaments, ce médicament peut provoquer des effets indésirables, mais ils ne surviennent pas systématiquement chez tout le monde.</w:t>
      </w:r>
    </w:p>
    <w:p w14:paraId="09670E06" w14:textId="77777777" w:rsidR="004F6E22" w:rsidRPr="005E3BF6" w:rsidRDefault="004F6E22" w:rsidP="00CB615C">
      <w:pPr>
        <w:widowControl/>
        <w:spacing w:after="0" w:line="240" w:lineRule="auto"/>
        <w:ind w:left="1"/>
        <w:rPr>
          <w:rFonts w:ascii="Times New Roman" w:eastAsia="Times New Roman" w:hAnsi="Times New Roman" w:cs="Times New Roman"/>
        </w:rPr>
      </w:pPr>
    </w:p>
    <w:p w14:paraId="6040D6D2" w14:textId="56B27427" w:rsidR="001C7C0E" w:rsidRDefault="00080994" w:rsidP="00DD348E">
      <w:pPr>
        <w:keepNext/>
        <w:widowControl/>
        <w:spacing w:after="0" w:line="240" w:lineRule="auto"/>
        <w:rPr>
          <w:rFonts w:ascii="Times New Roman" w:eastAsia="Times New Roman" w:hAnsi="Times New Roman" w:cs="Times New Roman"/>
          <w:u w:val="single" w:color="000000"/>
        </w:rPr>
      </w:pPr>
      <w:r>
        <w:rPr>
          <w:rFonts w:ascii="Times New Roman" w:hAnsi="Times New Roman"/>
          <w:u w:val="single" w:color="000000"/>
        </w:rPr>
        <w:t>Certains effets indésirables peuvent être ou devenir graves :</w:t>
      </w:r>
    </w:p>
    <w:p w14:paraId="7487A06A" w14:textId="77777777" w:rsidR="00CB530C" w:rsidRPr="005E3BF6" w:rsidRDefault="00CB530C" w:rsidP="00CB615C">
      <w:pPr>
        <w:widowControl/>
        <w:spacing w:after="0" w:line="240" w:lineRule="auto"/>
        <w:ind w:left="1"/>
        <w:rPr>
          <w:rFonts w:ascii="Times New Roman" w:eastAsia="Times New Roman" w:hAnsi="Times New Roman" w:cs="Times New Roman"/>
        </w:rPr>
      </w:pPr>
    </w:p>
    <w:p w14:paraId="327E29AE" w14:textId="138B9773" w:rsidR="001C7C0E" w:rsidRPr="005E3BF6" w:rsidRDefault="00080994" w:rsidP="00CB615C">
      <w:pPr>
        <w:widowControl/>
        <w:tabs>
          <w:tab w:val="left" w:pos="567"/>
        </w:tabs>
        <w:spacing w:after="0" w:line="240" w:lineRule="auto"/>
        <w:rPr>
          <w:rFonts w:ascii="Times New Roman" w:eastAsia="Times New Roman" w:hAnsi="Times New Roman" w:cs="Times New Roman"/>
        </w:rPr>
      </w:pPr>
      <w:r>
        <w:rPr>
          <w:rFonts w:ascii="Times New Roman" w:hAnsi="Times New Roman"/>
          <w:b/>
        </w:rPr>
        <w:t xml:space="preserve">Fréquents </w:t>
      </w:r>
      <w:r>
        <w:rPr>
          <w:rFonts w:ascii="Times New Roman" w:hAnsi="Times New Roman"/>
        </w:rPr>
        <w:t>(pouvant affecter jusqu’à 1 patient sur 10)</w:t>
      </w:r>
    </w:p>
    <w:p w14:paraId="2D11C790" w14:textId="540B30A7" w:rsidR="001C7C0E" w:rsidRPr="005E3BF6" w:rsidRDefault="00080994" w:rsidP="00CB615C">
      <w:pPr>
        <w:pStyle w:val="Paragraphedeliste"/>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Toux avec crachats, inconfort dans la poitrine, fièvre (signes d’affections pulmonaires).</w:t>
      </w:r>
    </w:p>
    <w:p w14:paraId="1E21A081" w14:textId="51FA5534" w:rsidR="001C7C0E" w:rsidRPr="005E3BF6" w:rsidRDefault="00080994" w:rsidP="00CB615C">
      <w:pPr>
        <w:pStyle w:val="Paragraphedeliste"/>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Infection par le virus de l’herpès (zona), avec des symptômes tels que vésicules, brûlure, démangeaisons ou douleur de la peau, typiquement au niveau du haut du corps ou du visage. Les autres symptômes peuvent être une fièvre et une faiblesse aux premiers stades de l’infection, suivies par des sensations d’engourdissement, des démangeaisons ou des plaques rouges avec douleur sévère.</w:t>
      </w:r>
    </w:p>
    <w:p w14:paraId="0B172964" w14:textId="41F7CE3E" w:rsidR="001C7C0E" w:rsidRPr="005E3BF6" w:rsidRDefault="00080994" w:rsidP="00CB615C">
      <w:pPr>
        <w:pStyle w:val="Paragraphedeliste"/>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lastRenderedPageBreak/>
        <w:t>Rythme cardiaque lent (bradycardie), rythme cardiaque irrégulier.</w:t>
      </w:r>
    </w:p>
    <w:p w14:paraId="129BA178" w14:textId="6F7969D9" w:rsidR="001C7C0E" w:rsidRPr="005E3BF6" w:rsidRDefault="00080994" w:rsidP="00CB615C">
      <w:pPr>
        <w:pStyle w:val="Paragraphedeliste"/>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Un type de cancer cutané appelé carcinome basocellulaire (CBC) qui apparaît souvent sous forme de nodule nacré, mais qui peut prendre aussi d’autres formes.</w:t>
      </w:r>
    </w:p>
    <w:p w14:paraId="5EBCD61A" w14:textId="07F86005" w:rsidR="004F6E22" w:rsidRPr="005E3FEB" w:rsidRDefault="00080994" w:rsidP="00CB615C">
      <w:pPr>
        <w:pStyle w:val="Paragraphedeliste"/>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 xml:space="preserve">La dépression et l’anxiété sont connues pour être plus fréquentes chez les patients atteints de sclérose en plaques et ont été rapportées également chez des patients pédiatriques traités par </w:t>
      </w:r>
      <w:proofErr w:type="spellStart"/>
      <w:r>
        <w:rPr>
          <w:rFonts w:ascii="Times New Roman" w:hAnsi="Times New Roman"/>
        </w:rPr>
        <w:t>fingolimod</w:t>
      </w:r>
      <w:proofErr w:type="spellEnd"/>
      <w:r>
        <w:rPr>
          <w:rFonts w:ascii="Times New Roman" w:hAnsi="Times New Roman"/>
        </w:rPr>
        <w:t>.</w:t>
      </w:r>
    </w:p>
    <w:p w14:paraId="5E886773" w14:textId="758B7FDA" w:rsidR="00945F80" w:rsidRPr="005E3BF6" w:rsidRDefault="00080994" w:rsidP="00CB615C">
      <w:pPr>
        <w:pStyle w:val="Paragraphedeliste"/>
        <w:widowControl/>
        <w:numPr>
          <w:ilvl w:val="0"/>
          <w:numId w:val="9"/>
        </w:numPr>
        <w:spacing w:after="0" w:line="240" w:lineRule="auto"/>
        <w:ind w:left="567" w:hanging="567"/>
        <w:rPr>
          <w:rFonts w:ascii="Times New Roman" w:eastAsia="Times New Roman" w:hAnsi="Times New Roman" w:cs="Times New Roman"/>
        </w:rPr>
      </w:pPr>
      <w:r>
        <w:rPr>
          <w:rFonts w:ascii="Times New Roman" w:hAnsi="Times New Roman"/>
        </w:rPr>
        <w:t>Perte de poids.</w:t>
      </w:r>
    </w:p>
    <w:p w14:paraId="6786349D" w14:textId="77777777" w:rsidR="004F6E22" w:rsidRPr="005E3BF6" w:rsidRDefault="004F6E22" w:rsidP="00CB615C">
      <w:pPr>
        <w:pStyle w:val="Paragraphedeliste"/>
        <w:widowControl/>
        <w:tabs>
          <w:tab w:val="left" w:pos="567"/>
          <w:tab w:val="left" w:pos="680"/>
        </w:tabs>
        <w:spacing w:after="0" w:line="240" w:lineRule="auto"/>
        <w:ind w:left="567" w:hanging="566"/>
        <w:rPr>
          <w:rFonts w:ascii="Times New Roman" w:eastAsia="Times New Roman" w:hAnsi="Times New Roman" w:cs="Times New Roman"/>
        </w:rPr>
      </w:pPr>
    </w:p>
    <w:p w14:paraId="3AA3060B" w14:textId="6D3DCB4D" w:rsidR="001C7C0E" w:rsidRPr="005E3BF6" w:rsidRDefault="00080994" w:rsidP="00CB615C">
      <w:pPr>
        <w:widowControl/>
        <w:tabs>
          <w:tab w:val="left" w:pos="0"/>
          <w:tab w:val="left" w:pos="567"/>
        </w:tabs>
        <w:spacing w:after="0" w:line="240" w:lineRule="auto"/>
        <w:ind w:left="567" w:hanging="566"/>
        <w:rPr>
          <w:rFonts w:ascii="Times New Roman" w:eastAsia="Times New Roman" w:hAnsi="Times New Roman" w:cs="Times New Roman"/>
        </w:rPr>
      </w:pPr>
      <w:r>
        <w:rPr>
          <w:rFonts w:ascii="Times New Roman" w:hAnsi="Times New Roman"/>
          <w:b/>
        </w:rPr>
        <w:t xml:space="preserve">Peu fréquents </w:t>
      </w:r>
      <w:r>
        <w:rPr>
          <w:rFonts w:ascii="Times New Roman" w:hAnsi="Times New Roman"/>
        </w:rPr>
        <w:t>(pouvant affecter jusqu’à 1 patient sur 100)</w:t>
      </w:r>
    </w:p>
    <w:p w14:paraId="1B2B99FB" w14:textId="219127B9" w:rsidR="001C7C0E" w:rsidRPr="005E3BF6" w:rsidRDefault="00080994" w:rsidP="00CB615C">
      <w:pPr>
        <w:pStyle w:val="Paragraphedeliste"/>
        <w:widowControl/>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Pneumonie, avec des symptômes tels que fièvre, toux, difficultés pour respirer.</w:t>
      </w:r>
    </w:p>
    <w:p w14:paraId="72BEFEAF" w14:textId="0BDFDEE2" w:rsidR="001C7C0E" w:rsidRPr="005E3BF6" w:rsidRDefault="00080994" w:rsidP="00CB615C">
      <w:pPr>
        <w:pStyle w:val="Paragraphedeliste"/>
        <w:widowControl/>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Œdème maculaire (gonflement dans la zone de la vision centrale de la rétine à l’arrière de l’œil), avec des symptômes tels qu’une ombre ou un point noir dans le centre de la vision, une vision trouble, des difficultés pour voir les couleurs ou les détails.</w:t>
      </w:r>
    </w:p>
    <w:p w14:paraId="243D6AE0" w14:textId="6E68FB67" w:rsidR="001C7C0E" w:rsidRPr="005E3BF6" w:rsidRDefault="00080994" w:rsidP="00CB615C">
      <w:pPr>
        <w:pStyle w:val="Paragraphedeliste"/>
        <w:widowControl/>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Réduction des plaquettes sanguines pouvant augmenter le risque de saignements ou de bleus.</w:t>
      </w:r>
    </w:p>
    <w:p w14:paraId="3B2F63A0" w14:textId="6BE2B8C4" w:rsidR="001C7C0E" w:rsidRPr="005E3BF6" w:rsidRDefault="00080994" w:rsidP="00CB615C">
      <w:pPr>
        <w:pStyle w:val="Paragraphedeliste"/>
        <w:widowControl/>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Mélanome malin (un type de cancer cutané qui se développe généralement à partir d’un grain de beauté inhabituel). Les signes évocateurs d’un mélanome incluent des grains de beauté pouvant changer de taille, de forme, de relief ou de couleur au cours du temps, ou l’apparition de nouveaux grains de beauté. Ces grains de beauté peuvent entraîner démangeaisons, saignements ou ulcérations.</w:t>
      </w:r>
    </w:p>
    <w:p w14:paraId="240DC9EB" w14:textId="7139216C" w:rsidR="001C7C0E" w:rsidRPr="005E3BF6" w:rsidRDefault="00080994" w:rsidP="00CB615C">
      <w:pPr>
        <w:pStyle w:val="Paragraphedeliste"/>
        <w:widowControl/>
        <w:numPr>
          <w:ilvl w:val="0"/>
          <w:numId w:val="10"/>
        </w:numPr>
        <w:spacing w:after="0" w:line="240" w:lineRule="auto"/>
        <w:ind w:left="567" w:hanging="567"/>
        <w:rPr>
          <w:rFonts w:ascii="Times New Roman" w:eastAsia="Times New Roman" w:hAnsi="Times New Roman" w:cs="Times New Roman"/>
        </w:rPr>
      </w:pPr>
      <w:r>
        <w:rPr>
          <w:rFonts w:ascii="Times New Roman" w:hAnsi="Times New Roman"/>
        </w:rPr>
        <w:t>Convulsions, crises (plus fréquentes chez les enfants et les adolescents que chez les adultes).</w:t>
      </w:r>
    </w:p>
    <w:p w14:paraId="4007F937" w14:textId="77777777" w:rsidR="001C7C0E" w:rsidRPr="005E3BF6" w:rsidRDefault="001C7C0E" w:rsidP="00CB615C">
      <w:pPr>
        <w:widowControl/>
        <w:tabs>
          <w:tab w:val="left" w:pos="567"/>
        </w:tabs>
        <w:spacing w:after="0" w:line="240" w:lineRule="auto"/>
        <w:ind w:left="567" w:hanging="566"/>
        <w:rPr>
          <w:rFonts w:ascii="Times New Roman" w:hAnsi="Times New Roman" w:cs="Times New Roman"/>
        </w:rPr>
      </w:pPr>
    </w:p>
    <w:p w14:paraId="0CF07957" w14:textId="76AD2F79" w:rsidR="001C7C0E" w:rsidRPr="005E3BF6" w:rsidRDefault="00080994" w:rsidP="00CB615C">
      <w:pPr>
        <w:widowControl/>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 xml:space="preserve">Rares </w:t>
      </w:r>
      <w:r>
        <w:rPr>
          <w:rFonts w:ascii="Times New Roman" w:hAnsi="Times New Roman"/>
        </w:rPr>
        <w:t>(pouvant affecter jusqu’à 1 patient sur 1 000)</w:t>
      </w:r>
    </w:p>
    <w:p w14:paraId="006BC797" w14:textId="790F2DA1" w:rsidR="001C7C0E" w:rsidRPr="005E3BF6" w:rsidRDefault="00080994" w:rsidP="00CB615C">
      <w:pPr>
        <w:pStyle w:val="Paragraphedeliste"/>
        <w:widowControl/>
        <w:numPr>
          <w:ilvl w:val="0"/>
          <w:numId w:val="11"/>
        </w:numPr>
        <w:tabs>
          <w:tab w:val="left" w:pos="0"/>
          <w:tab w:val="left" w:pos="567"/>
        </w:tabs>
        <w:spacing w:after="0" w:line="240" w:lineRule="auto"/>
        <w:ind w:left="567" w:hanging="567"/>
        <w:rPr>
          <w:rFonts w:ascii="Times New Roman" w:eastAsia="Times New Roman" w:hAnsi="Times New Roman" w:cs="Times New Roman"/>
        </w:rPr>
      </w:pPr>
      <w:r>
        <w:rPr>
          <w:rFonts w:ascii="Times New Roman" w:hAnsi="Times New Roman"/>
        </w:rPr>
        <w:t>Une maladie appelée syndrome d’encéphalopathie postérieure réversible (SEPR). Les symptômes peuvent inclure apparition soudaine de maux de tête sévères, une confusion, des convulsions et/ou des troubles de la vision.</w:t>
      </w:r>
    </w:p>
    <w:p w14:paraId="41D49C2F" w14:textId="335F1044" w:rsidR="001C7C0E" w:rsidRPr="005E3BF6" w:rsidRDefault="00080994" w:rsidP="00CB615C">
      <w:pPr>
        <w:pStyle w:val="Paragraphedeliste"/>
        <w:widowControl/>
        <w:numPr>
          <w:ilvl w:val="0"/>
          <w:numId w:val="11"/>
        </w:numPr>
        <w:tabs>
          <w:tab w:val="left" w:pos="567"/>
        </w:tabs>
        <w:spacing w:after="0" w:line="240" w:lineRule="auto"/>
        <w:ind w:left="567" w:hanging="567"/>
        <w:rPr>
          <w:rFonts w:ascii="Times New Roman" w:eastAsia="Times New Roman" w:hAnsi="Times New Roman" w:cs="Times New Roman"/>
        </w:rPr>
      </w:pPr>
      <w:r>
        <w:rPr>
          <w:rFonts w:ascii="Times New Roman" w:hAnsi="Times New Roman"/>
        </w:rPr>
        <w:t>Lymphome (un type de cancer qui atteint le système lymphatique).</w:t>
      </w:r>
    </w:p>
    <w:p w14:paraId="147896FD" w14:textId="5928FF92" w:rsidR="001C7C0E" w:rsidRPr="005E3BF6" w:rsidRDefault="00080994" w:rsidP="00CB615C">
      <w:pPr>
        <w:pStyle w:val="Paragraphedeliste"/>
        <w:widowControl/>
        <w:numPr>
          <w:ilvl w:val="0"/>
          <w:numId w:val="11"/>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Carcinome </w:t>
      </w:r>
      <w:proofErr w:type="spellStart"/>
      <w:r>
        <w:rPr>
          <w:rFonts w:ascii="Times New Roman" w:hAnsi="Times New Roman"/>
        </w:rPr>
        <w:t>spino-cellulaire</w:t>
      </w:r>
      <w:proofErr w:type="spellEnd"/>
      <w:r>
        <w:rPr>
          <w:rFonts w:ascii="Times New Roman" w:hAnsi="Times New Roman"/>
        </w:rPr>
        <w:t> : un type de cancer cutané pouvant se présenter comme un nodule rouge et dur, une plaie en voie de cicatrisation, ou une nouvelle plaie sur une cicatrice existante.</w:t>
      </w:r>
    </w:p>
    <w:p w14:paraId="714513AA" w14:textId="77777777" w:rsidR="001C7C0E" w:rsidRPr="005E3BF6" w:rsidRDefault="001C7C0E" w:rsidP="00CB615C">
      <w:pPr>
        <w:widowControl/>
        <w:tabs>
          <w:tab w:val="left" w:pos="567"/>
        </w:tabs>
        <w:spacing w:after="0" w:line="240" w:lineRule="auto"/>
        <w:ind w:left="567" w:hanging="566"/>
        <w:rPr>
          <w:rFonts w:ascii="Times New Roman" w:hAnsi="Times New Roman" w:cs="Times New Roman"/>
        </w:rPr>
      </w:pPr>
    </w:p>
    <w:p w14:paraId="021063F6" w14:textId="6D032160" w:rsidR="001C7C0E" w:rsidRPr="005E3BF6" w:rsidRDefault="00080994" w:rsidP="00CB615C">
      <w:pPr>
        <w:widowControl/>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 xml:space="preserve">Très rares </w:t>
      </w:r>
      <w:r>
        <w:rPr>
          <w:rFonts w:ascii="Times New Roman" w:hAnsi="Times New Roman"/>
        </w:rPr>
        <w:t>(pouvant affecter jusqu’à 1 patient sur 10 000)</w:t>
      </w:r>
    </w:p>
    <w:p w14:paraId="49D789F1" w14:textId="41A6F799" w:rsidR="001C7C0E" w:rsidRPr="005E3BF6" w:rsidRDefault="00080994" w:rsidP="00CB615C">
      <w:pPr>
        <w:pStyle w:val="Paragraphedeliste"/>
        <w:widowControl/>
        <w:numPr>
          <w:ilvl w:val="0"/>
          <w:numId w:val="12"/>
        </w:numPr>
        <w:tabs>
          <w:tab w:val="left" w:pos="0"/>
          <w:tab w:val="left" w:pos="567"/>
        </w:tabs>
        <w:spacing w:after="0" w:line="240" w:lineRule="auto"/>
        <w:ind w:left="567" w:hanging="566"/>
        <w:rPr>
          <w:rFonts w:ascii="Times New Roman" w:eastAsia="Times New Roman" w:hAnsi="Times New Roman" w:cs="Times New Roman"/>
        </w:rPr>
      </w:pPr>
      <w:r>
        <w:rPr>
          <w:rFonts w:ascii="Times New Roman" w:hAnsi="Times New Roman"/>
        </w:rPr>
        <w:t>Électrocardiogramme anormal (inversion de l’onde T).</w:t>
      </w:r>
    </w:p>
    <w:p w14:paraId="2EBC4165" w14:textId="77777777" w:rsidR="00EC7CC0" w:rsidRPr="005E3BF6" w:rsidRDefault="00080994" w:rsidP="00CB615C">
      <w:pPr>
        <w:pStyle w:val="Paragraphedeliste"/>
        <w:widowControl/>
        <w:numPr>
          <w:ilvl w:val="0"/>
          <w:numId w:val="12"/>
        </w:numPr>
        <w:tabs>
          <w:tab w:val="left" w:pos="0"/>
          <w:tab w:val="left" w:pos="567"/>
        </w:tabs>
        <w:spacing w:after="0" w:line="240" w:lineRule="auto"/>
        <w:ind w:left="567" w:hanging="566"/>
        <w:rPr>
          <w:rFonts w:ascii="Times New Roman" w:eastAsia="Times New Roman" w:hAnsi="Times New Roman" w:cs="Times New Roman"/>
        </w:rPr>
      </w:pPr>
      <w:r>
        <w:rPr>
          <w:rFonts w:ascii="Times New Roman" w:hAnsi="Times New Roman"/>
        </w:rPr>
        <w:t>Tumeur liée à une infection par le virus humain de l’herpès de type 8 (sarcome de Kaposi).</w:t>
      </w:r>
    </w:p>
    <w:p w14:paraId="2FF36EEC" w14:textId="77777777" w:rsidR="00EC7CC0" w:rsidRPr="005E3BF6" w:rsidRDefault="00EC7CC0" w:rsidP="00CB615C">
      <w:pPr>
        <w:widowControl/>
        <w:tabs>
          <w:tab w:val="left" w:pos="567"/>
          <w:tab w:val="left" w:pos="640"/>
        </w:tabs>
        <w:spacing w:after="0" w:line="240" w:lineRule="auto"/>
        <w:ind w:left="567" w:hanging="566"/>
        <w:rPr>
          <w:rFonts w:ascii="Times New Roman" w:eastAsia="Times New Roman" w:hAnsi="Times New Roman" w:cs="Times New Roman"/>
          <w:b/>
          <w:bCs/>
          <w:spacing w:val="-1"/>
        </w:rPr>
      </w:pPr>
    </w:p>
    <w:p w14:paraId="2056E0CC" w14:textId="2C2459C9" w:rsidR="001C7C0E" w:rsidRPr="005E3BF6" w:rsidRDefault="00080994" w:rsidP="00CB615C">
      <w:pPr>
        <w:widowControl/>
        <w:tabs>
          <w:tab w:val="left" w:pos="0"/>
          <w:tab w:val="left" w:pos="567"/>
        </w:tabs>
        <w:spacing w:after="0" w:line="240" w:lineRule="auto"/>
        <w:ind w:left="567" w:hanging="566"/>
        <w:rPr>
          <w:rFonts w:ascii="Times New Roman" w:eastAsia="Times New Roman" w:hAnsi="Times New Roman" w:cs="Times New Roman"/>
          <w:b/>
          <w:bCs/>
          <w:spacing w:val="-1"/>
        </w:rPr>
      </w:pPr>
      <w:r>
        <w:rPr>
          <w:rFonts w:ascii="Times New Roman" w:hAnsi="Times New Roman"/>
          <w:b/>
        </w:rPr>
        <w:t xml:space="preserve">Fréquence indéterminée </w:t>
      </w:r>
      <w:r>
        <w:rPr>
          <w:rFonts w:ascii="Times New Roman" w:hAnsi="Times New Roman"/>
        </w:rPr>
        <w:t>(ne peut être estimée sur la base des données disponibles)</w:t>
      </w:r>
    </w:p>
    <w:p w14:paraId="3FFAA8CF" w14:textId="1AFC360C" w:rsidR="001C7C0E" w:rsidRPr="005E3BF6" w:rsidRDefault="00080994" w:rsidP="00CB615C">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Réactions allergiques, comme des signes d’éruption cutanée ou d’urticaire, des gonflements des lèvres, de la langue ou du visage, qui apparaissent le plus souvent le jour où vous commencez votre traitement par </w:t>
      </w:r>
      <w:proofErr w:type="spellStart"/>
      <w:r>
        <w:rPr>
          <w:rFonts w:ascii="Times New Roman" w:hAnsi="Times New Roman"/>
        </w:rPr>
        <w:t>Fingolimod</w:t>
      </w:r>
      <w:proofErr w:type="spellEnd"/>
      <w:r>
        <w:rPr>
          <w:rFonts w:ascii="Times New Roman" w:hAnsi="Times New Roman"/>
        </w:rPr>
        <w:t xml:space="preserve"> Mylan.</w:t>
      </w:r>
    </w:p>
    <w:p w14:paraId="5303278C" w14:textId="77777777" w:rsidR="009A534A" w:rsidRPr="009A534A" w:rsidRDefault="00080994" w:rsidP="00CB615C">
      <w:pPr>
        <w:widowControl/>
        <w:numPr>
          <w:ilvl w:val="1"/>
          <w:numId w:val="36"/>
        </w:numPr>
        <w:spacing w:after="0" w:line="240" w:lineRule="auto"/>
        <w:ind w:left="567" w:hanging="567"/>
        <w:rPr>
          <w:rFonts w:ascii="Times New Roman" w:hAnsi="Times New Roman" w:cs="Times New Roman"/>
        </w:rPr>
      </w:pPr>
      <w:r>
        <w:rPr>
          <w:rFonts w:ascii="Times New Roman" w:hAnsi="Times New Roman"/>
        </w:rPr>
        <w:t>Signes de maladie du foie (y compris insuffisance hépatique), tels que jaunissement de la peau ou du blanc des yeux (jaunisse), nausées ou vomissements, douleur du côté droit de votre ventre, urine foncée (de couleur brune), perte d’appétit, fatigue et tests de la fonction hépatique anormaux. Dans un très petit nombre de cas, l’insuffisance hépatique peut entraîner une transplantation hépatique.</w:t>
      </w:r>
    </w:p>
    <w:p w14:paraId="0E2AD79B" w14:textId="173B1FD3" w:rsidR="001C7C0E" w:rsidRPr="004E1D41" w:rsidRDefault="00080994" w:rsidP="00CB615C">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Risque d’infection rare du cerveau appelée </w:t>
      </w:r>
      <w:proofErr w:type="spellStart"/>
      <w:r>
        <w:rPr>
          <w:rFonts w:ascii="Times New Roman" w:hAnsi="Times New Roman"/>
        </w:rPr>
        <w:t>leucoencéphalopathie</w:t>
      </w:r>
      <w:proofErr w:type="spellEnd"/>
      <w:r>
        <w:rPr>
          <w:rFonts w:ascii="Times New Roman" w:hAnsi="Times New Roman"/>
        </w:rPr>
        <w:t xml:space="preserve"> multifocale progressive (LEMP). Les symptômes de LEMP peuvent ressembler à ceux d’une poussée de sclérose en plaques. Des symptômes dont vous pourriez ne pas prendre conscience par vous-même peuvent également survenir tels que des changements d’humeur ou de comportement, des pertes de mémoire et des difficultés à parler et à communiquer. Il pourrait être utile que votre médecin évalue ces symptômes pour éliminer la LEMP. En conséquence, si vous pensez que votre sclérose en plaques s’aggrave ou si vous ou vos proches constatez tout symptôme nouveau ou inhabituel, il est très important que vous en parliez à votre médecin dès que possible.</w:t>
      </w:r>
    </w:p>
    <w:p w14:paraId="055C904A" w14:textId="14BE9223" w:rsidR="003D4777" w:rsidRPr="004E1D41" w:rsidRDefault="003D4777" w:rsidP="00CB615C">
      <w:pPr>
        <w:pStyle w:val="Paragraphedeliste"/>
        <w:widowControl/>
        <w:numPr>
          <w:ilvl w:val="0"/>
          <w:numId w:val="13"/>
        </w:numPr>
        <w:tabs>
          <w:tab w:val="left" w:pos="1"/>
          <w:tab w:val="left" w:pos="567"/>
        </w:tabs>
        <w:spacing w:after="0" w:line="240" w:lineRule="auto"/>
        <w:ind w:left="567" w:hanging="567"/>
        <w:rPr>
          <w:rFonts w:ascii="Times New Roman" w:hAnsi="Times New Roman" w:cs="Times New Roman"/>
        </w:rPr>
      </w:pPr>
      <w:r w:rsidRPr="004E1D41">
        <w:rPr>
          <w:rFonts w:ascii="Times New Roman" w:hAnsi="Times New Roman" w:cs="Times New Roman"/>
        </w:rPr>
        <w:t xml:space="preserve">Syndrome inflammatoire après l’arrêt du traitement par </w:t>
      </w:r>
      <w:proofErr w:type="spellStart"/>
      <w:r>
        <w:rPr>
          <w:rFonts w:ascii="Times New Roman" w:hAnsi="Times New Roman" w:cs="Times New Roman"/>
        </w:rPr>
        <w:t>Fingolimod</w:t>
      </w:r>
      <w:proofErr w:type="spellEnd"/>
      <w:r>
        <w:rPr>
          <w:rFonts w:ascii="Times New Roman" w:hAnsi="Times New Roman" w:cs="Times New Roman"/>
        </w:rPr>
        <w:t xml:space="preserve"> Mylan</w:t>
      </w:r>
      <w:r w:rsidRPr="004E1D41">
        <w:rPr>
          <w:rFonts w:ascii="Times New Roman" w:hAnsi="Times New Roman" w:cs="Times New Roman"/>
        </w:rPr>
        <w:t xml:space="preserve"> (connu sous le nom de syndrome </w:t>
      </w:r>
      <w:r w:rsidRPr="004E1D41">
        <w:rPr>
          <w:rFonts w:ascii="Times New Roman" w:hAnsi="Times New Roman" w:cs="Times New Roman"/>
          <w:noProof/>
        </w:rPr>
        <w:t>inflammatoire de reconstitution immunitaire ou IRIS).</w:t>
      </w:r>
    </w:p>
    <w:p w14:paraId="1C9E16F3" w14:textId="38A3B5EF" w:rsidR="001C7C0E" w:rsidRPr="005E3BF6" w:rsidRDefault="00080994" w:rsidP="00CB615C">
      <w:pPr>
        <w:pStyle w:val="Paragraphedeliste"/>
        <w:widowControl/>
        <w:numPr>
          <w:ilvl w:val="0"/>
          <w:numId w:val="13"/>
        </w:numPr>
        <w:tabs>
          <w:tab w:val="left" w:pos="1"/>
          <w:tab w:val="left" w:pos="567"/>
          <w:tab w:val="left" w:pos="680"/>
        </w:tabs>
        <w:spacing w:after="0" w:line="240" w:lineRule="auto"/>
        <w:ind w:left="567" w:hanging="567"/>
        <w:rPr>
          <w:rFonts w:ascii="Times New Roman" w:eastAsia="Times New Roman" w:hAnsi="Times New Roman" w:cs="Times New Roman"/>
        </w:rPr>
      </w:pPr>
      <w:r>
        <w:rPr>
          <w:rFonts w:ascii="Times New Roman" w:hAnsi="Times New Roman"/>
        </w:rPr>
        <w:t>Infections à cryptocoques (un type d’infection fongique, c’est-à-dire causée par un champignon), incluant des méningites à cryptocoques avec des symptômes tels que maux de tête accompagnés de raideur de la nuque, sensibilité à la lumière, nausées, et/ou confusion.</w:t>
      </w:r>
    </w:p>
    <w:p w14:paraId="77E3203F" w14:textId="71564C7A" w:rsidR="001C7C0E" w:rsidRPr="005E3BF6" w:rsidRDefault="00080994" w:rsidP="00CB615C">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lastRenderedPageBreak/>
        <w:t xml:space="preserve">Carcinomes à cellules de Merkel (un type de cancer cutané). Les signes évocateurs d’un carcinome à cellules de Merkel incluent </w:t>
      </w:r>
      <w:r>
        <w:rPr>
          <w:rFonts w:ascii="Times New Roman" w:hAnsi="Times New Roman"/>
          <w:color w:val="111111"/>
        </w:rPr>
        <w:t>un nodule indolore, de couleur rouge bleutée ou brun clair, souvent situé sur le visage, la tête ou le cou</w:t>
      </w:r>
      <w:r>
        <w:rPr>
          <w:rFonts w:ascii="Times New Roman" w:hAnsi="Times New Roman"/>
          <w:color w:val="000000"/>
        </w:rPr>
        <w:t>. Le carcinome à cellules de Merkel peut également se présenter comme un nodule ou une masse indolore et ferme. L’exposition solaire prolongée et la fragilité du système immunitaire peuvent augmenter le risque de développement d’un carcinome à cellules de Merkel.</w:t>
      </w:r>
    </w:p>
    <w:p w14:paraId="16C0DD08" w14:textId="34C47EB2" w:rsidR="00EC7CC0" w:rsidRDefault="00080994" w:rsidP="00CB615C">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 xml:space="preserve">Après l’arrêt du traitement par </w:t>
      </w:r>
      <w:proofErr w:type="spellStart"/>
      <w:r>
        <w:rPr>
          <w:rFonts w:ascii="Times New Roman" w:hAnsi="Times New Roman"/>
        </w:rPr>
        <w:t>Fingolimod</w:t>
      </w:r>
      <w:proofErr w:type="spellEnd"/>
      <w:r>
        <w:rPr>
          <w:rFonts w:ascii="Times New Roman" w:hAnsi="Times New Roman"/>
        </w:rPr>
        <w:t xml:space="preserve"> Mylan, les symptômes de la sclérose en plaques peuvent réapparaître et s’aggraver par rapport à ce qu’ils étaient avant ou pendant le traitement.</w:t>
      </w:r>
    </w:p>
    <w:p w14:paraId="713D39FE" w14:textId="311AE94E" w:rsidR="00E316F0" w:rsidRPr="005E3FEB" w:rsidRDefault="00080994" w:rsidP="00CB615C">
      <w:pPr>
        <w:pStyle w:val="Paragraphedeliste"/>
        <w:widowControl/>
        <w:numPr>
          <w:ilvl w:val="0"/>
          <w:numId w:val="13"/>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Forme auto-immune d’anémie (diminution du nombre de globules rouges) dans laquelle les globules rouges sont détruits (anémie hémolytique auto-immune).</w:t>
      </w:r>
    </w:p>
    <w:p w14:paraId="78F1E6D3" w14:textId="77777777" w:rsidR="00E62FBB" w:rsidRPr="005E3BF6" w:rsidRDefault="00E62FBB" w:rsidP="00CB615C">
      <w:pPr>
        <w:widowControl/>
        <w:tabs>
          <w:tab w:val="left" w:pos="1"/>
          <w:tab w:val="left" w:pos="567"/>
        </w:tabs>
        <w:spacing w:after="0" w:line="240" w:lineRule="auto"/>
        <w:ind w:left="567" w:hanging="566"/>
        <w:rPr>
          <w:rFonts w:ascii="Times New Roman" w:eastAsia="Times New Roman" w:hAnsi="Times New Roman" w:cs="Times New Roman"/>
        </w:rPr>
      </w:pPr>
    </w:p>
    <w:p w14:paraId="6AEA00AB" w14:textId="171ED303" w:rsidR="00EC7CC0" w:rsidRPr="005E3BF6" w:rsidRDefault="00080994" w:rsidP="00CB615C">
      <w:pPr>
        <w:widowControl/>
        <w:spacing w:after="0" w:line="240" w:lineRule="auto"/>
        <w:ind w:firstLine="1"/>
        <w:rPr>
          <w:rFonts w:ascii="Times New Roman" w:eastAsia="Times New Roman" w:hAnsi="Times New Roman" w:cs="Times New Roman"/>
        </w:rPr>
      </w:pPr>
      <w:r>
        <w:rPr>
          <w:rFonts w:ascii="Times New Roman" w:hAnsi="Times New Roman"/>
        </w:rPr>
        <w:t xml:space="preserve">Si vous présentez l’un de ces symptômes, </w:t>
      </w:r>
      <w:r>
        <w:rPr>
          <w:rFonts w:ascii="Times New Roman" w:hAnsi="Times New Roman"/>
          <w:b/>
        </w:rPr>
        <w:t>prévenez immédiatement votre médecin</w:t>
      </w:r>
      <w:r>
        <w:rPr>
          <w:rFonts w:ascii="Times New Roman" w:hAnsi="Times New Roman"/>
        </w:rPr>
        <w:t>.</w:t>
      </w:r>
    </w:p>
    <w:p w14:paraId="1DE8D527" w14:textId="77777777" w:rsidR="00E62FBB" w:rsidRDefault="00E62FBB" w:rsidP="00CB615C">
      <w:pPr>
        <w:widowControl/>
        <w:spacing w:after="0" w:line="240" w:lineRule="auto"/>
        <w:ind w:firstLine="1"/>
        <w:rPr>
          <w:rFonts w:ascii="Times New Roman" w:eastAsia="Times New Roman" w:hAnsi="Times New Roman" w:cs="Times New Roman"/>
          <w:spacing w:val="-1"/>
          <w:u w:val="single" w:color="000000"/>
        </w:rPr>
      </w:pPr>
    </w:p>
    <w:p w14:paraId="716CEDA9" w14:textId="18427AC0" w:rsidR="00981C96" w:rsidRPr="005E3BF6" w:rsidRDefault="00080994" w:rsidP="00CB615C">
      <w:pPr>
        <w:widowControl/>
        <w:spacing w:after="0" w:line="240" w:lineRule="auto"/>
        <w:ind w:firstLine="1"/>
        <w:rPr>
          <w:rFonts w:ascii="Times New Roman" w:eastAsia="Times New Roman" w:hAnsi="Times New Roman" w:cs="Times New Roman"/>
        </w:rPr>
      </w:pPr>
      <w:r>
        <w:rPr>
          <w:rFonts w:ascii="Times New Roman" w:hAnsi="Times New Roman"/>
          <w:u w:val="single" w:color="000000"/>
        </w:rPr>
        <w:t>Autres effets indésirables</w:t>
      </w:r>
    </w:p>
    <w:p w14:paraId="7522A5FF" w14:textId="496BE021" w:rsidR="001C7C0E" w:rsidRPr="005E3BF6" w:rsidRDefault="00080994" w:rsidP="00CB615C">
      <w:pPr>
        <w:widowControl/>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 xml:space="preserve">Très fréquents </w:t>
      </w:r>
      <w:r>
        <w:rPr>
          <w:rFonts w:ascii="Times New Roman" w:hAnsi="Times New Roman"/>
        </w:rPr>
        <w:t>(pouvant affecter plus de 1 patient sur 10)</w:t>
      </w:r>
    </w:p>
    <w:p w14:paraId="4D471A47" w14:textId="164CE2FE" w:rsidR="001C7C0E" w:rsidRPr="005E3BF6" w:rsidRDefault="00080994" w:rsidP="00CB615C">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Infection par le virus de la grippe, avec des symptômes tels que fatigue, frissons, mal de gorge, douleurs articulaires ou musculaires, fièvre.</w:t>
      </w:r>
    </w:p>
    <w:p w14:paraId="3BC7EC56" w14:textId="2C535925" w:rsidR="001C7C0E" w:rsidRPr="005E3BF6" w:rsidRDefault="00080994" w:rsidP="00CB615C">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Sensation de pression ou douleur au niveau des joues et du front (sinusite).</w:t>
      </w:r>
    </w:p>
    <w:p w14:paraId="7FC27136" w14:textId="041BBFD2" w:rsidR="001C7C0E" w:rsidRPr="005E3BF6" w:rsidRDefault="00080994" w:rsidP="00CB615C">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Maux de tête.</w:t>
      </w:r>
    </w:p>
    <w:p w14:paraId="617E19E1" w14:textId="7645715C" w:rsidR="001C7C0E" w:rsidRPr="005E3BF6" w:rsidRDefault="00080994" w:rsidP="00CB615C">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Diarrhée.</w:t>
      </w:r>
    </w:p>
    <w:p w14:paraId="3DB3B0EB" w14:textId="0D190282" w:rsidR="001C7C0E" w:rsidRPr="005E3BF6" w:rsidRDefault="00080994" w:rsidP="00CB615C">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Dorsalgies.</w:t>
      </w:r>
    </w:p>
    <w:p w14:paraId="3196FB97" w14:textId="239BBFC9" w:rsidR="001C7C0E" w:rsidRPr="005E3BF6" w:rsidRDefault="00080994" w:rsidP="00CB615C">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Résultats sanguins montrant des taux élevés des enzymes hépatiques.</w:t>
      </w:r>
    </w:p>
    <w:p w14:paraId="083EAFFE" w14:textId="03B3AD1E" w:rsidR="001C7C0E" w:rsidRPr="005E3BF6" w:rsidRDefault="00080994" w:rsidP="00CB615C">
      <w:pPr>
        <w:pStyle w:val="Paragraphedeliste"/>
        <w:widowControl/>
        <w:numPr>
          <w:ilvl w:val="0"/>
          <w:numId w:val="14"/>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Toux.</w:t>
      </w:r>
    </w:p>
    <w:p w14:paraId="67F25878" w14:textId="77777777" w:rsidR="001C7C0E" w:rsidRPr="005E3BF6" w:rsidRDefault="001C7C0E" w:rsidP="00CB615C">
      <w:pPr>
        <w:widowControl/>
        <w:tabs>
          <w:tab w:val="left" w:pos="567"/>
        </w:tabs>
        <w:spacing w:after="0" w:line="240" w:lineRule="auto"/>
        <w:ind w:left="567" w:hanging="566"/>
        <w:rPr>
          <w:rFonts w:ascii="Times New Roman" w:hAnsi="Times New Roman" w:cs="Times New Roman"/>
        </w:rPr>
      </w:pPr>
    </w:p>
    <w:p w14:paraId="5738F272" w14:textId="4A823DA9" w:rsidR="001C7C0E" w:rsidRPr="005E3BF6" w:rsidRDefault="00080994" w:rsidP="00CB615C">
      <w:pPr>
        <w:widowControl/>
        <w:tabs>
          <w:tab w:val="left" w:pos="567"/>
        </w:tabs>
        <w:spacing w:after="0" w:line="240" w:lineRule="auto"/>
        <w:ind w:left="567" w:hanging="566"/>
        <w:rPr>
          <w:rFonts w:ascii="Times New Roman" w:eastAsia="Times New Roman" w:hAnsi="Times New Roman" w:cs="Times New Roman"/>
        </w:rPr>
      </w:pPr>
      <w:r>
        <w:rPr>
          <w:rFonts w:ascii="Times New Roman" w:hAnsi="Times New Roman"/>
          <w:b/>
        </w:rPr>
        <w:t xml:space="preserve">Fréquents </w:t>
      </w:r>
      <w:r>
        <w:rPr>
          <w:rFonts w:ascii="Times New Roman" w:hAnsi="Times New Roman"/>
        </w:rPr>
        <w:t>(pouvant affecter jusqu’à 1 patient sur 10)</w:t>
      </w:r>
    </w:p>
    <w:p w14:paraId="3EB9ED1C" w14:textId="5EFB167A"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 xml:space="preserve">Teigne, une infection fongique (causée par un champignon) de la peau (pityriasis </w:t>
      </w:r>
      <w:proofErr w:type="spellStart"/>
      <w:r>
        <w:rPr>
          <w:rFonts w:ascii="Times New Roman" w:hAnsi="Times New Roman"/>
        </w:rPr>
        <w:t>versicolor</w:t>
      </w:r>
      <w:proofErr w:type="spellEnd"/>
      <w:r>
        <w:rPr>
          <w:rFonts w:ascii="Times New Roman" w:hAnsi="Times New Roman"/>
        </w:rPr>
        <w:t>).</w:t>
      </w:r>
    </w:p>
    <w:p w14:paraId="7DCA2203" w14:textId="4DE8051A"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Étourdissements.</w:t>
      </w:r>
    </w:p>
    <w:p w14:paraId="4E87BAEF" w14:textId="6128A252"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Maux de tête sévères souvent accompagnés de nausées, de vomissements et de sensibilité à la lumière (migraine).</w:t>
      </w:r>
    </w:p>
    <w:p w14:paraId="481B47C1" w14:textId="3BC9D1D8"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Taux bas des globules blancs (lymphocytes, leucocytes).</w:t>
      </w:r>
    </w:p>
    <w:p w14:paraId="599C844A" w14:textId="6671AD6C"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Faiblesse.</w:t>
      </w:r>
    </w:p>
    <w:p w14:paraId="648BE82B" w14:textId="42B485D4"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Éruption rouge avec démangeaisons et sensation de brûlure (eczéma).</w:t>
      </w:r>
    </w:p>
    <w:p w14:paraId="665698EE" w14:textId="269D5FBB"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Démangeaisons.</w:t>
      </w:r>
    </w:p>
    <w:p w14:paraId="2335BE1A" w14:textId="62FECDE6"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Augmentation des taux sanguins de lipides (triglycérides).</w:t>
      </w:r>
    </w:p>
    <w:p w14:paraId="5FCAA48A" w14:textId="5256B0A0"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Chute de cheveux.</w:t>
      </w:r>
    </w:p>
    <w:p w14:paraId="7C172BB4" w14:textId="35C416C8"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Essoufflement.</w:t>
      </w:r>
    </w:p>
    <w:p w14:paraId="1FF495F9" w14:textId="16357093"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Dépression.</w:t>
      </w:r>
    </w:p>
    <w:p w14:paraId="052A356C" w14:textId="625360F9"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Vision trouble (voir également la partie concernant l’œdème maculaire à la rubrique « Certains effets indésirables peuvent être ou devenir graves »).</w:t>
      </w:r>
    </w:p>
    <w:p w14:paraId="3F501A0B" w14:textId="437A5490"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Hypertension (</w:t>
      </w:r>
      <w:proofErr w:type="spellStart"/>
      <w:r>
        <w:rPr>
          <w:rFonts w:ascii="Times New Roman" w:hAnsi="Times New Roman"/>
        </w:rPr>
        <w:t>Fingolimod</w:t>
      </w:r>
      <w:proofErr w:type="spellEnd"/>
      <w:r>
        <w:rPr>
          <w:rFonts w:ascii="Times New Roman" w:hAnsi="Times New Roman"/>
        </w:rPr>
        <w:t xml:space="preserve"> Mylan peut causer une légère augmentation de la pression artérielle).</w:t>
      </w:r>
    </w:p>
    <w:p w14:paraId="7F03FF78" w14:textId="55D44D57"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Douleurs musculaires.</w:t>
      </w:r>
    </w:p>
    <w:p w14:paraId="576C98E0" w14:textId="23ADA279" w:rsidR="001C7C0E" w:rsidRPr="005E3BF6" w:rsidRDefault="00080994" w:rsidP="00CB615C">
      <w:pPr>
        <w:pStyle w:val="Paragraphedeliste"/>
        <w:widowControl/>
        <w:numPr>
          <w:ilvl w:val="0"/>
          <w:numId w:val="15"/>
        </w:numPr>
        <w:tabs>
          <w:tab w:val="left" w:pos="1"/>
        </w:tabs>
        <w:spacing w:after="0" w:line="240" w:lineRule="auto"/>
        <w:ind w:left="567" w:hanging="566"/>
        <w:rPr>
          <w:rFonts w:ascii="Times New Roman" w:eastAsia="Times New Roman" w:hAnsi="Times New Roman" w:cs="Times New Roman"/>
        </w:rPr>
      </w:pPr>
      <w:r>
        <w:rPr>
          <w:rFonts w:ascii="Times New Roman" w:hAnsi="Times New Roman"/>
        </w:rPr>
        <w:t>Douleurs articulaires.</w:t>
      </w:r>
    </w:p>
    <w:p w14:paraId="7C31B3FF" w14:textId="77777777" w:rsidR="001C7C0E" w:rsidRPr="005E3BF6" w:rsidRDefault="001C7C0E" w:rsidP="00CB615C">
      <w:pPr>
        <w:widowControl/>
        <w:tabs>
          <w:tab w:val="left" w:pos="1"/>
          <w:tab w:val="left" w:pos="567"/>
        </w:tabs>
        <w:spacing w:after="0" w:line="240" w:lineRule="auto"/>
        <w:ind w:left="284" w:hanging="283"/>
        <w:rPr>
          <w:rFonts w:ascii="Times New Roman" w:hAnsi="Times New Roman" w:cs="Times New Roman"/>
        </w:rPr>
      </w:pPr>
    </w:p>
    <w:p w14:paraId="19D329B0" w14:textId="018456E9" w:rsidR="001C7C0E" w:rsidRPr="005E3BF6" w:rsidRDefault="00080994" w:rsidP="00CB615C">
      <w:pPr>
        <w:widowControl/>
        <w:tabs>
          <w:tab w:val="left" w:pos="567"/>
        </w:tabs>
        <w:spacing w:after="0" w:line="240" w:lineRule="auto"/>
        <w:ind w:left="284" w:hanging="283"/>
        <w:rPr>
          <w:rFonts w:ascii="Times New Roman" w:eastAsia="Times New Roman" w:hAnsi="Times New Roman" w:cs="Times New Roman"/>
        </w:rPr>
      </w:pPr>
      <w:r>
        <w:rPr>
          <w:rFonts w:ascii="Times New Roman" w:hAnsi="Times New Roman"/>
          <w:b/>
        </w:rPr>
        <w:t xml:space="preserve">Peu fréquents </w:t>
      </w:r>
      <w:r>
        <w:rPr>
          <w:rFonts w:ascii="Times New Roman" w:hAnsi="Times New Roman"/>
        </w:rPr>
        <w:t>(pouvant affecter jusqu’à 1 patient sur 100)</w:t>
      </w:r>
    </w:p>
    <w:p w14:paraId="54F2F5B7" w14:textId="7DE7BCDC" w:rsidR="001C7C0E" w:rsidRPr="005E3BF6" w:rsidRDefault="00080994" w:rsidP="00CB615C">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Taux bas de certains globules blancs (neutrophiles).</w:t>
      </w:r>
    </w:p>
    <w:p w14:paraId="07C950D7" w14:textId="3F0F411A" w:rsidR="001C7C0E" w:rsidRPr="005E3BF6" w:rsidRDefault="00080994" w:rsidP="00CB615C">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Humeur dépressive.</w:t>
      </w:r>
    </w:p>
    <w:p w14:paraId="6D38BFB3" w14:textId="77777777" w:rsidR="004D7205" w:rsidRPr="005E3BF6" w:rsidRDefault="00080994" w:rsidP="00CB615C">
      <w:pPr>
        <w:pStyle w:val="Paragraphedeliste"/>
        <w:widowControl/>
        <w:numPr>
          <w:ilvl w:val="0"/>
          <w:numId w:val="16"/>
        </w:numPr>
        <w:tabs>
          <w:tab w:val="left" w:pos="1"/>
          <w:tab w:val="left" w:pos="567"/>
        </w:tabs>
        <w:spacing w:after="0" w:line="240" w:lineRule="auto"/>
        <w:ind w:left="567" w:hanging="567"/>
        <w:rPr>
          <w:rFonts w:ascii="Times New Roman" w:eastAsia="Times New Roman" w:hAnsi="Times New Roman" w:cs="Times New Roman"/>
        </w:rPr>
      </w:pPr>
      <w:r>
        <w:rPr>
          <w:rFonts w:ascii="Times New Roman" w:hAnsi="Times New Roman"/>
        </w:rPr>
        <w:t>Nausées.</w:t>
      </w:r>
    </w:p>
    <w:p w14:paraId="74C63E4F" w14:textId="77777777" w:rsidR="004D7205" w:rsidRPr="000C79EF" w:rsidRDefault="004D7205" w:rsidP="00CB615C">
      <w:pPr>
        <w:pStyle w:val="Paragraphedeliste"/>
        <w:widowControl/>
        <w:tabs>
          <w:tab w:val="left" w:pos="1"/>
          <w:tab w:val="left" w:pos="567"/>
        </w:tabs>
        <w:spacing w:after="0" w:line="240" w:lineRule="auto"/>
        <w:ind w:left="284" w:hanging="283"/>
        <w:rPr>
          <w:rFonts w:ascii="Times New Roman" w:eastAsia="Times New Roman" w:hAnsi="Times New Roman" w:cs="Times New Roman"/>
        </w:rPr>
      </w:pPr>
    </w:p>
    <w:p w14:paraId="004579F5" w14:textId="4D06EC4E" w:rsidR="001C7C0E" w:rsidRPr="000C79EF" w:rsidRDefault="00080994" w:rsidP="00CB615C">
      <w:pPr>
        <w:widowControl/>
        <w:tabs>
          <w:tab w:val="left" w:pos="1"/>
          <w:tab w:val="left" w:pos="567"/>
        </w:tabs>
        <w:spacing w:after="0" w:line="240" w:lineRule="auto"/>
        <w:ind w:left="284" w:hanging="283"/>
        <w:rPr>
          <w:rFonts w:ascii="Times New Roman" w:eastAsia="Times New Roman" w:hAnsi="Times New Roman" w:cs="Times New Roman"/>
        </w:rPr>
      </w:pPr>
      <w:r w:rsidRPr="000C79EF">
        <w:rPr>
          <w:rFonts w:ascii="Times New Roman" w:hAnsi="Times New Roman" w:cs="Times New Roman"/>
          <w:b/>
        </w:rPr>
        <w:t xml:space="preserve">Rares </w:t>
      </w:r>
      <w:r w:rsidRPr="000C79EF">
        <w:rPr>
          <w:rFonts w:ascii="Times New Roman" w:hAnsi="Times New Roman" w:cs="Times New Roman"/>
        </w:rPr>
        <w:t>(pouvant affecter jusqu’à 1 patient sur 1 000)</w:t>
      </w:r>
    </w:p>
    <w:p w14:paraId="6D53013D" w14:textId="5B7788BC" w:rsidR="001C7C0E" w:rsidRPr="000C79EF" w:rsidRDefault="00080994" w:rsidP="00CB615C">
      <w:pPr>
        <w:pStyle w:val="Paragraphedeliste"/>
        <w:widowControl/>
        <w:numPr>
          <w:ilvl w:val="0"/>
          <w:numId w:val="17"/>
        </w:numPr>
        <w:tabs>
          <w:tab w:val="left" w:pos="1"/>
          <w:tab w:val="left" w:pos="567"/>
        </w:tabs>
        <w:spacing w:after="0" w:line="240" w:lineRule="auto"/>
        <w:ind w:left="567" w:hanging="567"/>
        <w:rPr>
          <w:rFonts w:ascii="Times New Roman" w:eastAsia="Times New Roman" w:hAnsi="Times New Roman" w:cs="Times New Roman"/>
        </w:rPr>
      </w:pPr>
      <w:r w:rsidRPr="000C79EF">
        <w:rPr>
          <w:rFonts w:ascii="Times New Roman" w:hAnsi="Times New Roman" w:cs="Times New Roman"/>
        </w:rPr>
        <w:t>Cancer du système lymphatique (lymphome).</w:t>
      </w:r>
    </w:p>
    <w:p w14:paraId="24637B8F" w14:textId="77777777" w:rsidR="001C7C0E" w:rsidRPr="000C79EF" w:rsidRDefault="001C7C0E" w:rsidP="00CB615C">
      <w:pPr>
        <w:widowControl/>
        <w:tabs>
          <w:tab w:val="left" w:pos="1"/>
          <w:tab w:val="left" w:pos="567"/>
        </w:tabs>
        <w:spacing w:after="0" w:line="240" w:lineRule="auto"/>
        <w:ind w:left="284" w:hanging="283"/>
        <w:rPr>
          <w:rFonts w:ascii="Times New Roman" w:hAnsi="Times New Roman" w:cs="Times New Roman"/>
        </w:rPr>
      </w:pPr>
    </w:p>
    <w:p w14:paraId="1787D885" w14:textId="6CF77DA4" w:rsidR="001C7C0E" w:rsidRPr="000C79EF" w:rsidRDefault="00080994" w:rsidP="00CB615C">
      <w:pPr>
        <w:widowControl/>
        <w:tabs>
          <w:tab w:val="left" w:pos="567"/>
        </w:tabs>
        <w:spacing w:after="0" w:line="240" w:lineRule="auto"/>
        <w:ind w:left="284" w:hanging="283"/>
        <w:rPr>
          <w:rFonts w:ascii="Times New Roman" w:eastAsia="Times New Roman" w:hAnsi="Times New Roman" w:cs="Times New Roman"/>
        </w:rPr>
      </w:pPr>
      <w:r w:rsidRPr="000C79EF">
        <w:rPr>
          <w:rFonts w:ascii="Times New Roman" w:hAnsi="Times New Roman" w:cs="Times New Roman"/>
          <w:b/>
        </w:rPr>
        <w:t xml:space="preserve">Fréquence indéterminée </w:t>
      </w:r>
      <w:r w:rsidRPr="000C79EF">
        <w:rPr>
          <w:rFonts w:ascii="Times New Roman" w:hAnsi="Times New Roman" w:cs="Times New Roman"/>
        </w:rPr>
        <w:t>(ne peut être estimée sur la base des données disponibles)</w:t>
      </w:r>
    </w:p>
    <w:p w14:paraId="518A294D" w14:textId="71EE1C28" w:rsidR="001C7C0E" w:rsidRPr="000C79EF" w:rsidRDefault="00080994" w:rsidP="00CB615C">
      <w:pPr>
        <w:pStyle w:val="Paragraphedeliste"/>
        <w:widowControl/>
        <w:numPr>
          <w:ilvl w:val="0"/>
          <w:numId w:val="18"/>
        </w:numPr>
        <w:tabs>
          <w:tab w:val="left" w:pos="1"/>
          <w:tab w:val="left" w:pos="567"/>
        </w:tabs>
        <w:spacing w:after="0" w:line="240" w:lineRule="auto"/>
        <w:ind w:left="567" w:hanging="566"/>
        <w:rPr>
          <w:rFonts w:ascii="Times New Roman" w:eastAsia="Times New Roman" w:hAnsi="Times New Roman" w:cs="Times New Roman"/>
        </w:rPr>
      </w:pPr>
      <w:r w:rsidRPr="000C79EF">
        <w:rPr>
          <w:rFonts w:ascii="Times New Roman" w:hAnsi="Times New Roman" w:cs="Times New Roman"/>
        </w:rPr>
        <w:t>Gonflement périphérique.</w:t>
      </w:r>
    </w:p>
    <w:p w14:paraId="3C5F57A6" w14:textId="77777777" w:rsidR="001C7C0E" w:rsidRPr="000C79EF" w:rsidRDefault="001C7C0E" w:rsidP="00CB615C">
      <w:pPr>
        <w:widowControl/>
        <w:spacing w:after="0" w:line="240" w:lineRule="auto"/>
        <w:rPr>
          <w:rFonts w:ascii="Times New Roman" w:hAnsi="Times New Roman" w:cs="Times New Roman"/>
        </w:rPr>
      </w:pPr>
    </w:p>
    <w:p w14:paraId="30B24BA1" w14:textId="77777777" w:rsidR="001C7C0E" w:rsidRPr="000C79EF" w:rsidRDefault="00080994" w:rsidP="00CB615C">
      <w:pPr>
        <w:widowControl/>
        <w:spacing w:after="0" w:line="240" w:lineRule="auto"/>
        <w:ind w:left="1"/>
        <w:rPr>
          <w:rFonts w:ascii="Times New Roman" w:eastAsia="Times New Roman" w:hAnsi="Times New Roman" w:cs="Times New Roman"/>
        </w:rPr>
      </w:pPr>
      <w:r w:rsidRPr="000C79EF">
        <w:rPr>
          <w:rFonts w:ascii="Times New Roman" w:hAnsi="Times New Roman" w:cs="Times New Roman"/>
        </w:rPr>
        <w:t xml:space="preserve">Si vous ressentez l’un de ces effets comme grave, </w:t>
      </w:r>
      <w:r w:rsidRPr="000C79EF">
        <w:rPr>
          <w:rFonts w:ascii="Times New Roman" w:hAnsi="Times New Roman" w:cs="Times New Roman"/>
          <w:b/>
        </w:rPr>
        <w:t>parlez-en à votre médecin.</w:t>
      </w:r>
    </w:p>
    <w:p w14:paraId="430C2E8A" w14:textId="77777777" w:rsidR="001C7C0E" w:rsidRPr="000C79EF" w:rsidRDefault="001C7C0E" w:rsidP="00CB615C">
      <w:pPr>
        <w:widowControl/>
        <w:spacing w:after="0" w:line="240" w:lineRule="auto"/>
        <w:rPr>
          <w:rFonts w:ascii="Times New Roman" w:hAnsi="Times New Roman" w:cs="Times New Roman"/>
        </w:rPr>
      </w:pPr>
    </w:p>
    <w:p w14:paraId="45622FCF" w14:textId="77777777" w:rsidR="001C7C0E" w:rsidRPr="000C79EF" w:rsidRDefault="00080994" w:rsidP="00CB615C">
      <w:pPr>
        <w:widowControl/>
        <w:spacing w:after="0" w:line="240" w:lineRule="auto"/>
        <w:ind w:left="1"/>
        <w:rPr>
          <w:rFonts w:ascii="Times New Roman" w:eastAsia="Times New Roman" w:hAnsi="Times New Roman" w:cs="Times New Roman"/>
        </w:rPr>
      </w:pPr>
      <w:r w:rsidRPr="000C79EF">
        <w:rPr>
          <w:rFonts w:ascii="Times New Roman" w:hAnsi="Times New Roman" w:cs="Times New Roman"/>
          <w:b/>
        </w:rPr>
        <w:t>Déclaration des effets secondaires</w:t>
      </w:r>
    </w:p>
    <w:p w14:paraId="7B59153D" w14:textId="1BB23661" w:rsidR="001C7C0E" w:rsidRPr="000C79EF" w:rsidRDefault="00080994" w:rsidP="00CB615C">
      <w:pPr>
        <w:widowControl/>
        <w:spacing w:after="0" w:line="240" w:lineRule="auto"/>
        <w:ind w:left="1"/>
        <w:rPr>
          <w:rFonts w:ascii="Times New Roman" w:eastAsia="Times New Roman" w:hAnsi="Times New Roman" w:cs="Times New Roman"/>
          <w:color w:val="000000"/>
        </w:rPr>
      </w:pPr>
      <w:r w:rsidRPr="000C79EF">
        <w:rPr>
          <w:rFonts w:ascii="Times New Roman" w:hAnsi="Times New Roman" w:cs="Times New Roman"/>
        </w:rPr>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via </w:t>
      </w:r>
      <w:r w:rsidRPr="000C79EF">
        <w:rPr>
          <w:rFonts w:ascii="Times New Roman" w:hAnsi="Times New Roman" w:cs="Times New Roman"/>
          <w:highlight w:val="lightGray"/>
        </w:rPr>
        <w:t xml:space="preserve">le système national de déclaration décrit en </w:t>
      </w:r>
      <w:hyperlink r:id="rId11" w:history="1">
        <w:r w:rsidRPr="000C79EF">
          <w:rPr>
            <w:rStyle w:val="Lienhypertexte"/>
            <w:rFonts w:ascii="Times New Roman" w:hAnsi="Times New Roman" w:cs="Times New Roman"/>
            <w:highlight w:val="lightGray"/>
          </w:rPr>
          <w:t>Annexe V</w:t>
        </w:r>
      </w:hyperlink>
      <w:r w:rsidRPr="000C79EF">
        <w:rPr>
          <w:rFonts w:ascii="Times New Roman" w:hAnsi="Times New Roman" w:cs="Times New Roman"/>
          <w:color w:val="000000"/>
        </w:rPr>
        <w:t>. En signalant les effets indésirables, vous contribuez à fournir davantage d’informations sur la sécurité du médicament.</w:t>
      </w:r>
    </w:p>
    <w:p w14:paraId="43A1E030" w14:textId="6EA131E8" w:rsidR="00C2606B" w:rsidRPr="000C79EF" w:rsidRDefault="00C2606B" w:rsidP="00CB615C">
      <w:pPr>
        <w:widowControl/>
        <w:spacing w:after="0" w:line="240" w:lineRule="auto"/>
        <w:rPr>
          <w:rFonts w:ascii="Times New Roman" w:hAnsi="Times New Roman" w:cs="Times New Roman"/>
        </w:rPr>
      </w:pPr>
    </w:p>
    <w:p w14:paraId="39048904" w14:textId="77777777" w:rsidR="00981C96" w:rsidRPr="000C79EF" w:rsidRDefault="00981C96" w:rsidP="00CB615C">
      <w:pPr>
        <w:widowControl/>
        <w:spacing w:after="0" w:line="240" w:lineRule="auto"/>
        <w:rPr>
          <w:rFonts w:ascii="Times New Roman" w:hAnsi="Times New Roman" w:cs="Times New Roman"/>
        </w:rPr>
      </w:pPr>
    </w:p>
    <w:p w14:paraId="2390CB35" w14:textId="08914402" w:rsidR="001C7C0E" w:rsidRPr="000C79EF" w:rsidRDefault="00080994" w:rsidP="00CB615C">
      <w:pPr>
        <w:widowControl/>
        <w:tabs>
          <w:tab w:val="left" w:pos="567"/>
        </w:tabs>
        <w:spacing w:after="0" w:line="240" w:lineRule="auto"/>
        <w:ind w:left="1"/>
        <w:rPr>
          <w:rFonts w:ascii="Times New Roman" w:eastAsia="Times New Roman" w:hAnsi="Times New Roman" w:cs="Times New Roman"/>
        </w:rPr>
      </w:pPr>
      <w:r w:rsidRPr="000C79EF">
        <w:rPr>
          <w:rFonts w:ascii="Times New Roman" w:hAnsi="Times New Roman" w:cs="Times New Roman"/>
          <w:b/>
        </w:rPr>
        <w:t>5.</w:t>
      </w:r>
      <w:r w:rsidRPr="000C79EF">
        <w:rPr>
          <w:rFonts w:ascii="Times New Roman" w:hAnsi="Times New Roman" w:cs="Times New Roman"/>
          <w:b/>
        </w:rPr>
        <w:tab/>
        <w:t xml:space="preserve">Comment conserver </w:t>
      </w:r>
      <w:proofErr w:type="spellStart"/>
      <w:r w:rsidRPr="000C79EF">
        <w:rPr>
          <w:rFonts w:ascii="Times New Roman" w:hAnsi="Times New Roman" w:cs="Times New Roman"/>
          <w:b/>
        </w:rPr>
        <w:t>Fingolimod</w:t>
      </w:r>
      <w:proofErr w:type="spellEnd"/>
      <w:r w:rsidRPr="000C79EF">
        <w:rPr>
          <w:rFonts w:ascii="Times New Roman" w:hAnsi="Times New Roman" w:cs="Times New Roman"/>
          <w:b/>
        </w:rPr>
        <w:t xml:space="preserve"> Mylan</w:t>
      </w:r>
    </w:p>
    <w:p w14:paraId="04D08873" w14:textId="77777777" w:rsidR="001C7C0E" w:rsidRPr="000C79EF" w:rsidRDefault="001C7C0E" w:rsidP="00CB615C">
      <w:pPr>
        <w:widowControl/>
        <w:spacing w:after="0" w:line="240" w:lineRule="auto"/>
        <w:rPr>
          <w:rFonts w:ascii="Times New Roman" w:hAnsi="Times New Roman" w:cs="Times New Roman"/>
        </w:rPr>
      </w:pPr>
    </w:p>
    <w:p w14:paraId="4F0F4F3C" w14:textId="05ACBE20" w:rsidR="001C7C0E" w:rsidRPr="000C79EF" w:rsidRDefault="00080994" w:rsidP="00CB615C">
      <w:pPr>
        <w:widowControl/>
        <w:spacing w:after="0" w:line="240" w:lineRule="auto"/>
        <w:ind w:left="1"/>
        <w:rPr>
          <w:rFonts w:ascii="Times New Roman" w:eastAsia="Times New Roman" w:hAnsi="Times New Roman" w:cs="Times New Roman"/>
        </w:rPr>
      </w:pPr>
      <w:r w:rsidRPr="000C79EF">
        <w:rPr>
          <w:rFonts w:ascii="Times New Roman" w:hAnsi="Times New Roman" w:cs="Times New Roman"/>
        </w:rPr>
        <w:t>Tenir ce médicament hors de la vue et de la portée des enfants.</w:t>
      </w:r>
    </w:p>
    <w:p w14:paraId="4F0696B5" w14:textId="77777777" w:rsidR="00F145E1" w:rsidRPr="000C79EF" w:rsidRDefault="00F145E1" w:rsidP="00CB615C">
      <w:pPr>
        <w:widowControl/>
        <w:spacing w:after="0" w:line="240" w:lineRule="auto"/>
        <w:ind w:left="1"/>
        <w:rPr>
          <w:rFonts w:ascii="Times New Roman" w:eastAsia="Times New Roman" w:hAnsi="Times New Roman" w:cs="Times New Roman"/>
        </w:rPr>
      </w:pPr>
    </w:p>
    <w:p w14:paraId="31B38671" w14:textId="6D9BFA28" w:rsidR="00B925D6" w:rsidRPr="000C79EF" w:rsidRDefault="00080994" w:rsidP="00CB615C">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0C79EF">
        <w:rPr>
          <w:rFonts w:ascii="Times New Roman" w:hAnsi="Times New Roman" w:cs="Times New Roman"/>
        </w:rPr>
        <w:t>N’utilisez pas ce médicament après la date de péremption indiquée sur l’emballage et la plaquette/le flacon après « EXP ». La date de péremption fait référence au dernier jour de ce mois.</w:t>
      </w:r>
    </w:p>
    <w:p w14:paraId="1B998C08" w14:textId="407CDE10" w:rsidR="00B925D6" w:rsidRPr="000C79EF" w:rsidRDefault="00CC0570" w:rsidP="00CB615C">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0C79EF">
        <w:rPr>
          <w:rFonts w:ascii="Times New Roman" w:hAnsi="Times New Roman" w:cs="Times New Roman"/>
        </w:rPr>
        <w:t>A</w:t>
      </w:r>
      <w:r w:rsidR="00080994" w:rsidRPr="000C79EF">
        <w:rPr>
          <w:rFonts w:ascii="Times New Roman" w:hAnsi="Times New Roman" w:cs="Times New Roman"/>
        </w:rPr>
        <w:t xml:space="preserve"> conserver à une température ne dépassant pas 25 °C.</w:t>
      </w:r>
    </w:p>
    <w:p w14:paraId="7B5699D9" w14:textId="25E62CC3" w:rsidR="00B925D6" w:rsidRPr="000C79EF" w:rsidRDefault="00CC0570" w:rsidP="00CB615C">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0C79EF">
        <w:rPr>
          <w:rFonts w:ascii="Times New Roman" w:hAnsi="Times New Roman" w:cs="Times New Roman"/>
        </w:rPr>
        <w:t>A</w:t>
      </w:r>
      <w:r w:rsidR="00080994" w:rsidRPr="000C79EF">
        <w:rPr>
          <w:rFonts w:ascii="Times New Roman" w:hAnsi="Times New Roman" w:cs="Times New Roman"/>
        </w:rPr>
        <w:t xml:space="preserve"> conserver dans l’emballage d’origine à l’abri de l’humidité.</w:t>
      </w:r>
    </w:p>
    <w:p w14:paraId="5F138131" w14:textId="3D43B930" w:rsidR="001C7C0E" w:rsidRPr="000C79EF" w:rsidRDefault="00080994" w:rsidP="00CB615C">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0C79EF">
        <w:rPr>
          <w:rFonts w:ascii="Times New Roman" w:hAnsi="Times New Roman" w:cs="Times New Roman"/>
        </w:rPr>
        <w:t>N’utilisez pas ce médicament si vous remarquez que l’emballage est endommagé ou a été ouvert.</w:t>
      </w:r>
    </w:p>
    <w:p w14:paraId="40AC81BE" w14:textId="19AEC462" w:rsidR="004A14EB" w:rsidRPr="000C79EF" w:rsidRDefault="00080994" w:rsidP="00CB615C">
      <w:pPr>
        <w:pStyle w:val="Paragraphedeliste"/>
        <w:widowControl/>
        <w:numPr>
          <w:ilvl w:val="0"/>
          <w:numId w:val="18"/>
        </w:numPr>
        <w:spacing w:after="0" w:line="240" w:lineRule="auto"/>
        <w:ind w:left="567" w:hanging="567"/>
        <w:rPr>
          <w:rFonts w:ascii="Times New Roman" w:eastAsia="Times New Roman" w:hAnsi="Times New Roman" w:cs="Times New Roman"/>
        </w:rPr>
      </w:pPr>
      <w:r w:rsidRPr="000C79EF">
        <w:rPr>
          <w:rFonts w:ascii="Times New Roman" w:hAnsi="Times New Roman" w:cs="Times New Roman"/>
        </w:rPr>
        <w:t>Ne jetez aucun médicament au tout-à-l’égout ou avec les ordures ménagères. Demandez à votre pharmacien d’éliminer les médicaments que vous n’utilisez plus. Ces mesures contribueront à protéger l’environnement.</w:t>
      </w:r>
    </w:p>
    <w:p w14:paraId="24AE94AB" w14:textId="7E09427B" w:rsidR="00C2606B" w:rsidRPr="000C79EF" w:rsidRDefault="00C2606B" w:rsidP="00CB615C">
      <w:pPr>
        <w:widowControl/>
        <w:spacing w:after="0" w:line="240" w:lineRule="auto"/>
        <w:rPr>
          <w:rFonts w:ascii="Times New Roman" w:hAnsi="Times New Roman" w:cs="Times New Roman"/>
        </w:rPr>
      </w:pPr>
    </w:p>
    <w:p w14:paraId="44485554" w14:textId="77777777" w:rsidR="00981C96" w:rsidRPr="000C79EF" w:rsidRDefault="00981C96" w:rsidP="00CB615C">
      <w:pPr>
        <w:widowControl/>
        <w:spacing w:after="0" w:line="240" w:lineRule="auto"/>
        <w:rPr>
          <w:rFonts w:ascii="Times New Roman" w:hAnsi="Times New Roman" w:cs="Times New Roman"/>
        </w:rPr>
      </w:pPr>
    </w:p>
    <w:p w14:paraId="3CE293D7" w14:textId="77777777" w:rsidR="001C7C0E" w:rsidRPr="000C79EF" w:rsidRDefault="00080994" w:rsidP="00CB615C">
      <w:pPr>
        <w:widowControl/>
        <w:tabs>
          <w:tab w:val="left" w:pos="567"/>
        </w:tabs>
        <w:spacing w:after="0" w:line="240" w:lineRule="auto"/>
        <w:ind w:left="1"/>
        <w:rPr>
          <w:rFonts w:ascii="Times New Roman" w:eastAsia="Times New Roman" w:hAnsi="Times New Roman" w:cs="Times New Roman"/>
        </w:rPr>
      </w:pPr>
      <w:r w:rsidRPr="000C79EF">
        <w:rPr>
          <w:rFonts w:ascii="Times New Roman" w:hAnsi="Times New Roman" w:cs="Times New Roman"/>
          <w:b/>
        </w:rPr>
        <w:t>6.</w:t>
      </w:r>
      <w:r w:rsidRPr="000C79EF">
        <w:rPr>
          <w:rFonts w:ascii="Times New Roman" w:hAnsi="Times New Roman" w:cs="Times New Roman"/>
          <w:b/>
        </w:rPr>
        <w:tab/>
        <w:t>Contenu de l’emballage et autres informations</w:t>
      </w:r>
    </w:p>
    <w:p w14:paraId="5B4E75CC" w14:textId="77777777" w:rsidR="001C7C0E" w:rsidRPr="000C79EF" w:rsidRDefault="001C7C0E" w:rsidP="00CB615C">
      <w:pPr>
        <w:widowControl/>
        <w:spacing w:after="0" w:line="240" w:lineRule="auto"/>
        <w:rPr>
          <w:rFonts w:ascii="Times New Roman" w:hAnsi="Times New Roman" w:cs="Times New Roman"/>
        </w:rPr>
      </w:pPr>
    </w:p>
    <w:p w14:paraId="6C09F304" w14:textId="14744505" w:rsidR="001C7C0E" w:rsidRPr="000C79EF" w:rsidRDefault="00080994" w:rsidP="00CB615C">
      <w:pPr>
        <w:widowControl/>
        <w:spacing w:after="0" w:line="240" w:lineRule="auto"/>
        <w:ind w:left="1"/>
        <w:rPr>
          <w:rFonts w:ascii="Times New Roman" w:eastAsia="Times New Roman" w:hAnsi="Times New Roman" w:cs="Times New Roman"/>
        </w:rPr>
      </w:pPr>
      <w:r w:rsidRPr="000C79EF">
        <w:rPr>
          <w:rFonts w:ascii="Times New Roman" w:hAnsi="Times New Roman" w:cs="Times New Roman"/>
          <w:b/>
        </w:rPr>
        <w:t xml:space="preserve">Ce que contient </w:t>
      </w:r>
      <w:proofErr w:type="spellStart"/>
      <w:r w:rsidRPr="000C79EF">
        <w:rPr>
          <w:rFonts w:ascii="Times New Roman" w:hAnsi="Times New Roman" w:cs="Times New Roman"/>
          <w:b/>
        </w:rPr>
        <w:t>Fingolimod</w:t>
      </w:r>
      <w:proofErr w:type="spellEnd"/>
      <w:r w:rsidRPr="000C79EF">
        <w:rPr>
          <w:rFonts w:ascii="Times New Roman" w:hAnsi="Times New Roman" w:cs="Times New Roman"/>
          <w:b/>
        </w:rPr>
        <w:t xml:space="preserve"> Mylan</w:t>
      </w:r>
    </w:p>
    <w:p w14:paraId="4476DDC3" w14:textId="2BE6034E" w:rsidR="00396289" w:rsidRPr="000C79EF" w:rsidRDefault="00080994" w:rsidP="00CB615C">
      <w:pPr>
        <w:widowControl/>
        <w:tabs>
          <w:tab w:val="left" w:pos="284"/>
        </w:tabs>
        <w:spacing w:after="0" w:line="240" w:lineRule="auto"/>
        <w:ind w:left="284" w:hanging="284"/>
        <w:rPr>
          <w:rFonts w:ascii="Times New Roman" w:eastAsia="Times New Roman" w:hAnsi="Times New Roman" w:cs="Times New Roman"/>
        </w:rPr>
      </w:pPr>
      <w:r w:rsidRPr="000C79EF">
        <w:rPr>
          <w:rFonts w:ascii="Times New Roman" w:hAnsi="Times New Roman" w:cs="Times New Roman"/>
        </w:rPr>
        <w:t xml:space="preserve">- </w:t>
      </w:r>
      <w:r w:rsidRPr="000C79EF">
        <w:rPr>
          <w:rFonts w:ascii="Times New Roman" w:hAnsi="Times New Roman" w:cs="Times New Roman"/>
        </w:rPr>
        <w:tab/>
        <w:t xml:space="preserve">La substance active est le </w:t>
      </w:r>
      <w:proofErr w:type="spellStart"/>
      <w:r w:rsidRPr="000C79EF">
        <w:rPr>
          <w:rFonts w:ascii="Times New Roman" w:hAnsi="Times New Roman" w:cs="Times New Roman"/>
        </w:rPr>
        <w:t>fingolimod</w:t>
      </w:r>
      <w:proofErr w:type="spellEnd"/>
      <w:r w:rsidRPr="000C79EF">
        <w:rPr>
          <w:rFonts w:ascii="Times New Roman" w:hAnsi="Times New Roman" w:cs="Times New Roman"/>
        </w:rPr>
        <w:t xml:space="preserve">. Chaque gélule contient 0,5 mg de </w:t>
      </w:r>
      <w:proofErr w:type="spellStart"/>
      <w:r w:rsidRPr="000C79EF">
        <w:rPr>
          <w:rFonts w:ascii="Times New Roman" w:hAnsi="Times New Roman" w:cs="Times New Roman"/>
        </w:rPr>
        <w:t>fingolimod</w:t>
      </w:r>
      <w:proofErr w:type="spellEnd"/>
      <w:r w:rsidRPr="000C79EF">
        <w:rPr>
          <w:rFonts w:ascii="Times New Roman" w:hAnsi="Times New Roman" w:cs="Times New Roman"/>
        </w:rPr>
        <w:t xml:space="preserve"> (sous forme de chlorhydrate).</w:t>
      </w:r>
    </w:p>
    <w:p w14:paraId="61DA5B48" w14:textId="294F408D" w:rsidR="00712107" w:rsidRPr="000C79EF" w:rsidRDefault="00080994" w:rsidP="00CB615C">
      <w:pPr>
        <w:widowControl/>
        <w:tabs>
          <w:tab w:val="left" w:pos="680"/>
        </w:tabs>
        <w:spacing w:after="0" w:line="240" w:lineRule="auto"/>
        <w:ind w:left="284" w:hanging="284"/>
        <w:rPr>
          <w:rFonts w:ascii="Times New Roman" w:eastAsia="Times New Roman" w:hAnsi="Times New Roman" w:cs="Times New Roman"/>
        </w:rPr>
      </w:pPr>
      <w:r w:rsidRPr="000C79EF">
        <w:rPr>
          <w:rFonts w:ascii="Times New Roman" w:hAnsi="Times New Roman" w:cs="Times New Roman"/>
        </w:rPr>
        <w:t xml:space="preserve">- </w:t>
      </w:r>
      <w:r w:rsidRPr="000C79EF">
        <w:rPr>
          <w:rFonts w:ascii="Times New Roman" w:hAnsi="Times New Roman" w:cs="Times New Roman"/>
        </w:rPr>
        <w:tab/>
        <w:t>Les autres composants sont :</w:t>
      </w:r>
    </w:p>
    <w:p w14:paraId="57D13EB4" w14:textId="0D6B8AE1" w:rsidR="004411D6" w:rsidRPr="000C79EF" w:rsidRDefault="00080994" w:rsidP="00CB615C">
      <w:pPr>
        <w:pStyle w:val="Paragraphedeliste"/>
        <w:widowControl/>
        <w:numPr>
          <w:ilvl w:val="0"/>
          <w:numId w:val="18"/>
        </w:numPr>
        <w:spacing w:after="0" w:line="240" w:lineRule="auto"/>
        <w:ind w:left="567" w:hanging="283"/>
        <w:rPr>
          <w:rFonts w:ascii="Times New Roman" w:eastAsia="Times New Roman" w:hAnsi="Times New Roman" w:cs="Times New Roman"/>
        </w:rPr>
      </w:pPr>
      <w:r w:rsidRPr="000C79EF">
        <w:rPr>
          <w:rFonts w:ascii="Times New Roman" w:hAnsi="Times New Roman" w:cs="Times New Roman"/>
        </w:rPr>
        <w:t xml:space="preserve">Contenu de la gélule : </w:t>
      </w:r>
      <w:proofErr w:type="spellStart"/>
      <w:r w:rsidRPr="000C79EF">
        <w:rPr>
          <w:rFonts w:ascii="Times New Roman" w:hAnsi="Times New Roman" w:cs="Times New Roman"/>
        </w:rPr>
        <w:t>hydrogénophosphate</w:t>
      </w:r>
      <w:proofErr w:type="spellEnd"/>
      <w:r w:rsidRPr="000C79EF">
        <w:rPr>
          <w:rFonts w:ascii="Times New Roman" w:hAnsi="Times New Roman" w:cs="Times New Roman"/>
        </w:rPr>
        <w:t xml:space="preserve"> de calcium </w:t>
      </w:r>
      <w:proofErr w:type="spellStart"/>
      <w:r w:rsidRPr="000C79EF">
        <w:rPr>
          <w:rFonts w:ascii="Times New Roman" w:hAnsi="Times New Roman" w:cs="Times New Roman"/>
        </w:rPr>
        <w:t>dihydraté</w:t>
      </w:r>
      <w:proofErr w:type="spellEnd"/>
      <w:r w:rsidRPr="000C79EF">
        <w:rPr>
          <w:rFonts w:ascii="Times New Roman" w:hAnsi="Times New Roman" w:cs="Times New Roman"/>
        </w:rPr>
        <w:t>, glycine, silice colloïdale anhydre et stéarate de magnésium.</w:t>
      </w:r>
    </w:p>
    <w:p w14:paraId="0EDA8D52" w14:textId="4F908747" w:rsidR="004411D6" w:rsidRPr="000C79EF" w:rsidRDefault="00080994" w:rsidP="00CB615C">
      <w:pPr>
        <w:pStyle w:val="Paragraphedeliste"/>
        <w:widowControl/>
        <w:numPr>
          <w:ilvl w:val="0"/>
          <w:numId w:val="18"/>
        </w:numPr>
        <w:spacing w:after="0" w:line="240" w:lineRule="auto"/>
        <w:ind w:left="567" w:hanging="283"/>
        <w:rPr>
          <w:rFonts w:ascii="Times New Roman" w:eastAsia="Times New Roman" w:hAnsi="Times New Roman" w:cs="Times New Roman"/>
        </w:rPr>
      </w:pPr>
      <w:r w:rsidRPr="000C79EF">
        <w:rPr>
          <w:rFonts w:ascii="Times New Roman" w:hAnsi="Times New Roman" w:cs="Times New Roman"/>
        </w:rPr>
        <w:t>Enveloppe de la gélule : gélatine, dioxyde de titane (E171), oxyde de fer jaune (E172) et oxyde de fer rouge (E172).</w:t>
      </w:r>
    </w:p>
    <w:p w14:paraId="3465EC81" w14:textId="7A94295B" w:rsidR="004411D6" w:rsidRPr="000C79EF" w:rsidRDefault="00080994" w:rsidP="00CB615C">
      <w:pPr>
        <w:pStyle w:val="Paragraphedeliste"/>
        <w:widowControl/>
        <w:numPr>
          <w:ilvl w:val="0"/>
          <w:numId w:val="18"/>
        </w:numPr>
        <w:spacing w:after="0" w:line="240" w:lineRule="auto"/>
        <w:ind w:left="567" w:hanging="283"/>
        <w:rPr>
          <w:rFonts w:ascii="Times New Roman" w:eastAsia="Times New Roman" w:hAnsi="Times New Roman" w:cs="Times New Roman"/>
        </w:rPr>
      </w:pPr>
      <w:r w:rsidRPr="000C79EF">
        <w:rPr>
          <w:rFonts w:ascii="Times New Roman" w:hAnsi="Times New Roman" w:cs="Times New Roman"/>
        </w:rPr>
        <w:t>Encre d’impression : gomme-laque (E904), propylène glycol (E1520), oxyde de fer noir (E172) et hydroxyde de potassium.</w:t>
      </w:r>
    </w:p>
    <w:p w14:paraId="306B158B" w14:textId="77777777" w:rsidR="004411D6" w:rsidRPr="000C79EF" w:rsidRDefault="004411D6" w:rsidP="00CB615C">
      <w:pPr>
        <w:widowControl/>
        <w:spacing w:after="0" w:line="240" w:lineRule="auto"/>
        <w:rPr>
          <w:rFonts w:ascii="Times New Roman" w:eastAsia="Times New Roman" w:hAnsi="Times New Roman" w:cs="Times New Roman"/>
        </w:rPr>
      </w:pPr>
    </w:p>
    <w:p w14:paraId="4E56FDA8" w14:textId="4FE61BCE" w:rsidR="001C7C0E" w:rsidRPr="000C79EF" w:rsidRDefault="00080994" w:rsidP="00CB615C">
      <w:pPr>
        <w:widowControl/>
        <w:spacing w:after="0" w:line="240" w:lineRule="auto"/>
        <w:rPr>
          <w:rFonts w:ascii="Times New Roman" w:eastAsia="Times New Roman" w:hAnsi="Times New Roman" w:cs="Times New Roman"/>
        </w:rPr>
      </w:pPr>
      <w:r w:rsidRPr="000C79EF">
        <w:rPr>
          <w:rFonts w:ascii="Times New Roman" w:hAnsi="Times New Roman" w:cs="Times New Roman"/>
          <w:b/>
        </w:rPr>
        <w:t xml:space="preserve">Comment se présente </w:t>
      </w:r>
      <w:proofErr w:type="spellStart"/>
      <w:r w:rsidRPr="000C79EF">
        <w:rPr>
          <w:rFonts w:ascii="Times New Roman" w:hAnsi="Times New Roman" w:cs="Times New Roman"/>
          <w:b/>
        </w:rPr>
        <w:t>Fingolimod</w:t>
      </w:r>
      <w:proofErr w:type="spellEnd"/>
      <w:r w:rsidRPr="000C79EF">
        <w:rPr>
          <w:rFonts w:ascii="Times New Roman" w:hAnsi="Times New Roman" w:cs="Times New Roman"/>
          <w:b/>
        </w:rPr>
        <w:t xml:space="preserve"> Mylan et contenu de l’emballage extérieur</w:t>
      </w:r>
    </w:p>
    <w:p w14:paraId="3BBE117E" w14:textId="1D6A28E8" w:rsidR="008C7BA0" w:rsidRPr="000C79EF" w:rsidRDefault="00080994" w:rsidP="00CB615C">
      <w:pPr>
        <w:widowControl/>
        <w:tabs>
          <w:tab w:val="left" w:pos="680"/>
        </w:tabs>
        <w:spacing w:after="0" w:line="240" w:lineRule="auto"/>
        <w:ind w:left="1"/>
        <w:rPr>
          <w:rFonts w:ascii="Times New Roman" w:eastAsia="Times New Roman" w:hAnsi="Times New Roman" w:cs="Times New Roman"/>
          <w:spacing w:val="-1"/>
        </w:rPr>
      </w:pPr>
      <w:r w:rsidRPr="000C79EF">
        <w:rPr>
          <w:rFonts w:ascii="Times New Roman" w:hAnsi="Times New Roman" w:cs="Times New Roman"/>
        </w:rPr>
        <w:t>Les gélules ont une coiffe opaque de couleur brun-orangé et un corps opaque blanc, avec l’inscription « MYLAN » imprimée au-dessus de « FD 0.5 » à l’encre noire sur la coiffe et le corps.</w:t>
      </w:r>
    </w:p>
    <w:p w14:paraId="73200AEA" w14:textId="77777777" w:rsidR="00712107" w:rsidRPr="000C79EF" w:rsidRDefault="00712107" w:rsidP="00CB615C">
      <w:pPr>
        <w:widowControl/>
        <w:spacing w:after="0" w:line="240" w:lineRule="auto"/>
        <w:rPr>
          <w:rFonts w:ascii="Times New Roman" w:hAnsi="Times New Roman" w:cs="Times New Roman"/>
        </w:rPr>
      </w:pPr>
    </w:p>
    <w:p w14:paraId="37146963" w14:textId="3A68A438" w:rsidR="005603CA" w:rsidRPr="000C79EF" w:rsidRDefault="00080994" w:rsidP="00CB615C">
      <w:pPr>
        <w:widowControl/>
        <w:spacing w:after="0" w:line="240" w:lineRule="auto"/>
        <w:rPr>
          <w:rFonts w:ascii="Times New Roman" w:eastAsia="Times New Roman" w:hAnsi="Times New Roman" w:cs="Times New Roman"/>
        </w:rPr>
      </w:pPr>
      <w:proofErr w:type="spellStart"/>
      <w:r w:rsidRPr="000C79EF">
        <w:rPr>
          <w:rFonts w:ascii="Times New Roman" w:hAnsi="Times New Roman" w:cs="Times New Roman"/>
        </w:rPr>
        <w:t>Fingolimod</w:t>
      </w:r>
      <w:proofErr w:type="spellEnd"/>
      <w:r w:rsidRPr="000C79EF">
        <w:rPr>
          <w:rFonts w:ascii="Times New Roman" w:hAnsi="Times New Roman" w:cs="Times New Roman"/>
        </w:rPr>
        <w:t xml:space="preserve"> Mylan 0,5 mg, gélule est présenté en :</w:t>
      </w:r>
    </w:p>
    <w:p w14:paraId="15B9DAC3" w14:textId="21037DB3" w:rsidR="008C7BA0" w:rsidRPr="000C79EF" w:rsidRDefault="00080994" w:rsidP="00CB615C">
      <w:pPr>
        <w:widowControl/>
        <w:spacing w:after="0" w:line="240" w:lineRule="auto"/>
        <w:rPr>
          <w:rFonts w:ascii="Times New Roman" w:eastAsia="Times New Roman" w:hAnsi="Times New Roman" w:cs="Times New Roman"/>
          <w:spacing w:val="-2"/>
        </w:rPr>
      </w:pPr>
      <w:r w:rsidRPr="000C79EF">
        <w:rPr>
          <w:rFonts w:ascii="Times New Roman" w:hAnsi="Times New Roman" w:cs="Times New Roman"/>
        </w:rPr>
        <w:t>Plaquettes contenant 28, 30, 84 ou 98 gélules</w:t>
      </w:r>
    </w:p>
    <w:p w14:paraId="7F313579" w14:textId="05673131" w:rsidR="007053DA" w:rsidRPr="000C79EF" w:rsidRDefault="00080994" w:rsidP="00CB615C">
      <w:pPr>
        <w:widowControl/>
        <w:spacing w:after="0" w:line="240" w:lineRule="auto"/>
        <w:rPr>
          <w:rFonts w:ascii="Times New Roman" w:eastAsia="Times New Roman" w:hAnsi="Times New Roman" w:cs="Times New Roman"/>
        </w:rPr>
      </w:pPr>
      <w:r w:rsidRPr="000C79EF">
        <w:rPr>
          <w:rFonts w:ascii="Times New Roman" w:hAnsi="Times New Roman" w:cs="Times New Roman"/>
        </w:rPr>
        <w:t>Conditionnements multiples de 3 boîtes, contenant chacune 28 gélules</w:t>
      </w:r>
    </w:p>
    <w:p w14:paraId="2B8D69C0" w14:textId="532B23F6" w:rsidR="004B5425" w:rsidRPr="000C79EF" w:rsidRDefault="00080994" w:rsidP="00CB615C">
      <w:pPr>
        <w:widowControl/>
        <w:spacing w:after="0" w:line="240" w:lineRule="auto"/>
        <w:rPr>
          <w:rFonts w:ascii="Times New Roman" w:eastAsia="Times New Roman" w:hAnsi="Times New Roman" w:cs="Times New Roman"/>
          <w:spacing w:val="-2"/>
        </w:rPr>
      </w:pPr>
      <w:r w:rsidRPr="000C79EF">
        <w:rPr>
          <w:rFonts w:ascii="Times New Roman" w:hAnsi="Times New Roman" w:cs="Times New Roman"/>
        </w:rPr>
        <w:t>Boîtes calendaires contenant 28 ou 84 gélules</w:t>
      </w:r>
    </w:p>
    <w:p w14:paraId="442BC4C1" w14:textId="390F76D3" w:rsidR="007053DA" w:rsidRPr="000C79EF" w:rsidRDefault="00080994" w:rsidP="00CB615C">
      <w:pPr>
        <w:widowControl/>
        <w:spacing w:after="0" w:line="240" w:lineRule="auto"/>
        <w:rPr>
          <w:rFonts w:ascii="Times New Roman" w:eastAsia="Times New Roman" w:hAnsi="Times New Roman" w:cs="Times New Roman"/>
          <w:spacing w:val="-2"/>
        </w:rPr>
      </w:pPr>
      <w:r w:rsidRPr="000C79EF">
        <w:rPr>
          <w:rFonts w:ascii="Times New Roman" w:hAnsi="Times New Roman" w:cs="Times New Roman"/>
        </w:rPr>
        <w:t>Plaquettes unidoses contenant 7 x 1, 28 x 1, 90 x 1 ou 98 x 1 gélules</w:t>
      </w:r>
    </w:p>
    <w:p w14:paraId="5F6066FE" w14:textId="214E4A0E" w:rsidR="007053DA" w:rsidRPr="000C79EF" w:rsidRDefault="00080994" w:rsidP="00CB615C">
      <w:pPr>
        <w:widowControl/>
        <w:spacing w:after="0" w:line="240" w:lineRule="auto"/>
        <w:rPr>
          <w:rFonts w:ascii="Times New Roman" w:eastAsia="Times New Roman" w:hAnsi="Times New Roman" w:cs="Times New Roman"/>
          <w:spacing w:val="-2"/>
        </w:rPr>
      </w:pPr>
      <w:r w:rsidRPr="000C79EF">
        <w:rPr>
          <w:rFonts w:ascii="Times New Roman" w:hAnsi="Times New Roman" w:cs="Times New Roman"/>
        </w:rPr>
        <w:t xml:space="preserve">Flacons contenant 90 ou 100 gélules </w:t>
      </w:r>
    </w:p>
    <w:p w14:paraId="1593F01A" w14:textId="77777777" w:rsidR="004B5425" w:rsidRDefault="004B5425" w:rsidP="00CB615C">
      <w:pPr>
        <w:widowControl/>
        <w:spacing w:after="0" w:line="240" w:lineRule="auto"/>
        <w:rPr>
          <w:rFonts w:ascii="Times New Roman" w:eastAsia="Times New Roman" w:hAnsi="Times New Roman" w:cs="Times New Roman"/>
          <w:spacing w:val="-1"/>
        </w:rPr>
      </w:pPr>
    </w:p>
    <w:p w14:paraId="2336A5FC" w14:textId="6E065DEA" w:rsidR="001C7C0E"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rPr>
        <w:t>Toutes les présentations peuvent ne pas être commercialisées.</w:t>
      </w:r>
    </w:p>
    <w:p w14:paraId="028A7763" w14:textId="77777777" w:rsidR="001C7C0E" w:rsidRPr="005E3BF6" w:rsidRDefault="001C7C0E" w:rsidP="00CB615C">
      <w:pPr>
        <w:widowControl/>
        <w:spacing w:after="0" w:line="240" w:lineRule="auto"/>
        <w:rPr>
          <w:rFonts w:ascii="Times New Roman" w:hAnsi="Times New Roman" w:cs="Times New Roman"/>
        </w:rPr>
      </w:pPr>
    </w:p>
    <w:p w14:paraId="525E036A" w14:textId="60732D56" w:rsidR="00712107" w:rsidRPr="005E3BF6" w:rsidRDefault="00080994" w:rsidP="00CB615C">
      <w:pPr>
        <w:widowControl/>
        <w:spacing w:after="0" w:line="240" w:lineRule="auto"/>
        <w:rPr>
          <w:rFonts w:ascii="Times New Roman" w:eastAsia="Times New Roman" w:hAnsi="Times New Roman" w:cs="Times New Roman"/>
        </w:rPr>
      </w:pPr>
      <w:r>
        <w:rPr>
          <w:rFonts w:ascii="Times New Roman" w:hAnsi="Times New Roman"/>
          <w:b/>
        </w:rPr>
        <w:t>Titulaire de l’Autorisation de mise sur le marché</w:t>
      </w:r>
    </w:p>
    <w:p w14:paraId="70C5B96E" w14:textId="08044402" w:rsidR="00101097" w:rsidRPr="000A298F" w:rsidRDefault="00080994" w:rsidP="00CB615C">
      <w:pPr>
        <w:widowControl/>
        <w:spacing w:after="0"/>
        <w:rPr>
          <w:rFonts w:ascii="Times New Roman" w:eastAsia="Times New Roman" w:hAnsi="Times New Roman" w:cs="Times New Roman"/>
          <w:lang w:val="en-US"/>
        </w:rPr>
      </w:pPr>
      <w:r w:rsidRPr="000A298F">
        <w:rPr>
          <w:rFonts w:ascii="Times New Roman" w:hAnsi="Times New Roman"/>
          <w:lang w:val="en-US"/>
        </w:rPr>
        <w:t xml:space="preserve">Mylan </w:t>
      </w:r>
      <w:r w:rsidR="00D4439A" w:rsidRPr="000A298F">
        <w:rPr>
          <w:rFonts w:ascii="Times New Roman" w:hAnsi="Times New Roman"/>
          <w:lang w:val="en-US"/>
        </w:rPr>
        <w:t>Pharmaceuticals</w:t>
      </w:r>
      <w:r w:rsidRPr="000A298F">
        <w:rPr>
          <w:rFonts w:ascii="Times New Roman" w:hAnsi="Times New Roman"/>
          <w:lang w:val="en-US"/>
        </w:rPr>
        <w:t xml:space="preserve"> Limited, </w:t>
      </w:r>
      <w:proofErr w:type="spellStart"/>
      <w:r w:rsidR="00101097" w:rsidRPr="000A298F">
        <w:rPr>
          <w:rFonts w:ascii="Times New Roman" w:eastAsia="Times New Roman" w:hAnsi="Times New Roman" w:cs="Times New Roman"/>
          <w:lang w:val="en-US"/>
        </w:rPr>
        <w:t>Damastown</w:t>
      </w:r>
      <w:proofErr w:type="spellEnd"/>
      <w:r w:rsidR="00101097" w:rsidRPr="000A298F">
        <w:rPr>
          <w:rFonts w:ascii="Times New Roman" w:eastAsia="Times New Roman" w:hAnsi="Times New Roman" w:cs="Times New Roman"/>
          <w:lang w:val="en-US"/>
        </w:rPr>
        <w:t xml:space="preserve"> Industrial Park, </w:t>
      </w:r>
      <w:proofErr w:type="spellStart"/>
      <w:r w:rsidR="00101097" w:rsidRPr="000A298F">
        <w:rPr>
          <w:rFonts w:ascii="Times New Roman" w:eastAsia="Times New Roman" w:hAnsi="Times New Roman" w:cs="Times New Roman"/>
          <w:lang w:val="en-US"/>
        </w:rPr>
        <w:t>Mulhuddart</w:t>
      </w:r>
      <w:proofErr w:type="spellEnd"/>
      <w:r w:rsidR="00101097" w:rsidRPr="000A298F">
        <w:rPr>
          <w:rFonts w:ascii="Times New Roman" w:eastAsia="Times New Roman" w:hAnsi="Times New Roman" w:cs="Times New Roman"/>
          <w:lang w:val="en-US"/>
        </w:rPr>
        <w:t>, Dublin 15, DUBLIN</w:t>
      </w:r>
    </w:p>
    <w:p w14:paraId="17986CCE" w14:textId="26B1AB5D" w:rsidR="00712107" w:rsidRPr="000A298F" w:rsidRDefault="00101097" w:rsidP="00CB615C">
      <w:pPr>
        <w:widowControl/>
        <w:spacing w:after="0" w:line="240" w:lineRule="auto"/>
        <w:rPr>
          <w:rFonts w:ascii="Times New Roman" w:hAnsi="Times New Roman" w:cs="Times New Roman"/>
          <w:lang w:val="en-US"/>
        </w:rPr>
      </w:pPr>
      <w:proofErr w:type="spellStart"/>
      <w:r w:rsidRPr="000A298F">
        <w:rPr>
          <w:rFonts w:ascii="Times New Roman" w:eastAsia="Times New Roman" w:hAnsi="Times New Roman" w:cs="Times New Roman"/>
          <w:lang w:val="en-US"/>
        </w:rPr>
        <w:t>Irlande</w:t>
      </w:r>
      <w:proofErr w:type="spellEnd"/>
      <w:r w:rsidR="00080994" w:rsidRPr="000A298F">
        <w:rPr>
          <w:rFonts w:ascii="Times New Roman" w:hAnsi="Times New Roman"/>
          <w:lang w:val="en-US"/>
        </w:rPr>
        <w:t>.</w:t>
      </w:r>
    </w:p>
    <w:p w14:paraId="5B35E0A6" w14:textId="77777777" w:rsidR="00712107" w:rsidRPr="000A298F" w:rsidRDefault="00712107" w:rsidP="00CB615C">
      <w:pPr>
        <w:widowControl/>
        <w:spacing w:after="0" w:line="240" w:lineRule="auto"/>
        <w:rPr>
          <w:rFonts w:ascii="Times New Roman" w:hAnsi="Times New Roman" w:cs="Times New Roman"/>
          <w:lang w:val="en-US"/>
        </w:rPr>
      </w:pPr>
    </w:p>
    <w:p w14:paraId="07F78109" w14:textId="406F5985" w:rsidR="001C7C0E" w:rsidRPr="000A298F" w:rsidRDefault="00080994" w:rsidP="0021615D">
      <w:pPr>
        <w:keepNext/>
        <w:widowControl/>
        <w:spacing w:after="0" w:line="240" w:lineRule="auto"/>
        <w:rPr>
          <w:rFonts w:ascii="Times New Roman" w:eastAsia="Times New Roman" w:hAnsi="Times New Roman" w:cs="Times New Roman"/>
          <w:lang w:val="en-US"/>
        </w:rPr>
      </w:pPr>
      <w:r w:rsidRPr="000A298F">
        <w:rPr>
          <w:rFonts w:ascii="Times New Roman" w:hAnsi="Times New Roman"/>
          <w:b/>
          <w:lang w:val="en-US"/>
        </w:rPr>
        <w:lastRenderedPageBreak/>
        <w:t>Fabricant(s)</w:t>
      </w:r>
    </w:p>
    <w:p w14:paraId="17121D55" w14:textId="5DE54C6A" w:rsidR="00A734E9" w:rsidRPr="000A298F" w:rsidRDefault="00080994" w:rsidP="00CB615C">
      <w:pPr>
        <w:widowControl/>
        <w:spacing w:after="0" w:line="240" w:lineRule="auto"/>
        <w:rPr>
          <w:rFonts w:ascii="Times New Roman" w:eastAsia="Times New Roman" w:hAnsi="Times New Roman" w:cs="Times New Roman"/>
          <w:spacing w:val="-1"/>
          <w:lang w:val="en-US"/>
        </w:rPr>
      </w:pPr>
      <w:r w:rsidRPr="000A298F">
        <w:rPr>
          <w:rFonts w:ascii="Times New Roman" w:hAnsi="Times New Roman"/>
          <w:lang w:val="en-US"/>
        </w:rPr>
        <w:t xml:space="preserve">Mylan Hungary Kft, Mylan </w:t>
      </w:r>
      <w:proofErr w:type="spellStart"/>
      <w:r w:rsidRPr="000A298F">
        <w:rPr>
          <w:rFonts w:ascii="Times New Roman" w:hAnsi="Times New Roman"/>
          <w:lang w:val="en-US"/>
        </w:rPr>
        <w:t>utca</w:t>
      </w:r>
      <w:proofErr w:type="spellEnd"/>
      <w:r w:rsidRPr="000A298F">
        <w:rPr>
          <w:rFonts w:ascii="Times New Roman" w:hAnsi="Times New Roman"/>
          <w:lang w:val="en-US"/>
        </w:rPr>
        <w:t xml:space="preserve"> 1, </w:t>
      </w:r>
      <w:proofErr w:type="spellStart"/>
      <w:r w:rsidRPr="000A298F">
        <w:rPr>
          <w:rFonts w:ascii="Times New Roman" w:hAnsi="Times New Roman"/>
          <w:lang w:val="en-US"/>
        </w:rPr>
        <w:t>Komarom</w:t>
      </w:r>
      <w:proofErr w:type="spellEnd"/>
      <w:r w:rsidRPr="000A298F">
        <w:rPr>
          <w:rFonts w:ascii="Times New Roman" w:hAnsi="Times New Roman"/>
          <w:lang w:val="en-US"/>
        </w:rPr>
        <w:t xml:space="preserve">, H-2900, </w:t>
      </w:r>
      <w:proofErr w:type="spellStart"/>
      <w:r w:rsidRPr="000A298F">
        <w:rPr>
          <w:rFonts w:ascii="Times New Roman" w:hAnsi="Times New Roman"/>
          <w:lang w:val="en-US"/>
        </w:rPr>
        <w:t>Hongrie</w:t>
      </w:r>
      <w:proofErr w:type="spellEnd"/>
    </w:p>
    <w:p w14:paraId="40B16024" w14:textId="77777777" w:rsidR="00141D94" w:rsidRPr="000A298F" w:rsidRDefault="00141D94" w:rsidP="00CB615C">
      <w:pPr>
        <w:widowControl/>
        <w:spacing w:after="0" w:line="240" w:lineRule="auto"/>
        <w:rPr>
          <w:rFonts w:ascii="Times New Roman" w:eastAsia="Times New Roman" w:hAnsi="Times New Roman" w:cs="Times New Roman"/>
          <w:spacing w:val="-1"/>
          <w:lang w:val="en-US"/>
        </w:rPr>
      </w:pPr>
    </w:p>
    <w:p w14:paraId="73BB7BF1" w14:textId="6BB4AA51" w:rsidR="00E46DE4" w:rsidRPr="000A298F" w:rsidRDefault="00DF62BF" w:rsidP="00CB615C">
      <w:pPr>
        <w:widowControl/>
        <w:spacing w:after="0" w:line="240" w:lineRule="auto"/>
        <w:rPr>
          <w:rFonts w:ascii="Times New Roman" w:eastAsia="Times New Roman" w:hAnsi="Times New Roman" w:cs="Times New Roman"/>
          <w:spacing w:val="-1"/>
          <w:highlight w:val="lightGray"/>
          <w:lang w:val="en-US"/>
        </w:rPr>
      </w:pPr>
      <w:bookmarkStart w:id="14" w:name="_Hlk52189845"/>
      <w:ins w:id="15" w:author="Anonymous – Viatris" w:date="2026-04-14T15:09:00Z" w16du:dateUtc="2026-04-14T09:39:00Z">
        <w:r>
          <w:rPr>
            <w:rFonts w:ascii="Times New Roman" w:hAnsi="Times New Roman"/>
            <w:highlight w:val="lightGray"/>
            <w:lang w:val="en-US"/>
          </w:rPr>
          <w:t>Viatris</w:t>
        </w:r>
      </w:ins>
      <w:del w:id="16" w:author="Anonymous – Viatris" w:date="2026-04-14T15:09:00Z" w16du:dateUtc="2026-04-14T09:39:00Z">
        <w:r w:rsidR="00080994" w:rsidRPr="000A298F" w:rsidDel="00DF62BF">
          <w:rPr>
            <w:rFonts w:ascii="Times New Roman" w:hAnsi="Times New Roman"/>
            <w:highlight w:val="lightGray"/>
            <w:lang w:val="en-US"/>
          </w:rPr>
          <w:delText>M</w:delText>
        </w:r>
      </w:del>
      <w:del w:id="17" w:author="Anonymous – Viatris" w:date="2026-04-14T15:08:00Z" w16du:dateUtc="2026-04-14T09:38:00Z">
        <w:r w:rsidR="00080994" w:rsidRPr="000A298F" w:rsidDel="00DF62BF">
          <w:rPr>
            <w:rFonts w:ascii="Times New Roman" w:hAnsi="Times New Roman"/>
            <w:highlight w:val="lightGray"/>
            <w:lang w:val="en-US"/>
          </w:rPr>
          <w:delText>ylan</w:delText>
        </w:r>
      </w:del>
      <w:r w:rsidR="00080994" w:rsidRPr="000A298F">
        <w:rPr>
          <w:rFonts w:ascii="Times New Roman" w:hAnsi="Times New Roman"/>
          <w:highlight w:val="lightGray"/>
          <w:lang w:val="en-US"/>
        </w:rPr>
        <w:t xml:space="preserve"> Germany GmbH, </w:t>
      </w:r>
      <w:proofErr w:type="spellStart"/>
      <w:r w:rsidR="00080994" w:rsidRPr="000A298F">
        <w:rPr>
          <w:rFonts w:ascii="Times New Roman" w:hAnsi="Times New Roman"/>
          <w:highlight w:val="lightGray"/>
          <w:lang w:val="en-US"/>
        </w:rPr>
        <w:t>Zweigniederlassung</w:t>
      </w:r>
      <w:proofErr w:type="spellEnd"/>
      <w:r w:rsidR="00080994" w:rsidRPr="000A298F">
        <w:rPr>
          <w:rFonts w:ascii="Times New Roman" w:hAnsi="Times New Roman"/>
          <w:highlight w:val="lightGray"/>
          <w:lang w:val="en-US"/>
        </w:rPr>
        <w:t xml:space="preserve"> Bad Homburg v. d. </w:t>
      </w:r>
      <w:proofErr w:type="spellStart"/>
      <w:r w:rsidR="00080994" w:rsidRPr="000A298F">
        <w:rPr>
          <w:rFonts w:ascii="Times New Roman" w:hAnsi="Times New Roman"/>
          <w:highlight w:val="lightGray"/>
          <w:lang w:val="en-US"/>
        </w:rPr>
        <w:t>Hoehe</w:t>
      </w:r>
      <w:proofErr w:type="spellEnd"/>
      <w:r w:rsidR="00080994" w:rsidRPr="000A298F">
        <w:rPr>
          <w:rFonts w:ascii="Times New Roman" w:hAnsi="Times New Roman"/>
          <w:highlight w:val="lightGray"/>
          <w:lang w:val="en-US"/>
        </w:rPr>
        <w:t xml:space="preserve">, </w:t>
      </w:r>
      <w:proofErr w:type="spellStart"/>
      <w:r w:rsidR="00080994" w:rsidRPr="000A298F">
        <w:rPr>
          <w:rFonts w:ascii="Times New Roman" w:hAnsi="Times New Roman"/>
          <w:highlight w:val="lightGray"/>
          <w:lang w:val="en-US"/>
        </w:rPr>
        <w:t>Benzstrasse</w:t>
      </w:r>
      <w:proofErr w:type="spellEnd"/>
      <w:r w:rsidR="00080994" w:rsidRPr="000A298F">
        <w:rPr>
          <w:rFonts w:ascii="Times New Roman" w:hAnsi="Times New Roman"/>
          <w:highlight w:val="lightGray"/>
          <w:lang w:val="en-US"/>
        </w:rPr>
        <w:t xml:space="preserve"> 1, Bad Homburg v. d. </w:t>
      </w:r>
      <w:proofErr w:type="spellStart"/>
      <w:r w:rsidR="00080994" w:rsidRPr="000A298F">
        <w:rPr>
          <w:rFonts w:ascii="Times New Roman" w:hAnsi="Times New Roman"/>
          <w:highlight w:val="lightGray"/>
          <w:lang w:val="en-US"/>
        </w:rPr>
        <w:t>Hoehe</w:t>
      </w:r>
      <w:proofErr w:type="spellEnd"/>
      <w:r w:rsidR="00080994" w:rsidRPr="000A298F">
        <w:rPr>
          <w:rFonts w:ascii="Times New Roman" w:hAnsi="Times New Roman"/>
          <w:highlight w:val="lightGray"/>
          <w:lang w:val="en-US"/>
        </w:rPr>
        <w:t xml:space="preserve">, Hessen, 61352, </w:t>
      </w:r>
      <w:proofErr w:type="spellStart"/>
      <w:r w:rsidR="00080994" w:rsidRPr="000A298F">
        <w:rPr>
          <w:rFonts w:ascii="Times New Roman" w:hAnsi="Times New Roman"/>
          <w:highlight w:val="lightGray"/>
          <w:lang w:val="en-US"/>
        </w:rPr>
        <w:t>Allemagne</w:t>
      </w:r>
      <w:proofErr w:type="spellEnd"/>
      <w:r w:rsidR="00080994" w:rsidRPr="000A298F">
        <w:rPr>
          <w:rFonts w:ascii="Times New Roman" w:hAnsi="Times New Roman"/>
          <w:highlight w:val="lightGray"/>
          <w:lang w:val="en-US"/>
        </w:rPr>
        <w:t xml:space="preserve">. </w:t>
      </w:r>
    </w:p>
    <w:p w14:paraId="7A8ED43E" w14:textId="77777777" w:rsidR="00E46DE4" w:rsidRPr="000A298F" w:rsidRDefault="00E46DE4" w:rsidP="00CB615C">
      <w:pPr>
        <w:widowControl/>
        <w:spacing w:after="0" w:line="240" w:lineRule="auto"/>
        <w:rPr>
          <w:rFonts w:ascii="Times New Roman" w:eastAsia="Times New Roman" w:hAnsi="Times New Roman" w:cs="Times New Roman"/>
          <w:b/>
          <w:bCs/>
          <w:spacing w:val="-1"/>
          <w:highlight w:val="lightGray"/>
          <w:lang w:val="en-US"/>
        </w:rPr>
      </w:pPr>
    </w:p>
    <w:bookmarkEnd w:id="14"/>
    <w:p w14:paraId="63DCBD79" w14:textId="77777777" w:rsidR="00036778" w:rsidRPr="000A298F" w:rsidRDefault="00036778" w:rsidP="00CB615C">
      <w:pPr>
        <w:widowControl/>
        <w:spacing w:after="0" w:line="240" w:lineRule="auto"/>
        <w:rPr>
          <w:rFonts w:ascii="Times New Roman" w:eastAsia="Times New Roman" w:hAnsi="Times New Roman" w:cs="Times New Roman"/>
          <w:spacing w:val="-1"/>
          <w:lang w:val="en-US"/>
        </w:rPr>
      </w:pPr>
    </w:p>
    <w:p w14:paraId="39D35C64" w14:textId="49205C12" w:rsidR="001C7C0E" w:rsidRDefault="00080994" w:rsidP="00CB615C">
      <w:pPr>
        <w:widowControl/>
        <w:spacing w:after="0" w:line="240" w:lineRule="auto"/>
        <w:rPr>
          <w:rFonts w:ascii="Times New Roman" w:eastAsia="Times New Roman" w:hAnsi="Times New Roman" w:cs="Times New Roman"/>
          <w:spacing w:val="1"/>
        </w:rPr>
      </w:pPr>
      <w:r>
        <w:rPr>
          <w:rFonts w:ascii="Times New Roman" w:hAnsi="Times New Roman"/>
        </w:rPr>
        <w:t xml:space="preserve">Pour toute information complémentaire concernant ce médicament, veuillez prendre contact avec le représentant local du titulaire de l’autorisation </w:t>
      </w:r>
      <w:proofErr w:type="spellStart"/>
      <w:r>
        <w:rPr>
          <w:rFonts w:ascii="Times New Roman" w:hAnsi="Times New Roman"/>
        </w:rPr>
        <w:t>demise</w:t>
      </w:r>
      <w:proofErr w:type="spellEnd"/>
      <w:r>
        <w:rPr>
          <w:rFonts w:ascii="Times New Roman" w:hAnsi="Times New Roman"/>
        </w:rPr>
        <w:t xml:space="preserve"> sur le marché :</w:t>
      </w:r>
    </w:p>
    <w:p w14:paraId="7E120AD4" w14:textId="77777777" w:rsidR="009322AC" w:rsidRPr="005E3BF6" w:rsidRDefault="009322AC" w:rsidP="00CB615C">
      <w:pPr>
        <w:widowControl/>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261"/>
        <w:gridCol w:w="4670"/>
      </w:tblGrid>
      <w:tr w:rsidR="00E37FC5" w:rsidRPr="00260A3C" w14:paraId="31EE21AA" w14:textId="77777777" w:rsidTr="00282DA8">
        <w:trPr>
          <w:cantSplit/>
        </w:trPr>
        <w:tc>
          <w:tcPr>
            <w:tcW w:w="4261" w:type="dxa"/>
          </w:tcPr>
          <w:p w14:paraId="2EB0CE06" w14:textId="77777777" w:rsidR="005D3103" w:rsidRPr="000C79EF" w:rsidRDefault="00080994" w:rsidP="00CB615C">
            <w:pPr>
              <w:widowControl/>
              <w:spacing w:after="0" w:line="240" w:lineRule="auto"/>
              <w:rPr>
                <w:rFonts w:ascii="Times New Roman" w:eastAsia="Times New Roman" w:hAnsi="Times New Roman" w:cs="Times New Roman"/>
                <w:b/>
                <w:bCs/>
                <w:spacing w:val="-1"/>
              </w:rPr>
            </w:pPr>
            <w:bookmarkStart w:id="18" w:name="_Hlk5020764"/>
            <w:proofErr w:type="spellStart"/>
            <w:r w:rsidRPr="000C79EF">
              <w:rPr>
                <w:rFonts w:ascii="Times New Roman" w:hAnsi="Times New Roman" w:cs="Times New Roman"/>
                <w:b/>
              </w:rPr>
              <w:t>België</w:t>
            </w:r>
            <w:proofErr w:type="spellEnd"/>
            <w:r w:rsidRPr="000C79EF">
              <w:rPr>
                <w:rFonts w:ascii="Times New Roman" w:hAnsi="Times New Roman" w:cs="Times New Roman"/>
                <w:b/>
              </w:rPr>
              <w:t>/Belgique/</w:t>
            </w:r>
            <w:proofErr w:type="spellStart"/>
            <w:r w:rsidRPr="000C79EF">
              <w:rPr>
                <w:rFonts w:ascii="Times New Roman" w:hAnsi="Times New Roman" w:cs="Times New Roman"/>
                <w:b/>
              </w:rPr>
              <w:t>Belgien</w:t>
            </w:r>
            <w:proofErr w:type="spellEnd"/>
          </w:p>
          <w:p w14:paraId="4FDC93B2" w14:textId="1B7F798C" w:rsidR="005D3103" w:rsidRPr="000C79EF" w:rsidRDefault="00260A3C" w:rsidP="00CB615C">
            <w:pPr>
              <w:widowControl/>
              <w:spacing w:after="0" w:line="240" w:lineRule="auto"/>
              <w:rPr>
                <w:rFonts w:ascii="Times New Roman" w:eastAsia="Times New Roman" w:hAnsi="Times New Roman" w:cs="Times New Roman"/>
                <w:b/>
                <w:bCs/>
                <w:spacing w:val="-1"/>
              </w:rPr>
            </w:pPr>
            <w:r w:rsidRPr="000C79EF">
              <w:rPr>
                <w:rFonts w:ascii="Times New Roman" w:eastAsia="Times New Roman" w:hAnsi="Times New Roman" w:cs="Times New Roman"/>
                <w:bCs/>
                <w:spacing w:val="-1"/>
              </w:rPr>
              <w:t>Viatris</w:t>
            </w:r>
          </w:p>
          <w:p w14:paraId="5C1AF37F" w14:textId="77777777" w:rsidR="005D3103" w:rsidRPr="000C79EF" w:rsidRDefault="00080994" w:rsidP="00CB615C">
            <w:pPr>
              <w:widowControl/>
              <w:spacing w:after="0" w:line="240" w:lineRule="auto"/>
              <w:rPr>
                <w:rFonts w:ascii="Times New Roman" w:eastAsia="Times New Roman" w:hAnsi="Times New Roman" w:cs="Times New Roman"/>
                <w:bCs/>
                <w:spacing w:val="-1"/>
              </w:rPr>
            </w:pPr>
            <w:r w:rsidRPr="000C79EF">
              <w:rPr>
                <w:rFonts w:ascii="Times New Roman" w:hAnsi="Times New Roman" w:cs="Times New Roman"/>
              </w:rPr>
              <w:t>Tél/Tel: + 32 (0)2 658 61 00</w:t>
            </w:r>
          </w:p>
          <w:p w14:paraId="10FC3531" w14:textId="77777777" w:rsidR="005D3103" w:rsidRPr="000C79EF" w:rsidRDefault="005D3103" w:rsidP="00CB615C">
            <w:pPr>
              <w:widowControl/>
              <w:spacing w:after="0" w:line="240" w:lineRule="auto"/>
              <w:rPr>
                <w:rFonts w:ascii="Times New Roman" w:eastAsia="Times New Roman" w:hAnsi="Times New Roman" w:cs="Times New Roman"/>
                <w:bCs/>
                <w:spacing w:val="-1"/>
              </w:rPr>
            </w:pPr>
          </w:p>
        </w:tc>
        <w:tc>
          <w:tcPr>
            <w:tcW w:w="4670" w:type="dxa"/>
          </w:tcPr>
          <w:p w14:paraId="36915B6A" w14:textId="4E8AD1F4" w:rsidR="005D3103" w:rsidRPr="000C79EF" w:rsidRDefault="00080994" w:rsidP="00CB615C">
            <w:pPr>
              <w:widowControl/>
              <w:spacing w:after="0" w:line="240" w:lineRule="auto"/>
              <w:rPr>
                <w:rFonts w:ascii="Times New Roman" w:eastAsia="Times New Roman" w:hAnsi="Times New Roman" w:cs="Times New Roman"/>
                <w:b/>
                <w:bCs/>
                <w:spacing w:val="-1"/>
                <w:lang w:val="en-GB"/>
              </w:rPr>
            </w:pPr>
            <w:r w:rsidRPr="000C79EF">
              <w:rPr>
                <w:rFonts w:ascii="Times New Roman" w:hAnsi="Times New Roman" w:cs="Times New Roman"/>
                <w:b/>
                <w:lang w:val="en-GB"/>
              </w:rPr>
              <w:t>Lietuva</w:t>
            </w:r>
          </w:p>
          <w:p w14:paraId="7191742C" w14:textId="0466AD9B" w:rsidR="00D36E12" w:rsidRPr="000C79EF" w:rsidRDefault="00260A3C" w:rsidP="00CB615C">
            <w:pPr>
              <w:widowControl/>
              <w:spacing w:after="0" w:line="240" w:lineRule="auto"/>
              <w:rPr>
                <w:rFonts w:ascii="Times New Roman" w:eastAsia="Times New Roman" w:hAnsi="Times New Roman" w:cs="Times New Roman"/>
                <w:bCs/>
                <w:spacing w:val="-1"/>
                <w:lang w:val="en-GB"/>
              </w:rPr>
            </w:pPr>
            <w:r w:rsidRPr="000C79EF">
              <w:rPr>
                <w:rFonts w:ascii="Times New Roman" w:eastAsia="Times New Roman" w:hAnsi="Times New Roman" w:cs="Times New Roman"/>
                <w:bCs/>
                <w:spacing w:val="-1"/>
              </w:rPr>
              <w:t>Viatris</w:t>
            </w:r>
            <w:r w:rsidRPr="000C79EF">
              <w:rPr>
                <w:rFonts w:ascii="Times New Roman" w:hAnsi="Times New Roman" w:cs="Times New Roman"/>
                <w:lang w:val="en-GB"/>
              </w:rPr>
              <w:t xml:space="preserve"> </w:t>
            </w:r>
            <w:r w:rsidR="00080994" w:rsidRPr="000C79EF">
              <w:rPr>
                <w:rFonts w:ascii="Times New Roman" w:hAnsi="Times New Roman" w:cs="Times New Roman"/>
                <w:lang w:val="en-GB"/>
              </w:rPr>
              <w:t>UAB </w:t>
            </w:r>
          </w:p>
          <w:p w14:paraId="42C26989" w14:textId="2FFBFFCF" w:rsidR="005D3103" w:rsidRPr="000C79EF" w:rsidRDefault="00080994" w:rsidP="00CB615C">
            <w:pPr>
              <w:widowControl/>
              <w:spacing w:after="0" w:line="240" w:lineRule="auto"/>
              <w:rPr>
                <w:rFonts w:ascii="Times New Roman" w:eastAsia="Times New Roman" w:hAnsi="Times New Roman" w:cs="Times New Roman"/>
                <w:bCs/>
                <w:spacing w:val="-1"/>
                <w:lang w:val="en-GB"/>
              </w:rPr>
            </w:pPr>
            <w:r w:rsidRPr="000C79EF">
              <w:rPr>
                <w:rFonts w:ascii="Times New Roman" w:hAnsi="Times New Roman" w:cs="Times New Roman"/>
                <w:lang w:val="en-GB"/>
              </w:rPr>
              <w:t>Tel: +370 5 205 1288</w:t>
            </w:r>
          </w:p>
          <w:p w14:paraId="375779F3" w14:textId="77777777" w:rsidR="005D3103" w:rsidRPr="000C79EF" w:rsidRDefault="005D3103" w:rsidP="00CB615C">
            <w:pPr>
              <w:widowControl/>
              <w:spacing w:after="0" w:line="240" w:lineRule="auto"/>
              <w:rPr>
                <w:rFonts w:ascii="Times New Roman" w:eastAsia="Times New Roman" w:hAnsi="Times New Roman" w:cs="Times New Roman"/>
                <w:bCs/>
                <w:spacing w:val="-1"/>
                <w:lang w:val="en-GB"/>
              </w:rPr>
            </w:pPr>
          </w:p>
        </w:tc>
      </w:tr>
      <w:tr w:rsidR="00E37FC5" w:rsidRPr="004E1D41" w14:paraId="65985F38" w14:textId="77777777" w:rsidTr="00282DA8">
        <w:trPr>
          <w:cantSplit/>
        </w:trPr>
        <w:tc>
          <w:tcPr>
            <w:tcW w:w="4261" w:type="dxa"/>
          </w:tcPr>
          <w:p w14:paraId="178E4E0D" w14:textId="77777777" w:rsidR="005D3103" w:rsidRPr="000C79EF" w:rsidRDefault="00080994" w:rsidP="00CB615C">
            <w:pPr>
              <w:widowControl/>
              <w:spacing w:after="0" w:line="240" w:lineRule="auto"/>
              <w:rPr>
                <w:rFonts w:ascii="Times New Roman" w:eastAsia="Times New Roman" w:hAnsi="Times New Roman" w:cs="Times New Roman"/>
                <w:b/>
                <w:bCs/>
                <w:spacing w:val="-1"/>
              </w:rPr>
            </w:pPr>
            <w:proofErr w:type="spellStart"/>
            <w:r w:rsidRPr="000C79EF">
              <w:rPr>
                <w:rFonts w:ascii="Times New Roman" w:hAnsi="Times New Roman" w:cs="Times New Roman"/>
                <w:b/>
              </w:rPr>
              <w:t>България</w:t>
            </w:r>
            <w:proofErr w:type="spellEnd"/>
          </w:p>
          <w:p w14:paraId="495513A7" w14:textId="3F56A68F" w:rsidR="005D3103" w:rsidRPr="000C79EF" w:rsidRDefault="009758DA" w:rsidP="00CB615C">
            <w:pPr>
              <w:widowControl/>
              <w:spacing w:after="0" w:line="240" w:lineRule="auto"/>
              <w:rPr>
                <w:rFonts w:ascii="Times New Roman" w:eastAsia="Times New Roman" w:hAnsi="Times New Roman" w:cs="Times New Roman"/>
                <w:bCs/>
                <w:spacing w:val="-1"/>
              </w:rPr>
            </w:pPr>
            <w:ins w:id="19" w:author="Anonymous – Viatris" w:date="2026-04-14T15:09:00Z" w16du:dateUtc="2026-04-14T09:39:00Z">
              <w:r w:rsidRPr="00320AEA">
                <w:rPr>
                  <w:rFonts w:ascii="Times New Roman" w:eastAsia="Times New Roman" w:hAnsi="Times New Roman" w:cs="Times New Roman"/>
                  <w:bCs/>
                  <w:spacing w:val="-1"/>
                  <w:lang w:val="bg-BG"/>
                </w:rPr>
                <w:t>Виатрис</w:t>
              </w:r>
              <w:del w:id="20" w:author="CRA Combined" w:date="2026-02-11T14:52:00Z">
                <w:r w:rsidRPr="001C6181" w:rsidDel="00320AEA">
                  <w:rPr>
                    <w:rFonts w:ascii="Times New Roman" w:eastAsia="Times New Roman" w:hAnsi="Times New Roman" w:cs="Times New Roman"/>
                    <w:bCs/>
                    <w:spacing w:val="-1"/>
                    <w:lang w:val="bg-BG"/>
                  </w:rPr>
                  <w:delText>Майлан</w:delText>
                </w:r>
              </w:del>
              <w:r w:rsidRPr="001C6181">
                <w:rPr>
                  <w:rFonts w:ascii="Times New Roman" w:eastAsia="Times New Roman" w:hAnsi="Times New Roman" w:cs="Times New Roman"/>
                  <w:bCs/>
                  <w:spacing w:val="-1"/>
                  <w:lang w:val="bg-BG"/>
                </w:rPr>
                <w:t xml:space="preserve"> </w:t>
              </w:r>
            </w:ins>
            <w:del w:id="21" w:author="Anonymous – Viatris" w:date="2026-04-14T15:09:00Z" w16du:dateUtc="2026-04-14T09:39:00Z">
              <w:r w:rsidR="00080994" w:rsidRPr="000C79EF" w:rsidDel="009758DA">
                <w:rPr>
                  <w:rFonts w:ascii="Times New Roman" w:hAnsi="Times New Roman" w:cs="Times New Roman"/>
                </w:rPr>
                <w:delText xml:space="preserve">Майлан </w:delText>
              </w:r>
            </w:del>
            <w:r w:rsidR="00080994" w:rsidRPr="000C79EF">
              <w:rPr>
                <w:rFonts w:ascii="Times New Roman" w:hAnsi="Times New Roman" w:cs="Times New Roman"/>
              </w:rPr>
              <w:t>ЕООД</w:t>
            </w:r>
          </w:p>
          <w:p w14:paraId="5FDFB9B8" w14:textId="429B8966" w:rsidR="005D3103" w:rsidRPr="000C79EF" w:rsidRDefault="00080994" w:rsidP="00CB615C">
            <w:pPr>
              <w:widowControl/>
              <w:spacing w:after="0" w:line="240" w:lineRule="auto"/>
              <w:rPr>
                <w:rFonts w:ascii="Times New Roman" w:eastAsia="Times New Roman" w:hAnsi="Times New Roman" w:cs="Times New Roman"/>
                <w:bCs/>
                <w:spacing w:val="-1"/>
              </w:rPr>
            </w:pPr>
            <w:proofErr w:type="spellStart"/>
            <w:r w:rsidRPr="000C79EF">
              <w:rPr>
                <w:rFonts w:ascii="Times New Roman" w:hAnsi="Times New Roman" w:cs="Times New Roman"/>
              </w:rPr>
              <w:t>Тел</w:t>
            </w:r>
            <w:proofErr w:type="spellEnd"/>
            <w:r w:rsidR="005002FB" w:rsidRPr="000C79EF">
              <w:rPr>
                <w:rFonts w:ascii="Times New Roman" w:hAnsi="Times New Roman" w:cs="Times New Roman"/>
              </w:rPr>
              <w:t>.</w:t>
            </w:r>
            <w:r w:rsidRPr="000C79EF">
              <w:rPr>
                <w:rFonts w:ascii="Times New Roman" w:hAnsi="Times New Roman" w:cs="Times New Roman"/>
              </w:rPr>
              <w:t>: +359 2 44 55 400</w:t>
            </w:r>
          </w:p>
          <w:p w14:paraId="24E4AFB2" w14:textId="77777777" w:rsidR="005D3103" w:rsidRPr="000C79EF" w:rsidRDefault="005D3103" w:rsidP="00CB615C">
            <w:pPr>
              <w:widowControl/>
              <w:spacing w:after="0" w:line="240" w:lineRule="auto"/>
              <w:rPr>
                <w:rFonts w:ascii="Times New Roman" w:eastAsia="Times New Roman" w:hAnsi="Times New Roman" w:cs="Times New Roman"/>
                <w:bCs/>
                <w:spacing w:val="-1"/>
              </w:rPr>
            </w:pPr>
          </w:p>
        </w:tc>
        <w:tc>
          <w:tcPr>
            <w:tcW w:w="4670" w:type="dxa"/>
          </w:tcPr>
          <w:p w14:paraId="7435100F" w14:textId="77777777" w:rsidR="005D3103" w:rsidRPr="000C79EF" w:rsidRDefault="00080994" w:rsidP="00CB615C">
            <w:pPr>
              <w:widowControl/>
              <w:spacing w:after="0" w:line="240" w:lineRule="auto"/>
              <w:rPr>
                <w:rFonts w:ascii="Times New Roman" w:eastAsia="Times New Roman" w:hAnsi="Times New Roman" w:cs="Times New Roman"/>
                <w:b/>
                <w:bCs/>
                <w:spacing w:val="-1"/>
                <w:lang w:val="de-DE"/>
              </w:rPr>
            </w:pPr>
            <w:r w:rsidRPr="000C79EF">
              <w:rPr>
                <w:rFonts w:ascii="Times New Roman" w:hAnsi="Times New Roman" w:cs="Times New Roman"/>
                <w:b/>
                <w:lang w:val="de-DE"/>
              </w:rPr>
              <w:t>Luxembourg/Luxemburg</w:t>
            </w:r>
          </w:p>
          <w:p w14:paraId="32B60BD5" w14:textId="721EBA32" w:rsidR="005D3103" w:rsidRPr="000C79EF" w:rsidRDefault="00260A3C" w:rsidP="00CB615C">
            <w:pPr>
              <w:widowControl/>
              <w:spacing w:after="0" w:line="240" w:lineRule="auto"/>
              <w:rPr>
                <w:rFonts w:ascii="Times New Roman" w:eastAsia="Times New Roman" w:hAnsi="Times New Roman" w:cs="Times New Roman"/>
                <w:bCs/>
                <w:spacing w:val="-1"/>
                <w:lang w:val="de-DE"/>
              </w:rPr>
            </w:pPr>
            <w:r w:rsidRPr="000C79EF">
              <w:rPr>
                <w:rFonts w:ascii="Times New Roman" w:eastAsia="Times New Roman" w:hAnsi="Times New Roman" w:cs="Times New Roman"/>
                <w:bCs/>
                <w:spacing w:val="-1"/>
                <w:lang w:val="de-DE"/>
              </w:rPr>
              <w:t>Viatris</w:t>
            </w:r>
          </w:p>
          <w:p w14:paraId="0CF0B1F0" w14:textId="31F762C7" w:rsidR="005D3103" w:rsidRPr="000C79EF" w:rsidRDefault="00C80A7B" w:rsidP="00CB615C">
            <w:pPr>
              <w:widowControl/>
              <w:spacing w:after="0" w:line="240" w:lineRule="auto"/>
              <w:rPr>
                <w:rFonts w:ascii="Times New Roman" w:eastAsia="Times New Roman" w:hAnsi="Times New Roman" w:cs="Times New Roman"/>
                <w:bCs/>
                <w:spacing w:val="-1"/>
                <w:lang w:val="de-DE"/>
              </w:rPr>
            </w:pPr>
            <w:r w:rsidRPr="000C79EF">
              <w:rPr>
                <w:rFonts w:ascii="Times New Roman" w:hAnsi="Times New Roman" w:cs="Times New Roman"/>
              </w:rPr>
              <w:t>Tél/</w:t>
            </w:r>
            <w:proofErr w:type="gramStart"/>
            <w:r w:rsidRPr="000C79EF">
              <w:rPr>
                <w:rFonts w:ascii="Times New Roman" w:hAnsi="Times New Roman" w:cs="Times New Roman"/>
              </w:rPr>
              <w:t>Tel</w:t>
            </w:r>
            <w:r w:rsidR="00080994" w:rsidRPr="000C79EF">
              <w:rPr>
                <w:rFonts w:ascii="Times New Roman" w:hAnsi="Times New Roman" w:cs="Times New Roman"/>
                <w:lang w:val="de-DE"/>
              </w:rPr>
              <w:t>:</w:t>
            </w:r>
            <w:proofErr w:type="gramEnd"/>
            <w:r w:rsidR="00080994" w:rsidRPr="000C79EF">
              <w:rPr>
                <w:rFonts w:ascii="Times New Roman" w:hAnsi="Times New Roman" w:cs="Times New Roman"/>
                <w:lang w:val="de-DE"/>
              </w:rPr>
              <w:t xml:space="preserve"> + 32 (0)2 658 61 00</w:t>
            </w:r>
          </w:p>
          <w:p w14:paraId="08E70993" w14:textId="77777777" w:rsidR="005D3103" w:rsidRPr="000C79EF" w:rsidRDefault="00080994" w:rsidP="00CB615C">
            <w:pPr>
              <w:widowControl/>
              <w:spacing w:after="0" w:line="240" w:lineRule="auto"/>
              <w:rPr>
                <w:rFonts w:ascii="Times New Roman" w:eastAsia="Times New Roman" w:hAnsi="Times New Roman" w:cs="Times New Roman"/>
                <w:bCs/>
                <w:spacing w:val="-1"/>
                <w:lang w:val="de-DE"/>
              </w:rPr>
            </w:pPr>
            <w:r w:rsidRPr="000C79EF">
              <w:rPr>
                <w:rFonts w:ascii="Times New Roman" w:hAnsi="Times New Roman" w:cs="Times New Roman"/>
                <w:lang w:val="de-DE"/>
              </w:rPr>
              <w:t>(Belgique/Belgien)</w:t>
            </w:r>
          </w:p>
          <w:p w14:paraId="22670786" w14:textId="77777777" w:rsidR="005D3103" w:rsidRPr="000C79EF" w:rsidRDefault="005D3103" w:rsidP="00CB615C">
            <w:pPr>
              <w:widowControl/>
              <w:spacing w:after="0" w:line="240" w:lineRule="auto"/>
              <w:rPr>
                <w:rFonts w:ascii="Times New Roman" w:eastAsia="Times New Roman" w:hAnsi="Times New Roman" w:cs="Times New Roman"/>
                <w:bCs/>
                <w:spacing w:val="-1"/>
                <w:lang w:val="de-DE"/>
              </w:rPr>
            </w:pPr>
          </w:p>
        </w:tc>
      </w:tr>
      <w:tr w:rsidR="00E37FC5" w:rsidRPr="00651F95" w14:paraId="6C5B15C5" w14:textId="77777777" w:rsidTr="00282DA8">
        <w:trPr>
          <w:cantSplit/>
        </w:trPr>
        <w:tc>
          <w:tcPr>
            <w:tcW w:w="4261" w:type="dxa"/>
          </w:tcPr>
          <w:p w14:paraId="2189C262" w14:textId="77777777" w:rsidR="005D3103" w:rsidRPr="00077970" w:rsidRDefault="00080994" w:rsidP="00CB615C">
            <w:pPr>
              <w:widowControl/>
              <w:spacing w:after="0" w:line="240" w:lineRule="auto"/>
              <w:rPr>
                <w:rFonts w:ascii="Times New Roman" w:eastAsia="Times New Roman" w:hAnsi="Times New Roman" w:cs="Times New Roman"/>
                <w:b/>
                <w:bCs/>
                <w:spacing w:val="-1"/>
              </w:rPr>
            </w:pPr>
            <w:proofErr w:type="spellStart"/>
            <w:r w:rsidRPr="00077970">
              <w:rPr>
                <w:rFonts w:ascii="Times New Roman" w:hAnsi="Times New Roman" w:cs="Times New Roman"/>
                <w:b/>
              </w:rPr>
              <w:t>Česká</w:t>
            </w:r>
            <w:proofErr w:type="spellEnd"/>
            <w:r w:rsidRPr="00077970">
              <w:rPr>
                <w:rFonts w:ascii="Times New Roman" w:hAnsi="Times New Roman" w:cs="Times New Roman"/>
                <w:b/>
              </w:rPr>
              <w:t xml:space="preserve"> </w:t>
            </w:r>
            <w:proofErr w:type="spellStart"/>
            <w:r w:rsidRPr="00077970">
              <w:rPr>
                <w:rFonts w:ascii="Times New Roman" w:hAnsi="Times New Roman" w:cs="Times New Roman"/>
                <w:b/>
              </w:rPr>
              <w:t>republika</w:t>
            </w:r>
            <w:proofErr w:type="spellEnd"/>
          </w:p>
          <w:p w14:paraId="7C005DE8" w14:textId="7A953FD6" w:rsidR="00DA18A8" w:rsidRPr="00077970" w:rsidRDefault="005002FB" w:rsidP="00CB615C">
            <w:pPr>
              <w:widowControl/>
              <w:spacing w:after="0" w:line="240" w:lineRule="auto"/>
              <w:rPr>
                <w:rFonts w:ascii="Times New Roman" w:eastAsia="Times New Roman" w:hAnsi="Times New Roman" w:cs="Times New Roman"/>
                <w:bCs/>
                <w:spacing w:val="-1"/>
              </w:rPr>
            </w:pPr>
            <w:r w:rsidRPr="000C79EF">
              <w:rPr>
                <w:rFonts w:ascii="Times New Roman" w:hAnsi="Times New Roman" w:cs="Times New Roman"/>
              </w:rPr>
              <w:t>Viatris</w:t>
            </w:r>
            <w:r w:rsidRPr="000C79EF">
              <w:rPr>
                <w:rFonts w:ascii="Times New Roman" w:eastAsia="Times New Roman" w:hAnsi="Times New Roman" w:cs="Times New Roman"/>
                <w:bCs/>
                <w:spacing w:val="-1"/>
              </w:rPr>
              <w:t xml:space="preserve"> CZ </w:t>
            </w:r>
            <w:proofErr w:type="spellStart"/>
            <w:r w:rsidRPr="000C79EF">
              <w:rPr>
                <w:rFonts w:ascii="Times New Roman" w:eastAsia="Times New Roman" w:hAnsi="Times New Roman" w:cs="Times New Roman"/>
                <w:bCs/>
                <w:spacing w:val="-1"/>
              </w:rPr>
              <w:t>s.r.o</w:t>
            </w:r>
            <w:proofErr w:type="spellEnd"/>
            <w:r w:rsidRPr="000C79EF">
              <w:rPr>
                <w:rFonts w:ascii="Times New Roman" w:eastAsia="Times New Roman" w:hAnsi="Times New Roman" w:cs="Times New Roman"/>
                <w:bCs/>
                <w:spacing w:val="-1"/>
              </w:rPr>
              <w:t>.</w:t>
            </w:r>
          </w:p>
          <w:p w14:paraId="62A4C4D3" w14:textId="77777777" w:rsidR="005D3103" w:rsidRDefault="00080994" w:rsidP="00CB615C">
            <w:pPr>
              <w:widowControl/>
              <w:spacing w:after="0" w:line="240" w:lineRule="auto"/>
              <w:rPr>
                <w:rFonts w:ascii="Times New Roman" w:hAnsi="Times New Roman" w:cs="Times New Roman"/>
                <w:lang w:val="en-GB"/>
              </w:rPr>
            </w:pPr>
            <w:r w:rsidRPr="000C79EF">
              <w:rPr>
                <w:rFonts w:ascii="Times New Roman" w:hAnsi="Times New Roman" w:cs="Times New Roman"/>
                <w:lang w:val="en-GB"/>
              </w:rPr>
              <w:t>Tel: + 420 222 004 400</w:t>
            </w:r>
          </w:p>
          <w:p w14:paraId="50148C07" w14:textId="77777777" w:rsidR="005766AB" w:rsidRPr="000C79EF" w:rsidRDefault="005766AB" w:rsidP="00CB615C">
            <w:pPr>
              <w:widowControl/>
              <w:spacing w:after="0" w:line="240" w:lineRule="auto"/>
              <w:rPr>
                <w:rFonts w:ascii="Times New Roman" w:eastAsia="Times New Roman" w:hAnsi="Times New Roman" w:cs="Times New Roman"/>
                <w:bCs/>
                <w:spacing w:val="-1"/>
                <w:lang w:val="en-GB"/>
              </w:rPr>
            </w:pPr>
          </w:p>
        </w:tc>
        <w:tc>
          <w:tcPr>
            <w:tcW w:w="4670" w:type="dxa"/>
            <w:hideMark/>
          </w:tcPr>
          <w:p w14:paraId="3F4CBCC3" w14:textId="77777777" w:rsidR="005D3103" w:rsidRPr="000C79EF" w:rsidRDefault="00080994" w:rsidP="00CB615C">
            <w:pPr>
              <w:widowControl/>
              <w:spacing w:after="0" w:line="240" w:lineRule="auto"/>
              <w:rPr>
                <w:rFonts w:ascii="Times New Roman" w:eastAsia="Times New Roman" w:hAnsi="Times New Roman" w:cs="Times New Roman"/>
                <w:b/>
                <w:bCs/>
                <w:spacing w:val="-1"/>
                <w:lang w:val="en-GB"/>
              </w:rPr>
            </w:pPr>
            <w:proofErr w:type="spellStart"/>
            <w:r w:rsidRPr="000C79EF">
              <w:rPr>
                <w:rFonts w:ascii="Times New Roman" w:hAnsi="Times New Roman" w:cs="Times New Roman"/>
                <w:b/>
                <w:lang w:val="en-GB"/>
              </w:rPr>
              <w:t>Magyarország</w:t>
            </w:r>
            <w:proofErr w:type="spellEnd"/>
          </w:p>
          <w:p w14:paraId="7DF264F8" w14:textId="16AE7EF0" w:rsidR="005D3103" w:rsidRPr="000C79EF" w:rsidRDefault="00260A3C" w:rsidP="00CB615C">
            <w:pPr>
              <w:widowControl/>
              <w:spacing w:after="0" w:line="240" w:lineRule="auto"/>
              <w:rPr>
                <w:rFonts w:ascii="Times New Roman" w:eastAsia="Times New Roman" w:hAnsi="Times New Roman" w:cs="Times New Roman"/>
                <w:bCs/>
                <w:spacing w:val="-1"/>
                <w:lang w:val="en-GB"/>
              </w:rPr>
            </w:pPr>
            <w:r w:rsidRPr="000C79EF">
              <w:rPr>
                <w:rFonts w:ascii="Times New Roman" w:eastAsia="Times New Roman" w:hAnsi="Times New Roman" w:cs="Times New Roman"/>
                <w:bCs/>
                <w:spacing w:val="-1"/>
                <w:lang w:val="en-US"/>
              </w:rPr>
              <w:t>Viatris Healthcare</w:t>
            </w:r>
            <w:r w:rsidRPr="000C79EF">
              <w:rPr>
                <w:rFonts w:ascii="Times New Roman" w:hAnsi="Times New Roman" w:cs="Times New Roman"/>
                <w:lang w:val="en-GB"/>
              </w:rPr>
              <w:t xml:space="preserve"> </w:t>
            </w:r>
            <w:r w:rsidR="00080994" w:rsidRPr="000C79EF">
              <w:rPr>
                <w:rFonts w:ascii="Times New Roman" w:hAnsi="Times New Roman" w:cs="Times New Roman"/>
                <w:lang w:val="en-GB"/>
              </w:rPr>
              <w:t>Kft</w:t>
            </w:r>
            <w:r w:rsidR="005002FB" w:rsidRPr="000C79EF">
              <w:rPr>
                <w:rFonts w:ascii="Times New Roman" w:hAnsi="Times New Roman" w:cs="Times New Roman"/>
                <w:lang w:val="en-GB"/>
              </w:rPr>
              <w:t>.</w:t>
            </w:r>
          </w:p>
          <w:p w14:paraId="57188005" w14:textId="755F0453" w:rsidR="005D3103" w:rsidRPr="000C79EF" w:rsidRDefault="00080994" w:rsidP="00CB615C">
            <w:pPr>
              <w:widowControl/>
              <w:spacing w:after="0" w:line="240" w:lineRule="auto"/>
              <w:rPr>
                <w:rFonts w:ascii="Times New Roman" w:eastAsia="Times New Roman" w:hAnsi="Times New Roman" w:cs="Times New Roman"/>
                <w:bCs/>
                <w:spacing w:val="-1"/>
                <w:lang w:val="en-GB"/>
              </w:rPr>
            </w:pPr>
            <w:r w:rsidRPr="000C79EF">
              <w:rPr>
                <w:rFonts w:ascii="Times New Roman" w:hAnsi="Times New Roman" w:cs="Times New Roman"/>
                <w:lang w:val="en-GB"/>
              </w:rPr>
              <w:t>Tel</w:t>
            </w:r>
            <w:r w:rsidR="005002FB" w:rsidRPr="000C79EF">
              <w:rPr>
                <w:rFonts w:ascii="Times New Roman" w:hAnsi="Times New Roman" w:cs="Times New Roman"/>
                <w:lang w:val="en-GB"/>
              </w:rPr>
              <w:t>.</w:t>
            </w:r>
            <w:r w:rsidRPr="000C79EF">
              <w:rPr>
                <w:rFonts w:ascii="Times New Roman" w:hAnsi="Times New Roman" w:cs="Times New Roman"/>
                <w:lang w:val="en-GB"/>
              </w:rPr>
              <w:t>: + 36 1 465 2100</w:t>
            </w:r>
          </w:p>
          <w:p w14:paraId="61F41874" w14:textId="77777777" w:rsidR="005D3103" w:rsidRPr="000C79EF" w:rsidRDefault="005D3103" w:rsidP="00CB615C">
            <w:pPr>
              <w:widowControl/>
              <w:spacing w:after="0" w:line="240" w:lineRule="auto"/>
              <w:rPr>
                <w:rFonts w:ascii="Times New Roman" w:eastAsia="Times New Roman" w:hAnsi="Times New Roman" w:cs="Times New Roman"/>
                <w:bCs/>
                <w:spacing w:val="-1"/>
                <w:lang w:val="en-GB"/>
              </w:rPr>
            </w:pPr>
          </w:p>
        </w:tc>
      </w:tr>
      <w:tr w:rsidR="00E37FC5" w14:paraId="6072FE46" w14:textId="77777777" w:rsidTr="00282DA8">
        <w:trPr>
          <w:cantSplit/>
        </w:trPr>
        <w:tc>
          <w:tcPr>
            <w:tcW w:w="4261" w:type="dxa"/>
          </w:tcPr>
          <w:p w14:paraId="44AFF8B6" w14:textId="0FBB2D30" w:rsidR="005D3103" w:rsidRPr="000C79EF" w:rsidRDefault="00080994" w:rsidP="00CB615C">
            <w:pPr>
              <w:widowControl/>
              <w:spacing w:after="0" w:line="240" w:lineRule="auto"/>
              <w:rPr>
                <w:rFonts w:ascii="Times New Roman" w:eastAsia="Times New Roman" w:hAnsi="Times New Roman" w:cs="Times New Roman"/>
                <w:b/>
                <w:bCs/>
                <w:spacing w:val="-1"/>
                <w:lang w:val="de-DE"/>
              </w:rPr>
            </w:pPr>
            <w:r w:rsidRPr="000C79EF">
              <w:rPr>
                <w:rFonts w:ascii="Times New Roman" w:hAnsi="Times New Roman" w:cs="Times New Roman"/>
                <w:b/>
                <w:lang w:val="de-DE"/>
              </w:rPr>
              <w:t>Danmark</w:t>
            </w:r>
          </w:p>
          <w:p w14:paraId="74F97B19" w14:textId="77777777" w:rsidR="005002FB" w:rsidRPr="000C79EF" w:rsidRDefault="005002FB" w:rsidP="00CB615C">
            <w:pPr>
              <w:pStyle w:val="paragraph"/>
              <w:spacing w:before="0" w:beforeAutospacing="0" w:after="0" w:afterAutospacing="0"/>
              <w:textAlignment w:val="baseline"/>
              <w:rPr>
                <w:bCs/>
                <w:spacing w:val="-1"/>
                <w:sz w:val="22"/>
                <w:szCs w:val="22"/>
                <w:lang w:val="en-GB" w:eastAsia="en-US"/>
              </w:rPr>
            </w:pPr>
            <w:r w:rsidRPr="000C79EF">
              <w:rPr>
                <w:sz w:val="22"/>
                <w:szCs w:val="22"/>
              </w:rPr>
              <w:t>Viatris</w:t>
            </w:r>
            <w:r w:rsidRPr="000C79EF">
              <w:rPr>
                <w:bCs/>
                <w:spacing w:val="-1"/>
                <w:sz w:val="22"/>
                <w:szCs w:val="22"/>
                <w:lang w:eastAsia="en-US"/>
              </w:rPr>
              <w:t> </w:t>
            </w:r>
            <w:proofErr w:type="spellStart"/>
            <w:r w:rsidRPr="000C79EF">
              <w:rPr>
                <w:bCs/>
                <w:spacing w:val="-1"/>
                <w:sz w:val="22"/>
                <w:szCs w:val="22"/>
                <w:lang w:eastAsia="en-US"/>
              </w:rPr>
              <w:t>ApS</w:t>
            </w:r>
            <w:proofErr w:type="spellEnd"/>
            <w:r w:rsidRPr="000C79EF">
              <w:rPr>
                <w:bCs/>
                <w:spacing w:val="-1"/>
                <w:sz w:val="22"/>
                <w:szCs w:val="22"/>
                <w:lang w:val="en-GB" w:eastAsia="en-US"/>
              </w:rPr>
              <w:t> </w:t>
            </w:r>
          </w:p>
          <w:p w14:paraId="29BF2619" w14:textId="19CC34F1" w:rsidR="007A2134" w:rsidRPr="000C79EF" w:rsidRDefault="005744D7" w:rsidP="00CB615C">
            <w:pPr>
              <w:pStyle w:val="paragraph"/>
              <w:spacing w:before="0" w:beforeAutospacing="0" w:after="0" w:afterAutospacing="0"/>
              <w:textAlignment w:val="baseline"/>
              <w:rPr>
                <w:bCs/>
                <w:spacing w:val="-1"/>
                <w:sz w:val="22"/>
                <w:szCs w:val="22"/>
                <w:lang w:val="de-DE"/>
              </w:rPr>
            </w:pPr>
            <w:proofErr w:type="spellStart"/>
            <w:r w:rsidRPr="000C79EF">
              <w:rPr>
                <w:bCs/>
                <w:spacing w:val="-1"/>
                <w:sz w:val="22"/>
                <w:szCs w:val="22"/>
                <w:lang w:eastAsia="en-US"/>
              </w:rPr>
              <w:t>Tlf</w:t>
            </w:r>
            <w:proofErr w:type="spellEnd"/>
            <w:proofErr w:type="gramStart"/>
            <w:r w:rsidR="005002FB" w:rsidRPr="000C79EF">
              <w:rPr>
                <w:sz w:val="22"/>
                <w:szCs w:val="22"/>
                <w:lang w:val="de-DE"/>
              </w:rPr>
              <w:t>.</w:t>
            </w:r>
            <w:r w:rsidR="00080994" w:rsidRPr="000C79EF">
              <w:rPr>
                <w:sz w:val="22"/>
                <w:szCs w:val="22"/>
                <w:lang w:val="de-DE"/>
              </w:rPr>
              <w:t>:</w:t>
            </w:r>
            <w:proofErr w:type="gramEnd"/>
            <w:r w:rsidR="00080994" w:rsidRPr="000C79EF">
              <w:rPr>
                <w:sz w:val="22"/>
                <w:szCs w:val="22"/>
                <w:lang w:val="de-DE"/>
              </w:rPr>
              <w:t xml:space="preserve"> +45 28 11 69 32 </w:t>
            </w:r>
          </w:p>
          <w:p w14:paraId="4F4430CB" w14:textId="02E40683" w:rsidR="005D3103" w:rsidRPr="000C79EF" w:rsidRDefault="005D3103" w:rsidP="00CB615C">
            <w:pPr>
              <w:widowControl/>
              <w:spacing w:after="0" w:line="240" w:lineRule="auto"/>
              <w:rPr>
                <w:rFonts w:ascii="Times New Roman" w:eastAsia="Times New Roman" w:hAnsi="Times New Roman" w:cs="Times New Roman"/>
                <w:bCs/>
                <w:spacing w:val="-1"/>
                <w:lang w:val="de-DE"/>
              </w:rPr>
            </w:pPr>
          </w:p>
        </w:tc>
        <w:tc>
          <w:tcPr>
            <w:tcW w:w="4670" w:type="dxa"/>
          </w:tcPr>
          <w:p w14:paraId="4BD378FD" w14:textId="77777777" w:rsidR="005D3103" w:rsidRPr="00077970" w:rsidRDefault="00080994" w:rsidP="00CB615C">
            <w:pPr>
              <w:widowControl/>
              <w:spacing w:after="0" w:line="240" w:lineRule="auto"/>
              <w:rPr>
                <w:rFonts w:ascii="Times New Roman" w:eastAsia="Times New Roman" w:hAnsi="Times New Roman" w:cs="Times New Roman"/>
                <w:b/>
                <w:bCs/>
                <w:spacing w:val="-1"/>
                <w:lang w:val="es-ES"/>
              </w:rPr>
            </w:pPr>
            <w:r w:rsidRPr="00077970">
              <w:rPr>
                <w:rFonts w:ascii="Times New Roman" w:hAnsi="Times New Roman" w:cs="Times New Roman"/>
                <w:b/>
                <w:lang w:val="es-ES"/>
              </w:rPr>
              <w:t>Malta</w:t>
            </w:r>
          </w:p>
          <w:p w14:paraId="0AD56498" w14:textId="77777777" w:rsidR="005D3103" w:rsidRPr="00077970" w:rsidRDefault="00080994" w:rsidP="00CB615C">
            <w:pPr>
              <w:widowControl/>
              <w:spacing w:after="0" w:line="240" w:lineRule="auto"/>
              <w:rPr>
                <w:rFonts w:ascii="Times New Roman" w:eastAsia="Times New Roman" w:hAnsi="Times New Roman" w:cs="Times New Roman"/>
                <w:bCs/>
                <w:spacing w:val="-1"/>
                <w:lang w:val="es-ES"/>
              </w:rPr>
            </w:pPr>
            <w:r w:rsidRPr="00077970">
              <w:rPr>
                <w:rFonts w:ascii="Times New Roman" w:hAnsi="Times New Roman" w:cs="Times New Roman"/>
                <w:lang w:val="es-ES"/>
              </w:rPr>
              <w:t>V.J. Salomone Pharma Ltd</w:t>
            </w:r>
          </w:p>
          <w:p w14:paraId="3780D72A" w14:textId="77777777" w:rsidR="005D3103" w:rsidRPr="000C79EF" w:rsidRDefault="00080994" w:rsidP="00CB615C">
            <w:pPr>
              <w:widowControl/>
              <w:spacing w:after="0" w:line="240" w:lineRule="auto"/>
              <w:rPr>
                <w:rFonts w:ascii="Times New Roman" w:eastAsia="Times New Roman" w:hAnsi="Times New Roman" w:cs="Times New Roman"/>
                <w:bCs/>
                <w:spacing w:val="-1"/>
              </w:rPr>
            </w:pPr>
            <w:r w:rsidRPr="000C79EF">
              <w:rPr>
                <w:rFonts w:ascii="Times New Roman" w:hAnsi="Times New Roman" w:cs="Times New Roman"/>
              </w:rPr>
              <w:t>Tel: + 356 21 22 01 74</w:t>
            </w:r>
          </w:p>
          <w:p w14:paraId="64CB25B8" w14:textId="77777777" w:rsidR="005D3103" w:rsidRPr="000C79EF" w:rsidRDefault="005D3103" w:rsidP="00CB615C">
            <w:pPr>
              <w:widowControl/>
              <w:spacing w:after="0" w:line="240" w:lineRule="auto"/>
              <w:rPr>
                <w:rFonts w:ascii="Times New Roman" w:eastAsia="Times New Roman" w:hAnsi="Times New Roman" w:cs="Times New Roman"/>
                <w:bCs/>
                <w:spacing w:val="-1"/>
              </w:rPr>
            </w:pPr>
          </w:p>
        </w:tc>
      </w:tr>
      <w:tr w:rsidR="00E37FC5" w14:paraId="309DF1F2" w14:textId="77777777" w:rsidTr="00282DA8">
        <w:trPr>
          <w:cantSplit/>
        </w:trPr>
        <w:tc>
          <w:tcPr>
            <w:tcW w:w="4261" w:type="dxa"/>
          </w:tcPr>
          <w:p w14:paraId="3691BBFD" w14:textId="77777777" w:rsidR="005D3103" w:rsidRPr="000C79EF" w:rsidRDefault="00080994" w:rsidP="00CB615C">
            <w:pPr>
              <w:widowControl/>
              <w:spacing w:after="0" w:line="240" w:lineRule="auto"/>
              <w:rPr>
                <w:rFonts w:ascii="Times New Roman" w:eastAsia="Times New Roman" w:hAnsi="Times New Roman" w:cs="Times New Roman"/>
                <w:b/>
                <w:bCs/>
                <w:spacing w:val="-1"/>
                <w:lang w:val="de-DE"/>
              </w:rPr>
            </w:pPr>
            <w:r w:rsidRPr="000C79EF">
              <w:rPr>
                <w:rFonts w:ascii="Times New Roman" w:hAnsi="Times New Roman" w:cs="Times New Roman"/>
                <w:b/>
                <w:lang w:val="de-DE"/>
              </w:rPr>
              <w:t>Deutschland</w:t>
            </w:r>
          </w:p>
          <w:p w14:paraId="600F1697" w14:textId="77777777" w:rsidR="005002FB" w:rsidRPr="000C79EF" w:rsidRDefault="005002FB" w:rsidP="00CB615C">
            <w:pPr>
              <w:pStyle w:val="paragraph"/>
              <w:spacing w:before="0" w:beforeAutospacing="0" w:after="0" w:afterAutospacing="0"/>
              <w:textAlignment w:val="baseline"/>
              <w:rPr>
                <w:sz w:val="22"/>
                <w:szCs w:val="22"/>
                <w:lang w:val="de-DE"/>
              </w:rPr>
            </w:pPr>
            <w:r w:rsidRPr="00957592">
              <w:rPr>
                <w:sz w:val="22"/>
                <w:szCs w:val="22"/>
                <w:lang w:val="en-US"/>
              </w:rPr>
              <w:t>Viatris</w:t>
            </w:r>
            <w:r w:rsidRPr="000C79EF">
              <w:rPr>
                <w:rStyle w:val="normaltextrun"/>
                <w:sz w:val="22"/>
                <w:szCs w:val="22"/>
                <w:lang w:val="de-DE"/>
              </w:rPr>
              <w:t xml:space="preserve"> Healthcare GmbH</w:t>
            </w:r>
            <w:r w:rsidRPr="000C79EF">
              <w:rPr>
                <w:rStyle w:val="eop"/>
                <w:sz w:val="22"/>
                <w:szCs w:val="22"/>
                <w:lang w:val="de-DE"/>
              </w:rPr>
              <w:t> </w:t>
            </w:r>
          </w:p>
          <w:p w14:paraId="48A207BA" w14:textId="1655BE37" w:rsidR="007A2134" w:rsidRPr="000C79EF" w:rsidRDefault="00080994" w:rsidP="00CB615C">
            <w:pPr>
              <w:pStyle w:val="paragraph"/>
              <w:spacing w:before="0" w:beforeAutospacing="0" w:after="0" w:afterAutospacing="0"/>
              <w:textAlignment w:val="baseline"/>
              <w:rPr>
                <w:sz w:val="22"/>
                <w:szCs w:val="22"/>
                <w:lang w:val="de-DE"/>
              </w:rPr>
            </w:pPr>
            <w:r w:rsidRPr="000C79EF">
              <w:rPr>
                <w:rStyle w:val="normaltextrun"/>
                <w:sz w:val="22"/>
                <w:szCs w:val="22"/>
                <w:lang w:val="de-DE"/>
              </w:rPr>
              <w:t>Tel: +49 800 0700 800</w:t>
            </w:r>
            <w:r w:rsidRPr="000C79EF">
              <w:rPr>
                <w:rStyle w:val="eop"/>
                <w:sz w:val="22"/>
                <w:szCs w:val="22"/>
                <w:lang w:val="de-DE"/>
              </w:rPr>
              <w:t> </w:t>
            </w:r>
          </w:p>
          <w:p w14:paraId="4DFAA915" w14:textId="77777777" w:rsidR="005D3103" w:rsidRPr="000C79EF" w:rsidRDefault="005D3103" w:rsidP="00CB615C">
            <w:pPr>
              <w:widowControl/>
              <w:spacing w:after="0" w:line="240" w:lineRule="auto"/>
              <w:rPr>
                <w:rFonts w:ascii="Times New Roman" w:eastAsia="Times New Roman" w:hAnsi="Times New Roman" w:cs="Times New Roman"/>
                <w:bCs/>
                <w:spacing w:val="-1"/>
                <w:lang w:val="de-DE"/>
              </w:rPr>
            </w:pPr>
          </w:p>
        </w:tc>
        <w:tc>
          <w:tcPr>
            <w:tcW w:w="4670" w:type="dxa"/>
            <w:hideMark/>
          </w:tcPr>
          <w:p w14:paraId="24356478" w14:textId="77777777" w:rsidR="005D3103" w:rsidRPr="000C79EF" w:rsidRDefault="00080994" w:rsidP="00CB615C">
            <w:pPr>
              <w:widowControl/>
              <w:spacing w:after="0" w:line="240" w:lineRule="auto"/>
              <w:rPr>
                <w:rFonts w:ascii="Times New Roman" w:eastAsia="Times New Roman" w:hAnsi="Times New Roman" w:cs="Times New Roman"/>
                <w:b/>
                <w:bCs/>
                <w:spacing w:val="-1"/>
              </w:rPr>
            </w:pPr>
            <w:r w:rsidRPr="000C79EF">
              <w:rPr>
                <w:rFonts w:ascii="Times New Roman" w:hAnsi="Times New Roman" w:cs="Times New Roman"/>
                <w:b/>
              </w:rPr>
              <w:t>Nederland</w:t>
            </w:r>
          </w:p>
          <w:p w14:paraId="2F5C2144" w14:textId="77777777" w:rsidR="005D3103" w:rsidRPr="000C79EF" w:rsidRDefault="00080994" w:rsidP="00CB615C">
            <w:pPr>
              <w:widowControl/>
              <w:spacing w:after="0" w:line="240" w:lineRule="auto"/>
              <w:rPr>
                <w:rFonts w:ascii="Times New Roman" w:eastAsia="Times New Roman" w:hAnsi="Times New Roman" w:cs="Times New Roman"/>
                <w:bCs/>
                <w:spacing w:val="-1"/>
              </w:rPr>
            </w:pPr>
            <w:r w:rsidRPr="000C79EF">
              <w:rPr>
                <w:rFonts w:ascii="Times New Roman" w:hAnsi="Times New Roman" w:cs="Times New Roman"/>
              </w:rPr>
              <w:t>Mylan BV</w:t>
            </w:r>
          </w:p>
          <w:p w14:paraId="1A2692B2" w14:textId="7EDEFE69" w:rsidR="005D3103" w:rsidRDefault="005002FB" w:rsidP="00CB615C">
            <w:pPr>
              <w:widowControl/>
              <w:spacing w:after="0" w:line="240" w:lineRule="auto"/>
              <w:rPr>
                <w:rFonts w:ascii="Times New Roman" w:hAnsi="Times New Roman" w:cs="Times New Roman"/>
              </w:rPr>
            </w:pPr>
            <w:proofErr w:type="gramStart"/>
            <w:r w:rsidRPr="000C79EF">
              <w:rPr>
                <w:rFonts w:ascii="Times New Roman" w:hAnsi="Times New Roman" w:cs="Times New Roman"/>
              </w:rPr>
              <w:t>Tel</w:t>
            </w:r>
            <w:r w:rsidR="00080994" w:rsidRPr="000C79EF">
              <w:rPr>
                <w:rFonts w:ascii="Times New Roman" w:hAnsi="Times New Roman" w:cs="Times New Roman"/>
              </w:rPr>
              <w:t>:</w:t>
            </w:r>
            <w:proofErr w:type="gramEnd"/>
            <w:r w:rsidR="00080994" w:rsidRPr="000C79EF">
              <w:rPr>
                <w:rFonts w:ascii="Times New Roman" w:hAnsi="Times New Roman" w:cs="Times New Roman"/>
              </w:rPr>
              <w:t xml:space="preserve"> +31 (0)20 426 3300</w:t>
            </w:r>
          </w:p>
          <w:p w14:paraId="7C750717" w14:textId="08E6E32A" w:rsidR="005766AB" w:rsidRPr="000C79EF" w:rsidRDefault="005766AB" w:rsidP="00CB615C">
            <w:pPr>
              <w:widowControl/>
              <w:spacing w:after="0" w:line="240" w:lineRule="auto"/>
              <w:rPr>
                <w:rFonts w:ascii="Times New Roman" w:eastAsia="Times New Roman" w:hAnsi="Times New Roman" w:cs="Times New Roman"/>
                <w:bCs/>
                <w:spacing w:val="-1"/>
              </w:rPr>
            </w:pPr>
          </w:p>
        </w:tc>
      </w:tr>
      <w:tr w:rsidR="00E37FC5" w:rsidRPr="005002FB" w14:paraId="06CFC0C6" w14:textId="77777777" w:rsidTr="00282DA8">
        <w:trPr>
          <w:cantSplit/>
        </w:trPr>
        <w:tc>
          <w:tcPr>
            <w:tcW w:w="4261" w:type="dxa"/>
          </w:tcPr>
          <w:p w14:paraId="36579CAB" w14:textId="6362BE7E" w:rsidR="005D3103" w:rsidRPr="000C79EF" w:rsidRDefault="00080994" w:rsidP="00CB615C">
            <w:pPr>
              <w:widowControl/>
              <w:spacing w:after="0" w:line="240" w:lineRule="auto"/>
              <w:rPr>
                <w:rFonts w:ascii="Times New Roman" w:eastAsia="Times New Roman" w:hAnsi="Times New Roman" w:cs="Times New Roman"/>
                <w:b/>
                <w:bCs/>
                <w:spacing w:val="-1"/>
                <w:lang w:val="en-GB"/>
              </w:rPr>
            </w:pPr>
            <w:proofErr w:type="spellStart"/>
            <w:r w:rsidRPr="000C79EF">
              <w:rPr>
                <w:rFonts w:ascii="Times New Roman" w:hAnsi="Times New Roman" w:cs="Times New Roman"/>
                <w:b/>
                <w:lang w:val="en-GB"/>
              </w:rPr>
              <w:t>Eesti</w:t>
            </w:r>
            <w:proofErr w:type="spellEnd"/>
          </w:p>
          <w:p w14:paraId="5A221819" w14:textId="07828836" w:rsidR="005D3103" w:rsidRPr="000C79EF" w:rsidRDefault="00260A3C" w:rsidP="00CB615C">
            <w:pPr>
              <w:widowControl/>
              <w:spacing w:after="0" w:line="240" w:lineRule="auto"/>
              <w:rPr>
                <w:rFonts w:ascii="Times New Roman" w:eastAsia="Times New Roman" w:hAnsi="Times New Roman" w:cs="Times New Roman"/>
                <w:bCs/>
                <w:spacing w:val="-1"/>
                <w:lang w:val="en-GB"/>
              </w:rPr>
            </w:pPr>
            <w:r w:rsidRPr="000C79EF">
              <w:rPr>
                <w:rStyle w:val="normaltextrun"/>
                <w:rFonts w:ascii="Times New Roman" w:eastAsia="Times New Roman" w:hAnsi="Times New Roman" w:cs="Times New Roman"/>
                <w:lang w:val="de-DE" w:eastAsia="nl-BE"/>
              </w:rPr>
              <w:t>Viatris OÜ</w:t>
            </w:r>
          </w:p>
          <w:p w14:paraId="690357F6" w14:textId="77777777" w:rsidR="005D3103" w:rsidRPr="000C79EF" w:rsidRDefault="00080994" w:rsidP="00CB615C">
            <w:pPr>
              <w:widowControl/>
              <w:spacing w:after="0" w:line="240" w:lineRule="auto"/>
              <w:rPr>
                <w:rFonts w:ascii="Times New Roman" w:eastAsia="Times New Roman" w:hAnsi="Times New Roman" w:cs="Times New Roman"/>
                <w:bCs/>
                <w:spacing w:val="-1"/>
              </w:rPr>
            </w:pPr>
            <w:r w:rsidRPr="000C79EF">
              <w:rPr>
                <w:rFonts w:ascii="Times New Roman" w:hAnsi="Times New Roman" w:cs="Times New Roman"/>
              </w:rPr>
              <w:t>Tel: +372 6363 052</w:t>
            </w:r>
          </w:p>
          <w:p w14:paraId="40527340" w14:textId="77777777" w:rsidR="005D3103" w:rsidRPr="000C79EF" w:rsidRDefault="005D3103" w:rsidP="00CB615C">
            <w:pPr>
              <w:widowControl/>
              <w:spacing w:after="0" w:line="240" w:lineRule="auto"/>
              <w:rPr>
                <w:rFonts w:ascii="Times New Roman" w:eastAsia="Times New Roman" w:hAnsi="Times New Roman" w:cs="Times New Roman"/>
                <w:bCs/>
                <w:spacing w:val="-1"/>
              </w:rPr>
            </w:pPr>
          </w:p>
        </w:tc>
        <w:tc>
          <w:tcPr>
            <w:tcW w:w="4670" w:type="dxa"/>
          </w:tcPr>
          <w:p w14:paraId="361C33E5" w14:textId="5E32D1B8" w:rsidR="005D3103" w:rsidRPr="000C79EF" w:rsidRDefault="00080994" w:rsidP="00CB615C">
            <w:pPr>
              <w:widowControl/>
              <w:spacing w:after="0" w:line="240" w:lineRule="auto"/>
              <w:rPr>
                <w:rFonts w:ascii="Times New Roman" w:eastAsia="Times New Roman" w:hAnsi="Times New Roman" w:cs="Times New Roman"/>
                <w:b/>
                <w:bCs/>
                <w:spacing w:val="-1"/>
                <w:lang w:val="en-GB"/>
              </w:rPr>
            </w:pPr>
            <w:r w:rsidRPr="000C79EF">
              <w:rPr>
                <w:rFonts w:ascii="Times New Roman" w:hAnsi="Times New Roman" w:cs="Times New Roman"/>
                <w:b/>
                <w:lang w:val="en-GB"/>
              </w:rPr>
              <w:t>Norge</w:t>
            </w:r>
          </w:p>
          <w:p w14:paraId="121C9D96" w14:textId="77777777" w:rsidR="005002FB" w:rsidRPr="000C79EF" w:rsidRDefault="005002FB" w:rsidP="00CB615C">
            <w:pPr>
              <w:widowControl/>
              <w:spacing w:after="0" w:line="240" w:lineRule="auto"/>
              <w:rPr>
                <w:rFonts w:ascii="Times New Roman" w:eastAsia="Times New Roman" w:hAnsi="Times New Roman" w:cs="Times New Roman"/>
                <w:bCs/>
                <w:spacing w:val="-1"/>
                <w:lang w:val="en-US"/>
              </w:rPr>
            </w:pPr>
            <w:r w:rsidRPr="000C79EF">
              <w:rPr>
                <w:rFonts w:ascii="Times New Roman" w:hAnsi="Times New Roman" w:cs="Times New Roman"/>
              </w:rPr>
              <w:t>Viatris</w:t>
            </w:r>
            <w:r w:rsidRPr="000C79EF">
              <w:rPr>
                <w:rFonts w:ascii="Times New Roman" w:eastAsia="Times New Roman" w:hAnsi="Times New Roman" w:cs="Times New Roman"/>
                <w:bCs/>
                <w:spacing w:val="-1"/>
                <w:lang w:val="en-US"/>
              </w:rPr>
              <w:t xml:space="preserve"> AS</w:t>
            </w:r>
          </w:p>
          <w:p w14:paraId="4C1B27B0" w14:textId="79DFB88F" w:rsidR="005D3103" w:rsidRDefault="00080994" w:rsidP="00CB615C">
            <w:pPr>
              <w:widowControl/>
              <w:spacing w:after="0" w:line="240" w:lineRule="auto"/>
              <w:rPr>
                <w:rFonts w:ascii="Times New Roman" w:hAnsi="Times New Roman" w:cs="Times New Roman"/>
                <w:lang w:val="en-GB"/>
              </w:rPr>
            </w:pPr>
            <w:proofErr w:type="spellStart"/>
            <w:r w:rsidRPr="000C79EF">
              <w:rPr>
                <w:rFonts w:ascii="Times New Roman" w:hAnsi="Times New Roman" w:cs="Times New Roman"/>
                <w:lang w:val="en-GB"/>
              </w:rPr>
              <w:t>Tl</w:t>
            </w:r>
            <w:r w:rsidR="005002FB" w:rsidRPr="000C79EF">
              <w:rPr>
                <w:rFonts w:ascii="Times New Roman" w:hAnsi="Times New Roman" w:cs="Times New Roman"/>
                <w:lang w:val="en-GB"/>
              </w:rPr>
              <w:t>f</w:t>
            </w:r>
            <w:proofErr w:type="spellEnd"/>
            <w:r w:rsidRPr="000C79EF">
              <w:rPr>
                <w:rFonts w:ascii="Times New Roman" w:hAnsi="Times New Roman" w:cs="Times New Roman"/>
                <w:lang w:val="en-GB"/>
              </w:rPr>
              <w:t>: + 47 66 75 33 00</w:t>
            </w:r>
          </w:p>
          <w:p w14:paraId="5427680E" w14:textId="02C00DFB" w:rsidR="005766AB" w:rsidRPr="000C79EF" w:rsidRDefault="005766AB" w:rsidP="00CB615C">
            <w:pPr>
              <w:widowControl/>
              <w:spacing w:after="0" w:line="240" w:lineRule="auto"/>
              <w:rPr>
                <w:rFonts w:ascii="Times New Roman" w:eastAsia="Times New Roman" w:hAnsi="Times New Roman" w:cs="Times New Roman"/>
                <w:bCs/>
                <w:spacing w:val="-1"/>
                <w:lang w:val="en-GB"/>
              </w:rPr>
            </w:pPr>
          </w:p>
        </w:tc>
      </w:tr>
      <w:tr w:rsidR="00E37FC5" w:rsidRPr="00AD26CF" w14:paraId="2953E228" w14:textId="77777777" w:rsidTr="00282DA8">
        <w:trPr>
          <w:cantSplit/>
          <w:trHeight w:val="561"/>
        </w:trPr>
        <w:tc>
          <w:tcPr>
            <w:tcW w:w="4261" w:type="dxa"/>
          </w:tcPr>
          <w:p w14:paraId="6B231DAE" w14:textId="77777777" w:rsidR="005D3103" w:rsidRPr="00077970" w:rsidRDefault="00080994" w:rsidP="00CB615C">
            <w:pPr>
              <w:widowControl/>
              <w:spacing w:after="0" w:line="240" w:lineRule="auto"/>
              <w:rPr>
                <w:rFonts w:ascii="Times New Roman" w:eastAsia="Times New Roman" w:hAnsi="Times New Roman" w:cs="Times New Roman"/>
                <w:bCs/>
                <w:spacing w:val="-1"/>
              </w:rPr>
            </w:pPr>
            <w:proofErr w:type="spellStart"/>
            <w:r w:rsidRPr="000C79EF">
              <w:rPr>
                <w:rFonts w:ascii="Times New Roman" w:hAnsi="Times New Roman" w:cs="Times New Roman"/>
                <w:b/>
              </w:rPr>
              <w:t>Ελλάδ</w:t>
            </w:r>
            <w:proofErr w:type="spellEnd"/>
            <w:r w:rsidRPr="000C79EF">
              <w:rPr>
                <w:rFonts w:ascii="Times New Roman" w:hAnsi="Times New Roman" w:cs="Times New Roman"/>
                <w:b/>
              </w:rPr>
              <w:t>α</w:t>
            </w:r>
            <w:r w:rsidRPr="00077970">
              <w:rPr>
                <w:rFonts w:ascii="Times New Roman" w:hAnsi="Times New Roman" w:cs="Times New Roman"/>
                <w:b/>
              </w:rPr>
              <w:t xml:space="preserve"> </w:t>
            </w:r>
          </w:p>
          <w:p w14:paraId="3D368D6E" w14:textId="46F05136" w:rsidR="005D3103" w:rsidRPr="00077970" w:rsidRDefault="00260A3C" w:rsidP="00CB615C">
            <w:pPr>
              <w:widowControl/>
              <w:spacing w:after="0" w:line="240" w:lineRule="auto"/>
              <w:rPr>
                <w:rFonts w:ascii="Times New Roman" w:eastAsia="Times New Roman" w:hAnsi="Times New Roman" w:cs="Times New Roman"/>
                <w:bCs/>
                <w:spacing w:val="-1"/>
              </w:rPr>
            </w:pPr>
            <w:r w:rsidRPr="00077970">
              <w:rPr>
                <w:rFonts w:ascii="Times New Roman" w:hAnsi="Times New Roman" w:cs="Times New Roman"/>
              </w:rPr>
              <w:t>Viatris</w:t>
            </w:r>
            <w:r w:rsidR="00080994" w:rsidRPr="00077970">
              <w:rPr>
                <w:rFonts w:ascii="Times New Roman" w:hAnsi="Times New Roman" w:cs="Times New Roman"/>
              </w:rPr>
              <w:t xml:space="preserve"> </w:t>
            </w:r>
            <w:proofErr w:type="spellStart"/>
            <w:r w:rsidR="00080994" w:rsidRPr="00077970">
              <w:rPr>
                <w:rFonts w:ascii="Times New Roman" w:hAnsi="Times New Roman" w:cs="Times New Roman"/>
              </w:rPr>
              <w:t>Hellas</w:t>
            </w:r>
            <w:proofErr w:type="spellEnd"/>
            <w:r w:rsidR="00080994" w:rsidRPr="00077970">
              <w:rPr>
                <w:rFonts w:ascii="Times New Roman" w:hAnsi="Times New Roman" w:cs="Times New Roman"/>
              </w:rPr>
              <w:t xml:space="preserve"> </w:t>
            </w:r>
            <w:r w:rsidRPr="000C79EF">
              <w:rPr>
                <w:rFonts w:ascii="Times New Roman" w:hAnsi="Times New Roman" w:cs="Times New Roman"/>
              </w:rPr>
              <w:t>Ltd</w:t>
            </w:r>
            <w:r w:rsidRPr="00077970">
              <w:rPr>
                <w:rFonts w:ascii="Times New Roman" w:hAnsi="Times New Roman" w:cs="Times New Roman"/>
              </w:rPr>
              <w:t xml:space="preserve"> </w:t>
            </w:r>
          </w:p>
          <w:p w14:paraId="70DC7A1E" w14:textId="0C6856AB" w:rsidR="005D3103" w:rsidRPr="00077970" w:rsidRDefault="00080994" w:rsidP="00CB615C">
            <w:pPr>
              <w:widowControl/>
              <w:spacing w:after="0" w:line="240" w:lineRule="auto"/>
              <w:rPr>
                <w:rFonts w:ascii="Times New Roman" w:eastAsia="Times New Roman" w:hAnsi="Times New Roman" w:cs="Times New Roman"/>
                <w:bCs/>
                <w:spacing w:val="-1"/>
              </w:rPr>
            </w:pPr>
            <w:proofErr w:type="spellStart"/>
            <w:r w:rsidRPr="000C79EF">
              <w:rPr>
                <w:rFonts w:ascii="Times New Roman" w:hAnsi="Times New Roman" w:cs="Times New Roman"/>
              </w:rPr>
              <w:t>Τηλ</w:t>
            </w:r>
            <w:proofErr w:type="spellEnd"/>
            <w:r w:rsidRPr="00077970">
              <w:rPr>
                <w:rFonts w:ascii="Times New Roman" w:hAnsi="Times New Roman" w:cs="Times New Roman"/>
              </w:rPr>
              <w:t>: +30 210</w:t>
            </w:r>
            <w:r w:rsidR="00260A3C" w:rsidRPr="00077970">
              <w:rPr>
                <w:rFonts w:ascii="Times New Roman" w:hAnsi="Times New Roman" w:cs="Times New Roman"/>
              </w:rPr>
              <w:t>0 100 002</w:t>
            </w:r>
            <w:r w:rsidRPr="00077970">
              <w:rPr>
                <w:rFonts w:ascii="Times New Roman" w:hAnsi="Times New Roman" w:cs="Times New Roman"/>
              </w:rPr>
              <w:t xml:space="preserve"> </w:t>
            </w:r>
          </w:p>
          <w:p w14:paraId="5545C3D6" w14:textId="77777777" w:rsidR="005D3103" w:rsidRPr="00077970" w:rsidRDefault="005D3103" w:rsidP="00CB615C">
            <w:pPr>
              <w:widowControl/>
              <w:spacing w:after="0" w:line="240" w:lineRule="auto"/>
              <w:rPr>
                <w:rFonts w:ascii="Times New Roman" w:eastAsia="Times New Roman" w:hAnsi="Times New Roman" w:cs="Times New Roman"/>
                <w:bCs/>
                <w:spacing w:val="-1"/>
              </w:rPr>
            </w:pPr>
          </w:p>
        </w:tc>
        <w:tc>
          <w:tcPr>
            <w:tcW w:w="4670" w:type="dxa"/>
          </w:tcPr>
          <w:p w14:paraId="7076DB28" w14:textId="77777777" w:rsidR="005D3103" w:rsidRPr="000C79EF" w:rsidRDefault="00080994" w:rsidP="00CB615C">
            <w:pPr>
              <w:widowControl/>
              <w:spacing w:after="0" w:line="240" w:lineRule="auto"/>
              <w:rPr>
                <w:rFonts w:ascii="Times New Roman" w:eastAsia="Times New Roman" w:hAnsi="Times New Roman" w:cs="Times New Roman"/>
                <w:b/>
                <w:bCs/>
                <w:spacing w:val="-1"/>
                <w:lang w:val="de-DE"/>
              </w:rPr>
            </w:pPr>
            <w:r w:rsidRPr="000C79EF">
              <w:rPr>
                <w:rFonts w:ascii="Times New Roman" w:hAnsi="Times New Roman" w:cs="Times New Roman"/>
                <w:b/>
                <w:lang w:val="de-DE"/>
              </w:rPr>
              <w:t>Österreich</w:t>
            </w:r>
          </w:p>
          <w:p w14:paraId="1AC27562" w14:textId="16B84BC6" w:rsidR="005D3103" w:rsidRPr="000C79EF" w:rsidRDefault="003D4777" w:rsidP="00CB615C">
            <w:pPr>
              <w:widowControl/>
              <w:spacing w:after="0" w:line="240" w:lineRule="auto"/>
              <w:rPr>
                <w:rFonts w:ascii="Times New Roman" w:eastAsia="Times New Roman" w:hAnsi="Times New Roman" w:cs="Times New Roman"/>
                <w:bCs/>
                <w:iCs/>
                <w:spacing w:val="-1"/>
                <w:lang w:val="de-DE"/>
              </w:rPr>
            </w:pPr>
            <w:r w:rsidRPr="000C79EF">
              <w:rPr>
                <w:rFonts w:ascii="Times New Roman" w:hAnsi="Times New Roman" w:cs="Times New Roman"/>
                <w:lang w:val="de-DE"/>
              </w:rPr>
              <w:t>Viatris Austria</w:t>
            </w:r>
            <w:r w:rsidR="00080994" w:rsidRPr="000C79EF">
              <w:rPr>
                <w:rFonts w:ascii="Times New Roman" w:hAnsi="Times New Roman" w:cs="Times New Roman"/>
                <w:lang w:val="de-DE"/>
              </w:rPr>
              <w:t xml:space="preserve"> GmbH</w:t>
            </w:r>
          </w:p>
          <w:p w14:paraId="311E0127" w14:textId="373FAE4B" w:rsidR="005D3103" w:rsidRPr="000C79EF" w:rsidRDefault="00080994" w:rsidP="00CB615C">
            <w:pPr>
              <w:widowControl/>
              <w:spacing w:after="0" w:line="240" w:lineRule="auto"/>
              <w:rPr>
                <w:rFonts w:ascii="Times New Roman" w:eastAsia="Times New Roman" w:hAnsi="Times New Roman" w:cs="Times New Roman"/>
                <w:bCs/>
                <w:spacing w:val="-1"/>
                <w:lang w:val="de-DE"/>
              </w:rPr>
            </w:pPr>
            <w:r w:rsidRPr="000C79EF">
              <w:rPr>
                <w:rFonts w:ascii="Times New Roman" w:hAnsi="Times New Roman" w:cs="Times New Roman"/>
                <w:lang w:val="de-DE"/>
              </w:rPr>
              <w:t xml:space="preserve">Tel: +43 1 </w:t>
            </w:r>
            <w:r w:rsidR="003D4777" w:rsidRPr="000C79EF">
              <w:rPr>
                <w:rFonts w:ascii="Times New Roman" w:hAnsi="Times New Roman" w:cs="Times New Roman"/>
                <w:lang w:val="de-DE"/>
              </w:rPr>
              <w:t>86390</w:t>
            </w:r>
          </w:p>
          <w:p w14:paraId="671EF2C2" w14:textId="77777777" w:rsidR="005D3103" w:rsidRPr="000C79EF" w:rsidRDefault="005D3103" w:rsidP="00CB615C">
            <w:pPr>
              <w:widowControl/>
              <w:spacing w:after="0" w:line="240" w:lineRule="auto"/>
              <w:rPr>
                <w:rFonts w:ascii="Times New Roman" w:eastAsia="Times New Roman" w:hAnsi="Times New Roman" w:cs="Times New Roman"/>
                <w:bCs/>
                <w:spacing w:val="-1"/>
                <w:lang w:val="de-DE"/>
              </w:rPr>
            </w:pPr>
          </w:p>
        </w:tc>
      </w:tr>
      <w:tr w:rsidR="00E37FC5" w14:paraId="40314557" w14:textId="77777777" w:rsidTr="00282DA8">
        <w:trPr>
          <w:cantSplit/>
        </w:trPr>
        <w:tc>
          <w:tcPr>
            <w:tcW w:w="4261" w:type="dxa"/>
          </w:tcPr>
          <w:p w14:paraId="1217DEAB" w14:textId="77777777" w:rsidR="005D3103" w:rsidRPr="009F0256" w:rsidRDefault="00080994" w:rsidP="00CB615C">
            <w:pPr>
              <w:widowControl/>
              <w:spacing w:after="0" w:line="240" w:lineRule="auto"/>
              <w:rPr>
                <w:rFonts w:ascii="Times New Roman" w:eastAsia="Times New Roman" w:hAnsi="Times New Roman" w:cs="Times New Roman"/>
                <w:b/>
                <w:bCs/>
                <w:spacing w:val="-1"/>
                <w:lang w:val="es-ES"/>
              </w:rPr>
            </w:pPr>
            <w:r w:rsidRPr="009F0256">
              <w:rPr>
                <w:rFonts w:ascii="Times New Roman" w:hAnsi="Times New Roman"/>
                <w:b/>
                <w:lang w:val="es-ES"/>
              </w:rPr>
              <w:t>España</w:t>
            </w:r>
          </w:p>
          <w:p w14:paraId="38C5FA32" w14:textId="210E320A" w:rsidR="005D3103" w:rsidRPr="009F0256" w:rsidRDefault="002C43B3" w:rsidP="00CB615C">
            <w:pPr>
              <w:widowControl/>
              <w:spacing w:after="0" w:line="240" w:lineRule="auto"/>
              <w:rPr>
                <w:rFonts w:ascii="Times New Roman" w:eastAsia="Times New Roman" w:hAnsi="Times New Roman" w:cs="Times New Roman"/>
                <w:bCs/>
                <w:spacing w:val="-1"/>
                <w:lang w:val="es-ES"/>
              </w:rPr>
            </w:pPr>
            <w:r w:rsidRPr="001C6181">
              <w:rPr>
                <w:rFonts w:ascii="Times New Roman" w:hAnsi="Times New Roman" w:cs="Times New Roman"/>
              </w:rPr>
              <w:t>Viatris</w:t>
            </w:r>
            <w:r w:rsidR="00080994" w:rsidRPr="009F0256">
              <w:rPr>
                <w:rFonts w:ascii="Times New Roman" w:hAnsi="Times New Roman"/>
                <w:lang w:val="es-ES"/>
              </w:rPr>
              <w:t xml:space="preserve"> </w:t>
            </w:r>
            <w:proofErr w:type="spellStart"/>
            <w:r w:rsidR="00080994" w:rsidRPr="009F0256">
              <w:rPr>
                <w:rFonts w:ascii="Times New Roman" w:hAnsi="Times New Roman"/>
                <w:lang w:val="es-ES"/>
              </w:rPr>
              <w:t>Pharmaceuticals</w:t>
            </w:r>
            <w:proofErr w:type="spellEnd"/>
            <w:r w:rsidR="00080994" w:rsidRPr="009F0256">
              <w:rPr>
                <w:rFonts w:ascii="Times New Roman" w:hAnsi="Times New Roman"/>
                <w:lang w:val="es-ES"/>
              </w:rPr>
              <w:t>, S.L</w:t>
            </w:r>
            <w:r w:rsidR="005002FB">
              <w:rPr>
                <w:rFonts w:ascii="Times New Roman" w:hAnsi="Times New Roman"/>
                <w:lang w:val="es-ES"/>
              </w:rPr>
              <w:t>.</w:t>
            </w:r>
          </w:p>
          <w:p w14:paraId="1E1C3339" w14:textId="77777777" w:rsidR="005D3103" w:rsidRPr="009F0256" w:rsidRDefault="00080994" w:rsidP="00CB615C">
            <w:pPr>
              <w:widowControl/>
              <w:spacing w:after="0" w:line="240" w:lineRule="auto"/>
              <w:rPr>
                <w:rFonts w:ascii="Times New Roman" w:eastAsia="Times New Roman" w:hAnsi="Times New Roman" w:cs="Times New Roman"/>
                <w:bCs/>
                <w:spacing w:val="-1"/>
                <w:lang w:val="es-ES"/>
              </w:rPr>
            </w:pPr>
            <w:r w:rsidRPr="009F0256">
              <w:rPr>
                <w:rFonts w:ascii="Times New Roman" w:hAnsi="Times New Roman"/>
                <w:lang w:val="es-ES"/>
              </w:rPr>
              <w:t>Tel: + 34 900 102 712</w:t>
            </w:r>
          </w:p>
          <w:p w14:paraId="3AE5CA21" w14:textId="77777777" w:rsidR="005D3103" w:rsidRPr="002D61D7" w:rsidRDefault="005D3103" w:rsidP="00CB615C">
            <w:pPr>
              <w:widowControl/>
              <w:spacing w:after="0" w:line="240" w:lineRule="auto"/>
              <w:rPr>
                <w:rFonts w:ascii="Times New Roman" w:eastAsia="Times New Roman" w:hAnsi="Times New Roman" w:cs="Times New Roman"/>
                <w:bCs/>
                <w:spacing w:val="-1"/>
                <w:lang w:val="es-ES_tradnl"/>
              </w:rPr>
            </w:pPr>
          </w:p>
        </w:tc>
        <w:tc>
          <w:tcPr>
            <w:tcW w:w="4670" w:type="dxa"/>
          </w:tcPr>
          <w:p w14:paraId="1C882537" w14:textId="77777777" w:rsidR="005D3103" w:rsidRPr="00077970" w:rsidRDefault="00080994" w:rsidP="00CB615C">
            <w:pPr>
              <w:widowControl/>
              <w:spacing w:after="0" w:line="240" w:lineRule="auto"/>
              <w:rPr>
                <w:rFonts w:ascii="Times New Roman" w:eastAsia="Times New Roman" w:hAnsi="Times New Roman" w:cs="Times New Roman"/>
                <w:bCs/>
                <w:spacing w:val="-1"/>
                <w:lang w:val="en-GB"/>
              </w:rPr>
            </w:pPr>
            <w:r w:rsidRPr="00077970">
              <w:rPr>
                <w:rFonts w:ascii="Times New Roman" w:hAnsi="Times New Roman"/>
                <w:b/>
                <w:lang w:val="en-GB"/>
              </w:rPr>
              <w:t>Polska</w:t>
            </w:r>
          </w:p>
          <w:p w14:paraId="2E085E90" w14:textId="38A2655A" w:rsidR="005D3103" w:rsidRPr="00077970" w:rsidRDefault="003D4777" w:rsidP="00CB615C">
            <w:pPr>
              <w:widowControl/>
              <w:spacing w:after="0" w:line="240" w:lineRule="auto"/>
              <w:rPr>
                <w:rFonts w:ascii="Times New Roman" w:eastAsia="Times New Roman" w:hAnsi="Times New Roman" w:cs="Times New Roman"/>
                <w:bCs/>
                <w:spacing w:val="-1"/>
                <w:lang w:val="en-GB"/>
              </w:rPr>
            </w:pPr>
            <w:r w:rsidRPr="00077970">
              <w:rPr>
                <w:rFonts w:ascii="Times New Roman" w:hAnsi="Times New Roman"/>
                <w:lang w:val="en-GB"/>
              </w:rPr>
              <w:t xml:space="preserve">Viatris </w:t>
            </w:r>
            <w:r w:rsidR="00080994" w:rsidRPr="00077970">
              <w:rPr>
                <w:rFonts w:ascii="Times New Roman" w:hAnsi="Times New Roman"/>
                <w:lang w:val="en-GB"/>
              </w:rPr>
              <w:t xml:space="preserve">Healthcare Sp. z </w:t>
            </w:r>
            <w:proofErr w:type="spellStart"/>
            <w:r w:rsidR="00080994" w:rsidRPr="00077970">
              <w:rPr>
                <w:rFonts w:ascii="Times New Roman" w:hAnsi="Times New Roman"/>
                <w:lang w:val="en-GB"/>
              </w:rPr>
              <w:t>o.o.</w:t>
            </w:r>
            <w:proofErr w:type="spellEnd"/>
          </w:p>
          <w:p w14:paraId="12207AE7" w14:textId="46E602F0" w:rsidR="005D3103" w:rsidRPr="002D61D7" w:rsidRDefault="00080994" w:rsidP="00CB615C">
            <w:pPr>
              <w:widowControl/>
              <w:spacing w:after="0" w:line="240" w:lineRule="auto"/>
              <w:rPr>
                <w:rFonts w:ascii="Times New Roman" w:eastAsia="Times New Roman" w:hAnsi="Times New Roman" w:cs="Times New Roman"/>
                <w:bCs/>
                <w:spacing w:val="-1"/>
              </w:rPr>
            </w:pPr>
            <w:r>
              <w:rPr>
                <w:rFonts w:ascii="Times New Roman" w:hAnsi="Times New Roman"/>
              </w:rPr>
              <w:t>Tel</w:t>
            </w:r>
            <w:r w:rsidR="005002FB">
              <w:rPr>
                <w:rFonts w:ascii="Times New Roman" w:hAnsi="Times New Roman"/>
              </w:rPr>
              <w:t>.</w:t>
            </w:r>
            <w:r>
              <w:rPr>
                <w:rFonts w:ascii="Times New Roman" w:hAnsi="Times New Roman"/>
              </w:rPr>
              <w:t>: + 48 22 546 64 00</w:t>
            </w:r>
          </w:p>
          <w:p w14:paraId="0317B96D" w14:textId="77777777" w:rsidR="005D3103" w:rsidRPr="002D61D7" w:rsidRDefault="005D3103" w:rsidP="00CB615C">
            <w:pPr>
              <w:widowControl/>
              <w:spacing w:after="0" w:line="240" w:lineRule="auto"/>
              <w:rPr>
                <w:rFonts w:ascii="Times New Roman" w:eastAsia="Times New Roman" w:hAnsi="Times New Roman" w:cs="Times New Roman"/>
                <w:bCs/>
                <w:spacing w:val="-1"/>
                <w:lang w:val="es-ES_tradnl"/>
              </w:rPr>
            </w:pPr>
          </w:p>
        </w:tc>
      </w:tr>
      <w:tr w:rsidR="00E37FC5" w14:paraId="512AC576" w14:textId="77777777" w:rsidTr="00282DA8">
        <w:trPr>
          <w:cantSplit/>
        </w:trPr>
        <w:tc>
          <w:tcPr>
            <w:tcW w:w="4261" w:type="dxa"/>
          </w:tcPr>
          <w:p w14:paraId="3D3E0408" w14:textId="66E568A2" w:rsidR="005D3103" w:rsidRPr="002D61D7" w:rsidRDefault="00080994" w:rsidP="00CB615C">
            <w:pPr>
              <w:widowControl/>
              <w:spacing w:after="0" w:line="240" w:lineRule="auto"/>
              <w:rPr>
                <w:rFonts w:ascii="Times New Roman" w:eastAsia="Times New Roman" w:hAnsi="Times New Roman" w:cs="Times New Roman"/>
                <w:b/>
                <w:bCs/>
                <w:spacing w:val="-1"/>
              </w:rPr>
            </w:pPr>
            <w:r>
              <w:rPr>
                <w:rFonts w:ascii="Times New Roman" w:hAnsi="Times New Roman"/>
                <w:b/>
              </w:rPr>
              <w:t>France</w:t>
            </w:r>
          </w:p>
          <w:p w14:paraId="0F2D8731" w14:textId="41BA38D9" w:rsidR="005D3103" w:rsidRPr="002D61D7" w:rsidRDefault="002F36D9" w:rsidP="00CB615C">
            <w:pPr>
              <w:widowControl/>
              <w:spacing w:after="0" w:line="240" w:lineRule="auto"/>
              <w:rPr>
                <w:rFonts w:ascii="Times New Roman" w:eastAsia="Times New Roman" w:hAnsi="Times New Roman" w:cs="Times New Roman"/>
                <w:bCs/>
                <w:spacing w:val="-1"/>
              </w:rPr>
            </w:pPr>
            <w:r>
              <w:rPr>
                <w:rFonts w:ascii="Times New Roman" w:hAnsi="Times New Roman"/>
              </w:rPr>
              <w:t>Viatris Santé</w:t>
            </w:r>
          </w:p>
          <w:p w14:paraId="60A825EF" w14:textId="2023C117" w:rsidR="005D3103" w:rsidRPr="002D61D7" w:rsidRDefault="002F36D9" w:rsidP="00CB615C">
            <w:pPr>
              <w:widowControl/>
              <w:spacing w:after="0" w:line="240" w:lineRule="auto"/>
              <w:rPr>
                <w:rFonts w:ascii="Times New Roman" w:eastAsia="Times New Roman" w:hAnsi="Times New Roman" w:cs="Times New Roman"/>
                <w:bCs/>
                <w:spacing w:val="-1"/>
              </w:rPr>
            </w:pPr>
            <w:r>
              <w:rPr>
                <w:rFonts w:ascii="Times New Roman" w:hAnsi="Times New Roman"/>
              </w:rPr>
              <w:t>Tél</w:t>
            </w:r>
            <w:r w:rsidR="00080994">
              <w:rPr>
                <w:rFonts w:ascii="Times New Roman" w:hAnsi="Times New Roman"/>
              </w:rPr>
              <w:t>: +33 4 37 25 75 00</w:t>
            </w:r>
          </w:p>
          <w:p w14:paraId="2DC43870" w14:textId="77777777" w:rsidR="005D3103" w:rsidRPr="002D61D7" w:rsidRDefault="005D3103" w:rsidP="00CB615C">
            <w:pPr>
              <w:widowControl/>
              <w:spacing w:after="0" w:line="240" w:lineRule="auto"/>
              <w:rPr>
                <w:rFonts w:ascii="Times New Roman" w:eastAsia="Times New Roman" w:hAnsi="Times New Roman" w:cs="Times New Roman"/>
                <w:bCs/>
                <w:spacing w:val="-1"/>
              </w:rPr>
            </w:pPr>
          </w:p>
        </w:tc>
        <w:tc>
          <w:tcPr>
            <w:tcW w:w="4670" w:type="dxa"/>
          </w:tcPr>
          <w:p w14:paraId="5BB5E8C4" w14:textId="77777777" w:rsidR="005D3103" w:rsidRPr="005D3103" w:rsidRDefault="00080994" w:rsidP="00CB615C">
            <w:pPr>
              <w:widowControl/>
              <w:spacing w:after="0" w:line="240" w:lineRule="auto"/>
              <w:rPr>
                <w:rFonts w:ascii="Times New Roman" w:eastAsia="Times New Roman" w:hAnsi="Times New Roman" w:cs="Times New Roman"/>
                <w:b/>
                <w:bCs/>
                <w:spacing w:val="-1"/>
              </w:rPr>
            </w:pPr>
            <w:r>
              <w:rPr>
                <w:rFonts w:ascii="Times New Roman" w:hAnsi="Times New Roman"/>
                <w:b/>
              </w:rPr>
              <w:t>Portugal</w:t>
            </w:r>
          </w:p>
          <w:p w14:paraId="6CAF9D5D" w14:textId="77777777" w:rsidR="005D3103" w:rsidRPr="005D3103" w:rsidRDefault="00080994" w:rsidP="00CB615C">
            <w:pPr>
              <w:widowControl/>
              <w:spacing w:after="0" w:line="240" w:lineRule="auto"/>
              <w:rPr>
                <w:rFonts w:ascii="Times New Roman" w:eastAsia="Times New Roman" w:hAnsi="Times New Roman" w:cs="Times New Roman"/>
                <w:bCs/>
                <w:spacing w:val="-1"/>
              </w:rPr>
            </w:pPr>
            <w:r>
              <w:rPr>
                <w:rFonts w:ascii="Times New Roman" w:hAnsi="Times New Roman"/>
              </w:rPr>
              <w:t xml:space="preserve">Mylan, </w:t>
            </w:r>
            <w:proofErr w:type="spellStart"/>
            <w:r>
              <w:rPr>
                <w:rFonts w:ascii="Times New Roman" w:hAnsi="Times New Roman"/>
              </w:rPr>
              <w:t>Lda</w:t>
            </w:r>
            <w:proofErr w:type="spellEnd"/>
            <w:r>
              <w:rPr>
                <w:rFonts w:ascii="Times New Roman" w:hAnsi="Times New Roman"/>
              </w:rPr>
              <w:t>.</w:t>
            </w:r>
          </w:p>
          <w:p w14:paraId="2834E3C9" w14:textId="4916FE9E" w:rsidR="005D3103" w:rsidRPr="005D3103" w:rsidRDefault="00080994" w:rsidP="00CB615C">
            <w:pPr>
              <w:widowControl/>
              <w:spacing w:after="0" w:line="240" w:lineRule="auto"/>
              <w:rPr>
                <w:rFonts w:ascii="Times New Roman" w:eastAsia="Times New Roman" w:hAnsi="Times New Roman" w:cs="Times New Roman"/>
                <w:bCs/>
                <w:spacing w:val="-1"/>
              </w:rPr>
            </w:pPr>
            <w:proofErr w:type="gramStart"/>
            <w:r>
              <w:rPr>
                <w:rFonts w:ascii="Times New Roman" w:hAnsi="Times New Roman"/>
              </w:rPr>
              <w:t>Tel:</w:t>
            </w:r>
            <w:proofErr w:type="gramEnd"/>
            <w:r>
              <w:rPr>
                <w:rFonts w:ascii="Times New Roman" w:hAnsi="Times New Roman"/>
              </w:rPr>
              <w:t xml:space="preserve"> + 351 21 412 72 </w:t>
            </w:r>
            <w:r w:rsidR="0093182E">
              <w:rPr>
                <w:rFonts w:ascii="Times New Roman" w:hAnsi="Times New Roman"/>
              </w:rPr>
              <w:t>00</w:t>
            </w:r>
          </w:p>
          <w:p w14:paraId="1013582F" w14:textId="77777777" w:rsidR="005D3103" w:rsidRPr="005D3103" w:rsidRDefault="005D3103" w:rsidP="00CB615C">
            <w:pPr>
              <w:widowControl/>
              <w:spacing w:after="0" w:line="240" w:lineRule="auto"/>
              <w:rPr>
                <w:rFonts w:ascii="Times New Roman" w:eastAsia="Times New Roman" w:hAnsi="Times New Roman" w:cs="Times New Roman"/>
                <w:bCs/>
                <w:spacing w:val="-1"/>
              </w:rPr>
            </w:pPr>
          </w:p>
        </w:tc>
      </w:tr>
      <w:tr w:rsidR="00E37FC5" w:rsidRPr="00651F95" w14:paraId="4049D0DE" w14:textId="77777777" w:rsidTr="00282DA8">
        <w:trPr>
          <w:cantSplit/>
        </w:trPr>
        <w:tc>
          <w:tcPr>
            <w:tcW w:w="4261" w:type="dxa"/>
            <w:hideMark/>
          </w:tcPr>
          <w:p w14:paraId="70E61728" w14:textId="77777777" w:rsidR="005D3103" w:rsidRPr="00077970" w:rsidRDefault="00080994" w:rsidP="00CB615C">
            <w:pPr>
              <w:widowControl/>
              <w:spacing w:after="0" w:line="240" w:lineRule="auto"/>
              <w:rPr>
                <w:rFonts w:ascii="Times New Roman" w:eastAsia="Times New Roman" w:hAnsi="Times New Roman" w:cs="Times New Roman"/>
                <w:b/>
                <w:bCs/>
                <w:spacing w:val="-1"/>
              </w:rPr>
            </w:pPr>
            <w:proofErr w:type="spellStart"/>
            <w:r w:rsidRPr="00077970">
              <w:rPr>
                <w:rFonts w:ascii="Times New Roman" w:hAnsi="Times New Roman"/>
                <w:b/>
              </w:rPr>
              <w:t>Hrvatska</w:t>
            </w:r>
            <w:proofErr w:type="spellEnd"/>
          </w:p>
          <w:p w14:paraId="46134AD3" w14:textId="19D18DA1" w:rsidR="005D3103" w:rsidRPr="00077970" w:rsidRDefault="00260A3C" w:rsidP="00CB615C">
            <w:pPr>
              <w:widowControl/>
              <w:spacing w:after="0" w:line="240" w:lineRule="auto"/>
              <w:rPr>
                <w:rFonts w:ascii="Times New Roman" w:eastAsia="Times New Roman" w:hAnsi="Times New Roman" w:cs="Times New Roman"/>
                <w:bCs/>
                <w:spacing w:val="-1"/>
              </w:rPr>
            </w:pPr>
            <w:r w:rsidRPr="00077970">
              <w:rPr>
                <w:rFonts w:ascii="Times New Roman" w:hAnsi="Times New Roman"/>
              </w:rPr>
              <w:t xml:space="preserve">Viatris </w:t>
            </w:r>
            <w:proofErr w:type="spellStart"/>
            <w:r w:rsidR="00080994" w:rsidRPr="00077970">
              <w:rPr>
                <w:rFonts w:ascii="Times New Roman" w:hAnsi="Times New Roman"/>
              </w:rPr>
              <w:t>Hrvatska</w:t>
            </w:r>
            <w:proofErr w:type="spellEnd"/>
            <w:r w:rsidR="00080994" w:rsidRPr="00077970">
              <w:rPr>
                <w:rFonts w:ascii="Times New Roman" w:hAnsi="Times New Roman"/>
              </w:rPr>
              <w:t xml:space="preserve"> </w:t>
            </w:r>
            <w:proofErr w:type="spellStart"/>
            <w:r w:rsidR="00080994" w:rsidRPr="00077970">
              <w:rPr>
                <w:rFonts w:ascii="Times New Roman" w:hAnsi="Times New Roman"/>
              </w:rPr>
              <w:t>d.o.o</w:t>
            </w:r>
            <w:proofErr w:type="spellEnd"/>
            <w:r w:rsidR="00080994" w:rsidRPr="00077970">
              <w:rPr>
                <w:rFonts w:ascii="Times New Roman" w:hAnsi="Times New Roman"/>
              </w:rPr>
              <w:t xml:space="preserve">. </w:t>
            </w:r>
          </w:p>
          <w:p w14:paraId="6D2A4CB4" w14:textId="77777777" w:rsidR="005D3103" w:rsidRPr="005D3103" w:rsidRDefault="00080994" w:rsidP="00CB615C">
            <w:pPr>
              <w:widowControl/>
              <w:spacing w:after="0" w:line="240" w:lineRule="auto"/>
              <w:rPr>
                <w:rFonts w:ascii="Times New Roman" w:eastAsia="Times New Roman" w:hAnsi="Times New Roman" w:cs="Times New Roman"/>
                <w:bCs/>
                <w:spacing w:val="-1"/>
              </w:rPr>
            </w:pPr>
            <w:r>
              <w:rPr>
                <w:rFonts w:ascii="Times New Roman" w:hAnsi="Times New Roman"/>
              </w:rPr>
              <w:t>Tel: +385 1 23 50 599</w:t>
            </w:r>
          </w:p>
          <w:p w14:paraId="0ACD7D3F" w14:textId="77777777" w:rsidR="005D3103" w:rsidRPr="005D3103" w:rsidRDefault="00080994" w:rsidP="00CB615C">
            <w:pPr>
              <w:widowControl/>
              <w:spacing w:after="0" w:line="240" w:lineRule="auto"/>
              <w:rPr>
                <w:rFonts w:ascii="Times New Roman" w:eastAsia="Times New Roman" w:hAnsi="Times New Roman" w:cs="Times New Roman"/>
                <w:bCs/>
                <w:spacing w:val="-1"/>
              </w:rPr>
            </w:pPr>
            <w:r>
              <w:rPr>
                <w:rFonts w:ascii="Times New Roman" w:hAnsi="Times New Roman"/>
              </w:rPr>
              <w:t xml:space="preserve"> </w:t>
            </w:r>
          </w:p>
        </w:tc>
        <w:tc>
          <w:tcPr>
            <w:tcW w:w="4670" w:type="dxa"/>
          </w:tcPr>
          <w:p w14:paraId="084A8413" w14:textId="77777777" w:rsidR="005D3103" w:rsidRPr="00614BB7" w:rsidRDefault="00080994" w:rsidP="00CB615C">
            <w:pPr>
              <w:widowControl/>
              <w:spacing w:after="0" w:line="240" w:lineRule="auto"/>
              <w:rPr>
                <w:rFonts w:ascii="Times New Roman" w:eastAsia="Times New Roman" w:hAnsi="Times New Roman" w:cs="Times New Roman"/>
                <w:b/>
                <w:bCs/>
                <w:spacing w:val="-1"/>
                <w:lang w:val="en-GB"/>
              </w:rPr>
            </w:pPr>
            <w:proofErr w:type="spellStart"/>
            <w:r w:rsidRPr="00614BB7">
              <w:rPr>
                <w:rFonts w:ascii="Times New Roman" w:hAnsi="Times New Roman"/>
                <w:b/>
                <w:lang w:val="en-GB"/>
              </w:rPr>
              <w:t>România</w:t>
            </w:r>
            <w:proofErr w:type="spellEnd"/>
          </w:p>
          <w:p w14:paraId="2DB98A7F" w14:textId="77777777" w:rsidR="005D3103" w:rsidRPr="00614BB7" w:rsidRDefault="00080994" w:rsidP="00CB615C">
            <w:pPr>
              <w:widowControl/>
              <w:spacing w:after="0" w:line="240" w:lineRule="auto"/>
              <w:rPr>
                <w:rFonts w:ascii="Times New Roman" w:eastAsia="Times New Roman" w:hAnsi="Times New Roman" w:cs="Times New Roman"/>
                <w:bCs/>
                <w:spacing w:val="-1"/>
                <w:lang w:val="en-GB"/>
              </w:rPr>
            </w:pPr>
            <w:r w:rsidRPr="00614BB7">
              <w:rPr>
                <w:rFonts w:ascii="Times New Roman" w:hAnsi="Times New Roman"/>
                <w:lang w:val="en-GB"/>
              </w:rPr>
              <w:t>BGP Products SRL</w:t>
            </w:r>
          </w:p>
          <w:p w14:paraId="4202E974" w14:textId="77777777" w:rsidR="005D3103" w:rsidRPr="00614BB7" w:rsidRDefault="00080994" w:rsidP="00CB615C">
            <w:pPr>
              <w:widowControl/>
              <w:spacing w:after="0" w:line="240" w:lineRule="auto"/>
              <w:rPr>
                <w:rFonts w:ascii="Times New Roman" w:eastAsia="Times New Roman" w:hAnsi="Times New Roman" w:cs="Times New Roman"/>
                <w:bCs/>
                <w:spacing w:val="-1"/>
                <w:lang w:val="en-GB"/>
              </w:rPr>
            </w:pPr>
            <w:r w:rsidRPr="00614BB7">
              <w:rPr>
                <w:rFonts w:ascii="Times New Roman" w:hAnsi="Times New Roman"/>
                <w:lang w:val="en-GB"/>
              </w:rPr>
              <w:t>Tel: + 40 372 579 000</w:t>
            </w:r>
          </w:p>
          <w:p w14:paraId="04C2CD47" w14:textId="77777777" w:rsidR="005D3103" w:rsidRPr="00614BB7" w:rsidRDefault="005D3103" w:rsidP="00CB615C">
            <w:pPr>
              <w:widowControl/>
              <w:spacing w:after="0" w:line="240" w:lineRule="auto"/>
              <w:rPr>
                <w:rFonts w:ascii="Times New Roman" w:eastAsia="Times New Roman" w:hAnsi="Times New Roman" w:cs="Times New Roman"/>
                <w:bCs/>
                <w:spacing w:val="-1"/>
                <w:lang w:val="en-GB"/>
              </w:rPr>
            </w:pPr>
          </w:p>
        </w:tc>
      </w:tr>
      <w:tr w:rsidR="00E37FC5" w:rsidRPr="00461DDA" w14:paraId="4BE2654E" w14:textId="77777777" w:rsidTr="00282DA8">
        <w:trPr>
          <w:cantSplit/>
        </w:trPr>
        <w:tc>
          <w:tcPr>
            <w:tcW w:w="4261" w:type="dxa"/>
            <w:hideMark/>
          </w:tcPr>
          <w:p w14:paraId="6ADEB7B4" w14:textId="77777777" w:rsidR="005D3103" w:rsidRPr="00614BB7" w:rsidRDefault="00080994" w:rsidP="00CB615C">
            <w:pPr>
              <w:widowControl/>
              <w:spacing w:after="0" w:line="240" w:lineRule="auto"/>
              <w:rPr>
                <w:rFonts w:ascii="Times New Roman" w:eastAsia="Times New Roman" w:hAnsi="Times New Roman" w:cs="Times New Roman"/>
                <w:b/>
                <w:bCs/>
                <w:spacing w:val="-1"/>
                <w:lang w:val="en-GB"/>
              </w:rPr>
            </w:pPr>
            <w:r w:rsidRPr="00614BB7">
              <w:rPr>
                <w:rFonts w:ascii="Times New Roman" w:hAnsi="Times New Roman"/>
                <w:b/>
                <w:lang w:val="en-GB"/>
              </w:rPr>
              <w:t>Ireland</w:t>
            </w:r>
          </w:p>
          <w:p w14:paraId="7D3A532C" w14:textId="1232D3D6" w:rsidR="005D3103" w:rsidRPr="00614BB7" w:rsidRDefault="005002FB" w:rsidP="00CB615C">
            <w:pPr>
              <w:widowControl/>
              <w:spacing w:after="0" w:line="240" w:lineRule="auto"/>
              <w:rPr>
                <w:rFonts w:ascii="Times New Roman" w:eastAsia="Times New Roman" w:hAnsi="Times New Roman" w:cs="Times New Roman"/>
                <w:bCs/>
                <w:spacing w:val="-1"/>
                <w:lang w:val="en-GB"/>
              </w:rPr>
            </w:pPr>
            <w:r>
              <w:rPr>
                <w:rFonts w:ascii="Times New Roman" w:eastAsia="Times New Roman" w:hAnsi="Times New Roman" w:cs="Times New Roman"/>
                <w:bCs/>
                <w:spacing w:val="-1"/>
              </w:rPr>
              <w:t>Viatris</w:t>
            </w:r>
            <w:r w:rsidRPr="001C6181">
              <w:rPr>
                <w:rFonts w:ascii="Times New Roman" w:eastAsia="Times New Roman" w:hAnsi="Times New Roman" w:cs="Times New Roman"/>
                <w:bCs/>
                <w:spacing w:val="-1"/>
              </w:rPr>
              <w:t xml:space="preserve"> Limited</w:t>
            </w:r>
            <w:r w:rsidRPr="00614BB7" w:rsidDel="005002FB">
              <w:rPr>
                <w:rFonts w:ascii="Times New Roman" w:hAnsi="Times New Roman"/>
                <w:lang w:val="en-GB"/>
              </w:rPr>
              <w:t xml:space="preserve"> </w:t>
            </w:r>
          </w:p>
          <w:p w14:paraId="4195B6A5" w14:textId="5AF52125" w:rsidR="005D3103" w:rsidRPr="00614BB7" w:rsidRDefault="00080994" w:rsidP="00CB615C">
            <w:pPr>
              <w:widowControl/>
              <w:spacing w:after="0" w:line="240" w:lineRule="auto"/>
              <w:rPr>
                <w:rFonts w:ascii="Times New Roman" w:eastAsia="Times New Roman" w:hAnsi="Times New Roman" w:cs="Times New Roman"/>
                <w:bCs/>
                <w:spacing w:val="-1"/>
                <w:lang w:val="en-GB"/>
              </w:rPr>
            </w:pPr>
            <w:r w:rsidRPr="00614BB7">
              <w:rPr>
                <w:rFonts w:ascii="Times New Roman" w:hAnsi="Times New Roman"/>
                <w:lang w:val="en-GB"/>
              </w:rPr>
              <w:t xml:space="preserve">Tel: +353 </w:t>
            </w:r>
            <w:r w:rsidR="000A298F">
              <w:rPr>
                <w:rFonts w:ascii="Times New Roman" w:hAnsi="Times New Roman"/>
                <w:lang w:val="en-GB"/>
              </w:rPr>
              <w:t xml:space="preserve">1 </w:t>
            </w:r>
            <w:r w:rsidRPr="00614BB7">
              <w:rPr>
                <w:rFonts w:ascii="Times New Roman" w:hAnsi="Times New Roman"/>
                <w:lang w:val="en-GB"/>
              </w:rPr>
              <w:t xml:space="preserve">87 </w:t>
            </w:r>
            <w:r w:rsidR="005002FB" w:rsidRPr="00946A3C">
              <w:rPr>
                <w:rFonts w:ascii="Times New Roman" w:hAnsi="Times New Roman" w:cs="Times New Roman"/>
              </w:rPr>
              <w:t>11600</w:t>
            </w:r>
          </w:p>
          <w:p w14:paraId="278CB4EE" w14:textId="77777777" w:rsidR="005D3103" w:rsidRPr="00614BB7" w:rsidRDefault="005D3103" w:rsidP="00CB615C">
            <w:pPr>
              <w:widowControl/>
              <w:spacing w:after="0" w:line="240" w:lineRule="auto"/>
              <w:rPr>
                <w:rFonts w:ascii="Times New Roman" w:eastAsia="Times New Roman" w:hAnsi="Times New Roman" w:cs="Times New Roman"/>
                <w:bCs/>
                <w:spacing w:val="-1"/>
                <w:lang w:val="en-GB"/>
              </w:rPr>
            </w:pPr>
          </w:p>
        </w:tc>
        <w:tc>
          <w:tcPr>
            <w:tcW w:w="4670" w:type="dxa"/>
          </w:tcPr>
          <w:p w14:paraId="5C05D1E5" w14:textId="77777777" w:rsidR="005D3103" w:rsidRPr="00824948" w:rsidRDefault="00080994" w:rsidP="00CB615C">
            <w:pPr>
              <w:widowControl/>
              <w:spacing w:after="0" w:line="240" w:lineRule="auto"/>
              <w:rPr>
                <w:rFonts w:ascii="Times New Roman" w:eastAsia="Times New Roman" w:hAnsi="Times New Roman" w:cs="Times New Roman"/>
                <w:b/>
                <w:bCs/>
                <w:spacing w:val="-1"/>
              </w:rPr>
            </w:pPr>
            <w:r w:rsidRPr="00824948">
              <w:rPr>
                <w:rFonts w:ascii="Times New Roman" w:hAnsi="Times New Roman"/>
                <w:b/>
              </w:rPr>
              <w:t>Slovenija</w:t>
            </w:r>
          </w:p>
          <w:p w14:paraId="2EB88C33" w14:textId="77777777" w:rsidR="00461DDA" w:rsidRPr="00946A3C" w:rsidRDefault="00461DDA" w:rsidP="00CB615C">
            <w:pPr>
              <w:widowControl/>
              <w:spacing w:after="0" w:line="240" w:lineRule="auto"/>
              <w:rPr>
                <w:rFonts w:ascii="Times New Roman" w:eastAsia="Times New Roman" w:hAnsi="Times New Roman" w:cs="Times New Roman"/>
                <w:bCs/>
                <w:spacing w:val="-1"/>
              </w:rPr>
            </w:pPr>
            <w:r w:rsidRPr="00946A3C">
              <w:rPr>
                <w:rFonts w:ascii="Times New Roman" w:eastAsia="Times New Roman" w:hAnsi="Times New Roman" w:cs="Times New Roman"/>
                <w:bCs/>
                <w:spacing w:val="-1"/>
              </w:rPr>
              <w:t xml:space="preserve">Viatris </w:t>
            </w:r>
            <w:proofErr w:type="spellStart"/>
            <w:r w:rsidRPr="00946A3C">
              <w:rPr>
                <w:rFonts w:ascii="Times New Roman" w:eastAsia="Times New Roman" w:hAnsi="Times New Roman" w:cs="Times New Roman"/>
                <w:bCs/>
                <w:spacing w:val="-1"/>
              </w:rPr>
              <w:t>d.o.o</w:t>
            </w:r>
            <w:proofErr w:type="spellEnd"/>
            <w:r w:rsidRPr="00946A3C">
              <w:rPr>
                <w:rFonts w:ascii="Times New Roman" w:eastAsia="Times New Roman" w:hAnsi="Times New Roman" w:cs="Times New Roman"/>
                <w:bCs/>
                <w:spacing w:val="-1"/>
              </w:rPr>
              <w:t>.</w:t>
            </w:r>
          </w:p>
          <w:p w14:paraId="792E1D05" w14:textId="77777777" w:rsidR="005D3103" w:rsidRPr="00107057" w:rsidRDefault="00080994" w:rsidP="00CB615C">
            <w:pPr>
              <w:widowControl/>
              <w:spacing w:after="0" w:line="240" w:lineRule="auto"/>
              <w:rPr>
                <w:rFonts w:ascii="Times New Roman" w:eastAsia="Times New Roman" w:hAnsi="Times New Roman" w:cs="Times New Roman"/>
                <w:bCs/>
                <w:spacing w:val="-1"/>
                <w:lang w:val="en-US"/>
              </w:rPr>
            </w:pPr>
            <w:r w:rsidRPr="00107057">
              <w:rPr>
                <w:rFonts w:ascii="Times New Roman" w:hAnsi="Times New Roman"/>
                <w:lang w:val="en-US"/>
              </w:rPr>
              <w:t>Tel: + 386 1 23 63 180</w:t>
            </w:r>
          </w:p>
          <w:p w14:paraId="791C4079" w14:textId="77777777" w:rsidR="005D3103" w:rsidRPr="00107057" w:rsidRDefault="005D3103" w:rsidP="00CB615C">
            <w:pPr>
              <w:widowControl/>
              <w:spacing w:after="0" w:line="240" w:lineRule="auto"/>
              <w:rPr>
                <w:rFonts w:ascii="Times New Roman" w:eastAsia="Times New Roman" w:hAnsi="Times New Roman" w:cs="Times New Roman"/>
                <w:bCs/>
                <w:spacing w:val="-1"/>
                <w:lang w:val="en-US"/>
              </w:rPr>
            </w:pPr>
          </w:p>
        </w:tc>
      </w:tr>
      <w:tr w:rsidR="00E37FC5" w14:paraId="286E0B67" w14:textId="77777777" w:rsidTr="00282DA8">
        <w:trPr>
          <w:cantSplit/>
        </w:trPr>
        <w:tc>
          <w:tcPr>
            <w:tcW w:w="4261" w:type="dxa"/>
          </w:tcPr>
          <w:p w14:paraId="47554B36" w14:textId="3EDF6B35" w:rsidR="005D3103" w:rsidRPr="005D3103" w:rsidRDefault="00080994" w:rsidP="00CB615C">
            <w:pPr>
              <w:widowControl/>
              <w:spacing w:after="0" w:line="240" w:lineRule="auto"/>
              <w:rPr>
                <w:rFonts w:ascii="Times New Roman" w:eastAsia="Times New Roman" w:hAnsi="Times New Roman" w:cs="Times New Roman"/>
                <w:b/>
                <w:bCs/>
                <w:spacing w:val="-1"/>
              </w:rPr>
            </w:pPr>
            <w:proofErr w:type="spellStart"/>
            <w:r>
              <w:rPr>
                <w:rFonts w:ascii="Times New Roman" w:hAnsi="Times New Roman"/>
                <w:b/>
              </w:rPr>
              <w:lastRenderedPageBreak/>
              <w:t>Ísland</w:t>
            </w:r>
            <w:proofErr w:type="spellEnd"/>
          </w:p>
          <w:p w14:paraId="769DEC4F" w14:textId="4FF914BE" w:rsidR="007A2134" w:rsidRPr="007458B2" w:rsidRDefault="00080994" w:rsidP="00CB615C">
            <w:pPr>
              <w:pStyle w:val="paragraph"/>
              <w:spacing w:before="0" w:beforeAutospacing="0" w:after="0" w:afterAutospacing="0"/>
              <w:textAlignment w:val="baseline"/>
              <w:rPr>
                <w:rFonts w:ascii="Segoe UI" w:hAnsi="Segoe UI" w:cs="Segoe UI"/>
                <w:sz w:val="18"/>
                <w:szCs w:val="18"/>
              </w:rPr>
            </w:pPr>
            <w:proofErr w:type="spellStart"/>
            <w:r>
              <w:rPr>
                <w:rStyle w:val="spellingerror"/>
                <w:sz w:val="22"/>
              </w:rPr>
              <w:t>Icepharma</w:t>
            </w:r>
            <w:proofErr w:type="spellEnd"/>
            <w:r>
              <w:rPr>
                <w:rStyle w:val="normaltextrun"/>
                <w:sz w:val="22"/>
              </w:rPr>
              <w:t> </w:t>
            </w:r>
            <w:proofErr w:type="spellStart"/>
            <w:r>
              <w:rPr>
                <w:rStyle w:val="normaltextrun"/>
                <w:sz w:val="22"/>
              </w:rPr>
              <w:t>hf</w:t>
            </w:r>
            <w:proofErr w:type="spellEnd"/>
            <w:r w:rsidR="00461DDA">
              <w:rPr>
                <w:rStyle w:val="normaltextrun"/>
                <w:sz w:val="22"/>
              </w:rPr>
              <w:t>.</w:t>
            </w:r>
            <w:r>
              <w:rPr>
                <w:rStyle w:val="eop"/>
                <w:sz w:val="22"/>
              </w:rPr>
              <w:t> </w:t>
            </w:r>
          </w:p>
          <w:p w14:paraId="237F7A1A" w14:textId="31CB70F9" w:rsidR="007A2134" w:rsidRPr="007458B2" w:rsidRDefault="0093182E" w:rsidP="00CB615C">
            <w:pPr>
              <w:pStyle w:val="paragraph"/>
              <w:spacing w:before="0" w:beforeAutospacing="0" w:after="0" w:afterAutospacing="0"/>
              <w:textAlignment w:val="baseline"/>
              <w:rPr>
                <w:rFonts w:ascii="Segoe UI" w:hAnsi="Segoe UI" w:cs="Segoe UI"/>
                <w:sz w:val="18"/>
                <w:szCs w:val="18"/>
              </w:rPr>
            </w:pPr>
            <w:proofErr w:type="spellStart"/>
            <w:proofErr w:type="gramStart"/>
            <w:r w:rsidRPr="00946A3C">
              <w:rPr>
                <w:sz w:val="22"/>
                <w:szCs w:val="22"/>
              </w:rPr>
              <w:t>Sími</w:t>
            </w:r>
            <w:proofErr w:type="spellEnd"/>
            <w:r w:rsidR="00080994">
              <w:rPr>
                <w:rStyle w:val="normaltextrun"/>
                <w:sz w:val="22"/>
              </w:rPr>
              <w:t>:</w:t>
            </w:r>
            <w:proofErr w:type="gramEnd"/>
            <w:r w:rsidR="00080994">
              <w:rPr>
                <w:rStyle w:val="normaltextrun"/>
                <w:sz w:val="22"/>
              </w:rPr>
              <w:t xml:space="preserve"> +354 540 8000</w:t>
            </w:r>
            <w:r w:rsidR="00080994">
              <w:rPr>
                <w:rStyle w:val="eop"/>
                <w:sz w:val="22"/>
              </w:rPr>
              <w:t> </w:t>
            </w:r>
          </w:p>
          <w:p w14:paraId="664CC28D" w14:textId="77777777" w:rsidR="005D3103" w:rsidRPr="005D3103" w:rsidRDefault="005D3103" w:rsidP="00CB615C">
            <w:pPr>
              <w:widowControl/>
              <w:spacing w:after="0" w:line="240" w:lineRule="auto"/>
              <w:rPr>
                <w:rFonts w:ascii="Times New Roman" w:eastAsia="Times New Roman" w:hAnsi="Times New Roman" w:cs="Times New Roman"/>
                <w:bCs/>
                <w:spacing w:val="-1"/>
              </w:rPr>
            </w:pPr>
          </w:p>
        </w:tc>
        <w:tc>
          <w:tcPr>
            <w:tcW w:w="4670" w:type="dxa"/>
            <w:hideMark/>
          </w:tcPr>
          <w:p w14:paraId="29D07776" w14:textId="77777777" w:rsidR="005D3103" w:rsidRPr="00065255" w:rsidRDefault="00080994" w:rsidP="00CB615C">
            <w:pPr>
              <w:widowControl/>
              <w:spacing w:after="0" w:line="240" w:lineRule="auto"/>
              <w:rPr>
                <w:rFonts w:ascii="Times New Roman" w:eastAsia="Times New Roman" w:hAnsi="Times New Roman" w:cs="Times New Roman"/>
                <w:b/>
                <w:bCs/>
                <w:spacing w:val="-1"/>
                <w:lang w:val="de-DE"/>
              </w:rPr>
            </w:pPr>
            <w:r w:rsidRPr="00065255">
              <w:rPr>
                <w:rFonts w:ascii="Times New Roman" w:hAnsi="Times New Roman"/>
                <w:b/>
                <w:lang w:val="de-DE"/>
              </w:rPr>
              <w:t>Slovenská republika</w:t>
            </w:r>
          </w:p>
          <w:p w14:paraId="22F6C550" w14:textId="77777777" w:rsidR="00461DDA" w:rsidRPr="001C6181" w:rsidRDefault="00461DDA" w:rsidP="00CB615C">
            <w:pPr>
              <w:widowControl/>
              <w:spacing w:after="0" w:line="240" w:lineRule="auto"/>
              <w:rPr>
                <w:rFonts w:ascii="Times New Roman" w:eastAsia="Times New Roman" w:hAnsi="Times New Roman" w:cs="Times New Roman"/>
                <w:bCs/>
                <w:spacing w:val="-1"/>
                <w:lang w:val="sv-SE"/>
              </w:rPr>
            </w:pPr>
            <w:r w:rsidRPr="00824948">
              <w:rPr>
                <w:rFonts w:ascii="Times New Roman" w:hAnsi="Times New Roman" w:cs="Times New Roman"/>
                <w:lang w:val="en-US"/>
              </w:rPr>
              <w:t>Viatris Slovakia</w:t>
            </w:r>
            <w:r w:rsidRPr="001C6181">
              <w:rPr>
                <w:rFonts w:ascii="Times New Roman" w:eastAsia="Times New Roman" w:hAnsi="Times New Roman" w:cs="Times New Roman"/>
                <w:bCs/>
                <w:spacing w:val="-1"/>
                <w:lang w:val="sv-SE"/>
              </w:rPr>
              <w:t xml:space="preserve"> s.r.o.</w:t>
            </w:r>
          </w:p>
          <w:p w14:paraId="6CD12E7F" w14:textId="77777777" w:rsidR="005D3103" w:rsidRDefault="00080994" w:rsidP="00CB615C">
            <w:pPr>
              <w:widowControl/>
              <w:spacing w:after="0" w:line="240" w:lineRule="auto"/>
              <w:rPr>
                <w:rFonts w:ascii="Times New Roman" w:hAnsi="Times New Roman"/>
              </w:rPr>
            </w:pPr>
            <w:proofErr w:type="gramStart"/>
            <w:r>
              <w:rPr>
                <w:rFonts w:ascii="Times New Roman" w:hAnsi="Times New Roman"/>
              </w:rPr>
              <w:t>Tel:</w:t>
            </w:r>
            <w:proofErr w:type="gramEnd"/>
            <w:r>
              <w:rPr>
                <w:rFonts w:ascii="Times New Roman" w:hAnsi="Times New Roman"/>
              </w:rPr>
              <w:t xml:space="preserve"> +421 2 32 199 100</w:t>
            </w:r>
          </w:p>
          <w:p w14:paraId="00AA82F1" w14:textId="77777777" w:rsidR="005766AB" w:rsidRPr="005D3103" w:rsidRDefault="005766AB" w:rsidP="00CB615C">
            <w:pPr>
              <w:widowControl/>
              <w:spacing w:after="0" w:line="240" w:lineRule="auto"/>
              <w:rPr>
                <w:rFonts w:ascii="Times New Roman" w:eastAsia="Times New Roman" w:hAnsi="Times New Roman" w:cs="Times New Roman"/>
                <w:bCs/>
                <w:spacing w:val="-1"/>
              </w:rPr>
            </w:pPr>
          </w:p>
        </w:tc>
      </w:tr>
      <w:tr w:rsidR="00E37FC5" w14:paraId="295A0E7E" w14:textId="77777777" w:rsidTr="00282DA8">
        <w:trPr>
          <w:cantSplit/>
        </w:trPr>
        <w:tc>
          <w:tcPr>
            <w:tcW w:w="4261" w:type="dxa"/>
          </w:tcPr>
          <w:p w14:paraId="20B83C92" w14:textId="77777777" w:rsidR="005D3103" w:rsidRPr="009F0256" w:rsidRDefault="00080994" w:rsidP="00CB615C">
            <w:pPr>
              <w:widowControl/>
              <w:spacing w:after="0" w:line="240" w:lineRule="auto"/>
              <w:rPr>
                <w:rFonts w:ascii="Times New Roman" w:eastAsia="Times New Roman" w:hAnsi="Times New Roman" w:cs="Times New Roman"/>
                <w:b/>
                <w:bCs/>
                <w:spacing w:val="-1"/>
                <w:lang w:val="es-ES"/>
              </w:rPr>
            </w:pPr>
            <w:r w:rsidRPr="009F0256">
              <w:rPr>
                <w:rFonts w:ascii="Times New Roman" w:hAnsi="Times New Roman"/>
                <w:b/>
                <w:lang w:val="es-ES"/>
              </w:rPr>
              <w:t>Italia</w:t>
            </w:r>
          </w:p>
          <w:p w14:paraId="4A76C2BD" w14:textId="1733131C" w:rsidR="00ED1154" w:rsidRPr="009F0256" w:rsidRDefault="00260A3C" w:rsidP="00CB615C">
            <w:pPr>
              <w:widowControl/>
              <w:spacing w:after="0" w:line="240" w:lineRule="auto"/>
              <w:rPr>
                <w:rFonts w:ascii="Times New Roman" w:eastAsia="Times New Roman" w:hAnsi="Times New Roman" w:cs="Times New Roman"/>
                <w:bCs/>
                <w:spacing w:val="-1"/>
                <w:lang w:val="es-ES"/>
              </w:rPr>
            </w:pPr>
            <w:r w:rsidRPr="009F0256">
              <w:rPr>
                <w:rFonts w:ascii="Times New Roman" w:hAnsi="Times New Roman"/>
                <w:lang w:val="es-ES"/>
              </w:rPr>
              <w:t xml:space="preserve">Viatris </w:t>
            </w:r>
            <w:r w:rsidR="00080994" w:rsidRPr="009F0256">
              <w:rPr>
                <w:rFonts w:ascii="Times New Roman" w:hAnsi="Times New Roman"/>
                <w:lang w:val="es-ES"/>
              </w:rPr>
              <w:t xml:space="preserve">Italia </w:t>
            </w:r>
            <w:proofErr w:type="spellStart"/>
            <w:r w:rsidR="00080994" w:rsidRPr="009F0256">
              <w:rPr>
                <w:rFonts w:ascii="Times New Roman" w:hAnsi="Times New Roman"/>
                <w:lang w:val="es-ES"/>
              </w:rPr>
              <w:t>S.r.l</w:t>
            </w:r>
            <w:proofErr w:type="spellEnd"/>
            <w:r w:rsidR="00080994" w:rsidRPr="009F0256">
              <w:rPr>
                <w:rFonts w:ascii="Times New Roman" w:hAnsi="Times New Roman"/>
                <w:lang w:val="es-ES"/>
              </w:rPr>
              <w:t>. </w:t>
            </w:r>
          </w:p>
          <w:p w14:paraId="15ECB7E7" w14:textId="01C296BA" w:rsidR="005D3103" w:rsidRPr="005D3103" w:rsidRDefault="00080994" w:rsidP="00CB615C">
            <w:pPr>
              <w:widowControl/>
              <w:spacing w:after="0" w:line="240" w:lineRule="auto"/>
              <w:rPr>
                <w:rFonts w:ascii="Times New Roman" w:eastAsia="Times New Roman" w:hAnsi="Times New Roman" w:cs="Times New Roman"/>
                <w:bCs/>
                <w:spacing w:val="-1"/>
              </w:rPr>
            </w:pPr>
            <w:r>
              <w:rPr>
                <w:rFonts w:ascii="Times New Roman" w:hAnsi="Times New Roman"/>
              </w:rPr>
              <w:t xml:space="preserve">Tel: + 39 </w:t>
            </w:r>
            <w:r w:rsidR="000A298F">
              <w:rPr>
                <w:rFonts w:ascii="Times New Roman" w:hAnsi="Times New Roman"/>
              </w:rPr>
              <w:t>(</w:t>
            </w:r>
            <w:r>
              <w:rPr>
                <w:rFonts w:ascii="Times New Roman" w:hAnsi="Times New Roman"/>
              </w:rPr>
              <w:t>0</w:t>
            </w:r>
            <w:r w:rsidR="000A298F">
              <w:rPr>
                <w:rFonts w:ascii="Times New Roman" w:hAnsi="Times New Roman"/>
              </w:rPr>
              <w:t>)</w:t>
            </w:r>
            <w:r w:rsidR="00CA11A8">
              <w:rPr>
                <w:rFonts w:ascii="Times New Roman" w:hAnsi="Times New Roman"/>
              </w:rPr>
              <w:t xml:space="preserve"> </w:t>
            </w:r>
            <w:r>
              <w:rPr>
                <w:rFonts w:ascii="Times New Roman" w:hAnsi="Times New Roman"/>
              </w:rPr>
              <w:t>2 612 46921</w:t>
            </w:r>
          </w:p>
          <w:p w14:paraId="3557D383" w14:textId="77777777" w:rsidR="005D3103" w:rsidRPr="005D3103" w:rsidRDefault="005D3103" w:rsidP="00CB615C">
            <w:pPr>
              <w:widowControl/>
              <w:spacing w:after="0" w:line="240" w:lineRule="auto"/>
              <w:rPr>
                <w:rFonts w:ascii="Times New Roman" w:eastAsia="Times New Roman" w:hAnsi="Times New Roman" w:cs="Times New Roman"/>
                <w:bCs/>
                <w:spacing w:val="-1"/>
              </w:rPr>
            </w:pPr>
          </w:p>
        </w:tc>
        <w:tc>
          <w:tcPr>
            <w:tcW w:w="4670" w:type="dxa"/>
          </w:tcPr>
          <w:p w14:paraId="055A2415" w14:textId="49947B8D" w:rsidR="005D3103" w:rsidRPr="002D61D7" w:rsidRDefault="00080994" w:rsidP="00CB615C">
            <w:pPr>
              <w:widowControl/>
              <w:spacing w:after="0" w:line="240" w:lineRule="auto"/>
              <w:rPr>
                <w:rFonts w:ascii="Times New Roman" w:eastAsia="Times New Roman" w:hAnsi="Times New Roman" w:cs="Times New Roman"/>
                <w:b/>
                <w:bCs/>
                <w:spacing w:val="-1"/>
              </w:rPr>
            </w:pPr>
            <w:r>
              <w:rPr>
                <w:rFonts w:ascii="Times New Roman" w:hAnsi="Times New Roman"/>
                <w:b/>
              </w:rPr>
              <w:t>Suomi/</w:t>
            </w:r>
            <w:proofErr w:type="spellStart"/>
            <w:r>
              <w:rPr>
                <w:rFonts w:ascii="Times New Roman" w:hAnsi="Times New Roman"/>
                <w:b/>
              </w:rPr>
              <w:t>Finland</w:t>
            </w:r>
            <w:proofErr w:type="spellEnd"/>
          </w:p>
          <w:p w14:paraId="6E26E4C9" w14:textId="365447A5" w:rsidR="005D3103" w:rsidRPr="002D61D7" w:rsidRDefault="0093182E" w:rsidP="00CB615C">
            <w:pPr>
              <w:widowControl/>
              <w:spacing w:after="0" w:line="240" w:lineRule="auto"/>
              <w:rPr>
                <w:rFonts w:ascii="Times New Roman" w:eastAsia="Times New Roman" w:hAnsi="Times New Roman" w:cs="Times New Roman"/>
                <w:bCs/>
                <w:spacing w:val="-1"/>
              </w:rPr>
            </w:pPr>
            <w:r w:rsidRPr="00946A3C">
              <w:rPr>
                <w:rFonts w:ascii="Times New Roman" w:hAnsi="Times New Roman" w:cs="Times New Roman"/>
              </w:rPr>
              <w:t>Viatris</w:t>
            </w:r>
            <w:r w:rsidR="00080994">
              <w:rPr>
                <w:rFonts w:ascii="Times New Roman" w:hAnsi="Times New Roman"/>
              </w:rPr>
              <w:t xml:space="preserve"> O</w:t>
            </w:r>
            <w:r w:rsidR="003D4777">
              <w:rPr>
                <w:rFonts w:ascii="Times New Roman" w:hAnsi="Times New Roman"/>
              </w:rPr>
              <w:t>y</w:t>
            </w:r>
          </w:p>
          <w:p w14:paraId="6523E4D5" w14:textId="77777777" w:rsidR="005D3103" w:rsidRPr="002D61D7" w:rsidRDefault="00080994" w:rsidP="00CB615C">
            <w:pPr>
              <w:widowControl/>
              <w:spacing w:after="0" w:line="240" w:lineRule="auto"/>
              <w:rPr>
                <w:rFonts w:ascii="Times New Roman" w:eastAsia="Times New Roman" w:hAnsi="Times New Roman" w:cs="Times New Roman"/>
                <w:bCs/>
                <w:spacing w:val="-1"/>
              </w:rPr>
            </w:pPr>
            <w:proofErr w:type="spellStart"/>
            <w:r>
              <w:rPr>
                <w:rFonts w:ascii="Times New Roman" w:hAnsi="Times New Roman"/>
              </w:rPr>
              <w:t>Puh</w:t>
            </w:r>
            <w:proofErr w:type="spellEnd"/>
            <w:r>
              <w:rPr>
                <w:rFonts w:ascii="Times New Roman" w:hAnsi="Times New Roman"/>
              </w:rPr>
              <w:t>/Tel: +358 20 720 9555</w:t>
            </w:r>
          </w:p>
          <w:p w14:paraId="2D0EBC49" w14:textId="77777777" w:rsidR="005D3103" w:rsidRPr="00077970" w:rsidRDefault="005D3103" w:rsidP="00CB615C">
            <w:pPr>
              <w:widowControl/>
              <w:spacing w:after="0" w:line="240" w:lineRule="auto"/>
              <w:rPr>
                <w:rFonts w:ascii="Times New Roman" w:eastAsia="Times New Roman" w:hAnsi="Times New Roman" w:cs="Times New Roman"/>
                <w:bCs/>
                <w:spacing w:val="-1"/>
                <w:lang w:val="sv-SE"/>
              </w:rPr>
            </w:pPr>
          </w:p>
        </w:tc>
      </w:tr>
      <w:tr w:rsidR="00E37FC5" w14:paraId="5E2F01AE" w14:textId="77777777" w:rsidTr="00282DA8">
        <w:trPr>
          <w:cantSplit/>
        </w:trPr>
        <w:tc>
          <w:tcPr>
            <w:tcW w:w="4261" w:type="dxa"/>
          </w:tcPr>
          <w:p w14:paraId="7EEAC6AB" w14:textId="77777777" w:rsidR="005D3103" w:rsidRPr="002D61D7" w:rsidRDefault="00080994" w:rsidP="00CB615C">
            <w:pPr>
              <w:widowControl/>
              <w:spacing w:after="0" w:line="240" w:lineRule="auto"/>
              <w:rPr>
                <w:rFonts w:ascii="Times New Roman" w:eastAsia="Times New Roman" w:hAnsi="Times New Roman" w:cs="Times New Roman"/>
                <w:b/>
                <w:bCs/>
                <w:spacing w:val="-1"/>
              </w:rPr>
            </w:pPr>
            <w:proofErr w:type="spellStart"/>
            <w:r>
              <w:rPr>
                <w:rFonts w:ascii="Times New Roman" w:hAnsi="Times New Roman"/>
                <w:b/>
              </w:rPr>
              <w:t>Κύ</w:t>
            </w:r>
            <w:proofErr w:type="spellEnd"/>
            <w:r>
              <w:rPr>
                <w:rFonts w:ascii="Times New Roman" w:hAnsi="Times New Roman"/>
                <w:b/>
              </w:rPr>
              <w:t>προς</w:t>
            </w:r>
          </w:p>
          <w:p w14:paraId="604FAB7D" w14:textId="58EB078F" w:rsidR="007A2134" w:rsidRPr="002D61D7" w:rsidRDefault="000967A0" w:rsidP="00CB615C">
            <w:pPr>
              <w:widowControl/>
              <w:spacing w:after="0" w:line="240" w:lineRule="auto"/>
              <w:rPr>
                <w:rFonts w:ascii="Times New Roman" w:eastAsia="Times New Roman" w:hAnsi="Times New Roman" w:cs="Times New Roman"/>
                <w:bCs/>
                <w:spacing w:val="-1"/>
              </w:rPr>
            </w:pPr>
            <w:r w:rsidRPr="00957592">
              <w:rPr>
                <w:rFonts w:ascii="Times New Roman" w:eastAsia="Times New Roman" w:hAnsi="Times New Roman" w:cs="Times New Roman"/>
                <w:bCs/>
                <w:spacing w:val="-1"/>
              </w:rPr>
              <w:t>CPO Pharmaceuticals Limited</w:t>
            </w:r>
            <w:r w:rsidRPr="00485146">
              <w:rPr>
                <w:rFonts w:ascii="Times New Roman" w:eastAsia="Times New Roman" w:hAnsi="Times New Roman" w:cs="Times New Roman"/>
                <w:bCs/>
                <w:spacing w:val="-1"/>
              </w:rPr>
              <w:t> </w:t>
            </w:r>
            <w:r w:rsidR="00461DDA" w:rsidDel="00461DDA">
              <w:rPr>
                <w:rFonts w:ascii="Times New Roman" w:hAnsi="Times New Roman"/>
              </w:rPr>
              <w:t xml:space="preserve"> </w:t>
            </w:r>
          </w:p>
          <w:p w14:paraId="347BA06B" w14:textId="1B7D59D1" w:rsidR="005D3103" w:rsidRDefault="00080994" w:rsidP="00CB615C">
            <w:pPr>
              <w:widowControl/>
              <w:spacing w:after="0" w:line="240" w:lineRule="auto"/>
              <w:rPr>
                <w:rFonts w:ascii="Times New Roman" w:eastAsia="Times New Roman" w:hAnsi="Times New Roman" w:cs="Times New Roman"/>
                <w:bCs/>
                <w:spacing w:val="-1"/>
                <w:lang w:val="sv-SE"/>
              </w:rPr>
            </w:pPr>
            <w:proofErr w:type="spellStart"/>
            <w:proofErr w:type="gramStart"/>
            <w:r>
              <w:rPr>
                <w:rFonts w:ascii="Times New Roman" w:hAnsi="Times New Roman"/>
              </w:rPr>
              <w:t>Τηλ</w:t>
            </w:r>
            <w:proofErr w:type="spellEnd"/>
            <w:r>
              <w:rPr>
                <w:rFonts w:ascii="Times New Roman" w:hAnsi="Times New Roman"/>
              </w:rPr>
              <w:t>:</w:t>
            </w:r>
            <w:proofErr w:type="gramEnd"/>
            <w:r>
              <w:rPr>
                <w:rFonts w:ascii="Times New Roman" w:hAnsi="Times New Roman"/>
              </w:rPr>
              <w:t xml:space="preserve"> </w:t>
            </w:r>
            <w:r w:rsidR="000967A0" w:rsidRPr="00957592">
              <w:rPr>
                <w:rFonts w:ascii="Times New Roman" w:eastAsia="Times New Roman" w:hAnsi="Times New Roman" w:cs="Times New Roman"/>
                <w:bCs/>
                <w:spacing w:val="-1"/>
              </w:rPr>
              <w:t>+357 22863100</w:t>
            </w:r>
          </w:p>
          <w:p w14:paraId="03673E11" w14:textId="43248CBD" w:rsidR="005766AB" w:rsidRPr="002D61D7" w:rsidRDefault="005766AB" w:rsidP="00CB615C">
            <w:pPr>
              <w:widowControl/>
              <w:spacing w:after="0" w:line="240" w:lineRule="auto"/>
              <w:rPr>
                <w:rFonts w:ascii="Times New Roman" w:eastAsia="Times New Roman" w:hAnsi="Times New Roman" w:cs="Times New Roman"/>
                <w:bCs/>
                <w:spacing w:val="-1"/>
              </w:rPr>
            </w:pPr>
          </w:p>
        </w:tc>
        <w:tc>
          <w:tcPr>
            <w:tcW w:w="4670" w:type="dxa"/>
          </w:tcPr>
          <w:p w14:paraId="2AC4C700" w14:textId="1C305930" w:rsidR="005D3103" w:rsidRPr="005D3103" w:rsidRDefault="00080994" w:rsidP="00CB615C">
            <w:pPr>
              <w:widowControl/>
              <w:spacing w:after="0" w:line="240" w:lineRule="auto"/>
              <w:rPr>
                <w:rFonts w:ascii="Times New Roman" w:eastAsia="Times New Roman" w:hAnsi="Times New Roman" w:cs="Times New Roman"/>
                <w:b/>
                <w:bCs/>
                <w:spacing w:val="-1"/>
              </w:rPr>
            </w:pPr>
            <w:proofErr w:type="spellStart"/>
            <w:r>
              <w:rPr>
                <w:rFonts w:ascii="Times New Roman" w:hAnsi="Times New Roman"/>
                <w:b/>
              </w:rPr>
              <w:t>Sverige</w:t>
            </w:r>
            <w:proofErr w:type="spellEnd"/>
          </w:p>
          <w:p w14:paraId="5A132703" w14:textId="7D28F865" w:rsidR="005D3103" w:rsidRPr="005D3103" w:rsidRDefault="00461DDA" w:rsidP="00CB615C">
            <w:pPr>
              <w:widowControl/>
              <w:spacing w:after="0" w:line="240" w:lineRule="auto"/>
              <w:rPr>
                <w:rFonts w:ascii="Times New Roman" w:eastAsia="Times New Roman" w:hAnsi="Times New Roman" w:cs="Times New Roman"/>
                <w:bCs/>
                <w:spacing w:val="-1"/>
              </w:rPr>
            </w:pPr>
            <w:r w:rsidRPr="00946A3C">
              <w:rPr>
                <w:rFonts w:ascii="Times New Roman" w:hAnsi="Times New Roman" w:cs="Times New Roman"/>
              </w:rPr>
              <w:t>Viatris</w:t>
            </w:r>
            <w:r w:rsidRPr="001C6181">
              <w:rPr>
                <w:rFonts w:ascii="Times New Roman" w:eastAsia="Times New Roman" w:hAnsi="Times New Roman" w:cs="Times New Roman"/>
                <w:bCs/>
                <w:spacing w:val="-1"/>
              </w:rPr>
              <w:t xml:space="preserve"> AB </w:t>
            </w:r>
          </w:p>
          <w:p w14:paraId="2BCC7A07" w14:textId="27CE2817" w:rsidR="005D3103" w:rsidRPr="005D3103" w:rsidRDefault="00080994" w:rsidP="00CB615C">
            <w:pPr>
              <w:widowControl/>
              <w:spacing w:after="0" w:line="240" w:lineRule="auto"/>
              <w:rPr>
                <w:rFonts w:ascii="Times New Roman" w:eastAsia="Times New Roman" w:hAnsi="Times New Roman" w:cs="Times New Roman"/>
                <w:bCs/>
                <w:spacing w:val="-1"/>
              </w:rPr>
            </w:pPr>
            <w:proofErr w:type="gramStart"/>
            <w:r>
              <w:rPr>
                <w:rFonts w:ascii="Times New Roman" w:hAnsi="Times New Roman"/>
              </w:rPr>
              <w:t>Tel:</w:t>
            </w:r>
            <w:proofErr w:type="gramEnd"/>
            <w:r>
              <w:rPr>
                <w:rFonts w:ascii="Times New Roman" w:hAnsi="Times New Roman"/>
              </w:rPr>
              <w:t xml:space="preserve"> + </w:t>
            </w:r>
            <w:r w:rsidR="00461DDA" w:rsidRPr="001C6181">
              <w:rPr>
                <w:rFonts w:ascii="Times New Roman" w:eastAsia="Times New Roman" w:hAnsi="Times New Roman" w:cs="Times New Roman"/>
                <w:bCs/>
                <w:spacing w:val="-1"/>
              </w:rPr>
              <w:t xml:space="preserve">46 </w:t>
            </w:r>
            <w:r w:rsidR="00461DDA">
              <w:rPr>
                <w:rFonts w:ascii="Times New Roman" w:eastAsia="Times New Roman" w:hAnsi="Times New Roman" w:cs="Times New Roman"/>
                <w:bCs/>
                <w:spacing w:val="-1"/>
              </w:rPr>
              <w:t>(0)</w:t>
            </w:r>
            <w:r w:rsidR="00461DDA" w:rsidRPr="001C6181">
              <w:rPr>
                <w:rFonts w:ascii="Times New Roman" w:eastAsia="Times New Roman" w:hAnsi="Times New Roman" w:cs="Times New Roman"/>
                <w:bCs/>
                <w:spacing w:val="-1"/>
              </w:rPr>
              <w:t>8</w:t>
            </w:r>
            <w:r w:rsidR="00461DDA">
              <w:rPr>
                <w:rFonts w:ascii="Times New Roman" w:eastAsia="Times New Roman" w:hAnsi="Times New Roman" w:cs="Times New Roman"/>
                <w:bCs/>
                <w:spacing w:val="-1"/>
              </w:rPr>
              <w:t xml:space="preserve"> </w:t>
            </w:r>
            <w:r w:rsidR="00461DDA" w:rsidRPr="00946A3C">
              <w:rPr>
                <w:rFonts w:ascii="Times New Roman" w:hAnsi="Times New Roman" w:cs="Times New Roman"/>
              </w:rPr>
              <w:t>630 19 00</w:t>
            </w:r>
          </w:p>
          <w:p w14:paraId="5E723383" w14:textId="77777777" w:rsidR="005D3103" w:rsidRPr="005D3103" w:rsidRDefault="005D3103" w:rsidP="00CB615C">
            <w:pPr>
              <w:widowControl/>
              <w:spacing w:after="0" w:line="240" w:lineRule="auto"/>
              <w:rPr>
                <w:rFonts w:ascii="Times New Roman" w:eastAsia="Times New Roman" w:hAnsi="Times New Roman" w:cs="Times New Roman"/>
                <w:bCs/>
                <w:spacing w:val="-1"/>
              </w:rPr>
            </w:pPr>
          </w:p>
        </w:tc>
      </w:tr>
      <w:tr w:rsidR="00E37FC5" w14:paraId="0F493E0B" w14:textId="77777777" w:rsidTr="00282DA8">
        <w:trPr>
          <w:cantSplit/>
        </w:trPr>
        <w:tc>
          <w:tcPr>
            <w:tcW w:w="4261" w:type="dxa"/>
          </w:tcPr>
          <w:p w14:paraId="4C6048ED" w14:textId="05DA3CD7" w:rsidR="005D3103" w:rsidRPr="00614BB7" w:rsidRDefault="00080994" w:rsidP="00CB615C">
            <w:pPr>
              <w:widowControl/>
              <w:spacing w:after="0" w:line="240" w:lineRule="auto"/>
              <w:rPr>
                <w:rFonts w:ascii="Times New Roman" w:eastAsia="Times New Roman" w:hAnsi="Times New Roman" w:cs="Times New Roman"/>
                <w:b/>
                <w:bCs/>
                <w:spacing w:val="-1"/>
                <w:lang w:val="en-GB"/>
              </w:rPr>
            </w:pPr>
            <w:proofErr w:type="spellStart"/>
            <w:r w:rsidRPr="00614BB7">
              <w:rPr>
                <w:rFonts w:ascii="Times New Roman" w:hAnsi="Times New Roman"/>
                <w:b/>
                <w:lang w:val="en-GB"/>
              </w:rPr>
              <w:t>Latvija</w:t>
            </w:r>
            <w:proofErr w:type="spellEnd"/>
          </w:p>
          <w:p w14:paraId="333612F0" w14:textId="1D70E6CD" w:rsidR="00ED1154" w:rsidRPr="00614BB7" w:rsidRDefault="00260A3C" w:rsidP="00CB615C">
            <w:pPr>
              <w:widowControl/>
              <w:spacing w:after="0" w:line="240" w:lineRule="auto"/>
              <w:rPr>
                <w:rFonts w:ascii="Times New Roman" w:eastAsia="Times New Roman" w:hAnsi="Times New Roman" w:cs="Times New Roman"/>
                <w:bCs/>
                <w:spacing w:val="-1"/>
                <w:lang w:val="en-GB"/>
              </w:rPr>
            </w:pPr>
            <w:r>
              <w:rPr>
                <w:rFonts w:ascii="Times New Roman" w:hAnsi="Times New Roman"/>
                <w:lang w:val="en-GB"/>
              </w:rPr>
              <w:t>Viatris</w:t>
            </w:r>
            <w:r w:rsidR="00080994" w:rsidRPr="00614BB7">
              <w:rPr>
                <w:rFonts w:ascii="Times New Roman" w:hAnsi="Times New Roman"/>
                <w:lang w:val="en-GB"/>
              </w:rPr>
              <w:t xml:space="preserve"> SIA </w:t>
            </w:r>
          </w:p>
          <w:p w14:paraId="6EAD15B8" w14:textId="18D80B4C" w:rsidR="005D3103" w:rsidRPr="00614BB7" w:rsidRDefault="00080994" w:rsidP="00CB615C">
            <w:pPr>
              <w:widowControl/>
              <w:spacing w:after="0" w:line="240" w:lineRule="auto"/>
              <w:rPr>
                <w:rFonts w:ascii="Times New Roman" w:eastAsia="Times New Roman" w:hAnsi="Times New Roman" w:cs="Times New Roman"/>
                <w:bCs/>
                <w:spacing w:val="-1"/>
                <w:lang w:val="en-GB"/>
              </w:rPr>
            </w:pPr>
            <w:r w:rsidRPr="00614BB7">
              <w:rPr>
                <w:rFonts w:ascii="Times New Roman" w:hAnsi="Times New Roman"/>
                <w:lang w:val="en-GB"/>
              </w:rPr>
              <w:t>Tel: +371 676 055 80</w:t>
            </w:r>
          </w:p>
          <w:p w14:paraId="012722D1" w14:textId="77777777" w:rsidR="005D3103" w:rsidRPr="00614BB7" w:rsidRDefault="005D3103" w:rsidP="00CB615C">
            <w:pPr>
              <w:widowControl/>
              <w:spacing w:after="0" w:line="240" w:lineRule="auto"/>
              <w:rPr>
                <w:rFonts w:ascii="Times New Roman" w:eastAsia="Times New Roman" w:hAnsi="Times New Roman" w:cs="Times New Roman"/>
                <w:bCs/>
                <w:spacing w:val="-1"/>
                <w:lang w:val="en-GB"/>
              </w:rPr>
            </w:pPr>
          </w:p>
        </w:tc>
        <w:tc>
          <w:tcPr>
            <w:tcW w:w="4670" w:type="dxa"/>
            <w:hideMark/>
          </w:tcPr>
          <w:p w14:paraId="6A35068D" w14:textId="0C7D03F3" w:rsidR="005D3103" w:rsidRPr="005D3103" w:rsidRDefault="005D3103" w:rsidP="00CB615C">
            <w:pPr>
              <w:widowControl/>
              <w:spacing w:after="0" w:line="240" w:lineRule="auto"/>
              <w:rPr>
                <w:rFonts w:ascii="Times New Roman" w:eastAsia="Times New Roman" w:hAnsi="Times New Roman" w:cs="Times New Roman"/>
                <w:bCs/>
                <w:spacing w:val="-1"/>
              </w:rPr>
            </w:pPr>
          </w:p>
        </w:tc>
      </w:tr>
    </w:tbl>
    <w:bookmarkEnd w:id="18"/>
    <w:p w14:paraId="513B4829" w14:textId="598B8C20" w:rsidR="001C7C0E" w:rsidRPr="005E3BF6" w:rsidRDefault="00080994" w:rsidP="00CB615C">
      <w:pPr>
        <w:widowControl/>
        <w:spacing w:after="0" w:line="240" w:lineRule="auto"/>
        <w:rPr>
          <w:rFonts w:ascii="Times New Roman" w:eastAsia="Times New Roman" w:hAnsi="Times New Roman" w:cs="Times New Roman"/>
          <w:b/>
          <w:bCs/>
          <w:spacing w:val="1"/>
        </w:rPr>
      </w:pPr>
      <w:r>
        <w:rPr>
          <w:rFonts w:ascii="Times New Roman" w:hAnsi="Times New Roman"/>
          <w:b/>
        </w:rPr>
        <w:t>La dernière date à laquelle cette notice a été révisée est</w:t>
      </w:r>
    </w:p>
    <w:p w14:paraId="4C455B50" w14:textId="5F5BAB57" w:rsidR="003D0BE6" w:rsidRDefault="003D0BE6" w:rsidP="00CB615C">
      <w:pPr>
        <w:widowControl/>
        <w:spacing w:after="0" w:line="240" w:lineRule="auto"/>
        <w:rPr>
          <w:rFonts w:ascii="Times New Roman" w:eastAsia="Times New Roman" w:hAnsi="Times New Roman" w:cs="Times New Roman"/>
        </w:rPr>
      </w:pPr>
    </w:p>
    <w:p w14:paraId="3874C029" w14:textId="77777777" w:rsidR="009322AC" w:rsidRDefault="00080994" w:rsidP="00CB615C">
      <w:pPr>
        <w:widowControl/>
        <w:spacing w:after="0" w:line="240" w:lineRule="auto"/>
        <w:rPr>
          <w:rFonts w:ascii="Times New Roman" w:hAnsi="Times New Roman"/>
          <w:b/>
        </w:rPr>
      </w:pPr>
      <w:r>
        <w:rPr>
          <w:rFonts w:ascii="Times New Roman" w:hAnsi="Times New Roman"/>
          <w:b/>
        </w:rPr>
        <w:t>Autres sources d’informations</w:t>
      </w:r>
    </w:p>
    <w:p w14:paraId="2045134C" w14:textId="77777777" w:rsidR="00107057" w:rsidRPr="00EA1A87" w:rsidRDefault="00107057" w:rsidP="00CB615C">
      <w:pPr>
        <w:widowControl/>
        <w:spacing w:after="0" w:line="240" w:lineRule="auto"/>
        <w:rPr>
          <w:rFonts w:ascii="Times New Roman" w:eastAsia="Times New Roman" w:hAnsi="Times New Roman" w:cs="Times New Roman"/>
          <w:b/>
        </w:rPr>
      </w:pPr>
    </w:p>
    <w:p w14:paraId="2CA32B54" w14:textId="4A4967C7" w:rsidR="00D42ACD" w:rsidRPr="005E3BF6" w:rsidRDefault="00080994" w:rsidP="00CB615C">
      <w:pPr>
        <w:widowControl/>
        <w:spacing w:after="0" w:line="240" w:lineRule="auto"/>
        <w:rPr>
          <w:rFonts w:ascii="Times New Roman" w:eastAsia="Times New Roman" w:hAnsi="Times New Roman" w:cs="Times New Roman"/>
          <w:b/>
        </w:rPr>
      </w:pPr>
      <w:r>
        <w:rPr>
          <w:rFonts w:ascii="Times New Roman" w:hAnsi="Times New Roman"/>
        </w:rPr>
        <w:t xml:space="preserve">Des informations détaillées sur ce médicament sont disponibles sur le site internet de l’Agence européenne des médicaments </w:t>
      </w:r>
      <w:hyperlink r:id="rId12" w:history="1">
        <w:r w:rsidR="009F0256" w:rsidRPr="009F0256">
          <w:rPr>
            <w:rStyle w:val="Lienhypertexte"/>
            <w:rFonts w:ascii="Times New Roman" w:hAnsi="Times New Roman"/>
          </w:rPr>
          <w:t>https://www.ema.europa.eu</w:t>
        </w:r>
      </w:hyperlink>
      <w:r>
        <w:rPr>
          <w:rFonts w:ascii="Times New Roman" w:hAnsi="Times New Roman"/>
        </w:rPr>
        <w:t>.</w:t>
      </w:r>
    </w:p>
    <w:sectPr w:rsidR="00D42ACD" w:rsidRPr="005E3BF6" w:rsidSect="002614F4">
      <w:footerReference w:type="default" r:id="rId13"/>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C05D8" w14:textId="77777777" w:rsidR="006602E8" w:rsidRDefault="006602E8">
      <w:pPr>
        <w:spacing w:after="0" w:line="240" w:lineRule="auto"/>
      </w:pPr>
      <w:r>
        <w:separator/>
      </w:r>
    </w:p>
  </w:endnote>
  <w:endnote w:type="continuationSeparator" w:id="0">
    <w:p w14:paraId="61813D7E" w14:textId="77777777" w:rsidR="006602E8" w:rsidRDefault="00660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59819835"/>
      <w:docPartObj>
        <w:docPartGallery w:val="Page Numbers (Bottom of Page)"/>
        <w:docPartUnique/>
      </w:docPartObj>
    </w:sdtPr>
    <w:sdtEndPr>
      <w:rPr>
        <w:noProof/>
      </w:rPr>
    </w:sdtEndPr>
    <w:sdtContent>
      <w:p w14:paraId="68A46795" w14:textId="1353E1EC" w:rsidR="00124FC4" w:rsidRPr="005E3FEB" w:rsidRDefault="00124FC4">
        <w:pPr>
          <w:pStyle w:val="Pieddepage"/>
          <w:jc w:val="center"/>
          <w:rPr>
            <w:rFonts w:ascii="Arial" w:hAnsi="Arial" w:cs="Arial"/>
            <w:sz w:val="16"/>
            <w:szCs w:val="16"/>
          </w:rPr>
        </w:pPr>
        <w:r w:rsidRPr="005E3FEB">
          <w:rPr>
            <w:rFonts w:ascii="Arial" w:hAnsi="Arial" w:cs="Arial"/>
            <w:sz w:val="16"/>
          </w:rPr>
          <w:fldChar w:fldCharType="begin"/>
        </w:r>
        <w:r w:rsidRPr="005E3FEB">
          <w:rPr>
            <w:rFonts w:ascii="Arial" w:hAnsi="Arial" w:cs="Arial"/>
            <w:sz w:val="16"/>
          </w:rPr>
          <w:instrText xml:space="preserve"> PAGE   \* MERGEFORMAT </w:instrText>
        </w:r>
        <w:r w:rsidRPr="005E3FEB">
          <w:rPr>
            <w:rFonts w:ascii="Arial" w:hAnsi="Arial" w:cs="Arial"/>
            <w:sz w:val="16"/>
          </w:rPr>
          <w:fldChar w:fldCharType="separate"/>
        </w:r>
        <w:r w:rsidR="00B558D9">
          <w:rPr>
            <w:rFonts w:ascii="Arial" w:hAnsi="Arial" w:cs="Arial"/>
            <w:noProof/>
            <w:sz w:val="16"/>
          </w:rPr>
          <w:t>62</w:t>
        </w:r>
        <w:r w:rsidRPr="005E3FEB">
          <w:rPr>
            <w:rFonts w:ascii="Arial" w:hAnsi="Arial" w:cs="Arial"/>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68247" w14:textId="77777777" w:rsidR="006602E8" w:rsidRDefault="006602E8">
      <w:pPr>
        <w:spacing w:after="0" w:line="240" w:lineRule="auto"/>
      </w:pPr>
      <w:r>
        <w:separator/>
      </w:r>
    </w:p>
  </w:footnote>
  <w:footnote w:type="continuationSeparator" w:id="0">
    <w:p w14:paraId="0975A444" w14:textId="77777777" w:rsidR="006602E8" w:rsidRDefault="00660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4D05E9B"/>
    <w:multiLevelType w:val="hybridMultilevel"/>
    <w:tmpl w:val="6124192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4" w15:restartNumberingAfterBreak="0">
    <w:nsid w:val="074165F6"/>
    <w:multiLevelType w:val="hybridMultilevel"/>
    <w:tmpl w:val="4348870A"/>
    <w:lvl w:ilvl="0" w:tplc="D04ED06C">
      <w:start w:val="2"/>
      <w:numFmt w:val="bullet"/>
      <w:lvlText w:val="-"/>
      <w:lvlJc w:val="left"/>
      <w:pPr>
        <w:ind w:left="862" w:hanging="360"/>
      </w:pPr>
      <w:rPr>
        <w:rFonts w:ascii="Times New Roman" w:hAnsi="Times New Roman" w:hint="default"/>
        <w:u w:val="none" w:color="000000"/>
      </w:rPr>
    </w:lvl>
    <w:lvl w:ilvl="1" w:tplc="552CF76A">
      <w:start w:val="2"/>
      <w:numFmt w:val="bullet"/>
      <w:lvlText w:val="-"/>
      <w:lvlJc w:val="left"/>
      <w:pPr>
        <w:ind w:left="1582" w:hanging="360"/>
      </w:pPr>
      <w:rPr>
        <w:rFonts w:ascii="Times New Roman" w:hAnsi="Times New Roman" w:hint="default"/>
        <w:u w:val="none" w:color="000000"/>
      </w:rPr>
    </w:lvl>
    <w:lvl w:ilvl="2" w:tplc="395A7F88" w:tentative="1">
      <w:start w:val="1"/>
      <w:numFmt w:val="bullet"/>
      <w:lvlText w:val=""/>
      <w:lvlJc w:val="left"/>
      <w:pPr>
        <w:ind w:left="2302" w:hanging="360"/>
      </w:pPr>
      <w:rPr>
        <w:rFonts w:ascii="Wingdings" w:hAnsi="Wingdings" w:hint="default"/>
      </w:rPr>
    </w:lvl>
    <w:lvl w:ilvl="3" w:tplc="1F88154E" w:tentative="1">
      <w:start w:val="1"/>
      <w:numFmt w:val="bullet"/>
      <w:lvlText w:val=""/>
      <w:lvlJc w:val="left"/>
      <w:pPr>
        <w:ind w:left="3022" w:hanging="360"/>
      </w:pPr>
      <w:rPr>
        <w:rFonts w:ascii="Symbol" w:hAnsi="Symbol" w:hint="default"/>
      </w:rPr>
    </w:lvl>
    <w:lvl w:ilvl="4" w:tplc="D97E6D76" w:tentative="1">
      <w:start w:val="1"/>
      <w:numFmt w:val="bullet"/>
      <w:lvlText w:val="o"/>
      <w:lvlJc w:val="left"/>
      <w:pPr>
        <w:ind w:left="3742" w:hanging="360"/>
      </w:pPr>
      <w:rPr>
        <w:rFonts w:ascii="Courier New" w:hAnsi="Courier New" w:cs="Courier New" w:hint="default"/>
      </w:rPr>
    </w:lvl>
    <w:lvl w:ilvl="5" w:tplc="C81A2666" w:tentative="1">
      <w:start w:val="1"/>
      <w:numFmt w:val="bullet"/>
      <w:lvlText w:val=""/>
      <w:lvlJc w:val="left"/>
      <w:pPr>
        <w:ind w:left="4462" w:hanging="360"/>
      </w:pPr>
      <w:rPr>
        <w:rFonts w:ascii="Wingdings" w:hAnsi="Wingdings" w:hint="default"/>
      </w:rPr>
    </w:lvl>
    <w:lvl w:ilvl="6" w:tplc="6D58250C" w:tentative="1">
      <w:start w:val="1"/>
      <w:numFmt w:val="bullet"/>
      <w:lvlText w:val=""/>
      <w:lvlJc w:val="left"/>
      <w:pPr>
        <w:ind w:left="5182" w:hanging="360"/>
      </w:pPr>
      <w:rPr>
        <w:rFonts w:ascii="Symbol" w:hAnsi="Symbol" w:hint="default"/>
      </w:rPr>
    </w:lvl>
    <w:lvl w:ilvl="7" w:tplc="92BE16CA" w:tentative="1">
      <w:start w:val="1"/>
      <w:numFmt w:val="bullet"/>
      <w:lvlText w:val="o"/>
      <w:lvlJc w:val="left"/>
      <w:pPr>
        <w:ind w:left="5902" w:hanging="360"/>
      </w:pPr>
      <w:rPr>
        <w:rFonts w:ascii="Courier New" w:hAnsi="Courier New" w:cs="Courier New" w:hint="default"/>
      </w:rPr>
    </w:lvl>
    <w:lvl w:ilvl="8" w:tplc="82BCC844" w:tentative="1">
      <w:start w:val="1"/>
      <w:numFmt w:val="bullet"/>
      <w:lvlText w:val=""/>
      <w:lvlJc w:val="left"/>
      <w:pPr>
        <w:ind w:left="6622" w:hanging="360"/>
      </w:pPr>
      <w:rPr>
        <w:rFonts w:ascii="Wingdings" w:hAnsi="Wingdings" w:hint="default"/>
      </w:rPr>
    </w:lvl>
  </w:abstractNum>
  <w:abstractNum w:abstractNumId="5"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7"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8"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9"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0"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1"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2"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3"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4"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15"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16"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17"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18"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19"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0" w15:restartNumberingAfterBreak="0">
    <w:nsid w:val="3F7D53DC"/>
    <w:multiLevelType w:val="hybridMultilevel"/>
    <w:tmpl w:val="2D8012F2"/>
    <w:lvl w:ilvl="0" w:tplc="8E54AD4C">
      <w:start w:val="3"/>
      <w:numFmt w:val="bullet"/>
      <w:lvlText w:val=""/>
      <w:lvlJc w:val="left"/>
      <w:pPr>
        <w:ind w:left="720" w:hanging="360"/>
      </w:pPr>
      <w:rPr>
        <w:rFonts w:ascii="Symbol" w:eastAsiaTheme="minorEastAsia" w:hAnsi="Symbo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1441EA0"/>
    <w:multiLevelType w:val="hybridMultilevel"/>
    <w:tmpl w:val="1598AE52"/>
    <w:lvl w:ilvl="0" w:tplc="51F6B2CA">
      <w:start w:val="1"/>
      <w:numFmt w:val="bullet"/>
      <w:lvlText w:val=""/>
      <w:lvlJc w:val="left"/>
      <w:pPr>
        <w:ind w:left="721" w:hanging="360"/>
      </w:pPr>
      <w:rPr>
        <w:rFonts w:ascii="Symbol" w:hAnsi="Symbol" w:hint="default"/>
      </w:rPr>
    </w:lvl>
    <w:lvl w:ilvl="1" w:tplc="74E849C0" w:tentative="1">
      <w:start w:val="1"/>
      <w:numFmt w:val="bullet"/>
      <w:lvlText w:val="o"/>
      <w:lvlJc w:val="left"/>
      <w:pPr>
        <w:ind w:left="1441" w:hanging="360"/>
      </w:pPr>
      <w:rPr>
        <w:rFonts w:ascii="Courier New" w:hAnsi="Courier New" w:cs="Courier New" w:hint="default"/>
      </w:rPr>
    </w:lvl>
    <w:lvl w:ilvl="2" w:tplc="DA848DB4" w:tentative="1">
      <w:start w:val="1"/>
      <w:numFmt w:val="bullet"/>
      <w:lvlText w:val=""/>
      <w:lvlJc w:val="left"/>
      <w:pPr>
        <w:ind w:left="2161" w:hanging="360"/>
      </w:pPr>
      <w:rPr>
        <w:rFonts w:ascii="Wingdings" w:hAnsi="Wingdings" w:hint="default"/>
      </w:rPr>
    </w:lvl>
    <w:lvl w:ilvl="3" w:tplc="B5D05BA2" w:tentative="1">
      <w:start w:val="1"/>
      <w:numFmt w:val="bullet"/>
      <w:lvlText w:val=""/>
      <w:lvlJc w:val="left"/>
      <w:pPr>
        <w:ind w:left="2881" w:hanging="360"/>
      </w:pPr>
      <w:rPr>
        <w:rFonts w:ascii="Symbol" w:hAnsi="Symbol" w:hint="default"/>
      </w:rPr>
    </w:lvl>
    <w:lvl w:ilvl="4" w:tplc="BE3E051A" w:tentative="1">
      <w:start w:val="1"/>
      <w:numFmt w:val="bullet"/>
      <w:lvlText w:val="o"/>
      <w:lvlJc w:val="left"/>
      <w:pPr>
        <w:ind w:left="3601" w:hanging="360"/>
      </w:pPr>
      <w:rPr>
        <w:rFonts w:ascii="Courier New" w:hAnsi="Courier New" w:cs="Courier New" w:hint="default"/>
      </w:rPr>
    </w:lvl>
    <w:lvl w:ilvl="5" w:tplc="28D4CF56" w:tentative="1">
      <w:start w:val="1"/>
      <w:numFmt w:val="bullet"/>
      <w:lvlText w:val=""/>
      <w:lvlJc w:val="left"/>
      <w:pPr>
        <w:ind w:left="4321" w:hanging="360"/>
      </w:pPr>
      <w:rPr>
        <w:rFonts w:ascii="Wingdings" w:hAnsi="Wingdings" w:hint="default"/>
      </w:rPr>
    </w:lvl>
    <w:lvl w:ilvl="6" w:tplc="A222A23C" w:tentative="1">
      <w:start w:val="1"/>
      <w:numFmt w:val="bullet"/>
      <w:lvlText w:val=""/>
      <w:lvlJc w:val="left"/>
      <w:pPr>
        <w:ind w:left="5041" w:hanging="360"/>
      </w:pPr>
      <w:rPr>
        <w:rFonts w:ascii="Symbol" w:hAnsi="Symbol" w:hint="default"/>
      </w:rPr>
    </w:lvl>
    <w:lvl w:ilvl="7" w:tplc="61CE716A" w:tentative="1">
      <w:start w:val="1"/>
      <w:numFmt w:val="bullet"/>
      <w:lvlText w:val="o"/>
      <w:lvlJc w:val="left"/>
      <w:pPr>
        <w:ind w:left="5761" w:hanging="360"/>
      </w:pPr>
      <w:rPr>
        <w:rFonts w:ascii="Courier New" w:hAnsi="Courier New" w:cs="Courier New" w:hint="default"/>
      </w:rPr>
    </w:lvl>
    <w:lvl w:ilvl="8" w:tplc="660C7A2E" w:tentative="1">
      <w:start w:val="1"/>
      <w:numFmt w:val="bullet"/>
      <w:lvlText w:val=""/>
      <w:lvlJc w:val="left"/>
      <w:pPr>
        <w:ind w:left="6481" w:hanging="360"/>
      </w:pPr>
      <w:rPr>
        <w:rFonts w:ascii="Wingdings" w:hAnsi="Wingdings" w:hint="default"/>
      </w:rPr>
    </w:lvl>
  </w:abstractNum>
  <w:abstractNum w:abstractNumId="22"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3"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24"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25" w15:restartNumberingAfterBreak="0">
    <w:nsid w:val="48EC3DCF"/>
    <w:multiLevelType w:val="hybridMultilevel"/>
    <w:tmpl w:val="D702DEBC"/>
    <w:lvl w:ilvl="0" w:tplc="04090001">
      <w:start w:val="1"/>
      <w:numFmt w:val="bullet"/>
      <w:lvlText w:val=""/>
      <w:lvlJc w:val="left"/>
      <w:pPr>
        <w:tabs>
          <w:tab w:val="num" w:pos="1068"/>
        </w:tabs>
        <w:ind w:left="106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F35967"/>
    <w:multiLevelType w:val="hybridMultilevel"/>
    <w:tmpl w:val="9F389D66"/>
    <w:lvl w:ilvl="0" w:tplc="020CFEA6">
      <w:numFmt w:val="bullet"/>
      <w:lvlText w:val=""/>
      <w:lvlJc w:val="left"/>
      <w:pPr>
        <w:ind w:left="1137" w:hanging="570"/>
      </w:pPr>
      <w:rPr>
        <w:rFonts w:ascii="Symbol" w:eastAsiaTheme="minorHAnsi" w:hAnsi="Symbol" w:cs="Times New Roman" w:hint="default"/>
      </w:rPr>
    </w:lvl>
    <w:lvl w:ilvl="1" w:tplc="AADAF6FA" w:tentative="1">
      <w:start w:val="1"/>
      <w:numFmt w:val="bullet"/>
      <w:lvlText w:val="o"/>
      <w:lvlJc w:val="left"/>
      <w:pPr>
        <w:ind w:left="1647" w:hanging="360"/>
      </w:pPr>
      <w:rPr>
        <w:rFonts w:ascii="Courier New" w:hAnsi="Courier New" w:cs="Courier New" w:hint="default"/>
      </w:rPr>
    </w:lvl>
    <w:lvl w:ilvl="2" w:tplc="5BFE9AAA" w:tentative="1">
      <w:start w:val="1"/>
      <w:numFmt w:val="bullet"/>
      <w:lvlText w:val=""/>
      <w:lvlJc w:val="left"/>
      <w:pPr>
        <w:ind w:left="2367" w:hanging="360"/>
      </w:pPr>
      <w:rPr>
        <w:rFonts w:ascii="Wingdings" w:hAnsi="Wingdings" w:hint="default"/>
      </w:rPr>
    </w:lvl>
    <w:lvl w:ilvl="3" w:tplc="03BA578A" w:tentative="1">
      <w:start w:val="1"/>
      <w:numFmt w:val="bullet"/>
      <w:lvlText w:val=""/>
      <w:lvlJc w:val="left"/>
      <w:pPr>
        <w:ind w:left="3087" w:hanging="360"/>
      </w:pPr>
      <w:rPr>
        <w:rFonts w:ascii="Symbol" w:hAnsi="Symbol" w:hint="default"/>
      </w:rPr>
    </w:lvl>
    <w:lvl w:ilvl="4" w:tplc="B73E73CE" w:tentative="1">
      <w:start w:val="1"/>
      <w:numFmt w:val="bullet"/>
      <w:lvlText w:val="o"/>
      <w:lvlJc w:val="left"/>
      <w:pPr>
        <w:ind w:left="3807" w:hanging="360"/>
      </w:pPr>
      <w:rPr>
        <w:rFonts w:ascii="Courier New" w:hAnsi="Courier New" w:cs="Courier New" w:hint="default"/>
      </w:rPr>
    </w:lvl>
    <w:lvl w:ilvl="5" w:tplc="12B294A8" w:tentative="1">
      <w:start w:val="1"/>
      <w:numFmt w:val="bullet"/>
      <w:lvlText w:val=""/>
      <w:lvlJc w:val="left"/>
      <w:pPr>
        <w:ind w:left="4527" w:hanging="360"/>
      </w:pPr>
      <w:rPr>
        <w:rFonts w:ascii="Wingdings" w:hAnsi="Wingdings" w:hint="default"/>
      </w:rPr>
    </w:lvl>
    <w:lvl w:ilvl="6" w:tplc="97760EE6" w:tentative="1">
      <w:start w:val="1"/>
      <w:numFmt w:val="bullet"/>
      <w:lvlText w:val=""/>
      <w:lvlJc w:val="left"/>
      <w:pPr>
        <w:ind w:left="5247" w:hanging="360"/>
      </w:pPr>
      <w:rPr>
        <w:rFonts w:ascii="Symbol" w:hAnsi="Symbol" w:hint="default"/>
      </w:rPr>
    </w:lvl>
    <w:lvl w:ilvl="7" w:tplc="E83616F8" w:tentative="1">
      <w:start w:val="1"/>
      <w:numFmt w:val="bullet"/>
      <w:lvlText w:val="o"/>
      <w:lvlJc w:val="left"/>
      <w:pPr>
        <w:ind w:left="5967" w:hanging="360"/>
      </w:pPr>
      <w:rPr>
        <w:rFonts w:ascii="Courier New" w:hAnsi="Courier New" w:cs="Courier New" w:hint="default"/>
      </w:rPr>
    </w:lvl>
    <w:lvl w:ilvl="8" w:tplc="8654D816" w:tentative="1">
      <w:start w:val="1"/>
      <w:numFmt w:val="bullet"/>
      <w:lvlText w:val=""/>
      <w:lvlJc w:val="left"/>
      <w:pPr>
        <w:ind w:left="6687" w:hanging="360"/>
      </w:pPr>
      <w:rPr>
        <w:rFonts w:ascii="Wingdings" w:hAnsi="Wingdings" w:hint="default"/>
      </w:rPr>
    </w:lvl>
  </w:abstractNum>
  <w:abstractNum w:abstractNumId="27"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28"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29" w15:restartNumberingAfterBreak="0">
    <w:nsid w:val="4F604B73"/>
    <w:multiLevelType w:val="hybridMultilevel"/>
    <w:tmpl w:val="6F2A15B8"/>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0"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1"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32"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33"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34"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35"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36"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37" w15:restartNumberingAfterBreak="0">
    <w:nsid w:val="626F0910"/>
    <w:multiLevelType w:val="hybridMultilevel"/>
    <w:tmpl w:val="377878FA"/>
    <w:lvl w:ilvl="0" w:tplc="FFFFFFFF">
      <w:start w:val="1"/>
      <w:numFmt w:val="bullet"/>
      <w:lvlText w:val="-"/>
      <w:lvlJc w:val="left"/>
      <w:pPr>
        <w:tabs>
          <w:tab w:val="num" w:pos="142"/>
        </w:tabs>
        <w:ind w:left="709" w:hanging="567"/>
      </w:pPr>
      <w:rPr>
        <w:strike w:val="0"/>
        <w:dstrike w:val="0"/>
        <w:u w:val="none" w:color="000000"/>
        <w:effect w:val="none"/>
      </w:rPr>
    </w:lvl>
    <w:lvl w:ilvl="1" w:tplc="FFFFFFFF">
      <w:start w:val="1"/>
      <w:numFmt w:val="bullet"/>
      <w:lvlText w:val="o"/>
      <w:lvlJc w:val="left"/>
      <w:pPr>
        <w:tabs>
          <w:tab w:val="num" w:pos="1582"/>
        </w:tabs>
        <w:ind w:left="1582" w:hanging="360"/>
      </w:pPr>
      <w:rPr>
        <w:rFonts w:ascii="Courier New" w:hAnsi="Courier New" w:cs="Wingdings" w:hint="default"/>
      </w:rPr>
    </w:lvl>
    <w:lvl w:ilvl="2" w:tplc="FFFFFFFF">
      <w:start w:val="1"/>
      <w:numFmt w:val="bullet"/>
      <w:lvlText w:val=""/>
      <w:lvlJc w:val="left"/>
      <w:pPr>
        <w:tabs>
          <w:tab w:val="num" w:pos="2302"/>
        </w:tabs>
        <w:ind w:left="2302" w:hanging="360"/>
      </w:pPr>
      <w:rPr>
        <w:rFonts w:ascii="Wingdings" w:hAnsi="Wingdings" w:hint="default"/>
      </w:rPr>
    </w:lvl>
    <w:lvl w:ilvl="3" w:tplc="FFFFFFFF">
      <w:start w:val="1"/>
      <w:numFmt w:val="bullet"/>
      <w:lvlText w:val=""/>
      <w:lvlJc w:val="left"/>
      <w:pPr>
        <w:tabs>
          <w:tab w:val="num" w:pos="3022"/>
        </w:tabs>
        <w:ind w:left="3022" w:hanging="360"/>
      </w:pPr>
      <w:rPr>
        <w:rFonts w:ascii="Symbol" w:hAnsi="Symbol" w:hint="default"/>
      </w:rPr>
    </w:lvl>
    <w:lvl w:ilvl="4" w:tplc="FFFFFFFF">
      <w:start w:val="1"/>
      <w:numFmt w:val="bullet"/>
      <w:lvlText w:val="o"/>
      <w:lvlJc w:val="left"/>
      <w:pPr>
        <w:tabs>
          <w:tab w:val="num" w:pos="3742"/>
        </w:tabs>
        <w:ind w:left="3742" w:hanging="360"/>
      </w:pPr>
      <w:rPr>
        <w:rFonts w:ascii="Courier New" w:hAnsi="Courier New" w:cs="Wingdings" w:hint="default"/>
      </w:rPr>
    </w:lvl>
    <w:lvl w:ilvl="5" w:tplc="FFFFFFFF">
      <w:start w:val="1"/>
      <w:numFmt w:val="bullet"/>
      <w:lvlText w:val=""/>
      <w:lvlJc w:val="left"/>
      <w:pPr>
        <w:tabs>
          <w:tab w:val="num" w:pos="4462"/>
        </w:tabs>
        <w:ind w:left="4462" w:hanging="360"/>
      </w:pPr>
      <w:rPr>
        <w:rFonts w:ascii="Wingdings" w:hAnsi="Wingdings" w:hint="default"/>
      </w:rPr>
    </w:lvl>
    <w:lvl w:ilvl="6" w:tplc="FFFFFFFF">
      <w:start w:val="1"/>
      <w:numFmt w:val="bullet"/>
      <w:lvlText w:val=""/>
      <w:lvlJc w:val="left"/>
      <w:pPr>
        <w:tabs>
          <w:tab w:val="num" w:pos="5182"/>
        </w:tabs>
        <w:ind w:left="5182" w:hanging="360"/>
      </w:pPr>
      <w:rPr>
        <w:rFonts w:ascii="Symbol" w:hAnsi="Symbol" w:hint="default"/>
      </w:rPr>
    </w:lvl>
    <w:lvl w:ilvl="7" w:tplc="FFFFFFFF">
      <w:start w:val="1"/>
      <w:numFmt w:val="bullet"/>
      <w:lvlText w:val="o"/>
      <w:lvlJc w:val="left"/>
      <w:pPr>
        <w:tabs>
          <w:tab w:val="num" w:pos="5902"/>
        </w:tabs>
        <w:ind w:left="5902" w:hanging="360"/>
      </w:pPr>
      <w:rPr>
        <w:rFonts w:ascii="Courier New" w:hAnsi="Courier New" w:cs="Wingdings" w:hint="default"/>
      </w:rPr>
    </w:lvl>
    <w:lvl w:ilvl="8" w:tplc="FFFFFFFF">
      <w:start w:val="1"/>
      <w:numFmt w:val="bullet"/>
      <w:lvlText w:val=""/>
      <w:lvlJc w:val="left"/>
      <w:pPr>
        <w:tabs>
          <w:tab w:val="num" w:pos="6622"/>
        </w:tabs>
        <w:ind w:left="6622" w:hanging="360"/>
      </w:pPr>
      <w:rPr>
        <w:rFonts w:ascii="Wingdings" w:hAnsi="Wingdings" w:hint="default"/>
      </w:rPr>
    </w:lvl>
  </w:abstractNum>
  <w:abstractNum w:abstractNumId="38"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39"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40"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41"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B22C05"/>
    <w:multiLevelType w:val="hybridMultilevel"/>
    <w:tmpl w:val="5916281E"/>
    <w:lvl w:ilvl="0" w:tplc="ACF81864">
      <w:start w:val="1"/>
      <w:numFmt w:val="bullet"/>
      <w:lvlText w:val="-"/>
      <w:lvlJc w:val="left"/>
      <w:pPr>
        <w:ind w:left="720" w:hanging="360"/>
      </w:pPr>
      <w:rPr>
        <w:rFonts w:ascii="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44"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45"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1987587419">
    <w:abstractNumId w:val="22"/>
  </w:num>
  <w:num w:numId="2" w16cid:durableId="2109227736">
    <w:abstractNumId w:val="35"/>
  </w:num>
  <w:num w:numId="3" w16cid:durableId="658313625">
    <w:abstractNumId w:val="7"/>
  </w:num>
  <w:num w:numId="4" w16cid:durableId="56517161">
    <w:abstractNumId w:val="1"/>
  </w:num>
  <w:num w:numId="5" w16cid:durableId="411121527">
    <w:abstractNumId w:val="16"/>
  </w:num>
  <w:num w:numId="6" w16cid:durableId="936138332">
    <w:abstractNumId w:val="27"/>
  </w:num>
  <w:num w:numId="7" w16cid:durableId="907885662">
    <w:abstractNumId w:val="24"/>
  </w:num>
  <w:num w:numId="8" w16cid:durableId="691805998">
    <w:abstractNumId w:val="30"/>
  </w:num>
  <w:num w:numId="9" w16cid:durableId="1223102446">
    <w:abstractNumId w:val="28"/>
  </w:num>
  <w:num w:numId="10" w16cid:durableId="910694706">
    <w:abstractNumId w:val="34"/>
  </w:num>
  <w:num w:numId="11" w16cid:durableId="1979531562">
    <w:abstractNumId w:val="3"/>
  </w:num>
  <w:num w:numId="12" w16cid:durableId="311522515">
    <w:abstractNumId w:val="6"/>
  </w:num>
  <w:num w:numId="13" w16cid:durableId="1660571130">
    <w:abstractNumId w:val="38"/>
  </w:num>
  <w:num w:numId="14" w16cid:durableId="33232803">
    <w:abstractNumId w:val="10"/>
  </w:num>
  <w:num w:numId="15" w16cid:durableId="962536066">
    <w:abstractNumId w:val="36"/>
  </w:num>
  <w:num w:numId="16" w16cid:durableId="738746265">
    <w:abstractNumId w:val="19"/>
  </w:num>
  <w:num w:numId="17" w16cid:durableId="124930449">
    <w:abstractNumId w:val="13"/>
  </w:num>
  <w:num w:numId="18" w16cid:durableId="1502503526">
    <w:abstractNumId w:val="32"/>
  </w:num>
  <w:num w:numId="19" w16cid:durableId="1034649477">
    <w:abstractNumId w:val="14"/>
  </w:num>
  <w:num w:numId="20" w16cid:durableId="278491441">
    <w:abstractNumId w:val="12"/>
  </w:num>
  <w:num w:numId="21" w16cid:durableId="1800685456">
    <w:abstractNumId w:val="18"/>
  </w:num>
  <w:num w:numId="22" w16cid:durableId="1994410188">
    <w:abstractNumId w:val="15"/>
  </w:num>
  <w:num w:numId="23" w16cid:durableId="1791589707">
    <w:abstractNumId w:val="21"/>
  </w:num>
  <w:num w:numId="24" w16cid:durableId="1906719953">
    <w:abstractNumId w:val="9"/>
  </w:num>
  <w:num w:numId="25" w16cid:durableId="640384269">
    <w:abstractNumId w:val="29"/>
  </w:num>
  <w:num w:numId="26" w16cid:durableId="353919111">
    <w:abstractNumId w:val="8"/>
  </w:num>
  <w:num w:numId="27" w16cid:durableId="112797159">
    <w:abstractNumId w:val="0"/>
  </w:num>
  <w:num w:numId="28" w16cid:durableId="1826968315">
    <w:abstractNumId w:val="40"/>
  </w:num>
  <w:num w:numId="29" w16cid:durableId="1104764863">
    <w:abstractNumId w:val="41"/>
  </w:num>
  <w:num w:numId="30" w16cid:durableId="829907849">
    <w:abstractNumId w:val="5"/>
  </w:num>
  <w:num w:numId="31" w16cid:durableId="1308583229">
    <w:abstractNumId w:val="31"/>
  </w:num>
  <w:num w:numId="32" w16cid:durableId="1265387028">
    <w:abstractNumId w:val="17"/>
  </w:num>
  <w:num w:numId="33" w16cid:durableId="974603340">
    <w:abstractNumId w:val="33"/>
  </w:num>
  <w:num w:numId="34" w16cid:durableId="2050567611">
    <w:abstractNumId w:val="11"/>
  </w:num>
  <w:num w:numId="35" w16cid:durableId="1836454680">
    <w:abstractNumId w:val="4"/>
  </w:num>
  <w:num w:numId="36" w16cid:durableId="1970040898">
    <w:abstractNumId w:val="39"/>
  </w:num>
  <w:num w:numId="37" w16cid:durableId="1068840457">
    <w:abstractNumId w:val="23"/>
  </w:num>
  <w:num w:numId="38" w16cid:durableId="9183774">
    <w:abstractNumId w:val="26"/>
  </w:num>
  <w:num w:numId="39" w16cid:durableId="925727273">
    <w:abstractNumId w:val="43"/>
  </w:num>
  <w:num w:numId="40" w16cid:durableId="312560955">
    <w:abstractNumId w:val="44"/>
  </w:num>
  <w:num w:numId="41" w16cid:durableId="188111434">
    <w:abstractNumId w:val="45"/>
  </w:num>
  <w:num w:numId="42" w16cid:durableId="1287856794">
    <w:abstractNumId w:val="42"/>
  </w:num>
  <w:num w:numId="43" w16cid:durableId="577135974">
    <w:abstractNumId w:val="2"/>
  </w:num>
  <w:num w:numId="44" w16cid:durableId="374693747">
    <w:abstractNumId w:val="20"/>
  </w:num>
  <w:num w:numId="45" w16cid:durableId="1074356106">
    <w:abstractNumId w:val="25"/>
  </w:num>
  <w:num w:numId="46" w16cid:durableId="1076561411">
    <w:abstractNumId w:val="37"/>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Anonymous – Viatris">
    <w15:presenceInfo w15:providerId="None" w15:userId="Anonymous – Viatris"/>
  </w15:person>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C0E"/>
    <w:rsid w:val="000029C9"/>
    <w:rsid w:val="00011172"/>
    <w:rsid w:val="00013B86"/>
    <w:rsid w:val="000168D5"/>
    <w:rsid w:val="00017888"/>
    <w:rsid w:val="0002062C"/>
    <w:rsid w:val="00025EFC"/>
    <w:rsid w:val="00032C33"/>
    <w:rsid w:val="00035802"/>
    <w:rsid w:val="000359E4"/>
    <w:rsid w:val="00036778"/>
    <w:rsid w:val="0003695E"/>
    <w:rsid w:val="00036A1D"/>
    <w:rsid w:val="00037D8D"/>
    <w:rsid w:val="00041548"/>
    <w:rsid w:val="00042C29"/>
    <w:rsid w:val="00042C9C"/>
    <w:rsid w:val="000458F1"/>
    <w:rsid w:val="000525CA"/>
    <w:rsid w:val="00053910"/>
    <w:rsid w:val="00053E89"/>
    <w:rsid w:val="000556E9"/>
    <w:rsid w:val="0005580D"/>
    <w:rsid w:val="00060424"/>
    <w:rsid w:val="00062D1A"/>
    <w:rsid w:val="00065255"/>
    <w:rsid w:val="00071084"/>
    <w:rsid w:val="000772C1"/>
    <w:rsid w:val="00077970"/>
    <w:rsid w:val="00080994"/>
    <w:rsid w:val="00082425"/>
    <w:rsid w:val="00085EEF"/>
    <w:rsid w:val="00085F4F"/>
    <w:rsid w:val="00086954"/>
    <w:rsid w:val="00093D78"/>
    <w:rsid w:val="000967A0"/>
    <w:rsid w:val="00096890"/>
    <w:rsid w:val="000A0B8D"/>
    <w:rsid w:val="000A1F57"/>
    <w:rsid w:val="000A298F"/>
    <w:rsid w:val="000A30DE"/>
    <w:rsid w:val="000A4309"/>
    <w:rsid w:val="000A44E7"/>
    <w:rsid w:val="000A7159"/>
    <w:rsid w:val="000A7742"/>
    <w:rsid w:val="000B3D61"/>
    <w:rsid w:val="000C155C"/>
    <w:rsid w:val="000C19F7"/>
    <w:rsid w:val="000C1E72"/>
    <w:rsid w:val="000C79EF"/>
    <w:rsid w:val="000D023A"/>
    <w:rsid w:val="000D05F9"/>
    <w:rsid w:val="000D1B0F"/>
    <w:rsid w:val="000D2BBD"/>
    <w:rsid w:val="000D4F92"/>
    <w:rsid w:val="000D6004"/>
    <w:rsid w:val="000E04DC"/>
    <w:rsid w:val="000E074B"/>
    <w:rsid w:val="000E1611"/>
    <w:rsid w:val="000E3C98"/>
    <w:rsid w:val="000E3FDB"/>
    <w:rsid w:val="000E5A8D"/>
    <w:rsid w:val="000E6BDE"/>
    <w:rsid w:val="000F2715"/>
    <w:rsid w:val="00101097"/>
    <w:rsid w:val="001020DD"/>
    <w:rsid w:val="0010489F"/>
    <w:rsid w:val="00107057"/>
    <w:rsid w:val="001075B4"/>
    <w:rsid w:val="001078DE"/>
    <w:rsid w:val="00121C54"/>
    <w:rsid w:val="00123C87"/>
    <w:rsid w:val="00123DA9"/>
    <w:rsid w:val="00124FC4"/>
    <w:rsid w:val="00130DC0"/>
    <w:rsid w:val="0013117E"/>
    <w:rsid w:val="001312F4"/>
    <w:rsid w:val="00131E09"/>
    <w:rsid w:val="00135EAF"/>
    <w:rsid w:val="0014078E"/>
    <w:rsid w:val="001413C7"/>
    <w:rsid w:val="00141A3E"/>
    <w:rsid w:val="00141D16"/>
    <w:rsid w:val="00141D94"/>
    <w:rsid w:val="001425C1"/>
    <w:rsid w:val="00147FDB"/>
    <w:rsid w:val="00151543"/>
    <w:rsid w:val="00152C0C"/>
    <w:rsid w:val="00155962"/>
    <w:rsid w:val="00157601"/>
    <w:rsid w:val="00157A23"/>
    <w:rsid w:val="0016067C"/>
    <w:rsid w:val="001622C2"/>
    <w:rsid w:val="00170B6F"/>
    <w:rsid w:val="001741B1"/>
    <w:rsid w:val="0017774F"/>
    <w:rsid w:val="00180681"/>
    <w:rsid w:val="00192128"/>
    <w:rsid w:val="00192DCB"/>
    <w:rsid w:val="001947DE"/>
    <w:rsid w:val="001A1702"/>
    <w:rsid w:val="001A710C"/>
    <w:rsid w:val="001B1DAD"/>
    <w:rsid w:val="001B3553"/>
    <w:rsid w:val="001B3D96"/>
    <w:rsid w:val="001C0D56"/>
    <w:rsid w:val="001C2474"/>
    <w:rsid w:val="001C7115"/>
    <w:rsid w:val="001C7C0E"/>
    <w:rsid w:val="001D21B0"/>
    <w:rsid w:val="001D3829"/>
    <w:rsid w:val="001D3874"/>
    <w:rsid w:val="001E4D74"/>
    <w:rsid w:val="001E5177"/>
    <w:rsid w:val="001E62E2"/>
    <w:rsid w:val="001F3D06"/>
    <w:rsid w:val="001F3D76"/>
    <w:rsid w:val="001F6D24"/>
    <w:rsid w:val="001F7E89"/>
    <w:rsid w:val="00202E1B"/>
    <w:rsid w:val="002038EA"/>
    <w:rsid w:val="0021615D"/>
    <w:rsid w:val="00216816"/>
    <w:rsid w:val="002169C6"/>
    <w:rsid w:val="0021776A"/>
    <w:rsid w:val="00220CA3"/>
    <w:rsid w:val="00221F1E"/>
    <w:rsid w:val="00226EFE"/>
    <w:rsid w:val="0023015F"/>
    <w:rsid w:val="00237439"/>
    <w:rsid w:val="002438A4"/>
    <w:rsid w:val="00246271"/>
    <w:rsid w:val="00246EB2"/>
    <w:rsid w:val="002504E3"/>
    <w:rsid w:val="00251971"/>
    <w:rsid w:val="002532A6"/>
    <w:rsid w:val="00253D6A"/>
    <w:rsid w:val="002561EC"/>
    <w:rsid w:val="00260A3C"/>
    <w:rsid w:val="002614F4"/>
    <w:rsid w:val="00262C24"/>
    <w:rsid w:val="00267AF8"/>
    <w:rsid w:val="002752D7"/>
    <w:rsid w:val="00275EBC"/>
    <w:rsid w:val="00277209"/>
    <w:rsid w:val="00281D80"/>
    <w:rsid w:val="00282DA8"/>
    <w:rsid w:val="00283649"/>
    <w:rsid w:val="00283655"/>
    <w:rsid w:val="0029093D"/>
    <w:rsid w:val="002927BA"/>
    <w:rsid w:val="002934E4"/>
    <w:rsid w:val="002A5F43"/>
    <w:rsid w:val="002B08B1"/>
    <w:rsid w:val="002B0B26"/>
    <w:rsid w:val="002B16FE"/>
    <w:rsid w:val="002B19F9"/>
    <w:rsid w:val="002B56E1"/>
    <w:rsid w:val="002B61E1"/>
    <w:rsid w:val="002C40C8"/>
    <w:rsid w:val="002C43B3"/>
    <w:rsid w:val="002C636E"/>
    <w:rsid w:val="002D2520"/>
    <w:rsid w:val="002D2705"/>
    <w:rsid w:val="002D3D7C"/>
    <w:rsid w:val="002D61D7"/>
    <w:rsid w:val="002E1BE2"/>
    <w:rsid w:val="002E59F6"/>
    <w:rsid w:val="002E6F8A"/>
    <w:rsid w:val="002E70FA"/>
    <w:rsid w:val="002E712E"/>
    <w:rsid w:val="002F03D6"/>
    <w:rsid w:val="002F36D9"/>
    <w:rsid w:val="002F4BCA"/>
    <w:rsid w:val="002F4E6C"/>
    <w:rsid w:val="00301B88"/>
    <w:rsid w:val="00312255"/>
    <w:rsid w:val="00313845"/>
    <w:rsid w:val="0032237B"/>
    <w:rsid w:val="00325236"/>
    <w:rsid w:val="003322FE"/>
    <w:rsid w:val="00340B8A"/>
    <w:rsid w:val="00342E40"/>
    <w:rsid w:val="00344700"/>
    <w:rsid w:val="00350E1D"/>
    <w:rsid w:val="00350F2C"/>
    <w:rsid w:val="0035517E"/>
    <w:rsid w:val="003565D7"/>
    <w:rsid w:val="003578FC"/>
    <w:rsid w:val="00357E09"/>
    <w:rsid w:val="00361078"/>
    <w:rsid w:val="00361E31"/>
    <w:rsid w:val="003623FF"/>
    <w:rsid w:val="00364B90"/>
    <w:rsid w:val="00366025"/>
    <w:rsid w:val="00367B3B"/>
    <w:rsid w:val="00373A92"/>
    <w:rsid w:val="00374D53"/>
    <w:rsid w:val="00376B42"/>
    <w:rsid w:val="00386BB7"/>
    <w:rsid w:val="00390751"/>
    <w:rsid w:val="00392478"/>
    <w:rsid w:val="00392EEC"/>
    <w:rsid w:val="00393898"/>
    <w:rsid w:val="00395041"/>
    <w:rsid w:val="00396289"/>
    <w:rsid w:val="003A19A7"/>
    <w:rsid w:val="003A672E"/>
    <w:rsid w:val="003B2541"/>
    <w:rsid w:val="003B31AD"/>
    <w:rsid w:val="003B522A"/>
    <w:rsid w:val="003B5939"/>
    <w:rsid w:val="003B6A3A"/>
    <w:rsid w:val="003B6B9D"/>
    <w:rsid w:val="003C55CE"/>
    <w:rsid w:val="003C7A23"/>
    <w:rsid w:val="003D0BE6"/>
    <w:rsid w:val="003D21BE"/>
    <w:rsid w:val="003D2334"/>
    <w:rsid w:val="003D2541"/>
    <w:rsid w:val="003D3EB2"/>
    <w:rsid w:val="003D43AB"/>
    <w:rsid w:val="003D4522"/>
    <w:rsid w:val="003D4777"/>
    <w:rsid w:val="003D4B23"/>
    <w:rsid w:val="003D5591"/>
    <w:rsid w:val="003D5B60"/>
    <w:rsid w:val="003D7F59"/>
    <w:rsid w:val="003E0C02"/>
    <w:rsid w:val="003E0FFD"/>
    <w:rsid w:val="003E2964"/>
    <w:rsid w:val="003F1A4D"/>
    <w:rsid w:val="003F46C9"/>
    <w:rsid w:val="003F4848"/>
    <w:rsid w:val="003F545A"/>
    <w:rsid w:val="00401762"/>
    <w:rsid w:val="0040649F"/>
    <w:rsid w:val="00411620"/>
    <w:rsid w:val="00412BBF"/>
    <w:rsid w:val="0041316E"/>
    <w:rsid w:val="00417662"/>
    <w:rsid w:val="00417BA1"/>
    <w:rsid w:val="00420DB9"/>
    <w:rsid w:val="00423EE8"/>
    <w:rsid w:val="00434E5C"/>
    <w:rsid w:val="00436083"/>
    <w:rsid w:val="004364B2"/>
    <w:rsid w:val="004411D6"/>
    <w:rsid w:val="00447BCF"/>
    <w:rsid w:val="00452FEC"/>
    <w:rsid w:val="0045343E"/>
    <w:rsid w:val="0046043D"/>
    <w:rsid w:val="00461DDA"/>
    <w:rsid w:val="004672EF"/>
    <w:rsid w:val="00467EFC"/>
    <w:rsid w:val="0047040C"/>
    <w:rsid w:val="00473725"/>
    <w:rsid w:val="00495A20"/>
    <w:rsid w:val="004A1150"/>
    <w:rsid w:val="004A14EB"/>
    <w:rsid w:val="004A24AE"/>
    <w:rsid w:val="004A42B0"/>
    <w:rsid w:val="004A70CD"/>
    <w:rsid w:val="004A7EA0"/>
    <w:rsid w:val="004B0D8E"/>
    <w:rsid w:val="004B1792"/>
    <w:rsid w:val="004B5425"/>
    <w:rsid w:val="004C027E"/>
    <w:rsid w:val="004C03B3"/>
    <w:rsid w:val="004C3956"/>
    <w:rsid w:val="004C3A7F"/>
    <w:rsid w:val="004C3F65"/>
    <w:rsid w:val="004C47F1"/>
    <w:rsid w:val="004C597F"/>
    <w:rsid w:val="004C785B"/>
    <w:rsid w:val="004D7205"/>
    <w:rsid w:val="004E1D41"/>
    <w:rsid w:val="004E44C5"/>
    <w:rsid w:val="004E4E12"/>
    <w:rsid w:val="004E6EFE"/>
    <w:rsid w:val="004F03CC"/>
    <w:rsid w:val="004F0C9C"/>
    <w:rsid w:val="004F3905"/>
    <w:rsid w:val="004F5B5A"/>
    <w:rsid w:val="004F6E22"/>
    <w:rsid w:val="005002FB"/>
    <w:rsid w:val="00503E02"/>
    <w:rsid w:val="0050429F"/>
    <w:rsid w:val="0050760D"/>
    <w:rsid w:val="00510AA4"/>
    <w:rsid w:val="00517A42"/>
    <w:rsid w:val="00520349"/>
    <w:rsid w:val="00520F19"/>
    <w:rsid w:val="00521F2C"/>
    <w:rsid w:val="005222B2"/>
    <w:rsid w:val="00531351"/>
    <w:rsid w:val="005323CB"/>
    <w:rsid w:val="00534E81"/>
    <w:rsid w:val="0054432D"/>
    <w:rsid w:val="005523D3"/>
    <w:rsid w:val="005528D6"/>
    <w:rsid w:val="005603CA"/>
    <w:rsid w:val="00562A4B"/>
    <w:rsid w:val="00563D34"/>
    <w:rsid w:val="0056710B"/>
    <w:rsid w:val="00570BF6"/>
    <w:rsid w:val="00571602"/>
    <w:rsid w:val="0057163B"/>
    <w:rsid w:val="00573462"/>
    <w:rsid w:val="0057347C"/>
    <w:rsid w:val="005744D7"/>
    <w:rsid w:val="00576118"/>
    <w:rsid w:val="005766AB"/>
    <w:rsid w:val="00576E25"/>
    <w:rsid w:val="00585975"/>
    <w:rsid w:val="0059105E"/>
    <w:rsid w:val="005932BB"/>
    <w:rsid w:val="00594827"/>
    <w:rsid w:val="005A297F"/>
    <w:rsid w:val="005A2ACA"/>
    <w:rsid w:val="005B5361"/>
    <w:rsid w:val="005C204C"/>
    <w:rsid w:val="005C247A"/>
    <w:rsid w:val="005C278D"/>
    <w:rsid w:val="005C5C12"/>
    <w:rsid w:val="005D1FB4"/>
    <w:rsid w:val="005D3103"/>
    <w:rsid w:val="005E21B5"/>
    <w:rsid w:val="005E3BF6"/>
    <w:rsid w:val="005E3FEB"/>
    <w:rsid w:val="005E4F00"/>
    <w:rsid w:val="005E6A86"/>
    <w:rsid w:val="005E6B12"/>
    <w:rsid w:val="005E75C0"/>
    <w:rsid w:val="005E7CAC"/>
    <w:rsid w:val="005F232D"/>
    <w:rsid w:val="005F25FB"/>
    <w:rsid w:val="005F37A0"/>
    <w:rsid w:val="005F7509"/>
    <w:rsid w:val="00601DA9"/>
    <w:rsid w:val="00602E10"/>
    <w:rsid w:val="00605579"/>
    <w:rsid w:val="006064CE"/>
    <w:rsid w:val="00607BC6"/>
    <w:rsid w:val="00614BB7"/>
    <w:rsid w:val="0064138A"/>
    <w:rsid w:val="0064231B"/>
    <w:rsid w:val="00642D5E"/>
    <w:rsid w:val="0064613D"/>
    <w:rsid w:val="00651F95"/>
    <w:rsid w:val="006571A9"/>
    <w:rsid w:val="006602E8"/>
    <w:rsid w:val="00667234"/>
    <w:rsid w:val="00671C17"/>
    <w:rsid w:val="0067226B"/>
    <w:rsid w:val="00675D08"/>
    <w:rsid w:val="00675FE8"/>
    <w:rsid w:val="00680754"/>
    <w:rsid w:val="0068103B"/>
    <w:rsid w:val="006820B9"/>
    <w:rsid w:val="00683976"/>
    <w:rsid w:val="00683E81"/>
    <w:rsid w:val="006863EE"/>
    <w:rsid w:val="0068762F"/>
    <w:rsid w:val="00694477"/>
    <w:rsid w:val="00697BCF"/>
    <w:rsid w:val="006A3143"/>
    <w:rsid w:val="006A784F"/>
    <w:rsid w:val="006B0BFE"/>
    <w:rsid w:val="006B34AE"/>
    <w:rsid w:val="006C0A54"/>
    <w:rsid w:val="006C533D"/>
    <w:rsid w:val="006C5A87"/>
    <w:rsid w:val="006C5B08"/>
    <w:rsid w:val="006C5E08"/>
    <w:rsid w:val="006D0900"/>
    <w:rsid w:val="006D57F5"/>
    <w:rsid w:val="006D695A"/>
    <w:rsid w:val="006D7122"/>
    <w:rsid w:val="006D77EA"/>
    <w:rsid w:val="006E41C5"/>
    <w:rsid w:val="006E593C"/>
    <w:rsid w:val="006F359E"/>
    <w:rsid w:val="00704CEB"/>
    <w:rsid w:val="007053DA"/>
    <w:rsid w:val="00705497"/>
    <w:rsid w:val="007101B2"/>
    <w:rsid w:val="00712107"/>
    <w:rsid w:val="00712F4D"/>
    <w:rsid w:val="0071411A"/>
    <w:rsid w:val="00720783"/>
    <w:rsid w:val="00721CCE"/>
    <w:rsid w:val="00722FE1"/>
    <w:rsid w:val="00723546"/>
    <w:rsid w:val="00724707"/>
    <w:rsid w:val="00724ABC"/>
    <w:rsid w:val="0073092A"/>
    <w:rsid w:val="00733315"/>
    <w:rsid w:val="007418A4"/>
    <w:rsid w:val="0074375C"/>
    <w:rsid w:val="00745025"/>
    <w:rsid w:val="007458B2"/>
    <w:rsid w:val="00746A68"/>
    <w:rsid w:val="00747000"/>
    <w:rsid w:val="007471DF"/>
    <w:rsid w:val="0075234B"/>
    <w:rsid w:val="0075635F"/>
    <w:rsid w:val="00762951"/>
    <w:rsid w:val="007641E1"/>
    <w:rsid w:val="00764794"/>
    <w:rsid w:val="0077170D"/>
    <w:rsid w:val="00772AE6"/>
    <w:rsid w:val="00775904"/>
    <w:rsid w:val="007774DE"/>
    <w:rsid w:val="007810DE"/>
    <w:rsid w:val="00783907"/>
    <w:rsid w:val="00783B62"/>
    <w:rsid w:val="00785897"/>
    <w:rsid w:val="007875B1"/>
    <w:rsid w:val="00795590"/>
    <w:rsid w:val="007A2134"/>
    <w:rsid w:val="007A3BAF"/>
    <w:rsid w:val="007B031E"/>
    <w:rsid w:val="007B1014"/>
    <w:rsid w:val="007B189A"/>
    <w:rsid w:val="007C2AA7"/>
    <w:rsid w:val="007C3FA6"/>
    <w:rsid w:val="007C6DC6"/>
    <w:rsid w:val="007D61FE"/>
    <w:rsid w:val="007D699C"/>
    <w:rsid w:val="007D7F06"/>
    <w:rsid w:val="007E06DA"/>
    <w:rsid w:val="007F01E0"/>
    <w:rsid w:val="007F07DD"/>
    <w:rsid w:val="007F2B22"/>
    <w:rsid w:val="00800587"/>
    <w:rsid w:val="0080281E"/>
    <w:rsid w:val="00806027"/>
    <w:rsid w:val="00811505"/>
    <w:rsid w:val="00821B7E"/>
    <w:rsid w:val="0082309A"/>
    <w:rsid w:val="008231C7"/>
    <w:rsid w:val="00824948"/>
    <w:rsid w:val="0083053A"/>
    <w:rsid w:val="00836F07"/>
    <w:rsid w:val="00840CCE"/>
    <w:rsid w:val="0085683F"/>
    <w:rsid w:val="00865D06"/>
    <w:rsid w:val="00866586"/>
    <w:rsid w:val="00867524"/>
    <w:rsid w:val="0087097E"/>
    <w:rsid w:val="00874F91"/>
    <w:rsid w:val="00876E5B"/>
    <w:rsid w:val="008802AA"/>
    <w:rsid w:val="00880F96"/>
    <w:rsid w:val="008826FC"/>
    <w:rsid w:val="00882962"/>
    <w:rsid w:val="00885684"/>
    <w:rsid w:val="00896597"/>
    <w:rsid w:val="008A06C4"/>
    <w:rsid w:val="008A2641"/>
    <w:rsid w:val="008A3B28"/>
    <w:rsid w:val="008A69FA"/>
    <w:rsid w:val="008A7CDD"/>
    <w:rsid w:val="008B211C"/>
    <w:rsid w:val="008B66DC"/>
    <w:rsid w:val="008B6E7E"/>
    <w:rsid w:val="008B7802"/>
    <w:rsid w:val="008B7EC3"/>
    <w:rsid w:val="008C0792"/>
    <w:rsid w:val="008C0CEA"/>
    <w:rsid w:val="008C353B"/>
    <w:rsid w:val="008C7BA0"/>
    <w:rsid w:val="008C7ED2"/>
    <w:rsid w:val="008D06F1"/>
    <w:rsid w:val="008D3BEC"/>
    <w:rsid w:val="008E0081"/>
    <w:rsid w:val="008E131F"/>
    <w:rsid w:val="008F22C4"/>
    <w:rsid w:val="008F743F"/>
    <w:rsid w:val="00903ED1"/>
    <w:rsid w:val="00905F7F"/>
    <w:rsid w:val="00907281"/>
    <w:rsid w:val="0091069D"/>
    <w:rsid w:val="009177ED"/>
    <w:rsid w:val="009204A0"/>
    <w:rsid w:val="00923002"/>
    <w:rsid w:val="0092395B"/>
    <w:rsid w:val="00925A08"/>
    <w:rsid w:val="0092601C"/>
    <w:rsid w:val="00930FCE"/>
    <w:rsid w:val="0093182E"/>
    <w:rsid w:val="009322AC"/>
    <w:rsid w:val="00935476"/>
    <w:rsid w:val="009357DE"/>
    <w:rsid w:val="0094053C"/>
    <w:rsid w:val="00940D9C"/>
    <w:rsid w:val="00945F80"/>
    <w:rsid w:val="00946E7A"/>
    <w:rsid w:val="009524F4"/>
    <w:rsid w:val="00955A7E"/>
    <w:rsid w:val="00956A6D"/>
    <w:rsid w:val="00957592"/>
    <w:rsid w:val="0097543E"/>
    <w:rsid w:val="009758DA"/>
    <w:rsid w:val="00975EA5"/>
    <w:rsid w:val="00977822"/>
    <w:rsid w:val="009778AD"/>
    <w:rsid w:val="00977B70"/>
    <w:rsid w:val="00981C96"/>
    <w:rsid w:val="00982615"/>
    <w:rsid w:val="00984733"/>
    <w:rsid w:val="009858E5"/>
    <w:rsid w:val="00985F41"/>
    <w:rsid w:val="0098708D"/>
    <w:rsid w:val="0099143D"/>
    <w:rsid w:val="0099273D"/>
    <w:rsid w:val="009A1DAF"/>
    <w:rsid w:val="009A24FF"/>
    <w:rsid w:val="009A35D9"/>
    <w:rsid w:val="009A534A"/>
    <w:rsid w:val="009B35B9"/>
    <w:rsid w:val="009C0E11"/>
    <w:rsid w:val="009C2275"/>
    <w:rsid w:val="009D4B95"/>
    <w:rsid w:val="009D52BB"/>
    <w:rsid w:val="009D7F7A"/>
    <w:rsid w:val="009E0329"/>
    <w:rsid w:val="009E16C0"/>
    <w:rsid w:val="009E245E"/>
    <w:rsid w:val="009E404C"/>
    <w:rsid w:val="009F0256"/>
    <w:rsid w:val="009F16F5"/>
    <w:rsid w:val="009F1F85"/>
    <w:rsid w:val="009F202A"/>
    <w:rsid w:val="009F3E04"/>
    <w:rsid w:val="009F463D"/>
    <w:rsid w:val="009F6E89"/>
    <w:rsid w:val="00A0325B"/>
    <w:rsid w:val="00A07886"/>
    <w:rsid w:val="00A07D89"/>
    <w:rsid w:val="00A103F1"/>
    <w:rsid w:val="00A10BE7"/>
    <w:rsid w:val="00A12661"/>
    <w:rsid w:val="00A12D69"/>
    <w:rsid w:val="00A13183"/>
    <w:rsid w:val="00A13B34"/>
    <w:rsid w:val="00A161A5"/>
    <w:rsid w:val="00A1643C"/>
    <w:rsid w:val="00A264D5"/>
    <w:rsid w:val="00A275E4"/>
    <w:rsid w:val="00A30CFF"/>
    <w:rsid w:val="00A32FE0"/>
    <w:rsid w:val="00A339F3"/>
    <w:rsid w:val="00A345C5"/>
    <w:rsid w:val="00A34F36"/>
    <w:rsid w:val="00A40721"/>
    <w:rsid w:val="00A432DE"/>
    <w:rsid w:val="00A43A84"/>
    <w:rsid w:val="00A44AFE"/>
    <w:rsid w:val="00A45870"/>
    <w:rsid w:val="00A50E3D"/>
    <w:rsid w:val="00A62660"/>
    <w:rsid w:val="00A66B46"/>
    <w:rsid w:val="00A70781"/>
    <w:rsid w:val="00A707D6"/>
    <w:rsid w:val="00A71734"/>
    <w:rsid w:val="00A734E9"/>
    <w:rsid w:val="00A73641"/>
    <w:rsid w:val="00A772DF"/>
    <w:rsid w:val="00A7756E"/>
    <w:rsid w:val="00A776EC"/>
    <w:rsid w:val="00A8017E"/>
    <w:rsid w:val="00A821A3"/>
    <w:rsid w:val="00A86FF1"/>
    <w:rsid w:val="00A9250C"/>
    <w:rsid w:val="00A95ABB"/>
    <w:rsid w:val="00A973B0"/>
    <w:rsid w:val="00A9788E"/>
    <w:rsid w:val="00A97C71"/>
    <w:rsid w:val="00AA6039"/>
    <w:rsid w:val="00AA7885"/>
    <w:rsid w:val="00AA7D33"/>
    <w:rsid w:val="00AB48A7"/>
    <w:rsid w:val="00AB53A9"/>
    <w:rsid w:val="00AC0F82"/>
    <w:rsid w:val="00AC44B0"/>
    <w:rsid w:val="00AD26CF"/>
    <w:rsid w:val="00AD287B"/>
    <w:rsid w:val="00AD3249"/>
    <w:rsid w:val="00AD3772"/>
    <w:rsid w:val="00AE7F25"/>
    <w:rsid w:val="00AF0A53"/>
    <w:rsid w:val="00AF1027"/>
    <w:rsid w:val="00AF45C0"/>
    <w:rsid w:val="00AF7731"/>
    <w:rsid w:val="00B04801"/>
    <w:rsid w:val="00B0573E"/>
    <w:rsid w:val="00B066B7"/>
    <w:rsid w:val="00B077ED"/>
    <w:rsid w:val="00B07B52"/>
    <w:rsid w:val="00B152E0"/>
    <w:rsid w:val="00B323CD"/>
    <w:rsid w:val="00B33E6B"/>
    <w:rsid w:val="00B40CE1"/>
    <w:rsid w:val="00B40D47"/>
    <w:rsid w:val="00B44103"/>
    <w:rsid w:val="00B462BC"/>
    <w:rsid w:val="00B469F3"/>
    <w:rsid w:val="00B47F47"/>
    <w:rsid w:val="00B50152"/>
    <w:rsid w:val="00B5456E"/>
    <w:rsid w:val="00B558D9"/>
    <w:rsid w:val="00B573E1"/>
    <w:rsid w:val="00B60015"/>
    <w:rsid w:val="00B611B8"/>
    <w:rsid w:val="00B61356"/>
    <w:rsid w:val="00B6306D"/>
    <w:rsid w:val="00B64822"/>
    <w:rsid w:val="00B70C2B"/>
    <w:rsid w:val="00B71A9F"/>
    <w:rsid w:val="00B736B4"/>
    <w:rsid w:val="00B741D7"/>
    <w:rsid w:val="00B86401"/>
    <w:rsid w:val="00B86BB8"/>
    <w:rsid w:val="00B87EC2"/>
    <w:rsid w:val="00B9123C"/>
    <w:rsid w:val="00B920A2"/>
    <w:rsid w:val="00B925D6"/>
    <w:rsid w:val="00B9376B"/>
    <w:rsid w:val="00B9409E"/>
    <w:rsid w:val="00B9574C"/>
    <w:rsid w:val="00B97239"/>
    <w:rsid w:val="00BA2552"/>
    <w:rsid w:val="00BB2FC6"/>
    <w:rsid w:val="00BB5928"/>
    <w:rsid w:val="00BC6624"/>
    <w:rsid w:val="00BD0043"/>
    <w:rsid w:val="00BD20D0"/>
    <w:rsid w:val="00BD30B3"/>
    <w:rsid w:val="00BD4211"/>
    <w:rsid w:val="00BD6526"/>
    <w:rsid w:val="00BE1979"/>
    <w:rsid w:val="00BF075E"/>
    <w:rsid w:val="00BF1F4A"/>
    <w:rsid w:val="00BF7A79"/>
    <w:rsid w:val="00C024E8"/>
    <w:rsid w:val="00C02DBA"/>
    <w:rsid w:val="00C03F2D"/>
    <w:rsid w:val="00C051DB"/>
    <w:rsid w:val="00C078B3"/>
    <w:rsid w:val="00C07AF8"/>
    <w:rsid w:val="00C151AB"/>
    <w:rsid w:val="00C1554B"/>
    <w:rsid w:val="00C17A0A"/>
    <w:rsid w:val="00C17C4F"/>
    <w:rsid w:val="00C21611"/>
    <w:rsid w:val="00C23A0A"/>
    <w:rsid w:val="00C2606B"/>
    <w:rsid w:val="00C33900"/>
    <w:rsid w:val="00C34495"/>
    <w:rsid w:val="00C35F7E"/>
    <w:rsid w:val="00C37E4A"/>
    <w:rsid w:val="00C54568"/>
    <w:rsid w:val="00C61B2F"/>
    <w:rsid w:val="00C63354"/>
    <w:rsid w:val="00C63738"/>
    <w:rsid w:val="00C651BE"/>
    <w:rsid w:val="00C65324"/>
    <w:rsid w:val="00C66474"/>
    <w:rsid w:val="00C77167"/>
    <w:rsid w:val="00C80A7B"/>
    <w:rsid w:val="00C818FA"/>
    <w:rsid w:val="00C81BAA"/>
    <w:rsid w:val="00C83ACC"/>
    <w:rsid w:val="00C8425A"/>
    <w:rsid w:val="00C84EE1"/>
    <w:rsid w:val="00C90205"/>
    <w:rsid w:val="00C91819"/>
    <w:rsid w:val="00C96BDC"/>
    <w:rsid w:val="00C96D23"/>
    <w:rsid w:val="00CA11A8"/>
    <w:rsid w:val="00CA1966"/>
    <w:rsid w:val="00CA1973"/>
    <w:rsid w:val="00CA3B70"/>
    <w:rsid w:val="00CB12B0"/>
    <w:rsid w:val="00CB2D50"/>
    <w:rsid w:val="00CB38A0"/>
    <w:rsid w:val="00CB3E96"/>
    <w:rsid w:val="00CB530C"/>
    <w:rsid w:val="00CB58B6"/>
    <w:rsid w:val="00CB615C"/>
    <w:rsid w:val="00CB7552"/>
    <w:rsid w:val="00CC0570"/>
    <w:rsid w:val="00CC1CDA"/>
    <w:rsid w:val="00CC5C53"/>
    <w:rsid w:val="00CC66EE"/>
    <w:rsid w:val="00CC7DA2"/>
    <w:rsid w:val="00CD5978"/>
    <w:rsid w:val="00CD68C2"/>
    <w:rsid w:val="00CE26B6"/>
    <w:rsid w:val="00CE28C7"/>
    <w:rsid w:val="00CE71C6"/>
    <w:rsid w:val="00CF160F"/>
    <w:rsid w:val="00CF2C78"/>
    <w:rsid w:val="00CF5E4F"/>
    <w:rsid w:val="00D01DE8"/>
    <w:rsid w:val="00D029A9"/>
    <w:rsid w:val="00D04CDF"/>
    <w:rsid w:val="00D06287"/>
    <w:rsid w:val="00D159C6"/>
    <w:rsid w:val="00D168D6"/>
    <w:rsid w:val="00D17ACF"/>
    <w:rsid w:val="00D205A0"/>
    <w:rsid w:val="00D22F79"/>
    <w:rsid w:val="00D25984"/>
    <w:rsid w:val="00D2680D"/>
    <w:rsid w:val="00D31AAC"/>
    <w:rsid w:val="00D33FCD"/>
    <w:rsid w:val="00D34A45"/>
    <w:rsid w:val="00D36E12"/>
    <w:rsid w:val="00D413A0"/>
    <w:rsid w:val="00D4166C"/>
    <w:rsid w:val="00D42ACD"/>
    <w:rsid w:val="00D4439A"/>
    <w:rsid w:val="00D44A64"/>
    <w:rsid w:val="00D459A7"/>
    <w:rsid w:val="00D4682C"/>
    <w:rsid w:val="00D51F18"/>
    <w:rsid w:val="00D52243"/>
    <w:rsid w:val="00D54571"/>
    <w:rsid w:val="00D572A2"/>
    <w:rsid w:val="00D61EC2"/>
    <w:rsid w:val="00D64B10"/>
    <w:rsid w:val="00D658ED"/>
    <w:rsid w:val="00D66079"/>
    <w:rsid w:val="00D745A4"/>
    <w:rsid w:val="00D7522C"/>
    <w:rsid w:val="00D75974"/>
    <w:rsid w:val="00D80D6A"/>
    <w:rsid w:val="00D83CE5"/>
    <w:rsid w:val="00D851DD"/>
    <w:rsid w:val="00D86856"/>
    <w:rsid w:val="00D93480"/>
    <w:rsid w:val="00D94B2A"/>
    <w:rsid w:val="00D9511C"/>
    <w:rsid w:val="00D9621A"/>
    <w:rsid w:val="00D96AEB"/>
    <w:rsid w:val="00DA10A5"/>
    <w:rsid w:val="00DA18A8"/>
    <w:rsid w:val="00DB03AF"/>
    <w:rsid w:val="00DB074D"/>
    <w:rsid w:val="00DB0B20"/>
    <w:rsid w:val="00DB4CBD"/>
    <w:rsid w:val="00DB5491"/>
    <w:rsid w:val="00DB6F19"/>
    <w:rsid w:val="00DB7692"/>
    <w:rsid w:val="00DC0939"/>
    <w:rsid w:val="00DC0C8B"/>
    <w:rsid w:val="00DC26D8"/>
    <w:rsid w:val="00DC694D"/>
    <w:rsid w:val="00DD1D5A"/>
    <w:rsid w:val="00DD348E"/>
    <w:rsid w:val="00DE253E"/>
    <w:rsid w:val="00DE763A"/>
    <w:rsid w:val="00DF15C7"/>
    <w:rsid w:val="00DF1AF1"/>
    <w:rsid w:val="00DF2208"/>
    <w:rsid w:val="00DF3919"/>
    <w:rsid w:val="00DF4167"/>
    <w:rsid w:val="00DF53C6"/>
    <w:rsid w:val="00DF62BF"/>
    <w:rsid w:val="00DF6938"/>
    <w:rsid w:val="00E00B39"/>
    <w:rsid w:val="00E02934"/>
    <w:rsid w:val="00E02D1F"/>
    <w:rsid w:val="00E05040"/>
    <w:rsid w:val="00E124D4"/>
    <w:rsid w:val="00E12821"/>
    <w:rsid w:val="00E13EC0"/>
    <w:rsid w:val="00E14138"/>
    <w:rsid w:val="00E2519E"/>
    <w:rsid w:val="00E316F0"/>
    <w:rsid w:val="00E32DB4"/>
    <w:rsid w:val="00E33BB9"/>
    <w:rsid w:val="00E37FC5"/>
    <w:rsid w:val="00E4464A"/>
    <w:rsid w:val="00E4488D"/>
    <w:rsid w:val="00E449B2"/>
    <w:rsid w:val="00E46DE4"/>
    <w:rsid w:val="00E47442"/>
    <w:rsid w:val="00E53C97"/>
    <w:rsid w:val="00E6263E"/>
    <w:rsid w:val="00E62F21"/>
    <w:rsid w:val="00E62FBB"/>
    <w:rsid w:val="00E63A2D"/>
    <w:rsid w:val="00E654DE"/>
    <w:rsid w:val="00E7102D"/>
    <w:rsid w:val="00E742FE"/>
    <w:rsid w:val="00E77896"/>
    <w:rsid w:val="00E81756"/>
    <w:rsid w:val="00E821A8"/>
    <w:rsid w:val="00E83529"/>
    <w:rsid w:val="00E83D3D"/>
    <w:rsid w:val="00E84001"/>
    <w:rsid w:val="00E84855"/>
    <w:rsid w:val="00E87B76"/>
    <w:rsid w:val="00E90F68"/>
    <w:rsid w:val="00E92F08"/>
    <w:rsid w:val="00EA1A87"/>
    <w:rsid w:val="00EA2697"/>
    <w:rsid w:val="00EA275D"/>
    <w:rsid w:val="00EB0795"/>
    <w:rsid w:val="00EB2B36"/>
    <w:rsid w:val="00EB3280"/>
    <w:rsid w:val="00EB4BBC"/>
    <w:rsid w:val="00EB5A58"/>
    <w:rsid w:val="00EB66E5"/>
    <w:rsid w:val="00EB7FAB"/>
    <w:rsid w:val="00EC0EAD"/>
    <w:rsid w:val="00EC3B44"/>
    <w:rsid w:val="00EC6BB0"/>
    <w:rsid w:val="00EC6EE8"/>
    <w:rsid w:val="00EC7CC0"/>
    <w:rsid w:val="00ED0691"/>
    <w:rsid w:val="00ED1154"/>
    <w:rsid w:val="00ED1D09"/>
    <w:rsid w:val="00ED3B68"/>
    <w:rsid w:val="00ED3DB1"/>
    <w:rsid w:val="00ED3EE8"/>
    <w:rsid w:val="00ED5CD8"/>
    <w:rsid w:val="00ED6792"/>
    <w:rsid w:val="00ED7DF4"/>
    <w:rsid w:val="00EE66B7"/>
    <w:rsid w:val="00EF1415"/>
    <w:rsid w:val="00EF1960"/>
    <w:rsid w:val="00EF45DF"/>
    <w:rsid w:val="00EF7C30"/>
    <w:rsid w:val="00F02618"/>
    <w:rsid w:val="00F0279F"/>
    <w:rsid w:val="00F04852"/>
    <w:rsid w:val="00F06993"/>
    <w:rsid w:val="00F06F86"/>
    <w:rsid w:val="00F11B2A"/>
    <w:rsid w:val="00F1372F"/>
    <w:rsid w:val="00F145E1"/>
    <w:rsid w:val="00F15173"/>
    <w:rsid w:val="00F17E8A"/>
    <w:rsid w:val="00F17FFD"/>
    <w:rsid w:val="00F24B3F"/>
    <w:rsid w:val="00F2534D"/>
    <w:rsid w:val="00F257A8"/>
    <w:rsid w:val="00F25A80"/>
    <w:rsid w:val="00F272DA"/>
    <w:rsid w:val="00F324A9"/>
    <w:rsid w:val="00F34D10"/>
    <w:rsid w:val="00F3658B"/>
    <w:rsid w:val="00F51529"/>
    <w:rsid w:val="00F549F3"/>
    <w:rsid w:val="00F54C41"/>
    <w:rsid w:val="00F61378"/>
    <w:rsid w:val="00F61ADB"/>
    <w:rsid w:val="00F62A47"/>
    <w:rsid w:val="00F631A8"/>
    <w:rsid w:val="00F67287"/>
    <w:rsid w:val="00F710A0"/>
    <w:rsid w:val="00F7297D"/>
    <w:rsid w:val="00F732A4"/>
    <w:rsid w:val="00F73940"/>
    <w:rsid w:val="00F73ABD"/>
    <w:rsid w:val="00F7456E"/>
    <w:rsid w:val="00F74663"/>
    <w:rsid w:val="00F754B2"/>
    <w:rsid w:val="00F76AEA"/>
    <w:rsid w:val="00F7784F"/>
    <w:rsid w:val="00F77E52"/>
    <w:rsid w:val="00F816EA"/>
    <w:rsid w:val="00F87692"/>
    <w:rsid w:val="00F87BF3"/>
    <w:rsid w:val="00F92FB0"/>
    <w:rsid w:val="00F93D19"/>
    <w:rsid w:val="00F95DE8"/>
    <w:rsid w:val="00F9625D"/>
    <w:rsid w:val="00FA0424"/>
    <w:rsid w:val="00FA4D3E"/>
    <w:rsid w:val="00FA5066"/>
    <w:rsid w:val="00FA58B9"/>
    <w:rsid w:val="00FA5DFC"/>
    <w:rsid w:val="00FB0D49"/>
    <w:rsid w:val="00FB2C50"/>
    <w:rsid w:val="00FB49EF"/>
    <w:rsid w:val="00FB7254"/>
    <w:rsid w:val="00FC15ED"/>
    <w:rsid w:val="00FC25CF"/>
    <w:rsid w:val="00FC794F"/>
    <w:rsid w:val="00FD7D19"/>
    <w:rsid w:val="00FE38BB"/>
    <w:rsid w:val="00FE4415"/>
    <w:rsid w:val="00FE58B5"/>
    <w:rsid w:val="00FE665E"/>
    <w:rsid w:val="00FE6AA6"/>
    <w:rsid w:val="00FF32A9"/>
    <w:rsid w:val="00FF6A20"/>
    <w:rsid w:val="00FF7B46"/>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2F818"/>
  <w15:docId w15:val="{9856EC6F-B869-4675-90EF-01E301FD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E0"/>
  </w:style>
  <w:style w:type="paragraph" w:styleId="Titre1">
    <w:name w:val="heading 1"/>
    <w:basedOn w:val="Normal"/>
    <w:next w:val="Normal"/>
    <w:link w:val="Titre1Car"/>
    <w:uiPriority w:val="9"/>
    <w:qFormat/>
    <w:rsid w:val="003E0C02"/>
    <w:pPr>
      <w:spacing w:after="0" w:line="240" w:lineRule="auto"/>
      <w:ind w:left="1" w:hanging="1"/>
      <w:jc w:val="center"/>
      <w:outlineLvl w:val="0"/>
    </w:pPr>
    <w:rPr>
      <w:rFonts w:ascii="Times New Roman" w:hAnsi="Times New Roman"/>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665E"/>
    <w:pPr>
      <w:ind w:left="720"/>
      <w:contextualSpacing/>
    </w:pPr>
  </w:style>
  <w:style w:type="table" w:styleId="Grilledutableau">
    <w:name w:val="Table Grid"/>
    <w:basedOn w:val="TableauNormal"/>
    <w:uiPriority w:val="59"/>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unhideWhenUsed/>
    <w:rsid w:val="005A2ACA"/>
    <w:rPr>
      <w:sz w:val="16"/>
      <w:szCs w:val="16"/>
    </w:rPr>
  </w:style>
  <w:style w:type="paragraph" w:styleId="Commentaire">
    <w:name w:val="annotation text"/>
    <w:aliases w:val=" Car17, Car17 Car, Char, Char Char, Char Char Char,Annotationtext,Char,Char Char Char,Char Char1,Comment Text Char Char,Comment Text Char Char Char,Comment Text Char Char1,Comment Text Char1,Comment Text Char1 Char"/>
    <w:basedOn w:val="Normal"/>
    <w:link w:val="CommentaireCar"/>
    <w:unhideWhenUsed/>
    <w:qFormat/>
    <w:rsid w:val="005A2ACA"/>
    <w:pPr>
      <w:spacing w:line="240" w:lineRule="auto"/>
    </w:pPr>
    <w:rPr>
      <w:sz w:val="20"/>
      <w:szCs w:val="20"/>
    </w:rPr>
  </w:style>
  <w:style w:type="character" w:customStyle="1" w:styleId="CommentaireCar">
    <w:name w:val="Commentaire Car"/>
    <w:aliases w:val=" Car17 Car1, Car17 Car Car, Char Car, Char Char Car, Char Char Char Car,Annotationtext Car,Char Car,Char Char Char Car,Char Char1 Car,Comment Text Char Char Car,Comment Text Char Char Char Car,Comment Text Char Char1 Car"/>
    <w:basedOn w:val="Policepardfaut"/>
    <w:link w:val="Commentaire"/>
    <w:rsid w:val="005A2ACA"/>
    <w:rPr>
      <w:sz w:val="20"/>
      <w:szCs w:val="20"/>
    </w:rPr>
  </w:style>
  <w:style w:type="paragraph" w:styleId="Objetducommentaire">
    <w:name w:val="annotation subject"/>
    <w:basedOn w:val="Commentaire"/>
    <w:next w:val="Commentaire"/>
    <w:link w:val="ObjetducommentaireCar"/>
    <w:uiPriority w:val="99"/>
    <w:semiHidden/>
    <w:unhideWhenUsed/>
    <w:rsid w:val="005A2ACA"/>
    <w:rPr>
      <w:b/>
      <w:bCs/>
    </w:rPr>
  </w:style>
  <w:style w:type="character" w:customStyle="1" w:styleId="ObjetducommentaireCar">
    <w:name w:val="Objet du commentaire Car"/>
    <w:basedOn w:val="CommentaireCar"/>
    <w:link w:val="Objetducommentaire"/>
    <w:uiPriority w:val="99"/>
    <w:semiHidden/>
    <w:rsid w:val="005A2ACA"/>
    <w:rPr>
      <w:b/>
      <w:bCs/>
      <w:sz w:val="20"/>
      <w:szCs w:val="20"/>
    </w:rPr>
  </w:style>
  <w:style w:type="paragraph" w:styleId="Textedebulles">
    <w:name w:val="Balloon Text"/>
    <w:basedOn w:val="Normal"/>
    <w:link w:val="TextedebullesCar"/>
    <w:uiPriority w:val="99"/>
    <w:semiHidden/>
    <w:unhideWhenUsed/>
    <w:rsid w:val="005A2A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2ACA"/>
    <w:rPr>
      <w:rFonts w:ascii="Segoe UI" w:hAnsi="Segoe UI" w:cs="Segoe UI"/>
      <w:sz w:val="18"/>
      <w:szCs w:val="18"/>
    </w:rPr>
  </w:style>
  <w:style w:type="paragraph" w:styleId="En-tte">
    <w:name w:val="header"/>
    <w:basedOn w:val="Normal"/>
    <w:link w:val="En-tteCar"/>
    <w:uiPriority w:val="99"/>
    <w:unhideWhenUsed/>
    <w:rsid w:val="00A103F1"/>
    <w:pPr>
      <w:tabs>
        <w:tab w:val="center" w:pos="4513"/>
        <w:tab w:val="right" w:pos="9026"/>
      </w:tabs>
      <w:spacing w:after="0" w:line="240" w:lineRule="auto"/>
    </w:pPr>
  </w:style>
  <w:style w:type="character" w:customStyle="1" w:styleId="En-tteCar">
    <w:name w:val="En-tête Car"/>
    <w:basedOn w:val="Policepardfaut"/>
    <w:link w:val="En-tte"/>
    <w:uiPriority w:val="99"/>
    <w:rsid w:val="00A103F1"/>
  </w:style>
  <w:style w:type="paragraph" w:styleId="Pieddepage">
    <w:name w:val="footer"/>
    <w:basedOn w:val="Normal"/>
    <w:link w:val="PieddepageCar"/>
    <w:uiPriority w:val="99"/>
    <w:unhideWhenUsed/>
    <w:rsid w:val="00A103F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103F1"/>
  </w:style>
  <w:style w:type="paragraph" w:styleId="Rvision">
    <w:name w:val="Revision"/>
    <w:hidden/>
    <w:uiPriority w:val="99"/>
    <w:semiHidden/>
    <w:rsid w:val="00C8425A"/>
    <w:pPr>
      <w:widowControl/>
      <w:spacing w:after="0" w:line="240" w:lineRule="auto"/>
    </w:pPr>
  </w:style>
  <w:style w:type="character" w:styleId="Lienhypertexte">
    <w:name w:val="Hyperlink"/>
    <w:basedOn w:val="Policepardfaut"/>
    <w:uiPriority w:val="99"/>
    <w:unhideWhenUsed/>
    <w:rsid w:val="001C2474"/>
    <w:rPr>
      <w:color w:val="0000FF" w:themeColor="hyperlink"/>
      <w:u w:val="single"/>
    </w:rPr>
  </w:style>
  <w:style w:type="character" w:customStyle="1" w:styleId="UnresolvedMention1">
    <w:name w:val="Unresolved Mention1"/>
    <w:basedOn w:val="Policepardfaut"/>
    <w:uiPriority w:val="99"/>
    <w:semiHidden/>
    <w:unhideWhenUsed/>
    <w:rsid w:val="001C2474"/>
    <w:rPr>
      <w:color w:val="605E5C"/>
      <w:shd w:val="clear" w:color="auto" w:fill="E1DFDD"/>
    </w:rPr>
  </w:style>
  <w:style w:type="character" w:styleId="Lienhypertextesuivivisit">
    <w:name w:val="FollowedHyperlink"/>
    <w:basedOn w:val="Policepardfaut"/>
    <w:uiPriority w:val="99"/>
    <w:semiHidden/>
    <w:unhideWhenUsed/>
    <w:rsid w:val="001C2474"/>
    <w:rPr>
      <w:color w:val="800080" w:themeColor="followedHyperlink"/>
      <w:u w:val="single"/>
    </w:rPr>
  </w:style>
  <w:style w:type="paragraph" w:customStyle="1" w:styleId="paragraph">
    <w:name w:val="paragraph"/>
    <w:basedOn w:val="Normal"/>
    <w:rsid w:val="007A2134"/>
    <w:pPr>
      <w:widowControl/>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Policepardfaut"/>
    <w:rsid w:val="007A2134"/>
  </w:style>
  <w:style w:type="character" w:customStyle="1" w:styleId="eop">
    <w:name w:val="eop"/>
    <w:basedOn w:val="Policepardfaut"/>
    <w:rsid w:val="007A2134"/>
  </w:style>
  <w:style w:type="character" w:customStyle="1" w:styleId="spellingerror">
    <w:name w:val="spellingerror"/>
    <w:basedOn w:val="Policepardfaut"/>
    <w:rsid w:val="007A2134"/>
  </w:style>
  <w:style w:type="character" w:styleId="Mentionnonrsolue">
    <w:name w:val="Unresolved Mention"/>
    <w:basedOn w:val="Policepardfaut"/>
    <w:uiPriority w:val="99"/>
    <w:semiHidden/>
    <w:unhideWhenUsed/>
    <w:rsid w:val="00EE66B7"/>
    <w:rPr>
      <w:color w:val="605E5C"/>
      <w:shd w:val="clear" w:color="auto" w:fill="E1DFDD"/>
    </w:rPr>
  </w:style>
  <w:style w:type="character" w:customStyle="1" w:styleId="Titre1Car">
    <w:name w:val="Titre 1 Car"/>
    <w:basedOn w:val="Policepardfaut"/>
    <w:link w:val="Titre1"/>
    <w:uiPriority w:val="9"/>
    <w:rsid w:val="003E0C02"/>
    <w:rPr>
      <w:rFonts w:ascii="Times New Roman" w:hAnsi="Times New Roman"/>
      <w:b/>
    </w:rPr>
  </w:style>
  <w:style w:type="table" w:customStyle="1" w:styleId="TableGrid1">
    <w:name w:val="Table Grid1"/>
    <w:basedOn w:val="TableauNormal"/>
    <w:next w:val="Grilledutableau"/>
    <w:rsid w:val="004C027E"/>
    <w:pPr>
      <w:widowControl/>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3330">
      <w:bodyDiv w:val="1"/>
      <w:marLeft w:val="0"/>
      <w:marRight w:val="0"/>
      <w:marTop w:val="0"/>
      <w:marBottom w:val="0"/>
      <w:divBdr>
        <w:top w:val="none" w:sz="0" w:space="0" w:color="auto"/>
        <w:left w:val="none" w:sz="0" w:space="0" w:color="auto"/>
        <w:bottom w:val="none" w:sz="0" w:space="0" w:color="auto"/>
        <w:right w:val="none" w:sz="0" w:space="0" w:color="auto"/>
      </w:divBdr>
    </w:div>
    <w:div w:id="153617322">
      <w:bodyDiv w:val="1"/>
      <w:marLeft w:val="0"/>
      <w:marRight w:val="0"/>
      <w:marTop w:val="0"/>
      <w:marBottom w:val="0"/>
      <w:divBdr>
        <w:top w:val="none" w:sz="0" w:space="0" w:color="auto"/>
        <w:left w:val="none" w:sz="0" w:space="0" w:color="auto"/>
        <w:bottom w:val="none" w:sz="0" w:space="0" w:color="auto"/>
        <w:right w:val="none" w:sz="0" w:space="0" w:color="auto"/>
      </w:divBdr>
    </w:div>
    <w:div w:id="272322980">
      <w:bodyDiv w:val="1"/>
      <w:marLeft w:val="0"/>
      <w:marRight w:val="0"/>
      <w:marTop w:val="0"/>
      <w:marBottom w:val="0"/>
      <w:divBdr>
        <w:top w:val="none" w:sz="0" w:space="0" w:color="auto"/>
        <w:left w:val="none" w:sz="0" w:space="0" w:color="auto"/>
        <w:bottom w:val="none" w:sz="0" w:space="0" w:color="auto"/>
        <w:right w:val="none" w:sz="0" w:space="0" w:color="auto"/>
      </w:divBdr>
    </w:div>
    <w:div w:id="566114456">
      <w:bodyDiv w:val="1"/>
      <w:marLeft w:val="0"/>
      <w:marRight w:val="0"/>
      <w:marTop w:val="0"/>
      <w:marBottom w:val="0"/>
      <w:divBdr>
        <w:top w:val="none" w:sz="0" w:space="0" w:color="auto"/>
        <w:left w:val="none" w:sz="0" w:space="0" w:color="auto"/>
        <w:bottom w:val="none" w:sz="0" w:space="0" w:color="auto"/>
        <w:right w:val="none" w:sz="0" w:space="0" w:color="auto"/>
      </w:divBdr>
    </w:div>
    <w:div w:id="576474091">
      <w:bodyDiv w:val="1"/>
      <w:marLeft w:val="0"/>
      <w:marRight w:val="0"/>
      <w:marTop w:val="0"/>
      <w:marBottom w:val="0"/>
      <w:divBdr>
        <w:top w:val="none" w:sz="0" w:space="0" w:color="auto"/>
        <w:left w:val="none" w:sz="0" w:space="0" w:color="auto"/>
        <w:bottom w:val="none" w:sz="0" w:space="0" w:color="auto"/>
        <w:right w:val="none" w:sz="0" w:space="0" w:color="auto"/>
      </w:divBdr>
    </w:div>
    <w:div w:id="768430318">
      <w:bodyDiv w:val="1"/>
      <w:marLeft w:val="0"/>
      <w:marRight w:val="0"/>
      <w:marTop w:val="0"/>
      <w:marBottom w:val="0"/>
      <w:divBdr>
        <w:top w:val="none" w:sz="0" w:space="0" w:color="auto"/>
        <w:left w:val="none" w:sz="0" w:space="0" w:color="auto"/>
        <w:bottom w:val="none" w:sz="0" w:space="0" w:color="auto"/>
        <w:right w:val="none" w:sz="0" w:space="0" w:color="auto"/>
      </w:divBdr>
    </w:div>
    <w:div w:id="1118447088">
      <w:bodyDiv w:val="1"/>
      <w:marLeft w:val="0"/>
      <w:marRight w:val="0"/>
      <w:marTop w:val="0"/>
      <w:marBottom w:val="0"/>
      <w:divBdr>
        <w:top w:val="none" w:sz="0" w:space="0" w:color="auto"/>
        <w:left w:val="none" w:sz="0" w:space="0" w:color="auto"/>
        <w:bottom w:val="none" w:sz="0" w:space="0" w:color="auto"/>
        <w:right w:val="none" w:sz="0" w:space="0" w:color="auto"/>
      </w:divBdr>
    </w:div>
    <w:div w:id="1207109583">
      <w:bodyDiv w:val="1"/>
      <w:marLeft w:val="0"/>
      <w:marRight w:val="0"/>
      <w:marTop w:val="0"/>
      <w:marBottom w:val="0"/>
      <w:divBdr>
        <w:top w:val="none" w:sz="0" w:space="0" w:color="auto"/>
        <w:left w:val="none" w:sz="0" w:space="0" w:color="auto"/>
        <w:bottom w:val="none" w:sz="0" w:space="0" w:color="auto"/>
        <w:right w:val="none" w:sz="0" w:space="0" w:color="auto"/>
      </w:divBdr>
    </w:div>
    <w:div w:id="1538469120">
      <w:bodyDiv w:val="1"/>
      <w:marLeft w:val="0"/>
      <w:marRight w:val="0"/>
      <w:marTop w:val="0"/>
      <w:marBottom w:val="0"/>
      <w:divBdr>
        <w:top w:val="none" w:sz="0" w:space="0" w:color="auto"/>
        <w:left w:val="none" w:sz="0" w:space="0" w:color="auto"/>
        <w:bottom w:val="none" w:sz="0" w:space="0" w:color="auto"/>
        <w:right w:val="none" w:sz="0" w:space="0" w:color="auto"/>
      </w:divBdr>
    </w:div>
    <w:div w:id="1553348076">
      <w:bodyDiv w:val="1"/>
      <w:marLeft w:val="0"/>
      <w:marRight w:val="0"/>
      <w:marTop w:val="0"/>
      <w:marBottom w:val="0"/>
      <w:divBdr>
        <w:top w:val="none" w:sz="0" w:space="0" w:color="auto"/>
        <w:left w:val="none" w:sz="0" w:space="0" w:color="auto"/>
        <w:bottom w:val="none" w:sz="0" w:space="0" w:color="auto"/>
        <w:right w:val="none" w:sz="0" w:space="0" w:color="auto"/>
      </w:divBdr>
    </w:div>
    <w:div w:id="1604146247">
      <w:bodyDiv w:val="1"/>
      <w:marLeft w:val="0"/>
      <w:marRight w:val="0"/>
      <w:marTop w:val="0"/>
      <w:marBottom w:val="0"/>
      <w:divBdr>
        <w:top w:val="none" w:sz="0" w:space="0" w:color="auto"/>
        <w:left w:val="none" w:sz="0" w:space="0" w:color="auto"/>
        <w:bottom w:val="none" w:sz="0" w:space="0" w:color="auto"/>
        <w:right w:val="none" w:sz="0" w:space="0" w:color="auto"/>
      </w:divBdr>
    </w:div>
    <w:div w:id="1655865224">
      <w:bodyDiv w:val="1"/>
      <w:marLeft w:val="0"/>
      <w:marRight w:val="0"/>
      <w:marTop w:val="0"/>
      <w:marBottom w:val="0"/>
      <w:divBdr>
        <w:top w:val="none" w:sz="0" w:space="0" w:color="auto"/>
        <w:left w:val="none" w:sz="0" w:space="0" w:color="auto"/>
        <w:bottom w:val="none" w:sz="0" w:space="0" w:color="auto"/>
        <w:right w:val="none" w:sz="0" w:space="0" w:color="auto"/>
      </w:divBdr>
    </w:div>
    <w:div w:id="1837769961">
      <w:bodyDiv w:val="1"/>
      <w:marLeft w:val="0"/>
      <w:marRight w:val="0"/>
      <w:marTop w:val="0"/>
      <w:marBottom w:val="0"/>
      <w:divBdr>
        <w:top w:val="none" w:sz="0" w:space="0" w:color="auto"/>
        <w:left w:val="none" w:sz="0" w:space="0" w:color="auto"/>
        <w:bottom w:val="none" w:sz="0" w:space="0" w:color="auto"/>
        <w:right w:val="none" w:sz="0" w:space="0" w:color="auto"/>
      </w:divBdr>
    </w:div>
    <w:div w:id="1882402165">
      <w:bodyDiv w:val="1"/>
      <w:marLeft w:val="0"/>
      <w:marRight w:val="0"/>
      <w:marTop w:val="0"/>
      <w:marBottom w:val="0"/>
      <w:divBdr>
        <w:top w:val="none" w:sz="0" w:space="0" w:color="auto"/>
        <w:left w:val="none" w:sz="0" w:space="0" w:color="auto"/>
        <w:bottom w:val="none" w:sz="0" w:space="0" w:color="auto"/>
        <w:right w:val="none" w:sz="0" w:space="0" w:color="auto"/>
      </w:divBdr>
    </w:div>
    <w:div w:id="1970083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ingolimod-mylan"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EMADOC-1700519818-3231628</_dlc_DocId>
    <_dlc_DocIdUrl xmlns="a034c160-bfb7-45f5-8632-2eb7e0508071">
      <Url>https://euema.sharepoint.com/sites/CRM/_layouts/15/DocIdRedir.aspx?ID=EMADOC-1700519818-3231628</Url>
      <Description>EMADOC-1700519818-3231628</Description>
    </_dlc_DocIdUrl>
  </documentManagement>
</p:properties>
</file>

<file path=customXml/itemProps1.xml><?xml version="1.0" encoding="utf-8"?>
<ds:datastoreItem xmlns:ds="http://schemas.openxmlformats.org/officeDocument/2006/customXml" ds:itemID="{B6F0E929-F670-4FBE-89D9-656CC52555EA}">
  <ds:schemaRefs>
    <ds:schemaRef ds:uri="http://schemas.openxmlformats.org/officeDocument/2006/bibliography"/>
  </ds:schemaRefs>
</ds:datastoreItem>
</file>

<file path=customXml/itemProps2.xml><?xml version="1.0" encoding="utf-8"?>
<ds:datastoreItem xmlns:ds="http://schemas.openxmlformats.org/officeDocument/2006/customXml" ds:itemID="{A8557DAA-C587-4250-AA1A-E7982758E76F}"/>
</file>

<file path=customXml/itemProps3.xml><?xml version="1.0" encoding="utf-8"?>
<ds:datastoreItem xmlns:ds="http://schemas.openxmlformats.org/officeDocument/2006/customXml" ds:itemID="{9603C999-8333-41F3-A032-96437CE437D5}"/>
</file>

<file path=customXml/itemProps4.xml><?xml version="1.0" encoding="utf-8"?>
<ds:datastoreItem xmlns:ds="http://schemas.openxmlformats.org/officeDocument/2006/customXml" ds:itemID="{E2C0F79D-1BB9-47E0-971E-A4EBC0837323}"/>
</file>

<file path=customXml/itemProps5.xml><?xml version="1.0" encoding="utf-8"?>
<ds:datastoreItem xmlns:ds="http://schemas.openxmlformats.org/officeDocument/2006/customXml" ds:itemID="{E29FB2EB-8E0C-4C4F-8237-3C7990D3C63D}"/>
</file>

<file path=docProps/app.xml><?xml version="1.0" encoding="utf-8"?>
<Properties xmlns="http://schemas.openxmlformats.org/officeDocument/2006/extended-properties" xmlns:vt="http://schemas.openxmlformats.org/officeDocument/2006/docPropsVTypes">
  <Template>Normal</Template>
  <TotalTime>76</TotalTime>
  <Pages>67</Pages>
  <Words>25691</Words>
  <Characters>141305</Characters>
  <Application>Microsoft Office Word</Application>
  <DocSecurity>0</DocSecurity>
  <Lines>1177</Lines>
  <Paragraphs>333</Paragraphs>
  <ScaleCrop>false</ScaleCrop>
  <HeadingPairs>
    <vt:vector size="6" baseType="variant">
      <vt:variant>
        <vt:lpstr>Titre</vt:lpstr>
      </vt:variant>
      <vt:variant>
        <vt:i4>1</vt:i4>
      </vt:variant>
      <vt:variant>
        <vt:lpstr>Title</vt:lpstr>
      </vt:variant>
      <vt:variant>
        <vt:i4>1</vt:i4>
      </vt:variant>
      <vt:variant>
        <vt:lpstr>Naslov</vt:lpstr>
      </vt:variant>
      <vt:variant>
        <vt:i4>1</vt:i4>
      </vt:variant>
    </vt:vector>
  </HeadingPairs>
  <TitlesOfParts>
    <vt:vector size="3" baseType="lpstr">
      <vt:lpstr>Fingolimod Mylan: EPAR – Product information – tracked changes</vt:lpstr>
      <vt:lpstr>Fingolimod Viatris, INN-fingolimod</vt:lpstr>
      <vt:lpstr>Fingolimod Mylan-5661 - D150 Rapp JAR - EN PI</vt:lpstr>
    </vt:vector>
  </TitlesOfParts>
  <Company/>
  <LinksUpToDate>false</LinksUpToDate>
  <CharactersWithSpaces>166663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20</cp:revision>
  <cp:lastPrinted>2019-04-30T13:34:00Z</cp:lastPrinted>
  <dcterms:created xsi:type="dcterms:W3CDTF">2025-09-09T08:50:00Z</dcterms:created>
  <dcterms:modified xsi:type="dcterms:W3CDTF">2026-04-15T12:00:00Z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DM_Author">
    <vt:lpwstr/>
  </property>
  <property fmtid="{D5CDD505-2E9C-101B-9397-08002B2CF9AE}" pid="4" name="DM_Category">
    <vt:lpwstr>Assessment Report</vt:lpwstr>
  </property>
  <property fmtid="{D5CDD505-2E9C-101B-9397-08002B2CF9AE}" pid="5" name="DM_Creation_Date">
    <vt:lpwstr>18/06/2021 08:10:52</vt:lpwstr>
  </property>
  <property fmtid="{D5CDD505-2E9C-101B-9397-08002B2CF9AE}" pid="6" name="DM_Creator_Name">
    <vt:lpwstr>Diogo Anu</vt:lpwstr>
  </property>
  <property fmtid="{D5CDD505-2E9C-101B-9397-08002B2CF9AE}" pid="7" name="DM_DocRefId">
    <vt:lpwstr>EMA/CHMP/347466/2021</vt:lpwstr>
  </property>
  <property fmtid="{D5CDD505-2E9C-101B-9397-08002B2CF9AE}" pid="8" name="DM_emea_doc_ref_id">
    <vt:lpwstr>EMA/CHMP/347466/2021</vt:lpwstr>
  </property>
  <property fmtid="{D5CDD505-2E9C-101B-9397-08002B2CF9AE}" pid="9" name="DM_Keywords">
    <vt:lpwstr/>
  </property>
  <property fmtid="{D5CDD505-2E9C-101B-9397-08002B2CF9AE}" pid="10" name="DM_Language">
    <vt:lpwstr/>
  </property>
  <property fmtid="{D5CDD505-2E9C-101B-9397-08002B2CF9AE}" pid="11" name="DM_Modifer_Name">
    <vt:lpwstr>Diogo Anu</vt:lpwstr>
  </property>
  <property fmtid="{D5CDD505-2E9C-101B-9397-08002B2CF9AE}" pid="12" name="DM_Modified_Date">
    <vt:lpwstr>18/06/2021 08:10:52</vt:lpwstr>
  </property>
  <property fmtid="{D5CDD505-2E9C-101B-9397-08002B2CF9AE}" pid="13" name="DM_Modifier_Name">
    <vt:lpwstr>Diogo Anu</vt:lpwstr>
  </property>
  <property fmtid="{D5CDD505-2E9C-101B-9397-08002B2CF9AE}" pid="14" name="DM_Modify_Date">
    <vt:lpwstr>18/06/2021 08:10:52</vt:lpwstr>
  </property>
  <property fmtid="{D5CDD505-2E9C-101B-9397-08002B2CF9AE}" pid="15" name="DM_Name">
    <vt:lpwstr>Fingolimod Mylan-5661 - D150 Rapp updated JAR - EN PI</vt:lpwstr>
  </property>
  <property fmtid="{D5CDD505-2E9C-101B-9397-08002B2CF9AE}" pid="16" name="DM_Path">
    <vt:lpwstr>/01. Evaluation of Medicines/H-C/D-F/Fingolimod Mylan - 005661/03 Evaluation/Day 121- 210/04. D150 Rapp updated JARs (17.06.2021)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2019-02-21T00:00:00Z</vt:filetime>
  </property>
  <property fmtid="{D5CDD505-2E9C-101B-9397-08002B2CF9AE}" pid="23" name="MSIP_Label_503f6870-8cd0-455e-9544-ac69fe858a10_ActionId">
    <vt:lpwstr>f412a261-7fe0-41d4-aa5e-1fb11f6e3717</vt:lpwstr>
  </property>
  <property fmtid="{D5CDD505-2E9C-101B-9397-08002B2CF9AE}" pid="24" name="MSIP_Label_503f6870-8cd0-455e-9544-ac69fe858a10_ContentBits">
    <vt:lpwstr>0</vt:lpwstr>
  </property>
  <property fmtid="{D5CDD505-2E9C-101B-9397-08002B2CF9AE}" pid="25" name="MSIP_Label_503f6870-8cd0-455e-9544-ac69fe858a10_Enabled">
    <vt:lpwstr>true</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etDate">
    <vt:lpwstr>2021-06-18T06:08:14Z</vt:lpwstr>
  </property>
  <property fmtid="{D5CDD505-2E9C-101B-9397-08002B2CF9AE}" pid="29" name="MSIP_Label_503f6870-8cd0-455e-9544-ac69fe858a10_SiteId">
    <vt:lpwstr>bc9dc15c-61bc-4f03-b60b-e5b6d8922839</vt:lpwstr>
  </property>
  <property fmtid="{D5CDD505-2E9C-101B-9397-08002B2CF9AE}" pid="30" name="MSIP_Label_6fc3cd6a-6a66-451e-96cd-7552d750b3db_Enabled">
    <vt:lpwstr>true</vt:lpwstr>
  </property>
  <property fmtid="{D5CDD505-2E9C-101B-9397-08002B2CF9AE}" pid="31" name="MSIP_Label_6fc3cd6a-6a66-451e-96cd-7552d750b3db_SetDate">
    <vt:lpwstr>2024-09-16T15:25:20Z</vt:lpwstr>
  </property>
  <property fmtid="{D5CDD505-2E9C-101B-9397-08002B2CF9AE}" pid="32" name="MSIP_Label_6fc3cd6a-6a66-451e-96cd-7552d750b3db_Method">
    <vt:lpwstr>Standard</vt:lpwstr>
  </property>
  <property fmtid="{D5CDD505-2E9C-101B-9397-08002B2CF9AE}" pid="33" name="MSIP_Label_6fc3cd6a-6a66-451e-96cd-7552d750b3db_Name">
    <vt:lpwstr>Highly Confidential</vt:lpwstr>
  </property>
  <property fmtid="{D5CDD505-2E9C-101B-9397-08002B2CF9AE}" pid="34" name="MSIP_Label_6fc3cd6a-6a66-451e-96cd-7552d750b3db_SiteId">
    <vt:lpwstr>b7dcea4e-d150-4ba1-8b2a-c8b27a75525c</vt:lpwstr>
  </property>
  <property fmtid="{D5CDD505-2E9C-101B-9397-08002B2CF9AE}" pid="35" name="MSIP_Label_6fc3cd6a-6a66-451e-96cd-7552d750b3db_ActionId">
    <vt:lpwstr>0ccc263b-6b9c-4ba6-b0d0-cf51d8a4e9f0</vt:lpwstr>
  </property>
  <property fmtid="{D5CDD505-2E9C-101B-9397-08002B2CF9AE}" pid="36" name="MSIP_Label_6fc3cd6a-6a66-451e-96cd-7552d750b3db_ContentBits">
    <vt:lpwstr>0</vt:lpwstr>
  </property>
  <property fmtid="{D5CDD505-2E9C-101B-9397-08002B2CF9AE}" pid="37" name="ContentTypeId">
    <vt:lpwstr>0x0101000DA6AD19014FF648A49316945EE786F90200176DED4FF78CD74995F64A0F46B59E48</vt:lpwstr>
  </property>
  <property fmtid="{D5CDD505-2E9C-101B-9397-08002B2CF9AE}" pid="38" name="_dlc_DocIdItemGuid">
    <vt:lpwstr>fa8b6a77-75e1-47ce-83ee-60c7d1e5e014</vt:lpwstr>
  </property>
</Properties>
</file>