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9F496" w14:textId="77777777" w:rsidR="00824B54" w:rsidRPr="00824B54" w:rsidRDefault="00824B54" w:rsidP="00824B54">
      <w:pPr>
        <w:widowControl w:val="0"/>
        <w:pBdr>
          <w:top w:val="single" w:sz="4" w:space="1" w:color="auto"/>
          <w:left w:val="single" w:sz="4" w:space="4" w:color="auto"/>
          <w:bottom w:val="single" w:sz="4" w:space="1" w:color="auto"/>
          <w:right w:val="single" w:sz="4" w:space="4" w:color="auto"/>
        </w:pBdr>
        <w:rPr>
          <w:rFonts w:ascii="Times New Roman" w:hAnsi="Times New Roman"/>
        </w:rPr>
      </w:pPr>
      <w:r w:rsidRPr="00824B54">
        <w:rPr>
          <w:rFonts w:ascii="Times New Roman" w:hAnsi="Times New Roman"/>
        </w:rPr>
        <w:t xml:space="preserve">Ce document constitue les informations sur le produit approuvées pour </w:t>
      </w:r>
      <w:proofErr w:type="spellStart"/>
      <w:r w:rsidRPr="00824B54">
        <w:rPr>
          <w:rFonts w:ascii="Times New Roman" w:hAnsi="Times New Roman"/>
          <w:lang w:val="en-GB"/>
        </w:rPr>
        <w:t>Glivec</w:t>
      </w:r>
      <w:proofErr w:type="spellEnd"/>
      <w:r w:rsidRPr="00824B54">
        <w:rPr>
          <w:rFonts w:ascii="Times New Roman" w:hAnsi="Times New Roman"/>
        </w:rPr>
        <w:t>, les modifications apportées depuis la procédure précédente qui ont une incidence sur les informations sur le produit (</w:t>
      </w:r>
      <w:r w:rsidRPr="00824B54">
        <w:rPr>
          <w:rFonts w:ascii="Times New Roman" w:hAnsi="Times New Roman"/>
          <w:lang w:val="en-GB"/>
        </w:rPr>
        <w:t>EMA/VR/0000282643</w:t>
      </w:r>
      <w:r w:rsidRPr="00824B54">
        <w:rPr>
          <w:rFonts w:ascii="Times New Roman" w:hAnsi="Times New Roman"/>
        </w:rPr>
        <w:t>) étant mises en évidence.</w:t>
      </w:r>
    </w:p>
    <w:p w14:paraId="4A98CF45" w14:textId="77777777" w:rsidR="00824B54" w:rsidRPr="00824B54" w:rsidRDefault="00824B54" w:rsidP="00824B54">
      <w:pPr>
        <w:widowControl w:val="0"/>
        <w:pBdr>
          <w:top w:val="single" w:sz="4" w:space="1" w:color="auto"/>
          <w:left w:val="single" w:sz="4" w:space="4" w:color="auto"/>
          <w:bottom w:val="single" w:sz="4" w:space="1" w:color="auto"/>
          <w:right w:val="single" w:sz="4" w:space="4" w:color="auto"/>
        </w:pBdr>
        <w:rPr>
          <w:rFonts w:ascii="Times New Roman" w:hAnsi="Times New Roman"/>
        </w:rPr>
      </w:pPr>
    </w:p>
    <w:p w14:paraId="39EEE996" w14:textId="63546D6B" w:rsidR="007D642D" w:rsidRPr="00824B54" w:rsidRDefault="00824B54" w:rsidP="00824B54">
      <w:pPr>
        <w:pBdr>
          <w:top w:val="single" w:sz="4" w:space="1" w:color="auto"/>
          <w:left w:val="single" w:sz="4" w:space="4" w:color="auto"/>
          <w:bottom w:val="single" w:sz="4" w:space="1" w:color="auto"/>
          <w:right w:val="single" w:sz="4" w:space="4" w:color="auto"/>
        </w:pBdr>
        <w:rPr>
          <w:rFonts w:ascii="Times New Roman" w:hAnsi="Times New Roman"/>
          <w:color w:val="000000"/>
          <w:szCs w:val="22"/>
        </w:rPr>
      </w:pPr>
      <w:r w:rsidRPr="00824B54">
        <w:rPr>
          <w:rFonts w:ascii="Times New Roman" w:hAnsi="Times New Roman"/>
        </w:rPr>
        <w:t xml:space="preserve">Pour plus d’informations, voir le site web de l’Agence européenne des </w:t>
      </w:r>
      <w:proofErr w:type="gramStart"/>
      <w:r w:rsidRPr="00824B54">
        <w:rPr>
          <w:rFonts w:ascii="Times New Roman" w:hAnsi="Times New Roman"/>
        </w:rPr>
        <w:t>médicaments:</w:t>
      </w:r>
      <w:proofErr w:type="gramEnd"/>
      <w:r w:rsidRPr="00824B54">
        <w:rPr>
          <w:rFonts w:ascii="Times New Roman" w:hAnsi="Times New Roman"/>
        </w:rPr>
        <w:t xml:space="preserve"> </w:t>
      </w:r>
      <w:hyperlink r:id="rId8" w:history="1">
        <w:r w:rsidRPr="00824B54">
          <w:rPr>
            <w:rStyle w:val="Hyperlink"/>
            <w:rFonts w:ascii="Times New Roman" w:hAnsi="Times New Roman"/>
          </w:rPr>
          <w:t>https://www.ema.europa.eu/en/medicines/human/EPAR/glivec</w:t>
        </w:r>
      </w:hyperlink>
    </w:p>
    <w:p w14:paraId="1D83EFE5" w14:textId="77777777" w:rsidR="007D642D" w:rsidRPr="00653BF6" w:rsidRDefault="007D642D" w:rsidP="007F23EE">
      <w:pPr>
        <w:rPr>
          <w:rFonts w:ascii="Times New Roman" w:hAnsi="Times New Roman"/>
          <w:color w:val="000000"/>
          <w:szCs w:val="22"/>
        </w:rPr>
      </w:pPr>
    </w:p>
    <w:p w14:paraId="6996D3D8" w14:textId="77777777" w:rsidR="007D642D" w:rsidRPr="00653BF6" w:rsidRDefault="007D642D" w:rsidP="007F23EE">
      <w:pPr>
        <w:rPr>
          <w:rFonts w:ascii="Times New Roman" w:hAnsi="Times New Roman"/>
          <w:color w:val="000000"/>
          <w:szCs w:val="22"/>
        </w:rPr>
      </w:pPr>
    </w:p>
    <w:p w14:paraId="5A49F363" w14:textId="77777777" w:rsidR="007D642D" w:rsidRPr="00653BF6" w:rsidRDefault="007D642D" w:rsidP="007F23EE">
      <w:pPr>
        <w:rPr>
          <w:rFonts w:ascii="Times New Roman" w:hAnsi="Times New Roman"/>
          <w:color w:val="000000"/>
          <w:szCs w:val="22"/>
        </w:rPr>
      </w:pPr>
    </w:p>
    <w:p w14:paraId="620B08B6" w14:textId="77777777" w:rsidR="007D642D" w:rsidRPr="00653BF6" w:rsidRDefault="007D642D" w:rsidP="007F23EE">
      <w:pPr>
        <w:rPr>
          <w:rFonts w:ascii="Times New Roman" w:hAnsi="Times New Roman"/>
          <w:color w:val="000000"/>
          <w:szCs w:val="22"/>
        </w:rPr>
      </w:pPr>
    </w:p>
    <w:p w14:paraId="5C5A0F99" w14:textId="77777777" w:rsidR="007D642D" w:rsidRPr="00653BF6" w:rsidRDefault="007D642D" w:rsidP="007F23EE">
      <w:pPr>
        <w:rPr>
          <w:rFonts w:ascii="Times New Roman" w:hAnsi="Times New Roman"/>
          <w:color w:val="000000"/>
          <w:szCs w:val="22"/>
        </w:rPr>
      </w:pPr>
    </w:p>
    <w:p w14:paraId="0615467D" w14:textId="77777777" w:rsidR="007D642D" w:rsidRPr="00653BF6" w:rsidRDefault="007D642D" w:rsidP="007F23EE">
      <w:pPr>
        <w:rPr>
          <w:rFonts w:ascii="Times New Roman" w:hAnsi="Times New Roman"/>
          <w:color w:val="000000"/>
          <w:szCs w:val="22"/>
        </w:rPr>
      </w:pPr>
    </w:p>
    <w:p w14:paraId="793DDE15" w14:textId="77777777" w:rsidR="007D642D" w:rsidRPr="00653BF6" w:rsidRDefault="007D642D" w:rsidP="007F23EE">
      <w:pPr>
        <w:rPr>
          <w:rFonts w:ascii="Times New Roman" w:hAnsi="Times New Roman"/>
          <w:color w:val="000000"/>
          <w:szCs w:val="22"/>
        </w:rPr>
      </w:pPr>
    </w:p>
    <w:p w14:paraId="557DC011" w14:textId="77777777" w:rsidR="007D642D" w:rsidRPr="00653BF6" w:rsidRDefault="007D642D" w:rsidP="007F23EE">
      <w:pPr>
        <w:rPr>
          <w:rFonts w:ascii="Times New Roman" w:hAnsi="Times New Roman"/>
          <w:color w:val="000000"/>
          <w:szCs w:val="22"/>
        </w:rPr>
      </w:pPr>
    </w:p>
    <w:p w14:paraId="543E3081" w14:textId="77777777" w:rsidR="007D642D" w:rsidRPr="00653BF6" w:rsidRDefault="007D642D" w:rsidP="007F23EE">
      <w:pPr>
        <w:rPr>
          <w:rFonts w:ascii="Times New Roman" w:hAnsi="Times New Roman"/>
          <w:color w:val="000000"/>
          <w:szCs w:val="22"/>
        </w:rPr>
      </w:pPr>
    </w:p>
    <w:p w14:paraId="70D7A704" w14:textId="77777777" w:rsidR="007D642D" w:rsidRDefault="007D642D" w:rsidP="007F23EE">
      <w:pPr>
        <w:rPr>
          <w:rFonts w:ascii="Times New Roman" w:hAnsi="Times New Roman"/>
          <w:color w:val="000000"/>
          <w:szCs w:val="22"/>
        </w:rPr>
      </w:pPr>
    </w:p>
    <w:p w14:paraId="77961CF4" w14:textId="77777777" w:rsidR="00824B54" w:rsidRPr="00653BF6" w:rsidRDefault="00824B54" w:rsidP="007F23EE">
      <w:pPr>
        <w:rPr>
          <w:rFonts w:ascii="Times New Roman" w:hAnsi="Times New Roman"/>
          <w:color w:val="000000"/>
          <w:szCs w:val="22"/>
        </w:rPr>
      </w:pPr>
    </w:p>
    <w:p w14:paraId="1C2F42B6" w14:textId="77777777" w:rsidR="007D642D" w:rsidRPr="00653BF6" w:rsidRDefault="007D642D" w:rsidP="007F23EE">
      <w:pPr>
        <w:rPr>
          <w:rFonts w:ascii="Times New Roman" w:hAnsi="Times New Roman"/>
          <w:color w:val="000000"/>
          <w:szCs w:val="22"/>
        </w:rPr>
      </w:pPr>
    </w:p>
    <w:p w14:paraId="5C1EF624" w14:textId="77777777" w:rsidR="007D642D" w:rsidRPr="00653BF6" w:rsidRDefault="007D642D" w:rsidP="007F23EE">
      <w:pPr>
        <w:rPr>
          <w:rFonts w:ascii="Times New Roman" w:hAnsi="Times New Roman"/>
          <w:color w:val="000000"/>
          <w:szCs w:val="22"/>
        </w:rPr>
      </w:pPr>
    </w:p>
    <w:p w14:paraId="2AD59B7F" w14:textId="77777777" w:rsidR="007D642D" w:rsidRPr="00653BF6" w:rsidRDefault="007D642D" w:rsidP="007F23EE">
      <w:pPr>
        <w:rPr>
          <w:rFonts w:ascii="Times New Roman" w:hAnsi="Times New Roman"/>
          <w:color w:val="000000"/>
          <w:szCs w:val="22"/>
        </w:rPr>
      </w:pPr>
    </w:p>
    <w:p w14:paraId="5FBB1780" w14:textId="77777777" w:rsidR="007D642D" w:rsidRPr="00653BF6" w:rsidRDefault="007D642D" w:rsidP="007F23EE">
      <w:pPr>
        <w:rPr>
          <w:rFonts w:ascii="Times New Roman" w:hAnsi="Times New Roman"/>
          <w:color w:val="000000"/>
          <w:szCs w:val="22"/>
        </w:rPr>
      </w:pPr>
    </w:p>
    <w:p w14:paraId="27816477" w14:textId="77777777" w:rsidR="007D642D" w:rsidRPr="00653BF6" w:rsidRDefault="007D642D" w:rsidP="007F23EE">
      <w:pPr>
        <w:rPr>
          <w:rFonts w:ascii="Times New Roman" w:hAnsi="Times New Roman"/>
          <w:color w:val="000000"/>
          <w:szCs w:val="22"/>
        </w:rPr>
      </w:pPr>
    </w:p>
    <w:p w14:paraId="29F7F057" w14:textId="77777777" w:rsidR="007D642D" w:rsidRPr="00653BF6" w:rsidRDefault="007D642D" w:rsidP="007F23EE">
      <w:pPr>
        <w:rPr>
          <w:rFonts w:ascii="Times New Roman" w:hAnsi="Times New Roman"/>
          <w:color w:val="000000"/>
          <w:szCs w:val="22"/>
        </w:rPr>
      </w:pPr>
    </w:p>
    <w:p w14:paraId="27CBFB8B" w14:textId="77777777" w:rsidR="007D642D" w:rsidRPr="00653BF6" w:rsidRDefault="007D642D" w:rsidP="007F23EE">
      <w:pPr>
        <w:jc w:val="center"/>
        <w:rPr>
          <w:rFonts w:ascii="Times New Roman" w:hAnsi="Times New Roman"/>
          <w:b/>
          <w:bCs/>
        </w:rPr>
      </w:pPr>
      <w:r w:rsidRPr="00653BF6">
        <w:rPr>
          <w:rFonts w:ascii="Times New Roman" w:hAnsi="Times New Roman"/>
          <w:b/>
          <w:bCs/>
        </w:rPr>
        <w:t>ANNEXE I</w:t>
      </w:r>
    </w:p>
    <w:p w14:paraId="577DD757" w14:textId="77777777" w:rsidR="007D642D" w:rsidRPr="00653BF6" w:rsidRDefault="007D642D" w:rsidP="007F23EE">
      <w:pPr>
        <w:jc w:val="center"/>
        <w:rPr>
          <w:rFonts w:ascii="Times New Roman" w:hAnsi="Times New Roman"/>
          <w:color w:val="000000"/>
          <w:szCs w:val="22"/>
        </w:rPr>
      </w:pPr>
    </w:p>
    <w:p w14:paraId="11BB0843" w14:textId="77777777" w:rsidR="007D642D" w:rsidRPr="00653BF6" w:rsidRDefault="007D642D" w:rsidP="007F23EE">
      <w:pPr>
        <w:jc w:val="center"/>
        <w:outlineLvl w:val="0"/>
        <w:rPr>
          <w:rFonts w:ascii="Times New Roman" w:hAnsi="Times New Roman"/>
          <w:b/>
          <w:color w:val="000000"/>
          <w:szCs w:val="22"/>
        </w:rPr>
      </w:pPr>
      <w:r w:rsidRPr="00653BF6">
        <w:rPr>
          <w:rFonts w:ascii="Times New Roman" w:hAnsi="Times New Roman"/>
          <w:b/>
          <w:color w:val="000000"/>
          <w:szCs w:val="22"/>
        </w:rPr>
        <w:t>R</w:t>
      </w:r>
      <w:r w:rsidR="00E8481F" w:rsidRPr="00653BF6">
        <w:rPr>
          <w:rFonts w:ascii="Times New Roman" w:hAnsi="Times New Roman"/>
          <w:b/>
          <w:color w:val="000000"/>
          <w:szCs w:val="22"/>
        </w:rPr>
        <w:t>É</w:t>
      </w:r>
      <w:r w:rsidRPr="00653BF6">
        <w:rPr>
          <w:rFonts w:ascii="Times New Roman" w:hAnsi="Times New Roman"/>
          <w:b/>
          <w:color w:val="000000"/>
          <w:szCs w:val="22"/>
        </w:rPr>
        <w:t>SUM</w:t>
      </w:r>
      <w:r w:rsidR="00E8481F" w:rsidRPr="00653BF6">
        <w:rPr>
          <w:rFonts w:ascii="Times New Roman" w:hAnsi="Times New Roman"/>
          <w:b/>
          <w:color w:val="000000"/>
          <w:szCs w:val="22"/>
        </w:rPr>
        <w:t>É</w:t>
      </w:r>
      <w:r w:rsidRPr="00653BF6">
        <w:rPr>
          <w:rFonts w:ascii="Times New Roman" w:hAnsi="Times New Roman"/>
          <w:b/>
          <w:color w:val="000000"/>
          <w:szCs w:val="22"/>
        </w:rPr>
        <w:t xml:space="preserve"> </w:t>
      </w:r>
      <w:smartTag w:uri="urn:schemas-microsoft-com:office:smarttags" w:element="stockticker">
        <w:r w:rsidRPr="00653BF6">
          <w:rPr>
            <w:rFonts w:ascii="Times New Roman" w:hAnsi="Times New Roman"/>
            <w:b/>
            <w:color w:val="000000"/>
            <w:szCs w:val="22"/>
          </w:rPr>
          <w:t>DES</w:t>
        </w:r>
      </w:smartTag>
      <w:r w:rsidRPr="00653BF6">
        <w:rPr>
          <w:rFonts w:ascii="Times New Roman" w:hAnsi="Times New Roman"/>
          <w:b/>
          <w:color w:val="000000"/>
          <w:szCs w:val="22"/>
        </w:rPr>
        <w:t xml:space="preserve"> CARACT</w:t>
      </w:r>
      <w:r w:rsidR="00E8481F" w:rsidRPr="00653BF6">
        <w:rPr>
          <w:rFonts w:ascii="Times New Roman" w:hAnsi="Times New Roman"/>
          <w:b/>
          <w:color w:val="000000"/>
          <w:szCs w:val="22"/>
        </w:rPr>
        <w:t>É</w:t>
      </w:r>
      <w:r w:rsidRPr="00653BF6">
        <w:rPr>
          <w:rFonts w:ascii="Times New Roman" w:hAnsi="Times New Roman"/>
          <w:b/>
          <w:color w:val="000000"/>
          <w:szCs w:val="22"/>
        </w:rPr>
        <w:t>RISTIQUES DU PRODUIT</w:t>
      </w:r>
    </w:p>
    <w:p w14:paraId="0857F23E" w14:textId="0CAB0EEF" w:rsidR="007D642D" w:rsidRPr="00653BF6" w:rsidRDefault="00FA7BC1" w:rsidP="007F23EE">
      <w:pPr>
        <w:keepNext/>
        <w:ind w:left="567" w:hanging="567"/>
        <w:rPr>
          <w:rFonts w:ascii="Times New Roman" w:hAnsi="Times New Roman"/>
          <w:color w:val="000000"/>
          <w:szCs w:val="22"/>
        </w:rPr>
      </w:pPr>
      <w:r w:rsidRPr="00653BF6">
        <w:rPr>
          <w:rFonts w:ascii="Times New Roman" w:hAnsi="Times New Roman"/>
          <w:noProof/>
          <w:snapToGrid w:val="0"/>
        </w:rPr>
        <w:br w:type="page"/>
      </w:r>
      <w:r w:rsidR="007D642D" w:rsidRPr="00653BF6">
        <w:rPr>
          <w:rFonts w:ascii="Times New Roman" w:hAnsi="Times New Roman"/>
          <w:b/>
          <w:color w:val="000000"/>
          <w:szCs w:val="22"/>
        </w:rPr>
        <w:lastRenderedPageBreak/>
        <w:t>1.</w:t>
      </w:r>
      <w:r w:rsidR="007D642D" w:rsidRPr="00653BF6">
        <w:rPr>
          <w:rFonts w:ascii="Times New Roman" w:hAnsi="Times New Roman"/>
          <w:b/>
          <w:color w:val="000000"/>
          <w:szCs w:val="22"/>
        </w:rPr>
        <w:tab/>
        <w:t>D</w:t>
      </w:r>
      <w:r w:rsidR="006E7418" w:rsidRPr="00653BF6">
        <w:rPr>
          <w:rFonts w:ascii="Times New Roman" w:hAnsi="Times New Roman"/>
          <w:b/>
          <w:color w:val="000000"/>
          <w:szCs w:val="22"/>
        </w:rPr>
        <w:t>É</w:t>
      </w:r>
      <w:r w:rsidR="007D642D" w:rsidRPr="00653BF6">
        <w:rPr>
          <w:rFonts w:ascii="Times New Roman" w:hAnsi="Times New Roman"/>
          <w:b/>
          <w:color w:val="000000"/>
          <w:szCs w:val="22"/>
        </w:rPr>
        <w:t>NOMINATION DU M</w:t>
      </w:r>
      <w:r w:rsidR="006E7418" w:rsidRPr="00653BF6">
        <w:rPr>
          <w:rFonts w:ascii="Times New Roman" w:hAnsi="Times New Roman"/>
          <w:b/>
          <w:color w:val="000000"/>
          <w:szCs w:val="22"/>
        </w:rPr>
        <w:t>É</w:t>
      </w:r>
      <w:r w:rsidR="007D642D" w:rsidRPr="00653BF6">
        <w:rPr>
          <w:rFonts w:ascii="Times New Roman" w:hAnsi="Times New Roman"/>
          <w:b/>
          <w:color w:val="000000"/>
          <w:szCs w:val="22"/>
        </w:rPr>
        <w:t>DICAMENT</w:t>
      </w:r>
    </w:p>
    <w:p w14:paraId="30F4EC32" w14:textId="77777777" w:rsidR="007D642D" w:rsidRPr="00653BF6" w:rsidRDefault="007D642D" w:rsidP="007F23EE">
      <w:pPr>
        <w:keepNext/>
        <w:ind w:left="567" w:hanging="567"/>
        <w:rPr>
          <w:rFonts w:ascii="Times New Roman" w:hAnsi="Times New Roman"/>
          <w:color w:val="000000"/>
          <w:szCs w:val="22"/>
        </w:rPr>
      </w:pPr>
    </w:p>
    <w:p w14:paraId="3F16126E"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t>Glivec 100 mg comprimés pelliculés</w:t>
      </w:r>
    </w:p>
    <w:p w14:paraId="4CCDDEC0" w14:textId="77777777" w:rsidR="00C5439C" w:rsidRPr="00653BF6" w:rsidRDefault="00C5439C" w:rsidP="007F23EE">
      <w:pPr>
        <w:pStyle w:val="EndnoteText"/>
        <w:tabs>
          <w:tab w:val="clear" w:pos="567"/>
        </w:tabs>
        <w:rPr>
          <w:color w:val="000000"/>
          <w:szCs w:val="22"/>
          <w:lang w:val="fr-FR"/>
        </w:rPr>
      </w:pPr>
      <w:r w:rsidRPr="00653BF6">
        <w:rPr>
          <w:color w:val="000000"/>
          <w:szCs w:val="22"/>
          <w:lang w:val="fr-FR"/>
        </w:rPr>
        <w:t>Glivec 400 mg comprimés pelliculés</w:t>
      </w:r>
    </w:p>
    <w:p w14:paraId="10E74EF5" w14:textId="77777777" w:rsidR="007D642D" w:rsidRPr="00653BF6" w:rsidRDefault="007D642D" w:rsidP="007F23EE">
      <w:pPr>
        <w:pStyle w:val="EndnoteText"/>
        <w:tabs>
          <w:tab w:val="clear" w:pos="567"/>
        </w:tabs>
        <w:rPr>
          <w:color w:val="000000"/>
          <w:szCs w:val="22"/>
          <w:lang w:val="fr-FR"/>
        </w:rPr>
      </w:pPr>
    </w:p>
    <w:p w14:paraId="14CCD35D" w14:textId="77777777" w:rsidR="007D642D" w:rsidRPr="00653BF6" w:rsidRDefault="007D642D" w:rsidP="007F23EE">
      <w:pPr>
        <w:pStyle w:val="EndnoteText"/>
        <w:tabs>
          <w:tab w:val="clear" w:pos="567"/>
        </w:tabs>
        <w:rPr>
          <w:color w:val="000000"/>
          <w:szCs w:val="22"/>
          <w:lang w:val="fr-FR"/>
        </w:rPr>
      </w:pPr>
    </w:p>
    <w:p w14:paraId="10D55FC5" w14:textId="77777777" w:rsidR="007D642D" w:rsidRPr="00653BF6" w:rsidRDefault="007D642D" w:rsidP="007F23EE">
      <w:pPr>
        <w:keepNext/>
        <w:ind w:left="567" w:hanging="567"/>
        <w:rPr>
          <w:rFonts w:ascii="Times New Roman" w:hAnsi="Times New Roman"/>
          <w:b/>
          <w:color w:val="000000"/>
          <w:szCs w:val="22"/>
        </w:rPr>
      </w:pPr>
      <w:r w:rsidRPr="00653BF6">
        <w:rPr>
          <w:rFonts w:ascii="Times New Roman" w:hAnsi="Times New Roman"/>
          <w:b/>
          <w:color w:val="000000"/>
          <w:szCs w:val="22"/>
        </w:rPr>
        <w:t>2.</w:t>
      </w:r>
      <w:r w:rsidRPr="00653BF6">
        <w:rPr>
          <w:rFonts w:ascii="Times New Roman" w:hAnsi="Times New Roman"/>
          <w:b/>
          <w:color w:val="000000"/>
          <w:szCs w:val="22"/>
        </w:rPr>
        <w:tab/>
        <w:t>COMPOSITION QUALITATIVE ET QUANTITATIVE</w:t>
      </w:r>
    </w:p>
    <w:p w14:paraId="64C7B8E5" w14:textId="77777777" w:rsidR="00C5439C" w:rsidRPr="00653BF6" w:rsidRDefault="00C5439C" w:rsidP="007F23EE">
      <w:pPr>
        <w:keepNext/>
        <w:ind w:left="567" w:hanging="567"/>
        <w:rPr>
          <w:rFonts w:ascii="Times New Roman" w:hAnsi="Times New Roman"/>
          <w:color w:val="000000"/>
          <w:szCs w:val="22"/>
        </w:rPr>
      </w:pPr>
    </w:p>
    <w:p w14:paraId="5D0D0919" w14:textId="22D95AA2" w:rsidR="002372FC" w:rsidRPr="00653BF6" w:rsidRDefault="00C5439C" w:rsidP="007F23EE">
      <w:pPr>
        <w:keepNext/>
        <w:rPr>
          <w:rFonts w:ascii="Times New Roman" w:hAnsi="Times New Roman"/>
          <w:color w:val="000000"/>
          <w:szCs w:val="22"/>
          <w:u w:val="single"/>
        </w:rPr>
      </w:pPr>
      <w:r w:rsidRPr="00653BF6">
        <w:rPr>
          <w:rFonts w:ascii="Times New Roman" w:hAnsi="Times New Roman"/>
          <w:color w:val="000000"/>
          <w:szCs w:val="22"/>
          <w:u w:val="single"/>
        </w:rPr>
        <w:t>Glivec 100 mg comprimés pelliculés</w:t>
      </w:r>
    </w:p>
    <w:p w14:paraId="0776C6C8" w14:textId="77777777" w:rsidR="005159EA" w:rsidRPr="00653BF6" w:rsidRDefault="005159EA" w:rsidP="007F23EE">
      <w:pPr>
        <w:keepNext/>
        <w:rPr>
          <w:rFonts w:ascii="Times New Roman" w:hAnsi="Times New Roman"/>
          <w:color w:val="000000"/>
          <w:szCs w:val="22"/>
          <w:u w:val="single"/>
        </w:rPr>
      </w:pPr>
    </w:p>
    <w:p w14:paraId="5822F11A" w14:textId="563E000A" w:rsidR="007D642D" w:rsidRPr="00653BF6" w:rsidRDefault="007D642D" w:rsidP="007F23EE">
      <w:pPr>
        <w:rPr>
          <w:rFonts w:ascii="Times New Roman" w:hAnsi="Times New Roman"/>
          <w:color w:val="000000"/>
          <w:szCs w:val="22"/>
        </w:rPr>
      </w:pPr>
      <w:r w:rsidRPr="00653BF6">
        <w:rPr>
          <w:rFonts w:ascii="Times New Roman" w:hAnsi="Times New Roman"/>
          <w:color w:val="000000"/>
          <w:szCs w:val="22"/>
        </w:rPr>
        <w:t>Chaque comprimé pelliculé contient 100 mg d</w:t>
      </w:r>
      <w:r w:rsidR="00813A7A">
        <w:rPr>
          <w:rFonts w:ascii="Times New Roman" w:hAnsi="Times New Roman"/>
          <w:color w:val="000000"/>
          <w:szCs w:val="22"/>
        </w:rPr>
        <w:t>’</w:t>
      </w:r>
      <w:r w:rsidRPr="00653BF6">
        <w:rPr>
          <w:rFonts w:ascii="Times New Roman" w:hAnsi="Times New Roman"/>
          <w:color w:val="000000"/>
          <w:szCs w:val="22"/>
        </w:rPr>
        <w:t xml:space="preserve">imatinib (sous forme de </w:t>
      </w:r>
      <w:proofErr w:type="spellStart"/>
      <w:r w:rsidRPr="00653BF6">
        <w:rPr>
          <w:rFonts w:ascii="Times New Roman" w:hAnsi="Times New Roman"/>
          <w:color w:val="000000"/>
          <w:szCs w:val="22"/>
        </w:rPr>
        <w:t>mésilate</w:t>
      </w:r>
      <w:proofErr w:type="spellEnd"/>
      <w:r w:rsidRPr="00653BF6">
        <w:rPr>
          <w:rFonts w:ascii="Times New Roman" w:hAnsi="Times New Roman"/>
          <w:color w:val="000000"/>
          <w:szCs w:val="22"/>
        </w:rPr>
        <w:t>).</w:t>
      </w:r>
    </w:p>
    <w:p w14:paraId="4F88574C" w14:textId="77777777" w:rsidR="007D642D" w:rsidRPr="00653BF6" w:rsidRDefault="007D642D" w:rsidP="007F23EE">
      <w:pPr>
        <w:rPr>
          <w:rFonts w:ascii="Times New Roman" w:hAnsi="Times New Roman"/>
          <w:color w:val="000000"/>
          <w:szCs w:val="22"/>
        </w:rPr>
      </w:pPr>
    </w:p>
    <w:p w14:paraId="3C89EB2E" w14:textId="72B49688" w:rsidR="00C5439C" w:rsidRPr="00653BF6" w:rsidRDefault="00C5439C" w:rsidP="007F23EE">
      <w:pPr>
        <w:pStyle w:val="EndnoteText"/>
        <w:keepNext/>
        <w:tabs>
          <w:tab w:val="clear" w:pos="567"/>
        </w:tabs>
        <w:rPr>
          <w:color w:val="000000"/>
          <w:szCs w:val="22"/>
          <w:u w:val="single"/>
          <w:lang w:val="fr-FR"/>
        </w:rPr>
      </w:pPr>
      <w:r w:rsidRPr="00653BF6">
        <w:rPr>
          <w:color w:val="000000"/>
          <w:szCs w:val="22"/>
          <w:u w:val="single"/>
          <w:lang w:val="fr-FR"/>
        </w:rPr>
        <w:t>Glivec 400 mg comprimés pelliculés</w:t>
      </w:r>
    </w:p>
    <w:p w14:paraId="14FFE23C" w14:textId="77777777" w:rsidR="005159EA" w:rsidRPr="00653BF6" w:rsidRDefault="005159EA" w:rsidP="007F23EE">
      <w:pPr>
        <w:pStyle w:val="EndnoteText"/>
        <w:keepNext/>
        <w:tabs>
          <w:tab w:val="clear" w:pos="567"/>
        </w:tabs>
        <w:rPr>
          <w:color w:val="000000"/>
          <w:szCs w:val="22"/>
          <w:u w:val="single"/>
          <w:lang w:val="fr-FR"/>
        </w:rPr>
      </w:pPr>
    </w:p>
    <w:p w14:paraId="1210251F" w14:textId="0BD60FB3" w:rsidR="00C5439C" w:rsidRPr="00653BF6" w:rsidRDefault="00C5439C" w:rsidP="007F23EE">
      <w:pPr>
        <w:rPr>
          <w:rFonts w:ascii="Times New Roman" w:hAnsi="Times New Roman"/>
          <w:color w:val="000000"/>
          <w:szCs w:val="22"/>
        </w:rPr>
      </w:pPr>
      <w:r w:rsidRPr="00653BF6">
        <w:rPr>
          <w:rFonts w:ascii="Times New Roman" w:hAnsi="Times New Roman"/>
          <w:color w:val="000000"/>
          <w:szCs w:val="22"/>
        </w:rPr>
        <w:t xml:space="preserve">Chaque comprimé pelliculé contient </w:t>
      </w:r>
      <w:r w:rsidR="009E3B07" w:rsidRPr="00653BF6">
        <w:rPr>
          <w:rFonts w:ascii="Times New Roman" w:hAnsi="Times New Roman"/>
          <w:color w:val="000000"/>
          <w:szCs w:val="22"/>
        </w:rPr>
        <w:t>4</w:t>
      </w:r>
      <w:r w:rsidRPr="00653BF6">
        <w:rPr>
          <w:rFonts w:ascii="Times New Roman" w:hAnsi="Times New Roman"/>
          <w:color w:val="000000"/>
          <w:szCs w:val="22"/>
        </w:rPr>
        <w:t>00 mg d</w:t>
      </w:r>
      <w:r w:rsidR="00813A7A">
        <w:rPr>
          <w:rFonts w:ascii="Times New Roman" w:hAnsi="Times New Roman"/>
          <w:color w:val="000000"/>
          <w:szCs w:val="22"/>
        </w:rPr>
        <w:t>’</w:t>
      </w:r>
      <w:r w:rsidRPr="00653BF6">
        <w:rPr>
          <w:rFonts w:ascii="Times New Roman" w:hAnsi="Times New Roman"/>
          <w:color w:val="000000"/>
          <w:szCs w:val="22"/>
        </w:rPr>
        <w:t xml:space="preserve">imatinib (sous forme de </w:t>
      </w:r>
      <w:proofErr w:type="spellStart"/>
      <w:r w:rsidRPr="00653BF6">
        <w:rPr>
          <w:rFonts w:ascii="Times New Roman" w:hAnsi="Times New Roman"/>
          <w:color w:val="000000"/>
          <w:szCs w:val="22"/>
        </w:rPr>
        <w:t>mésilate</w:t>
      </w:r>
      <w:proofErr w:type="spellEnd"/>
      <w:r w:rsidRPr="00653BF6">
        <w:rPr>
          <w:rFonts w:ascii="Times New Roman" w:hAnsi="Times New Roman"/>
          <w:color w:val="000000"/>
          <w:szCs w:val="22"/>
        </w:rPr>
        <w:t>).</w:t>
      </w:r>
    </w:p>
    <w:p w14:paraId="106CCED6" w14:textId="77777777" w:rsidR="00C5439C" w:rsidRPr="00653BF6" w:rsidRDefault="00C5439C" w:rsidP="007F23EE">
      <w:pPr>
        <w:rPr>
          <w:rFonts w:ascii="Times New Roman" w:hAnsi="Times New Roman"/>
          <w:color w:val="000000"/>
          <w:szCs w:val="22"/>
        </w:rPr>
      </w:pPr>
    </w:p>
    <w:p w14:paraId="3947A08A" w14:textId="08EA0DE7" w:rsidR="007D642D" w:rsidRPr="00653BF6" w:rsidRDefault="007D642D" w:rsidP="007F23EE">
      <w:pPr>
        <w:rPr>
          <w:rFonts w:ascii="Times New Roman" w:hAnsi="Times New Roman"/>
          <w:color w:val="000000"/>
          <w:szCs w:val="22"/>
        </w:rPr>
      </w:pPr>
      <w:r w:rsidRPr="00653BF6">
        <w:rPr>
          <w:rFonts w:ascii="Times New Roman" w:hAnsi="Times New Roman"/>
          <w:color w:val="000000"/>
          <w:szCs w:val="22"/>
        </w:rPr>
        <w:t>Pour la liste complète des excipients, voir rubrique</w:t>
      </w:r>
      <w:r w:rsidR="002F003A" w:rsidRPr="00653BF6">
        <w:rPr>
          <w:rFonts w:ascii="Times New Roman" w:hAnsi="Times New Roman"/>
          <w:color w:val="000000"/>
          <w:szCs w:val="22"/>
        </w:rPr>
        <w:t> </w:t>
      </w:r>
      <w:r w:rsidRPr="00653BF6">
        <w:rPr>
          <w:rFonts w:ascii="Times New Roman" w:hAnsi="Times New Roman"/>
          <w:color w:val="000000"/>
          <w:szCs w:val="22"/>
        </w:rPr>
        <w:t>6.1.</w:t>
      </w:r>
    </w:p>
    <w:p w14:paraId="0BE69BD6" w14:textId="77777777" w:rsidR="007D642D" w:rsidRPr="00653BF6" w:rsidRDefault="007D642D" w:rsidP="007F23EE">
      <w:pPr>
        <w:rPr>
          <w:rFonts w:ascii="Times New Roman" w:hAnsi="Times New Roman"/>
          <w:color w:val="000000"/>
          <w:szCs w:val="22"/>
        </w:rPr>
      </w:pPr>
    </w:p>
    <w:p w14:paraId="28F52215" w14:textId="77777777" w:rsidR="007D642D" w:rsidRPr="00653BF6" w:rsidRDefault="007D642D" w:rsidP="007F23EE">
      <w:pPr>
        <w:rPr>
          <w:rFonts w:ascii="Times New Roman" w:hAnsi="Times New Roman"/>
          <w:color w:val="000000"/>
          <w:szCs w:val="22"/>
        </w:rPr>
      </w:pPr>
    </w:p>
    <w:p w14:paraId="5F294217" w14:textId="77777777" w:rsidR="007D642D" w:rsidRPr="00653BF6" w:rsidRDefault="007D642D" w:rsidP="007F23EE">
      <w:pPr>
        <w:keepNext/>
        <w:ind w:left="567" w:hanging="567"/>
        <w:rPr>
          <w:rFonts w:ascii="Times New Roman" w:hAnsi="Times New Roman"/>
          <w:caps/>
          <w:color w:val="000000"/>
          <w:szCs w:val="22"/>
        </w:rPr>
      </w:pPr>
      <w:r w:rsidRPr="00653BF6">
        <w:rPr>
          <w:rFonts w:ascii="Times New Roman" w:hAnsi="Times New Roman"/>
          <w:b/>
          <w:color w:val="000000"/>
          <w:szCs w:val="22"/>
        </w:rPr>
        <w:t>3.</w:t>
      </w:r>
      <w:r w:rsidRPr="00653BF6">
        <w:rPr>
          <w:rFonts w:ascii="Times New Roman" w:hAnsi="Times New Roman"/>
          <w:b/>
          <w:color w:val="000000"/>
          <w:szCs w:val="22"/>
        </w:rPr>
        <w:tab/>
        <w:t>FORME PHARMACEUTIQUE</w:t>
      </w:r>
    </w:p>
    <w:p w14:paraId="4CD94A9D" w14:textId="77777777" w:rsidR="007D642D" w:rsidRPr="00653BF6" w:rsidRDefault="007D642D" w:rsidP="007F23EE">
      <w:pPr>
        <w:pStyle w:val="EndnoteText"/>
        <w:keepNext/>
        <w:tabs>
          <w:tab w:val="clear" w:pos="567"/>
        </w:tabs>
        <w:rPr>
          <w:color w:val="000000"/>
          <w:szCs w:val="22"/>
          <w:lang w:val="fr-FR"/>
        </w:rPr>
      </w:pPr>
    </w:p>
    <w:p w14:paraId="47105635" w14:textId="77777777" w:rsidR="007D642D" w:rsidRPr="00653BF6" w:rsidRDefault="007D642D" w:rsidP="007F23EE">
      <w:pPr>
        <w:rPr>
          <w:rFonts w:ascii="Times New Roman" w:hAnsi="Times New Roman"/>
          <w:color w:val="000000"/>
          <w:szCs w:val="22"/>
        </w:rPr>
      </w:pPr>
      <w:r w:rsidRPr="00653BF6">
        <w:rPr>
          <w:rFonts w:ascii="Times New Roman" w:hAnsi="Times New Roman"/>
          <w:color w:val="000000"/>
          <w:szCs w:val="22"/>
        </w:rPr>
        <w:t>Comprimé pelliculé</w:t>
      </w:r>
    </w:p>
    <w:p w14:paraId="58C7FBAE" w14:textId="77777777" w:rsidR="00C53181" w:rsidRPr="00653BF6" w:rsidRDefault="00C53181" w:rsidP="007F23EE">
      <w:pPr>
        <w:rPr>
          <w:rFonts w:ascii="Times New Roman" w:hAnsi="Times New Roman"/>
          <w:color w:val="000000"/>
          <w:szCs w:val="22"/>
        </w:rPr>
      </w:pPr>
    </w:p>
    <w:p w14:paraId="0B0F268B" w14:textId="3796D0F8" w:rsidR="00C53181" w:rsidRPr="00653BF6" w:rsidRDefault="00C53181" w:rsidP="007F23EE">
      <w:pPr>
        <w:pStyle w:val="EndnoteText"/>
        <w:keepNext/>
        <w:tabs>
          <w:tab w:val="clear" w:pos="567"/>
        </w:tabs>
        <w:rPr>
          <w:color w:val="000000"/>
          <w:szCs w:val="22"/>
          <w:u w:val="single"/>
          <w:lang w:val="fr-FR"/>
        </w:rPr>
      </w:pPr>
      <w:r w:rsidRPr="00653BF6">
        <w:rPr>
          <w:color w:val="000000"/>
          <w:szCs w:val="22"/>
          <w:u w:val="single"/>
          <w:lang w:val="fr-FR"/>
        </w:rPr>
        <w:t>Glivec 100 mg comprimés pelliculés</w:t>
      </w:r>
    </w:p>
    <w:p w14:paraId="2FDB8446" w14:textId="77777777" w:rsidR="005159EA" w:rsidRPr="00653BF6" w:rsidRDefault="005159EA" w:rsidP="007F23EE">
      <w:pPr>
        <w:pStyle w:val="EndnoteText"/>
        <w:keepNext/>
        <w:tabs>
          <w:tab w:val="clear" w:pos="567"/>
        </w:tabs>
        <w:rPr>
          <w:color w:val="000000"/>
          <w:szCs w:val="22"/>
          <w:u w:val="single"/>
          <w:lang w:val="fr-FR"/>
        </w:rPr>
      </w:pPr>
    </w:p>
    <w:p w14:paraId="5F465E4A" w14:textId="0F133C46" w:rsidR="007D642D" w:rsidRPr="00653BF6" w:rsidRDefault="007D642D" w:rsidP="007F23EE">
      <w:pPr>
        <w:rPr>
          <w:rFonts w:ascii="Times New Roman" w:hAnsi="Times New Roman"/>
          <w:color w:val="000000"/>
          <w:szCs w:val="22"/>
        </w:rPr>
      </w:pPr>
      <w:r w:rsidRPr="00653BF6">
        <w:rPr>
          <w:rFonts w:ascii="Times New Roman" w:hAnsi="Times New Roman"/>
          <w:color w:val="000000"/>
          <w:szCs w:val="22"/>
        </w:rPr>
        <w:t>Comprimé pelliculé jaune très foncé à brun orangé, rond, portant l’inscription « </w:t>
      </w:r>
      <w:smartTag w:uri="urn:schemas-microsoft-com:office:smarttags" w:element="stockticker">
        <w:r w:rsidRPr="00653BF6">
          <w:rPr>
            <w:rFonts w:ascii="Times New Roman" w:hAnsi="Times New Roman"/>
            <w:color w:val="000000"/>
            <w:szCs w:val="22"/>
          </w:rPr>
          <w:t>NVR</w:t>
        </w:r>
      </w:smartTag>
      <w:r w:rsidRPr="00653BF6">
        <w:rPr>
          <w:rFonts w:ascii="Times New Roman" w:hAnsi="Times New Roman"/>
          <w:color w:val="000000"/>
          <w:szCs w:val="22"/>
        </w:rPr>
        <w:t> » sur une face et « SA » sur l’autre (face avec ba</w:t>
      </w:r>
      <w:r w:rsidR="003A71E7" w:rsidRPr="00653BF6">
        <w:rPr>
          <w:rFonts w:ascii="Times New Roman" w:hAnsi="Times New Roman"/>
          <w:color w:val="000000"/>
          <w:szCs w:val="22"/>
        </w:rPr>
        <w:t>r</w:t>
      </w:r>
      <w:r w:rsidRPr="00653BF6">
        <w:rPr>
          <w:rFonts w:ascii="Times New Roman" w:hAnsi="Times New Roman"/>
          <w:color w:val="000000"/>
          <w:szCs w:val="22"/>
        </w:rPr>
        <w:t xml:space="preserve">re de </w:t>
      </w:r>
      <w:r w:rsidR="00D85814" w:rsidRPr="00653BF6">
        <w:rPr>
          <w:rFonts w:ascii="Times New Roman" w:hAnsi="Times New Roman"/>
          <w:color w:val="000000"/>
          <w:szCs w:val="22"/>
        </w:rPr>
        <w:t>sécabilité</w:t>
      </w:r>
      <w:r w:rsidRPr="00653BF6">
        <w:rPr>
          <w:rFonts w:ascii="Times New Roman" w:hAnsi="Times New Roman"/>
          <w:color w:val="000000"/>
          <w:szCs w:val="22"/>
        </w:rPr>
        <w:t>).</w:t>
      </w:r>
    </w:p>
    <w:p w14:paraId="299C14C7" w14:textId="77777777" w:rsidR="007D642D" w:rsidRPr="00653BF6" w:rsidRDefault="007D642D" w:rsidP="007F23EE">
      <w:pPr>
        <w:rPr>
          <w:rFonts w:ascii="Times New Roman" w:hAnsi="Times New Roman"/>
          <w:color w:val="000000"/>
          <w:szCs w:val="22"/>
        </w:rPr>
      </w:pPr>
    </w:p>
    <w:p w14:paraId="63D5CC3D" w14:textId="136E4487" w:rsidR="00C53181" w:rsidRPr="00653BF6" w:rsidRDefault="00C53181" w:rsidP="007F23EE">
      <w:pPr>
        <w:pStyle w:val="EndnoteText"/>
        <w:keepNext/>
        <w:tabs>
          <w:tab w:val="clear" w:pos="567"/>
        </w:tabs>
        <w:rPr>
          <w:color w:val="000000"/>
          <w:szCs w:val="22"/>
          <w:u w:val="single"/>
          <w:lang w:val="fr-FR"/>
        </w:rPr>
      </w:pPr>
      <w:r w:rsidRPr="00653BF6">
        <w:rPr>
          <w:color w:val="000000"/>
          <w:szCs w:val="22"/>
          <w:u w:val="single"/>
          <w:lang w:val="fr-FR"/>
        </w:rPr>
        <w:t>Glivec 400 mg comprimés pelliculés</w:t>
      </w:r>
    </w:p>
    <w:p w14:paraId="0847B362" w14:textId="77777777" w:rsidR="005159EA" w:rsidRPr="00653BF6" w:rsidRDefault="005159EA" w:rsidP="007F23EE">
      <w:pPr>
        <w:pStyle w:val="EndnoteText"/>
        <w:keepNext/>
        <w:tabs>
          <w:tab w:val="clear" w:pos="567"/>
        </w:tabs>
        <w:rPr>
          <w:color w:val="000000"/>
          <w:szCs w:val="22"/>
          <w:u w:val="single"/>
          <w:lang w:val="fr-FR"/>
        </w:rPr>
      </w:pPr>
    </w:p>
    <w:p w14:paraId="1C0937F9" w14:textId="1162612B" w:rsidR="00D10578" w:rsidRPr="00653BF6" w:rsidRDefault="00D10578" w:rsidP="007F23EE">
      <w:pPr>
        <w:rPr>
          <w:rFonts w:ascii="Times New Roman" w:hAnsi="Times New Roman"/>
          <w:color w:val="000000"/>
          <w:szCs w:val="22"/>
        </w:rPr>
      </w:pPr>
      <w:r w:rsidRPr="00653BF6">
        <w:rPr>
          <w:rFonts w:ascii="Times New Roman" w:hAnsi="Times New Roman"/>
          <w:color w:val="000000"/>
          <w:szCs w:val="22"/>
        </w:rPr>
        <w:t xml:space="preserve">Comprimé pelliculé jaune très foncé à brun orangé, </w:t>
      </w:r>
      <w:proofErr w:type="spellStart"/>
      <w:r w:rsidRPr="00653BF6">
        <w:rPr>
          <w:rFonts w:ascii="Times New Roman" w:hAnsi="Times New Roman"/>
          <w:color w:val="000000"/>
          <w:szCs w:val="22"/>
        </w:rPr>
        <w:t>ovaloïde</w:t>
      </w:r>
      <w:proofErr w:type="spellEnd"/>
      <w:r w:rsidRPr="00653BF6">
        <w:rPr>
          <w:rFonts w:ascii="Times New Roman" w:hAnsi="Times New Roman"/>
          <w:color w:val="000000"/>
          <w:szCs w:val="22"/>
        </w:rPr>
        <w:t>, biconvexe, à bords biseautés</w:t>
      </w:r>
      <w:r w:rsidR="00CA38AE" w:rsidRPr="00653BF6">
        <w:rPr>
          <w:rFonts w:ascii="Times New Roman" w:hAnsi="Times New Roman"/>
          <w:color w:val="000000"/>
          <w:szCs w:val="22"/>
        </w:rPr>
        <w:t>.</w:t>
      </w:r>
      <w:r w:rsidRPr="00653BF6">
        <w:rPr>
          <w:rFonts w:ascii="Times New Roman" w:hAnsi="Times New Roman"/>
          <w:color w:val="000000"/>
          <w:szCs w:val="22"/>
        </w:rPr>
        <w:t xml:space="preserve"> </w:t>
      </w:r>
      <w:r w:rsidR="008A3A84" w:rsidRPr="00653BF6">
        <w:rPr>
          <w:rFonts w:ascii="Times New Roman" w:hAnsi="Times New Roman"/>
          <w:color w:val="000000"/>
          <w:szCs w:val="22"/>
        </w:rPr>
        <w:t xml:space="preserve">Il </w:t>
      </w:r>
      <w:r w:rsidRPr="00653BF6">
        <w:rPr>
          <w:rFonts w:ascii="Times New Roman" w:hAnsi="Times New Roman"/>
          <w:color w:val="000000"/>
          <w:szCs w:val="22"/>
        </w:rPr>
        <w:t>port</w:t>
      </w:r>
      <w:r w:rsidR="008A3A84" w:rsidRPr="00653BF6">
        <w:rPr>
          <w:rFonts w:ascii="Times New Roman" w:hAnsi="Times New Roman"/>
          <w:color w:val="000000"/>
          <w:szCs w:val="22"/>
        </w:rPr>
        <w:t>e</w:t>
      </w:r>
      <w:r w:rsidRPr="00653BF6">
        <w:rPr>
          <w:rFonts w:ascii="Times New Roman" w:hAnsi="Times New Roman"/>
          <w:color w:val="000000"/>
          <w:szCs w:val="22"/>
        </w:rPr>
        <w:t xml:space="preserve"> l’inscription « </w:t>
      </w:r>
      <w:r w:rsidR="0091608A" w:rsidRPr="00653BF6">
        <w:rPr>
          <w:rFonts w:ascii="Times New Roman" w:hAnsi="Times New Roman"/>
          <w:color w:val="000000"/>
          <w:szCs w:val="22"/>
        </w:rPr>
        <w:t>400</w:t>
      </w:r>
      <w:r w:rsidRPr="00653BF6">
        <w:rPr>
          <w:rFonts w:ascii="Times New Roman" w:hAnsi="Times New Roman"/>
          <w:color w:val="000000"/>
          <w:szCs w:val="22"/>
        </w:rPr>
        <w:t> » gravée sur une face</w:t>
      </w:r>
      <w:r w:rsidR="004B3F79" w:rsidRPr="00653BF6">
        <w:rPr>
          <w:rFonts w:ascii="Times New Roman" w:hAnsi="Times New Roman"/>
          <w:color w:val="000000"/>
          <w:szCs w:val="22"/>
        </w:rPr>
        <w:t>,</w:t>
      </w:r>
      <w:r w:rsidR="006C1F9D" w:rsidRPr="00653BF6">
        <w:rPr>
          <w:rFonts w:ascii="Times New Roman" w:hAnsi="Times New Roman"/>
          <w:color w:val="000000"/>
          <w:szCs w:val="22"/>
        </w:rPr>
        <w:t xml:space="preserve"> et </w:t>
      </w:r>
      <w:r w:rsidR="005C143D" w:rsidRPr="00653BF6">
        <w:rPr>
          <w:rFonts w:ascii="Times New Roman" w:hAnsi="Times New Roman"/>
          <w:color w:val="000000"/>
          <w:szCs w:val="22"/>
        </w:rPr>
        <w:t xml:space="preserve">une barre de </w:t>
      </w:r>
      <w:r w:rsidR="0035690C" w:rsidRPr="00653BF6">
        <w:rPr>
          <w:rFonts w:ascii="Times New Roman" w:hAnsi="Times New Roman"/>
          <w:color w:val="000000"/>
          <w:szCs w:val="22"/>
        </w:rPr>
        <w:t>sécabilité</w:t>
      </w:r>
      <w:r w:rsidR="005C143D" w:rsidRPr="00653BF6">
        <w:rPr>
          <w:rFonts w:ascii="Times New Roman" w:hAnsi="Times New Roman"/>
          <w:color w:val="000000"/>
          <w:szCs w:val="22"/>
        </w:rPr>
        <w:t xml:space="preserve"> </w:t>
      </w:r>
      <w:r w:rsidR="006C1F9D" w:rsidRPr="00653BF6">
        <w:rPr>
          <w:rFonts w:ascii="Times New Roman" w:hAnsi="Times New Roman"/>
          <w:color w:val="000000"/>
          <w:szCs w:val="22"/>
        </w:rPr>
        <w:t>sur l’autre face</w:t>
      </w:r>
      <w:r w:rsidR="006806CC" w:rsidRPr="00653BF6">
        <w:rPr>
          <w:rFonts w:ascii="Times New Roman" w:hAnsi="Times New Roman"/>
          <w:color w:val="000000"/>
          <w:szCs w:val="22"/>
        </w:rPr>
        <w:t xml:space="preserve"> avec</w:t>
      </w:r>
      <w:r w:rsidR="006C1F9D" w:rsidRPr="00653BF6">
        <w:rPr>
          <w:rFonts w:ascii="Times New Roman" w:hAnsi="Times New Roman"/>
          <w:color w:val="000000"/>
          <w:szCs w:val="22"/>
        </w:rPr>
        <w:t xml:space="preserve"> « SL » </w:t>
      </w:r>
      <w:r w:rsidR="008A3A84" w:rsidRPr="00653BF6">
        <w:rPr>
          <w:rFonts w:ascii="Times New Roman" w:hAnsi="Times New Roman"/>
          <w:color w:val="000000"/>
          <w:szCs w:val="22"/>
        </w:rPr>
        <w:t>gravé</w:t>
      </w:r>
      <w:r w:rsidR="006C1F9D" w:rsidRPr="00653BF6">
        <w:rPr>
          <w:rFonts w:ascii="Times New Roman" w:hAnsi="Times New Roman"/>
          <w:color w:val="000000"/>
          <w:szCs w:val="22"/>
        </w:rPr>
        <w:t xml:space="preserve"> de chaque côté de la barre</w:t>
      </w:r>
      <w:r w:rsidRPr="00653BF6">
        <w:rPr>
          <w:rFonts w:ascii="Times New Roman" w:hAnsi="Times New Roman"/>
          <w:color w:val="000000"/>
          <w:szCs w:val="22"/>
        </w:rPr>
        <w:t>.</w:t>
      </w:r>
    </w:p>
    <w:p w14:paraId="28B50FF1" w14:textId="265CA8B1" w:rsidR="007D642D" w:rsidRPr="00653BF6" w:rsidRDefault="007D642D" w:rsidP="007F23EE">
      <w:pPr>
        <w:rPr>
          <w:rFonts w:ascii="Times New Roman" w:hAnsi="Times New Roman"/>
          <w:color w:val="000000"/>
          <w:szCs w:val="22"/>
        </w:rPr>
      </w:pPr>
    </w:p>
    <w:p w14:paraId="4BC04D64" w14:textId="4C779600" w:rsidR="006C1F9D" w:rsidRPr="00653BF6" w:rsidRDefault="006C1F9D" w:rsidP="007F23EE">
      <w:pPr>
        <w:rPr>
          <w:rFonts w:ascii="Times New Roman" w:hAnsi="Times New Roman"/>
          <w:color w:val="000000"/>
          <w:szCs w:val="22"/>
        </w:rPr>
      </w:pPr>
      <w:r w:rsidRPr="00653BF6">
        <w:rPr>
          <w:rFonts w:ascii="Times New Roman" w:hAnsi="Times New Roman"/>
          <w:color w:val="000000"/>
          <w:szCs w:val="22"/>
        </w:rPr>
        <w:t>Le</w:t>
      </w:r>
      <w:r w:rsidR="004B3F79" w:rsidRPr="00653BF6">
        <w:rPr>
          <w:rFonts w:ascii="Times New Roman" w:hAnsi="Times New Roman"/>
          <w:color w:val="000000"/>
          <w:szCs w:val="22"/>
        </w:rPr>
        <w:t>s</w:t>
      </w:r>
      <w:r w:rsidRPr="00653BF6">
        <w:rPr>
          <w:rFonts w:ascii="Times New Roman" w:hAnsi="Times New Roman"/>
          <w:color w:val="000000"/>
          <w:szCs w:val="22"/>
        </w:rPr>
        <w:t xml:space="preserve"> comprimé</w:t>
      </w:r>
      <w:r w:rsidR="004B3F79" w:rsidRPr="00653BF6">
        <w:rPr>
          <w:rFonts w:ascii="Times New Roman" w:hAnsi="Times New Roman"/>
          <w:color w:val="000000"/>
          <w:szCs w:val="22"/>
        </w:rPr>
        <w:t>s pelliculés</w:t>
      </w:r>
      <w:r w:rsidRPr="00653BF6">
        <w:rPr>
          <w:rFonts w:ascii="Times New Roman" w:hAnsi="Times New Roman"/>
          <w:color w:val="000000"/>
          <w:szCs w:val="22"/>
        </w:rPr>
        <w:t xml:space="preserve"> peu</w:t>
      </w:r>
      <w:r w:rsidR="004B3F79" w:rsidRPr="00653BF6">
        <w:rPr>
          <w:rFonts w:ascii="Times New Roman" w:hAnsi="Times New Roman"/>
          <w:color w:val="000000"/>
          <w:szCs w:val="22"/>
        </w:rPr>
        <w:t>ven</w:t>
      </w:r>
      <w:r w:rsidRPr="00653BF6">
        <w:rPr>
          <w:rFonts w:ascii="Times New Roman" w:hAnsi="Times New Roman"/>
          <w:color w:val="000000"/>
          <w:szCs w:val="22"/>
        </w:rPr>
        <w:t>t être divisé</w:t>
      </w:r>
      <w:r w:rsidR="004B3F79" w:rsidRPr="00653BF6">
        <w:rPr>
          <w:rFonts w:ascii="Times New Roman" w:hAnsi="Times New Roman"/>
          <w:color w:val="000000"/>
          <w:szCs w:val="22"/>
        </w:rPr>
        <w:t>s</w:t>
      </w:r>
      <w:r w:rsidRPr="00653BF6">
        <w:rPr>
          <w:rFonts w:ascii="Times New Roman" w:hAnsi="Times New Roman"/>
          <w:color w:val="000000"/>
          <w:szCs w:val="22"/>
        </w:rPr>
        <w:t xml:space="preserve"> en doses égales.</w:t>
      </w:r>
    </w:p>
    <w:p w14:paraId="5DCDA757" w14:textId="49409AF8" w:rsidR="006C1F9D" w:rsidRPr="00653BF6" w:rsidRDefault="006C1F9D" w:rsidP="007F23EE">
      <w:pPr>
        <w:rPr>
          <w:rFonts w:ascii="Times New Roman" w:hAnsi="Times New Roman"/>
          <w:color w:val="000000"/>
          <w:szCs w:val="22"/>
        </w:rPr>
      </w:pPr>
    </w:p>
    <w:p w14:paraId="4E86061E" w14:textId="77777777" w:rsidR="006C1F9D" w:rsidRPr="00653BF6" w:rsidRDefault="006C1F9D" w:rsidP="007F23EE">
      <w:pPr>
        <w:rPr>
          <w:rFonts w:ascii="Times New Roman" w:hAnsi="Times New Roman"/>
          <w:color w:val="000000"/>
          <w:szCs w:val="22"/>
        </w:rPr>
      </w:pPr>
    </w:p>
    <w:p w14:paraId="45316B24" w14:textId="77777777" w:rsidR="007D642D" w:rsidRPr="00653BF6" w:rsidRDefault="007D642D" w:rsidP="007F23EE">
      <w:pPr>
        <w:keepNext/>
        <w:ind w:left="567" w:hanging="567"/>
        <w:rPr>
          <w:rFonts w:ascii="Times New Roman" w:hAnsi="Times New Roman"/>
          <w:caps/>
          <w:color w:val="000000"/>
          <w:szCs w:val="22"/>
        </w:rPr>
      </w:pPr>
      <w:r w:rsidRPr="00653BF6">
        <w:rPr>
          <w:rFonts w:ascii="Times New Roman" w:hAnsi="Times New Roman"/>
          <w:b/>
          <w:caps/>
          <w:color w:val="000000"/>
          <w:szCs w:val="22"/>
        </w:rPr>
        <w:t>4.</w:t>
      </w:r>
      <w:r w:rsidRPr="00653BF6">
        <w:rPr>
          <w:rFonts w:ascii="Times New Roman" w:hAnsi="Times New Roman"/>
          <w:b/>
          <w:caps/>
          <w:color w:val="000000"/>
          <w:szCs w:val="22"/>
        </w:rPr>
        <w:tab/>
      </w:r>
      <w:r w:rsidR="00EE7627" w:rsidRPr="00653BF6">
        <w:rPr>
          <w:rFonts w:ascii="Times New Roman" w:hAnsi="Times New Roman"/>
          <w:b/>
          <w:color w:val="000000"/>
          <w:szCs w:val="22"/>
        </w:rPr>
        <w:t xml:space="preserve">INFORMATIONS </w:t>
      </w:r>
      <w:r w:rsidRPr="00653BF6">
        <w:rPr>
          <w:rFonts w:ascii="Times New Roman" w:hAnsi="Times New Roman"/>
          <w:b/>
          <w:color w:val="000000"/>
          <w:szCs w:val="22"/>
        </w:rPr>
        <w:t>CLINIQUES</w:t>
      </w:r>
    </w:p>
    <w:p w14:paraId="13E80EB6" w14:textId="77777777" w:rsidR="007D642D" w:rsidRPr="00653BF6" w:rsidRDefault="007D642D" w:rsidP="007F23EE">
      <w:pPr>
        <w:pStyle w:val="EndnoteText"/>
        <w:keepNext/>
        <w:tabs>
          <w:tab w:val="clear" w:pos="567"/>
        </w:tabs>
        <w:rPr>
          <w:color w:val="000000"/>
          <w:szCs w:val="22"/>
          <w:lang w:val="fr-FR"/>
        </w:rPr>
      </w:pPr>
    </w:p>
    <w:p w14:paraId="48890C4C" w14:textId="77777777" w:rsidR="007D642D" w:rsidRPr="00653BF6" w:rsidRDefault="007D642D" w:rsidP="007F23EE">
      <w:pPr>
        <w:keepNext/>
        <w:ind w:left="567" w:hanging="567"/>
        <w:rPr>
          <w:rFonts w:ascii="Times New Roman" w:hAnsi="Times New Roman"/>
          <w:color w:val="000000"/>
          <w:szCs w:val="22"/>
        </w:rPr>
      </w:pPr>
      <w:r w:rsidRPr="00653BF6">
        <w:rPr>
          <w:rFonts w:ascii="Times New Roman" w:hAnsi="Times New Roman"/>
          <w:b/>
          <w:color w:val="000000"/>
          <w:szCs w:val="22"/>
        </w:rPr>
        <w:t>4.1</w:t>
      </w:r>
      <w:r w:rsidRPr="00653BF6">
        <w:rPr>
          <w:rFonts w:ascii="Times New Roman" w:hAnsi="Times New Roman"/>
          <w:b/>
          <w:color w:val="000000"/>
          <w:szCs w:val="22"/>
        </w:rPr>
        <w:tab/>
        <w:t>Indications thérapeutiques</w:t>
      </w:r>
    </w:p>
    <w:p w14:paraId="4CA99195" w14:textId="77777777" w:rsidR="007D642D" w:rsidRPr="00653BF6" w:rsidRDefault="007D642D" w:rsidP="007F23EE">
      <w:pPr>
        <w:pStyle w:val="EndnoteText"/>
        <w:keepNext/>
        <w:tabs>
          <w:tab w:val="clear" w:pos="567"/>
        </w:tabs>
        <w:rPr>
          <w:color w:val="000000"/>
          <w:szCs w:val="22"/>
          <w:lang w:val="fr-FR"/>
        </w:rPr>
      </w:pPr>
    </w:p>
    <w:p w14:paraId="2042D008" w14:textId="77777777" w:rsidR="007D642D" w:rsidRPr="00653BF6" w:rsidRDefault="007D642D" w:rsidP="007F23EE">
      <w:pPr>
        <w:pStyle w:val="EndnoteText"/>
        <w:keepNext/>
        <w:tabs>
          <w:tab w:val="clear" w:pos="567"/>
        </w:tabs>
        <w:rPr>
          <w:color w:val="000000"/>
          <w:szCs w:val="22"/>
          <w:lang w:val="fr-FR"/>
        </w:rPr>
      </w:pPr>
      <w:r w:rsidRPr="00653BF6">
        <w:rPr>
          <w:color w:val="000000"/>
          <w:szCs w:val="22"/>
          <w:lang w:val="fr-FR"/>
        </w:rPr>
        <w:t>Glivec est indiqué dans le traitement :</w:t>
      </w:r>
    </w:p>
    <w:p w14:paraId="3E3380A6" w14:textId="2DFDC2DD" w:rsidR="007D642D" w:rsidRPr="00653BF6" w:rsidRDefault="007D642D" w:rsidP="007F23EE">
      <w:pPr>
        <w:pStyle w:val="EndnoteText"/>
        <w:numPr>
          <w:ilvl w:val="0"/>
          <w:numId w:val="11"/>
        </w:numPr>
        <w:tabs>
          <w:tab w:val="clear" w:pos="366"/>
          <w:tab w:val="clear" w:pos="567"/>
        </w:tabs>
        <w:ind w:left="567" w:hanging="561"/>
        <w:rPr>
          <w:color w:val="000000"/>
          <w:szCs w:val="22"/>
          <w:lang w:val="fr-FR"/>
        </w:rPr>
      </w:pPr>
      <w:proofErr w:type="gramStart"/>
      <w:r w:rsidRPr="00653BF6">
        <w:rPr>
          <w:color w:val="000000"/>
          <w:szCs w:val="22"/>
          <w:lang w:val="fr-FR"/>
        </w:rPr>
        <w:t>des</w:t>
      </w:r>
      <w:proofErr w:type="gramEnd"/>
      <w:r w:rsidRPr="00653BF6">
        <w:rPr>
          <w:color w:val="000000"/>
          <w:szCs w:val="22"/>
          <w:lang w:val="fr-FR"/>
        </w:rPr>
        <w:t xml:space="preserve"> patients adultes et enfants atteints de leucémie myéloïde chronique (LMC) chromosome Philadelphie (</w:t>
      </w:r>
      <w:proofErr w:type="spellStart"/>
      <w:r w:rsidRPr="00653BF6">
        <w:rPr>
          <w:color w:val="000000"/>
          <w:szCs w:val="22"/>
          <w:lang w:val="fr-FR"/>
        </w:rPr>
        <w:t>bcr-abl</w:t>
      </w:r>
      <w:proofErr w:type="spellEnd"/>
      <w:r w:rsidRPr="00653BF6">
        <w:rPr>
          <w:color w:val="000000"/>
          <w:szCs w:val="22"/>
          <w:lang w:val="fr-FR"/>
        </w:rPr>
        <w:t>) positive (Ph+) nouvellement diagnostiquée lorsque la greffe de moelle osseuse ne peut être envisagée comme un traitement de première intention.</w:t>
      </w:r>
    </w:p>
    <w:p w14:paraId="58DB2D8E" w14:textId="140B5D53" w:rsidR="007D642D" w:rsidRPr="00653BF6" w:rsidRDefault="007D642D" w:rsidP="007F23EE">
      <w:pPr>
        <w:pStyle w:val="EndnoteText"/>
        <w:numPr>
          <w:ilvl w:val="0"/>
          <w:numId w:val="10"/>
        </w:numPr>
        <w:tabs>
          <w:tab w:val="clear" w:pos="360"/>
          <w:tab w:val="clear" w:pos="567"/>
        </w:tabs>
        <w:ind w:left="567" w:hanging="567"/>
        <w:rPr>
          <w:color w:val="000000"/>
          <w:szCs w:val="22"/>
          <w:lang w:val="fr-FR"/>
        </w:rPr>
      </w:pPr>
      <w:proofErr w:type="gramStart"/>
      <w:r w:rsidRPr="00653BF6">
        <w:rPr>
          <w:color w:val="000000"/>
          <w:szCs w:val="22"/>
          <w:lang w:val="fr-FR"/>
        </w:rPr>
        <w:t>des</w:t>
      </w:r>
      <w:proofErr w:type="gramEnd"/>
      <w:r w:rsidRPr="00653BF6">
        <w:rPr>
          <w:color w:val="000000"/>
          <w:szCs w:val="22"/>
          <w:lang w:val="fr-FR"/>
        </w:rPr>
        <w:t xml:space="preserve"> patients adultes et enfants atteints de LMC Ph+ en phase chronique après échec du traitement par l’interféron alpha, ou en phase accélérée ou en crise blastique.</w:t>
      </w:r>
    </w:p>
    <w:p w14:paraId="6B6F84D6" w14:textId="77777777" w:rsidR="007D642D" w:rsidRPr="00653BF6" w:rsidRDefault="007D642D" w:rsidP="007F23EE">
      <w:pPr>
        <w:pStyle w:val="EndnoteText"/>
        <w:numPr>
          <w:ilvl w:val="0"/>
          <w:numId w:val="10"/>
        </w:numPr>
        <w:tabs>
          <w:tab w:val="clear" w:pos="360"/>
          <w:tab w:val="clear" w:pos="567"/>
        </w:tabs>
        <w:ind w:left="567" w:hanging="567"/>
        <w:rPr>
          <w:color w:val="000000"/>
          <w:szCs w:val="22"/>
          <w:lang w:val="fr-FR"/>
        </w:rPr>
      </w:pPr>
      <w:proofErr w:type="gramStart"/>
      <w:r w:rsidRPr="00653BF6">
        <w:rPr>
          <w:color w:val="000000"/>
          <w:szCs w:val="22"/>
          <w:lang w:val="fr-FR"/>
        </w:rPr>
        <w:t>des</w:t>
      </w:r>
      <w:proofErr w:type="gramEnd"/>
      <w:r w:rsidRPr="00653BF6">
        <w:rPr>
          <w:color w:val="000000"/>
          <w:szCs w:val="22"/>
          <w:lang w:val="fr-FR"/>
        </w:rPr>
        <w:t xml:space="preserve"> patients adultes </w:t>
      </w:r>
      <w:r w:rsidR="0001320F" w:rsidRPr="00653BF6">
        <w:rPr>
          <w:color w:val="000000"/>
          <w:szCs w:val="22"/>
          <w:lang w:val="fr-FR"/>
        </w:rPr>
        <w:t xml:space="preserve">et enfants </w:t>
      </w:r>
      <w:r w:rsidRPr="00653BF6">
        <w:rPr>
          <w:color w:val="000000"/>
          <w:szCs w:val="22"/>
          <w:lang w:val="fr-FR"/>
        </w:rPr>
        <w:t>atteints de leucémie aiguë lymphoïde chromosome Philadelphie positive (LAL Ph+) nouvellement diagnostiquée en association avec la chimiothérapie.</w:t>
      </w:r>
    </w:p>
    <w:p w14:paraId="3048074B" w14:textId="77777777" w:rsidR="007D642D" w:rsidRPr="00653BF6" w:rsidRDefault="007D642D" w:rsidP="007F23EE">
      <w:pPr>
        <w:pStyle w:val="EndnoteText"/>
        <w:numPr>
          <w:ilvl w:val="0"/>
          <w:numId w:val="10"/>
        </w:numPr>
        <w:tabs>
          <w:tab w:val="clear" w:pos="360"/>
          <w:tab w:val="clear" w:pos="567"/>
        </w:tabs>
        <w:ind w:left="567" w:hanging="567"/>
        <w:rPr>
          <w:color w:val="000000"/>
          <w:szCs w:val="22"/>
          <w:lang w:val="fr-FR"/>
        </w:rPr>
      </w:pPr>
      <w:proofErr w:type="gramStart"/>
      <w:r w:rsidRPr="00653BF6">
        <w:rPr>
          <w:color w:val="000000"/>
          <w:szCs w:val="22"/>
          <w:lang w:val="fr-FR"/>
        </w:rPr>
        <w:t>des</w:t>
      </w:r>
      <w:proofErr w:type="gramEnd"/>
      <w:r w:rsidRPr="00653BF6">
        <w:rPr>
          <w:color w:val="000000"/>
          <w:szCs w:val="22"/>
          <w:lang w:val="fr-FR"/>
        </w:rPr>
        <w:t xml:space="preserve"> patients adultes atteints de LAL Ph+ réfractaire ou en rechute en monothérapie.</w:t>
      </w:r>
    </w:p>
    <w:p w14:paraId="564CA455" w14:textId="77777777" w:rsidR="007D642D" w:rsidRPr="00653BF6" w:rsidRDefault="007D642D" w:rsidP="007F23EE">
      <w:pPr>
        <w:pStyle w:val="EndnoteText"/>
        <w:numPr>
          <w:ilvl w:val="0"/>
          <w:numId w:val="10"/>
        </w:numPr>
        <w:tabs>
          <w:tab w:val="clear" w:pos="360"/>
          <w:tab w:val="clear" w:pos="567"/>
        </w:tabs>
        <w:ind w:left="567" w:hanging="567"/>
        <w:rPr>
          <w:color w:val="000000"/>
          <w:szCs w:val="22"/>
          <w:lang w:val="fr-FR"/>
        </w:rPr>
      </w:pPr>
      <w:proofErr w:type="gramStart"/>
      <w:r w:rsidRPr="00653BF6">
        <w:rPr>
          <w:color w:val="000000"/>
          <w:szCs w:val="22"/>
          <w:lang w:val="fr-FR"/>
        </w:rPr>
        <w:t>des</w:t>
      </w:r>
      <w:proofErr w:type="gramEnd"/>
      <w:r w:rsidRPr="00653BF6">
        <w:rPr>
          <w:color w:val="000000"/>
          <w:szCs w:val="22"/>
          <w:lang w:val="fr-FR"/>
        </w:rPr>
        <w:t xml:space="preserve"> patients adultes atteints de syndromes myélodysplasiques/myéloprolifératifs (</w:t>
      </w:r>
      <w:smartTag w:uri="urn:schemas-microsoft-com:office:smarttags" w:element="stockticker">
        <w:r w:rsidRPr="00653BF6">
          <w:rPr>
            <w:color w:val="000000"/>
            <w:szCs w:val="22"/>
            <w:lang w:val="fr-FR"/>
          </w:rPr>
          <w:t>SMD</w:t>
        </w:r>
      </w:smartTag>
      <w:r w:rsidRPr="00653BF6">
        <w:rPr>
          <w:color w:val="000000"/>
          <w:szCs w:val="22"/>
          <w:lang w:val="fr-FR"/>
        </w:rPr>
        <w:t>/</w:t>
      </w:r>
      <w:smartTag w:uri="urn:schemas-microsoft-com:office:smarttags" w:element="stockticker">
        <w:r w:rsidRPr="00653BF6">
          <w:rPr>
            <w:color w:val="000000"/>
            <w:szCs w:val="22"/>
            <w:lang w:val="fr-FR"/>
          </w:rPr>
          <w:t>SMP</w:t>
        </w:r>
      </w:smartTag>
      <w:r w:rsidRPr="00653BF6">
        <w:rPr>
          <w:color w:val="000000"/>
          <w:szCs w:val="22"/>
          <w:lang w:val="fr-FR"/>
        </w:rPr>
        <w:t>) associés à des réarrangements du gène du PDGFR (</w:t>
      </w:r>
      <w:proofErr w:type="spellStart"/>
      <w:r w:rsidRPr="005205FF">
        <w:rPr>
          <w:i/>
          <w:iCs/>
          <w:color w:val="000000"/>
          <w:szCs w:val="22"/>
          <w:lang w:val="fr-FR"/>
          <w:rPrChange w:id="0" w:author="Author">
            <w:rPr>
              <w:color w:val="000000"/>
              <w:szCs w:val="22"/>
              <w:lang w:val="fr-FR"/>
            </w:rPr>
          </w:rPrChange>
        </w:rPr>
        <w:t>platelet-derived</w:t>
      </w:r>
      <w:proofErr w:type="spellEnd"/>
      <w:r w:rsidRPr="005205FF">
        <w:rPr>
          <w:i/>
          <w:iCs/>
          <w:color w:val="000000"/>
          <w:szCs w:val="22"/>
          <w:lang w:val="fr-FR"/>
          <w:rPrChange w:id="1" w:author="Author">
            <w:rPr>
              <w:color w:val="000000"/>
              <w:szCs w:val="22"/>
              <w:lang w:val="fr-FR"/>
            </w:rPr>
          </w:rPrChange>
        </w:rPr>
        <w:t xml:space="preserve"> </w:t>
      </w:r>
      <w:proofErr w:type="spellStart"/>
      <w:r w:rsidRPr="005205FF">
        <w:rPr>
          <w:i/>
          <w:iCs/>
          <w:color w:val="000000"/>
          <w:szCs w:val="22"/>
          <w:lang w:val="fr-FR"/>
          <w:rPrChange w:id="2" w:author="Author">
            <w:rPr>
              <w:color w:val="000000"/>
              <w:szCs w:val="22"/>
              <w:lang w:val="fr-FR"/>
            </w:rPr>
          </w:rPrChange>
        </w:rPr>
        <w:t>growth</w:t>
      </w:r>
      <w:proofErr w:type="spellEnd"/>
      <w:r w:rsidRPr="005205FF">
        <w:rPr>
          <w:i/>
          <w:iCs/>
          <w:color w:val="000000"/>
          <w:szCs w:val="22"/>
          <w:lang w:val="fr-FR"/>
          <w:rPrChange w:id="3" w:author="Author">
            <w:rPr>
              <w:color w:val="000000"/>
              <w:szCs w:val="22"/>
              <w:lang w:val="fr-FR"/>
            </w:rPr>
          </w:rPrChange>
        </w:rPr>
        <w:t xml:space="preserve"> factor </w:t>
      </w:r>
      <w:proofErr w:type="spellStart"/>
      <w:r w:rsidRPr="005205FF">
        <w:rPr>
          <w:i/>
          <w:iCs/>
          <w:color w:val="000000"/>
          <w:szCs w:val="22"/>
          <w:lang w:val="fr-FR"/>
          <w:rPrChange w:id="4" w:author="Author">
            <w:rPr>
              <w:color w:val="000000"/>
              <w:szCs w:val="22"/>
              <w:lang w:val="fr-FR"/>
            </w:rPr>
          </w:rPrChange>
        </w:rPr>
        <w:t>receptor</w:t>
      </w:r>
      <w:proofErr w:type="spellEnd"/>
      <w:r w:rsidRPr="00653BF6">
        <w:rPr>
          <w:color w:val="000000"/>
          <w:szCs w:val="22"/>
          <w:lang w:val="fr-FR"/>
        </w:rPr>
        <w:t>).</w:t>
      </w:r>
    </w:p>
    <w:p w14:paraId="554933C9" w14:textId="77777777" w:rsidR="007D642D" w:rsidRPr="00653BF6" w:rsidRDefault="007D642D" w:rsidP="007F23EE">
      <w:pPr>
        <w:pStyle w:val="EndnoteText"/>
        <w:numPr>
          <w:ilvl w:val="0"/>
          <w:numId w:val="10"/>
        </w:numPr>
        <w:tabs>
          <w:tab w:val="clear" w:pos="360"/>
          <w:tab w:val="clear" w:pos="567"/>
        </w:tabs>
        <w:ind w:left="567" w:hanging="567"/>
        <w:rPr>
          <w:color w:val="000000"/>
          <w:szCs w:val="22"/>
          <w:lang w:val="fr-FR"/>
        </w:rPr>
      </w:pPr>
      <w:proofErr w:type="gramStart"/>
      <w:r w:rsidRPr="00653BF6">
        <w:rPr>
          <w:color w:val="000000"/>
          <w:szCs w:val="22"/>
          <w:lang w:val="fr-FR"/>
        </w:rPr>
        <w:t>des</w:t>
      </w:r>
      <w:proofErr w:type="gramEnd"/>
      <w:r w:rsidRPr="00653BF6">
        <w:rPr>
          <w:color w:val="000000"/>
          <w:szCs w:val="22"/>
          <w:lang w:val="fr-FR"/>
        </w:rPr>
        <w:t xml:space="preserve"> patients adultes atteints d’un syndrome </w:t>
      </w:r>
      <w:proofErr w:type="spellStart"/>
      <w:r w:rsidRPr="00653BF6">
        <w:rPr>
          <w:color w:val="000000"/>
          <w:szCs w:val="22"/>
          <w:lang w:val="fr-FR"/>
        </w:rPr>
        <w:t>hyperéosinophilique</w:t>
      </w:r>
      <w:proofErr w:type="spellEnd"/>
      <w:r w:rsidRPr="00653BF6">
        <w:rPr>
          <w:color w:val="000000"/>
          <w:szCs w:val="22"/>
          <w:lang w:val="fr-FR"/>
        </w:rPr>
        <w:t xml:space="preserve"> (SHE) à un stade avancé et/ou d’une leucémie chronique à éosinophiles (LCE) associés à un réarrangement du </w:t>
      </w:r>
      <w:r w:rsidRPr="00653BF6">
        <w:rPr>
          <w:color w:val="000000"/>
          <w:lang w:val="fr-FR"/>
        </w:rPr>
        <w:t>FIP1L1-PDGFR</w:t>
      </w:r>
      <w:r w:rsidRPr="00653BF6">
        <w:rPr>
          <w:color w:val="000000"/>
          <w:lang w:val="fr-FR"/>
        </w:rPr>
        <w:sym w:font="Symbol" w:char="F061"/>
      </w:r>
      <w:r w:rsidRPr="00653BF6">
        <w:rPr>
          <w:color w:val="000000"/>
          <w:szCs w:val="22"/>
          <w:lang w:val="fr-FR"/>
        </w:rPr>
        <w:t>.</w:t>
      </w:r>
    </w:p>
    <w:p w14:paraId="745476DD" w14:textId="77777777" w:rsidR="007D642D" w:rsidRPr="00653BF6" w:rsidRDefault="007D642D" w:rsidP="007F23EE">
      <w:pPr>
        <w:pStyle w:val="EndnoteText"/>
        <w:tabs>
          <w:tab w:val="clear" w:pos="567"/>
        </w:tabs>
        <w:rPr>
          <w:color w:val="000000"/>
          <w:szCs w:val="22"/>
          <w:lang w:val="fr-FR"/>
        </w:rPr>
      </w:pPr>
    </w:p>
    <w:p w14:paraId="6760FC1C"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t>L’effet de Glivec sur l’issue d’une greffe de moelle osseuse n’a pas été évalué.</w:t>
      </w:r>
    </w:p>
    <w:p w14:paraId="0EB4B9E2" w14:textId="77777777" w:rsidR="007D642D" w:rsidRPr="00653BF6" w:rsidRDefault="007D642D" w:rsidP="007F23EE">
      <w:pPr>
        <w:pStyle w:val="EndnoteText"/>
        <w:tabs>
          <w:tab w:val="clear" w:pos="567"/>
        </w:tabs>
        <w:rPr>
          <w:color w:val="000000"/>
          <w:szCs w:val="22"/>
          <w:lang w:val="fr-FR"/>
        </w:rPr>
      </w:pPr>
    </w:p>
    <w:p w14:paraId="464BC24E" w14:textId="77777777" w:rsidR="007D642D" w:rsidRPr="00653BF6" w:rsidRDefault="007D642D" w:rsidP="007F23EE">
      <w:pPr>
        <w:pStyle w:val="EndnoteText"/>
        <w:keepNext/>
        <w:tabs>
          <w:tab w:val="clear" w:pos="567"/>
        </w:tabs>
        <w:rPr>
          <w:color w:val="000000"/>
          <w:szCs w:val="22"/>
          <w:lang w:val="fr-FR"/>
        </w:rPr>
      </w:pPr>
      <w:r w:rsidRPr="00653BF6">
        <w:rPr>
          <w:color w:val="000000"/>
          <w:szCs w:val="22"/>
          <w:lang w:val="fr-FR"/>
        </w:rPr>
        <w:t>Glivec est indiqué dans</w:t>
      </w:r>
    </w:p>
    <w:p w14:paraId="636A14CF" w14:textId="77777777" w:rsidR="007D642D" w:rsidRPr="00653BF6" w:rsidRDefault="007D642D" w:rsidP="007F23EE">
      <w:pPr>
        <w:pStyle w:val="EndnoteText"/>
        <w:numPr>
          <w:ilvl w:val="0"/>
          <w:numId w:val="12"/>
        </w:numPr>
        <w:tabs>
          <w:tab w:val="clear" w:pos="567"/>
          <w:tab w:val="clear" w:pos="720"/>
        </w:tabs>
        <w:ind w:left="567" w:hanging="567"/>
        <w:rPr>
          <w:color w:val="000000"/>
          <w:szCs w:val="22"/>
          <w:lang w:val="fr-FR"/>
        </w:rPr>
      </w:pPr>
      <w:proofErr w:type="gramStart"/>
      <w:r w:rsidRPr="00653BF6">
        <w:rPr>
          <w:color w:val="000000"/>
          <w:szCs w:val="22"/>
          <w:lang w:val="fr-FR"/>
        </w:rPr>
        <w:t>le</w:t>
      </w:r>
      <w:proofErr w:type="gramEnd"/>
      <w:r w:rsidRPr="00653BF6">
        <w:rPr>
          <w:color w:val="000000"/>
          <w:szCs w:val="22"/>
          <w:lang w:val="fr-FR"/>
        </w:rPr>
        <w:t xml:space="preserve"> traitement des patients adultes atteints de tumeurs stromales gastro-intestinales (GIST - gastrointestinal stromal </w:t>
      </w:r>
      <w:proofErr w:type="spellStart"/>
      <w:r w:rsidRPr="00653BF6">
        <w:rPr>
          <w:color w:val="000000"/>
          <w:szCs w:val="22"/>
          <w:lang w:val="fr-FR"/>
        </w:rPr>
        <w:t>tumours</w:t>
      </w:r>
      <w:proofErr w:type="spellEnd"/>
      <w:r w:rsidRPr="00653BF6">
        <w:rPr>
          <w:color w:val="000000"/>
          <w:szCs w:val="22"/>
          <w:lang w:val="fr-FR"/>
        </w:rPr>
        <w:t>) malignes Kit (CD 117) positives non résécables et/ou métastatiques.</w:t>
      </w:r>
    </w:p>
    <w:p w14:paraId="77AD274E" w14:textId="77777777" w:rsidR="007D642D" w:rsidRPr="00653BF6" w:rsidRDefault="007D642D" w:rsidP="007F23EE">
      <w:pPr>
        <w:pStyle w:val="EndnoteText"/>
        <w:numPr>
          <w:ilvl w:val="0"/>
          <w:numId w:val="12"/>
        </w:numPr>
        <w:tabs>
          <w:tab w:val="clear" w:pos="567"/>
          <w:tab w:val="clear" w:pos="720"/>
        </w:tabs>
        <w:ind w:left="567" w:hanging="567"/>
        <w:rPr>
          <w:color w:val="000000"/>
          <w:szCs w:val="22"/>
          <w:lang w:val="fr-FR"/>
        </w:rPr>
      </w:pPr>
      <w:proofErr w:type="gramStart"/>
      <w:r w:rsidRPr="00653BF6">
        <w:rPr>
          <w:color w:val="000000"/>
          <w:szCs w:val="22"/>
          <w:lang w:val="fr-FR"/>
        </w:rPr>
        <w:t>le</w:t>
      </w:r>
      <w:proofErr w:type="gramEnd"/>
      <w:r w:rsidRPr="00653BF6">
        <w:rPr>
          <w:color w:val="000000"/>
          <w:szCs w:val="22"/>
          <w:lang w:val="fr-FR"/>
        </w:rPr>
        <w:t xml:space="preserve"> traitement adjuvant des patients adultes présentant un risque significatif de rechute après résection d’une tumeur stromale gastro-intestinale GIST Kit (CD117) positive. Les patients qui présentent un faible ou très faible risque ne doivent pas être traités.</w:t>
      </w:r>
    </w:p>
    <w:p w14:paraId="48C9E0EF" w14:textId="77777777" w:rsidR="007D642D" w:rsidRPr="00653BF6" w:rsidRDefault="007D642D" w:rsidP="007F23EE">
      <w:pPr>
        <w:pStyle w:val="EndnoteText"/>
        <w:numPr>
          <w:ilvl w:val="0"/>
          <w:numId w:val="12"/>
        </w:numPr>
        <w:tabs>
          <w:tab w:val="clear" w:pos="567"/>
          <w:tab w:val="clear" w:pos="720"/>
        </w:tabs>
        <w:ind w:left="567" w:hanging="567"/>
        <w:rPr>
          <w:color w:val="000000"/>
          <w:szCs w:val="22"/>
          <w:lang w:val="fr-FR"/>
        </w:rPr>
      </w:pPr>
      <w:proofErr w:type="gramStart"/>
      <w:r w:rsidRPr="00653BF6">
        <w:rPr>
          <w:color w:val="000000"/>
          <w:szCs w:val="22"/>
          <w:lang w:val="fr-FR"/>
        </w:rPr>
        <w:t>le</w:t>
      </w:r>
      <w:proofErr w:type="gramEnd"/>
      <w:r w:rsidRPr="00653BF6">
        <w:rPr>
          <w:color w:val="000000"/>
          <w:szCs w:val="22"/>
          <w:lang w:val="fr-FR"/>
        </w:rPr>
        <w:t xml:space="preserve"> traitement des patients adultes atteints de </w:t>
      </w:r>
      <w:proofErr w:type="spellStart"/>
      <w:r w:rsidRPr="00653BF6">
        <w:rPr>
          <w:color w:val="000000"/>
          <w:szCs w:val="22"/>
          <w:lang w:val="fr-FR"/>
        </w:rPr>
        <w:t>dermatofibrosarcome</w:t>
      </w:r>
      <w:proofErr w:type="spellEnd"/>
      <w:r w:rsidRPr="00653BF6">
        <w:rPr>
          <w:color w:val="000000"/>
          <w:szCs w:val="22"/>
          <w:lang w:val="fr-FR"/>
        </w:rPr>
        <w:t xml:space="preserve"> </w:t>
      </w:r>
      <w:proofErr w:type="spellStart"/>
      <w:r w:rsidRPr="00653BF6">
        <w:rPr>
          <w:color w:val="000000"/>
          <w:szCs w:val="22"/>
          <w:lang w:val="fr-FR"/>
        </w:rPr>
        <w:t>protuberans</w:t>
      </w:r>
      <w:proofErr w:type="spellEnd"/>
      <w:r w:rsidRPr="00653BF6">
        <w:rPr>
          <w:color w:val="000000"/>
          <w:szCs w:val="22"/>
          <w:lang w:val="fr-FR"/>
        </w:rPr>
        <w:t xml:space="preserve"> (DFSP ou maladie de </w:t>
      </w:r>
      <w:proofErr w:type="spellStart"/>
      <w:r w:rsidRPr="00653BF6">
        <w:rPr>
          <w:color w:val="000000"/>
          <w:szCs w:val="22"/>
          <w:lang w:val="fr-FR"/>
        </w:rPr>
        <w:t>Darier</w:t>
      </w:r>
      <w:proofErr w:type="spellEnd"/>
      <w:r w:rsidRPr="00653BF6">
        <w:rPr>
          <w:color w:val="000000"/>
          <w:szCs w:val="22"/>
          <w:lang w:val="fr-FR"/>
        </w:rPr>
        <w:t>-Ferrand) non résécable et patients adultes atteints de DFSP en rechute et/ou métastatique ne relevant pas d’un traitement chirurgical.</w:t>
      </w:r>
    </w:p>
    <w:p w14:paraId="03C70592" w14:textId="77777777" w:rsidR="007D642D" w:rsidRPr="00653BF6" w:rsidRDefault="007D642D" w:rsidP="007F23EE">
      <w:pPr>
        <w:pStyle w:val="EndnoteText"/>
        <w:tabs>
          <w:tab w:val="clear" w:pos="567"/>
        </w:tabs>
        <w:rPr>
          <w:color w:val="000000"/>
          <w:szCs w:val="22"/>
          <w:lang w:val="fr-FR"/>
        </w:rPr>
      </w:pPr>
    </w:p>
    <w:p w14:paraId="052D763A"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t xml:space="preserve">Chez l’adulte et les patients pédiatriques, l’efficacité de Glivec est basée sur les taux de réponses hématologiques et cytogénétiques globales et la survie sans progression dans la LMC, sur les taux de réponses hématologique et cytogénétique des LAL Ph+, des </w:t>
      </w:r>
      <w:smartTag w:uri="urn:schemas-microsoft-com:office:smarttags" w:element="stockticker">
        <w:r w:rsidRPr="00653BF6">
          <w:rPr>
            <w:color w:val="000000"/>
            <w:szCs w:val="22"/>
            <w:lang w:val="fr-FR"/>
          </w:rPr>
          <w:t>SMD</w:t>
        </w:r>
      </w:smartTag>
      <w:r w:rsidRPr="00653BF6">
        <w:rPr>
          <w:color w:val="000000"/>
          <w:szCs w:val="22"/>
          <w:lang w:val="fr-FR"/>
        </w:rPr>
        <w:t>/</w:t>
      </w:r>
      <w:smartTag w:uri="urn:schemas-microsoft-com:office:smarttags" w:element="stockticker">
        <w:r w:rsidRPr="00653BF6">
          <w:rPr>
            <w:color w:val="000000"/>
            <w:szCs w:val="22"/>
            <w:lang w:val="fr-FR"/>
          </w:rPr>
          <w:t>SMP</w:t>
        </w:r>
      </w:smartTag>
      <w:r w:rsidRPr="00653BF6">
        <w:rPr>
          <w:color w:val="000000"/>
          <w:szCs w:val="22"/>
          <w:lang w:val="fr-FR"/>
        </w:rPr>
        <w:t xml:space="preserve">, sur les taux de réponses hématologiques des SHE/LCE et sur les taux de réponses objectives des patients adultes dans les GIST résécables et/ou métastatiques et les DFSP et la survie sans rechute dans le traitement adjuvant des GIST. L’expérience avec Glivec chez les patients atteints de </w:t>
      </w:r>
      <w:smartTag w:uri="urn:schemas-microsoft-com:office:smarttags" w:element="stockticker">
        <w:r w:rsidRPr="00653BF6">
          <w:rPr>
            <w:color w:val="000000"/>
            <w:szCs w:val="22"/>
            <w:lang w:val="fr-FR"/>
          </w:rPr>
          <w:t>SMD</w:t>
        </w:r>
      </w:smartTag>
      <w:r w:rsidRPr="00653BF6">
        <w:rPr>
          <w:color w:val="000000"/>
          <w:szCs w:val="22"/>
          <w:lang w:val="fr-FR"/>
        </w:rPr>
        <w:t>/</w:t>
      </w:r>
      <w:smartTag w:uri="urn:schemas-microsoft-com:office:smarttags" w:element="stockticker">
        <w:r w:rsidRPr="00653BF6">
          <w:rPr>
            <w:color w:val="000000"/>
            <w:szCs w:val="22"/>
            <w:lang w:val="fr-FR"/>
          </w:rPr>
          <w:t>SMP</w:t>
        </w:r>
      </w:smartTag>
      <w:r w:rsidRPr="00653BF6">
        <w:rPr>
          <w:color w:val="000000"/>
          <w:szCs w:val="22"/>
          <w:lang w:val="fr-FR"/>
        </w:rPr>
        <w:t xml:space="preserve"> associés à des réarrangements du gène du PDGFR est très limitée (voir rubrique 5.1). A l’exception de la LMC en phase chronique nouvellement diagnostiquée, il n’existe pas d’étude clinique contrôlée démontrant un bénéfice clinique ou une prolongation de la durée de vie, pour ces maladies.</w:t>
      </w:r>
    </w:p>
    <w:p w14:paraId="3C1D4DC9" w14:textId="77777777" w:rsidR="007D642D" w:rsidRPr="00653BF6" w:rsidRDefault="007D642D" w:rsidP="007F23EE">
      <w:pPr>
        <w:rPr>
          <w:rFonts w:ascii="Times New Roman" w:hAnsi="Times New Roman"/>
          <w:color w:val="000000"/>
          <w:szCs w:val="22"/>
        </w:rPr>
      </w:pPr>
    </w:p>
    <w:p w14:paraId="4B3DF322" w14:textId="0173804D" w:rsidR="007D642D" w:rsidRPr="00653BF6" w:rsidRDefault="007D642D" w:rsidP="007F23EE">
      <w:pPr>
        <w:keepNext/>
        <w:ind w:left="567" w:hanging="567"/>
        <w:rPr>
          <w:rFonts w:ascii="Times New Roman" w:hAnsi="Times New Roman"/>
          <w:color w:val="000000"/>
          <w:szCs w:val="22"/>
        </w:rPr>
      </w:pPr>
      <w:r w:rsidRPr="00653BF6">
        <w:rPr>
          <w:rFonts w:ascii="Times New Roman" w:hAnsi="Times New Roman"/>
          <w:b/>
          <w:color w:val="000000"/>
          <w:szCs w:val="22"/>
        </w:rPr>
        <w:t>4.2</w:t>
      </w:r>
      <w:r w:rsidRPr="00653BF6">
        <w:rPr>
          <w:rFonts w:ascii="Times New Roman" w:hAnsi="Times New Roman"/>
          <w:b/>
          <w:color w:val="000000"/>
          <w:szCs w:val="22"/>
        </w:rPr>
        <w:tab/>
        <w:t>Posologie et mode d</w:t>
      </w:r>
      <w:r w:rsidR="00813A7A">
        <w:rPr>
          <w:rFonts w:ascii="Times New Roman" w:hAnsi="Times New Roman"/>
          <w:b/>
          <w:color w:val="000000"/>
          <w:szCs w:val="22"/>
        </w:rPr>
        <w:t>’</w:t>
      </w:r>
      <w:r w:rsidRPr="00653BF6">
        <w:rPr>
          <w:rFonts w:ascii="Times New Roman" w:hAnsi="Times New Roman"/>
          <w:b/>
          <w:color w:val="000000"/>
          <w:szCs w:val="22"/>
        </w:rPr>
        <w:t>administration</w:t>
      </w:r>
    </w:p>
    <w:p w14:paraId="22A53466" w14:textId="77777777" w:rsidR="007D642D" w:rsidRPr="00653BF6" w:rsidRDefault="007D642D" w:rsidP="007F23EE">
      <w:pPr>
        <w:pStyle w:val="EndnoteText"/>
        <w:keepNext/>
        <w:tabs>
          <w:tab w:val="clear" w:pos="567"/>
        </w:tabs>
        <w:rPr>
          <w:color w:val="000000"/>
          <w:szCs w:val="22"/>
          <w:lang w:val="fr-FR"/>
        </w:rPr>
      </w:pPr>
    </w:p>
    <w:p w14:paraId="36D7E6C0"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t>Le traitement doit être instauré par un médecin ayant l’expérience du traitement des hémopathies malignes ou des sarcomes.</w:t>
      </w:r>
    </w:p>
    <w:p w14:paraId="13BC2859" w14:textId="77777777" w:rsidR="007D642D" w:rsidRPr="00653BF6" w:rsidRDefault="007D642D" w:rsidP="007F23EE">
      <w:pPr>
        <w:pStyle w:val="EndnoteText"/>
        <w:tabs>
          <w:tab w:val="clear" w:pos="567"/>
        </w:tabs>
        <w:rPr>
          <w:color w:val="000000"/>
          <w:szCs w:val="22"/>
          <w:lang w:val="fr-FR"/>
        </w:rPr>
      </w:pPr>
    </w:p>
    <w:p w14:paraId="34649495" w14:textId="6F108E3E" w:rsidR="009A531A" w:rsidRPr="00653BF6" w:rsidRDefault="009A531A" w:rsidP="007F23EE">
      <w:pPr>
        <w:pStyle w:val="EndnoteText"/>
        <w:tabs>
          <w:tab w:val="clear" w:pos="567"/>
        </w:tabs>
        <w:rPr>
          <w:color w:val="000000"/>
          <w:szCs w:val="22"/>
          <w:lang w:val="fr-FR"/>
        </w:rPr>
      </w:pPr>
      <w:r w:rsidRPr="00653BF6">
        <w:rPr>
          <w:color w:val="000000"/>
          <w:szCs w:val="22"/>
          <w:lang w:val="fr-FR"/>
        </w:rPr>
        <w:t>Pour toutes les autres doses que 400 mg et 800 mg (voir les recommandations de doses ci-dessous)</w:t>
      </w:r>
      <w:r w:rsidR="004B3F79" w:rsidRPr="00653BF6">
        <w:rPr>
          <w:color w:val="000000"/>
          <w:szCs w:val="22"/>
          <w:lang w:val="fr-FR"/>
        </w:rPr>
        <w:t>,</w:t>
      </w:r>
      <w:r w:rsidRPr="00653BF6">
        <w:rPr>
          <w:color w:val="000000"/>
          <w:szCs w:val="22"/>
          <w:lang w:val="fr-FR"/>
        </w:rPr>
        <w:t xml:space="preserve"> </w:t>
      </w:r>
      <w:r w:rsidR="009563F2" w:rsidRPr="00653BF6">
        <w:rPr>
          <w:color w:val="000000"/>
          <w:szCs w:val="22"/>
          <w:lang w:val="fr-FR"/>
        </w:rPr>
        <w:t>des</w:t>
      </w:r>
      <w:r w:rsidRPr="00653BF6">
        <w:rPr>
          <w:color w:val="000000"/>
          <w:szCs w:val="22"/>
          <w:lang w:val="fr-FR"/>
        </w:rPr>
        <w:t xml:space="preserve"> comprimé</w:t>
      </w:r>
      <w:r w:rsidR="009563F2" w:rsidRPr="00653BF6">
        <w:rPr>
          <w:color w:val="000000"/>
          <w:szCs w:val="22"/>
          <w:lang w:val="fr-FR"/>
        </w:rPr>
        <w:t>s</w:t>
      </w:r>
      <w:r w:rsidRPr="00653BF6">
        <w:rPr>
          <w:color w:val="000000"/>
          <w:szCs w:val="22"/>
          <w:lang w:val="fr-FR"/>
        </w:rPr>
        <w:t xml:space="preserve"> à 100 mg </w:t>
      </w:r>
      <w:r w:rsidR="009563F2" w:rsidRPr="00653BF6">
        <w:rPr>
          <w:color w:val="000000"/>
          <w:szCs w:val="22"/>
          <w:lang w:val="fr-FR"/>
        </w:rPr>
        <w:t xml:space="preserve">et 400 mg </w:t>
      </w:r>
      <w:r w:rsidRPr="00653BF6">
        <w:rPr>
          <w:color w:val="000000"/>
          <w:szCs w:val="22"/>
          <w:lang w:val="fr-FR"/>
        </w:rPr>
        <w:t>sécable</w:t>
      </w:r>
      <w:r w:rsidR="009563F2" w:rsidRPr="00653BF6">
        <w:rPr>
          <w:color w:val="000000"/>
          <w:szCs w:val="22"/>
          <w:lang w:val="fr-FR"/>
        </w:rPr>
        <w:t>s</w:t>
      </w:r>
      <w:r w:rsidRPr="00653BF6">
        <w:rPr>
          <w:color w:val="000000"/>
          <w:szCs w:val="22"/>
          <w:lang w:val="fr-FR"/>
        </w:rPr>
        <w:t xml:space="preserve"> </w:t>
      </w:r>
      <w:r w:rsidR="009563F2" w:rsidRPr="00653BF6">
        <w:rPr>
          <w:color w:val="000000"/>
          <w:szCs w:val="22"/>
          <w:lang w:val="fr-FR"/>
        </w:rPr>
        <w:t>sont</w:t>
      </w:r>
      <w:r w:rsidRPr="00653BF6">
        <w:rPr>
          <w:color w:val="000000"/>
          <w:szCs w:val="22"/>
          <w:lang w:val="fr-FR"/>
        </w:rPr>
        <w:t xml:space="preserve"> disponible</w:t>
      </w:r>
      <w:r w:rsidR="009563F2" w:rsidRPr="00653BF6">
        <w:rPr>
          <w:color w:val="000000"/>
          <w:szCs w:val="22"/>
          <w:lang w:val="fr-FR"/>
        </w:rPr>
        <w:t>s</w:t>
      </w:r>
      <w:r w:rsidRPr="00653BF6">
        <w:rPr>
          <w:color w:val="000000"/>
          <w:szCs w:val="22"/>
          <w:lang w:val="fr-FR"/>
        </w:rPr>
        <w:t>.</w:t>
      </w:r>
    </w:p>
    <w:p w14:paraId="7D0F295A" w14:textId="77777777" w:rsidR="007D642D" w:rsidRPr="00653BF6" w:rsidRDefault="007D642D" w:rsidP="007F23EE">
      <w:pPr>
        <w:pStyle w:val="EndnoteText"/>
        <w:tabs>
          <w:tab w:val="clear" w:pos="567"/>
        </w:tabs>
        <w:rPr>
          <w:color w:val="000000"/>
          <w:szCs w:val="22"/>
          <w:lang w:val="fr-FR"/>
        </w:rPr>
      </w:pPr>
    </w:p>
    <w:p w14:paraId="49B26425" w14:textId="00C59E66" w:rsidR="007D642D" w:rsidRPr="00653BF6" w:rsidRDefault="007D642D" w:rsidP="007F23EE">
      <w:pPr>
        <w:pStyle w:val="EndnoteText"/>
        <w:tabs>
          <w:tab w:val="clear" w:pos="567"/>
        </w:tabs>
        <w:rPr>
          <w:color w:val="000000"/>
          <w:szCs w:val="22"/>
          <w:lang w:val="fr-FR"/>
        </w:rPr>
      </w:pPr>
      <w:r w:rsidRPr="00653BF6">
        <w:rPr>
          <w:color w:val="000000"/>
          <w:szCs w:val="22"/>
          <w:lang w:val="fr-FR"/>
        </w:rPr>
        <w:t>La dose prescrite doit être administrée par voie orale avec un grand verre d</w:t>
      </w:r>
      <w:r w:rsidR="00813A7A">
        <w:rPr>
          <w:color w:val="000000"/>
          <w:szCs w:val="22"/>
          <w:lang w:val="fr-FR"/>
        </w:rPr>
        <w:t>’</w:t>
      </w:r>
      <w:r w:rsidRPr="00653BF6">
        <w:rPr>
          <w:color w:val="000000"/>
          <w:szCs w:val="22"/>
          <w:lang w:val="fr-FR"/>
        </w:rPr>
        <w:t>eau, au cours d</w:t>
      </w:r>
      <w:r w:rsidR="00813A7A">
        <w:rPr>
          <w:color w:val="000000"/>
          <w:szCs w:val="22"/>
          <w:lang w:val="fr-FR"/>
        </w:rPr>
        <w:t>’</w:t>
      </w:r>
      <w:r w:rsidRPr="00653BF6">
        <w:rPr>
          <w:color w:val="000000"/>
          <w:szCs w:val="22"/>
          <w:lang w:val="fr-FR"/>
        </w:rPr>
        <w:t>un repas pour réduire le risque d’irritations gastrointestinales. Les doses de 400 mg ou 600 mg devront être administrées en une prise par jour, tandis que la dose journalière de 800 mg devra être répartie en deux prises de 400 mg par jour, matin et soir.</w:t>
      </w:r>
    </w:p>
    <w:p w14:paraId="5BB8C26C" w14:textId="77777777" w:rsidR="007D642D" w:rsidRPr="00653BF6" w:rsidRDefault="007D642D" w:rsidP="007F23EE">
      <w:pPr>
        <w:pStyle w:val="EndnoteText"/>
        <w:tabs>
          <w:tab w:val="clear" w:pos="567"/>
        </w:tabs>
        <w:rPr>
          <w:color w:val="000000"/>
          <w:szCs w:val="22"/>
          <w:lang w:val="fr-FR"/>
        </w:rPr>
      </w:pPr>
    </w:p>
    <w:p w14:paraId="5A07810D" w14:textId="46F1CD5C" w:rsidR="007D642D" w:rsidRPr="00653BF6" w:rsidRDefault="007D642D" w:rsidP="007F23EE">
      <w:pPr>
        <w:pStyle w:val="EndnoteText"/>
        <w:tabs>
          <w:tab w:val="clear" w:pos="567"/>
        </w:tabs>
        <w:rPr>
          <w:color w:val="000000"/>
          <w:szCs w:val="22"/>
          <w:lang w:val="fr-FR"/>
        </w:rPr>
      </w:pPr>
      <w:r w:rsidRPr="00653BF6">
        <w:rPr>
          <w:color w:val="000000"/>
          <w:szCs w:val="22"/>
          <w:lang w:val="fr-FR"/>
        </w:rPr>
        <w:t>Pour les patients incapables d</w:t>
      </w:r>
      <w:r w:rsidR="00813A7A">
        <w:rPr>
          <w:color w:val="000000"/>
          <w:szCs w:val="22"/>
          <w:lang w:val="fr-FR"/>
        </w:rPr>
        <w:t>’</w:t>
      </w:r>
      <w:r w:rsidRPr="00653BF6">
        <w:rPr>
          <w:color w:val="000000"/>
          <w:szCs w:val="22"/>
          <w:lang w:val="fr-FR"/>
        </w:rPr>
        <w:t>avaler les comprimés pelliculés, il est possible de disperser ces comprimés dans un verre d</w:t>
      </w:r>
      <w:r w:rsidR="00813A7A">
        <w:rPr>
          <w:color w:val="000000"/>
          <w:szCs w:val="22"/>
          <w:lang w:val="fr-FR"/>
        </w:rPr>
        <w:t>’</w:t>
      </w:r>
      <w:r w:rsidRPr="00653BF6">
        <w:rPr>
          <w:color w:val="000000"/>
          <w:szCs w:val="22"/>
          <w:lang w:val="fr-FR"/>
        </w:rPr>
        <w:t xml:space="preserve">eau </w:t>
      </w:r>
      <w:r w:rsidR="00121B2A" w:rsidRPr="00653BF6">
        <w:rPr>
          <w:color w:val="000000"/>
          <w:szCs w:val="22"/>
          <w:lang w:val="fr-FR"/>
        </w:rPr>
        <w:t xml:space="preserve">plate </w:t>
      </w:r>
      <w:r w:rsidRPr="00653BF6">
        <w:rPr>
          <w:color w:val="000000"/>
          <w:szCs w:val="22"/>
          <w:lang w:val="fr-FR"/>
        </w:rPr>
        <w:t>ou de jus de pomme. Le nombre de comprimés requis devra être placé dans un volume de boisson approprié (approximativement 50 m</w:t>
      </w:r>
      <w:ins w:id="5" w:author="Author">
        <w:r w:rsidR="000C3CCF" w:rsidRPr="00653BF6">
          <w:rPr>
            <w:color w:val="000000"/>
            <w:szCs w:val="22"/>
            <w:lang w:val="fr-FR"/>
          </w:rPr>
          <w:t>L</w:t>
        </w:r>
      </w:ins>
      <w:del w:id="6" w:author="Author">
        <w:r w:rsidRPr="00653BF6" w:rsidDel="000C3CCF">
          <w:rPr>
            <w:color w:val="000000"/>
            <w:szCs w:val="22"/>
            <w:lang w:val="fr-FR"/>
          </w:rPr>
          <w:delText>l</w:delText>
        </w:r>
      </w:del>
      <w:r w:rsidRPr="00653BF6">
        <w:rPr>
          <w:color w:val="000000"/>
          <w:szCs w:val="22"/>
          <w:lang w:val="fr-FR"/>
        </w:rPr>
        <w:t xml:space="preserve"> pour un comprimé à 100 mg et 200 m</w:t>
      </w:r>
      <w:ins w:id="7" w:author="Author">
        <w:r w:rsidR="000C3CCF" w:rsidRPr="00653BF6">
          <w:rPr>
            <w:color w:val="000000"/>
            <w:szCs w:val="22"/>
            <w:lang w:val="fr-FR"/>
          </w:rPr>
          <w:t>L</w:t>
        </w:r>
      </w:ins>
      <w:del w:id="8" w:author="Author">
        <w:r w:rsidRPr="00653BF6" w:rsidDel="000C3CCF">
          <w:rPr>
            <w:color w:val="000000"/>
            <w:szCs w:val="22"/>
            <w:lang w:val="fr-FR"/>
          </w:rPr>
          <w:delText>l</w:delText>
        </w:r>
      </w:del>
      <w:r w:rsidRPr="00653BF6">
        <w:rPr>
          <w:color w:val="000000"/>
          <w:szCs w:val="22"/>
          <w:lang w:val="fr-FR"/>
        </w:rPr>
        <w:t xml:space="preserve"> pour un comprimé à 400 mg) et être remué avec une cuillère. La suspension devra être administrée immédiatement après désagrégation complète du (des) comprimé(s).</w:t>
      </w:r>
    </w:p>
    <w:p w14:paraId="6CEEA510" w14:textId="77777777" w:rsidR="007D642D" w:rsidRPr="00653BF6" w:rsidRDefault="007D642D" w:rsidP="007F23EE">
      <w:pPr>
        <w:pStyle w:val="EndnoteText"/>
        <w:tabs>
          <w:tab w:val="clear" w:pos="567"/>
        </w:tabs>
        <w:rPr>
          <w:color w:val="000000"/>
          <w:szCs w:val="22"/>
          <w:lang w:val="fr-FR"/>
        </w:rPr>
      </w:pPr>
    </w:p>
    <w:p w14:paraId="1A3F52BF" w14:textId="41B95CE4" w:rsidR="007D642D" w:rsidRPr="00653BF6" w:rsidRDefault="007D642D" w:rsidP="007F23EE">
      <w:pPr>
        <w:pStyle w:val="EndnoteText"/>
        <w:keepNext/>
        <w:tabs>
          <w:tab w:val="clear" w:pos="567"/>
        </w:tabs>
        <w:rPr>
          <w:color w:val="000000"/>
          <w:szCs w:val="22"/>
          <w:u w:val="single"/>
          <w:lang w:val="fr-FR"/>
        </w:rPr>
      </w:pPr>
      <w:r w:rsidRPr="00653BF6">
        <w:rPr>
          <w:color w:val="000000"/>
          <w:szCs w:val="22"/>
          <w:u w:val="single"/>
          <w:lang w:val="fr-FR"/>
        </w:rPr>
        <w:t>Posologie dans la LMC chez l’adulte</w:t>
      </w:r>
    </w:p>
    <w:p w14:paraId="7F2D69B2" w14:textId="77777777" w:rsidR="005159EA" w:rsidRPr="00653BF6" w:rsidRDefault="005159EA" w:rsidP="007F23EE">
      <w:pPr>
        <w:pStyle w:val="EndnoteText"/>
        <w:keepNext/>
        <w:tabs>
          <w:tab w:val="clear" w:pos="567"/>
        </w:tabs>
        <w:rPr>
          <w:color w:val="000000"/>
          <w:szCs w:val="22"/>
          <w:u w:val="single"/>
          <w:lang w:val="fr-FR"/>
        </w:rPr>
      </w:pPr>
    </w:p>
    <w:p w14:paraId="0A562DA6" w14:textId="69767F6F" w:rsidR="007D642D" w:rsidRPr="00653BF6" w:rsidRDefault="007D642D" w:rsidP="007F23EE">
      <w:pPr>
        <w:pStyle w:val="EndnoteText"/>
        <w:tabs>
          <w:tab w:val="clear" w:pos="567"/>
        </w:tabs>
        <w:rPr>
          <w:color w:val="000000"/>
          <w:szCs w:val="22"/>
          <w:lang w:val="fr-FR"/>
        </w:rPr>
      </w:pPr>
      <w:r w:rsidRPr="00653BF6">
        <w:rPr>
          <w:color w:val="000000"/>
          <w:szCs w:val="22"/>
          <w:lang w:val="fr-FR"/>
        </w:rPr>
        <w:t>Patients adultes en phase chronique de LMC : la posologie recommandée est de 400 mg/j. La phase chronique est définie par l’ensemble des critères suivants : blastes &lt; 15% dans le sang et la moelle osseuse, basophiles dans le sang &lt; 20%, plaquettes &gt; 100 x 10</w:t>
      </w:r>
      <w:r w:rsidRPr="00653BF6">
        <w:rPr>
          <w:color w:val="000000"/>
          <w:szCs w:val="22"/>
          <w:vertAlign w:val="superscript"/>
          <w:lang w:val="fr-FR"/>
        </w:rPr>
        <w:t>9</w:t>
      </w:r>
      <w:r w:rsidRPr="00653BF6">
        <w:rPr>
          <w:color w:val="000000"/>
          <w:szCs w:val="22"/>
          <w:lang w:val="fr-FR"/>
        </w:rPr>
        <w:t>/</w:t>
      </w:r>
      <w:del w:id="9" w:author="Author">
        <w:r w:rsidRPr="00653BF6" w:rsidDel="00503B83">
          <w:rPr>
            <w:color w:val="000000"/>
            <w:szCs w:val="22"/>
            <w:lang w:val="fr-FR"/>
          </w:rPr>
          <w:delText>l</w:delText>
        </w:r>
      </w:del>
      <w:ins w:id="10" w:author="Author">
        <w:r w:rsidR="00503B83" w:rsidRPr="00653BF6">
          <w:rPr>
            <w:color w:val="000000"/>
            <w:szCs w:val="22"/>
            <w:lang w:val="fr-FR"/>
          </w:rPr>
          <w:t>L</w:t>
        </w:r>
      </w:ins>
      <w:r w:rsidRPr="00653BF6">
        <w:rPr>
          <w:color w:val="000000"/>
          <w:szCs w:val="22"/>
          <w:lang w:val="fr-FR"/>
        </w:rPr>
        <w:t>.</w:t>
      </w:r>
    </w:p>
    <w:p w14:paraId="2721FEFD" w14:textId="77777777" w:rsidR="007D642D" w:rsidRPr="00653BF6" w:rsidRDefault="007D642D" w:rsidP="007F23EE">
      <w:pPr>
        <w:pStyle w:val="EndnoteText"/>
        <w:tabs>
          <w:tab w:val="clear" w:pos="567"/>
        </w:tabs>
        <w:rPr>
          <w:color w:val="000000"/>
          <w:szCs w:val="22"/>
          <w:lang w:val="fr-FR"/>
        </w:rPr>
      </w:pPr>
    </w:p>
    <w:p w14:paraId="5E4006E6" w14:textId="7DDBE430" w:rsidR="007D642D" w:rsidRPr="00653BF6" w:rsidRDefault="007D642D" w:rsidP="007F23EE">
      <w:pPr>
        <w:pStyle w:val="EndnoteText"/>
        <w:tabs>
          <w:tab w:val="clear" w:pos="567"/>
        </w:tabs>
        <w:rPr>
          <w:color w:val="000000"/>
          <w:szCs w:val="22"/>
          <w:lang w:val="fr-FR"/>
        </w:rPr>
      </w:pPr>
      <w:r w:rsidRPr="00653BF6">
        <w:rPr>
          <w:color w:val="000000"/>
          <w:szCs w:val="22"/>
          <w:lang w:val="fr-FR"/>
        </w:rPr>
        <w:t xml:space="preserve">Patients adultes en phase accélérée : la posologie recommandée est de 600 mg/j. La phase accélérée est définie par la présence d’un des critères suivants : blastes </w:t>
      </w:r>
      <w:r w:rsidRPr="00653BF6">
        <w:rPr>
          <w:color w:val="000000"/>
          <w:szCs w:val="22"/>
          <w:lang w:val="fr-FR"/>
        </w:rPr>
        <w:sym w:font="Symbol" w:char="F0B3"/>
      </w:r>
      <w:r w:rsidRPr="00653BF6">
        <w:rPr>
          <w:color w:val="000000"/>
          <w:szCs w:val="22"/>
          <w:lang w:val="fr-FR"/>
        </w:rPr>
        <w:t> 15% mais &lt; 30% dans le sang ou la m</w:t>
      </w:r>
      <w:r w:rsidR="003A71E7" w:rsidRPr="00653BF6">
        <w:rPr>
          <w:color w:val="000000"/>
          <w:szCs w:val="22"/>
          <w:lang w:val="fr-FR"/>
        </w:rPr>
        <w:t>oe</w:t>
      </w:r>
      <w:r w:rsidRPr="00653BF6">
        <w:rPr>
          <w:color w:val="000000"/>
          <w:szCs w:val="22"/>
          <w:lang w:val="fr-FR"/>
        </w:rPr>
        <w:t xml:space="preserve">lle osseuse, blastes plus promyélocytes </w:t>
      </w:r>
      <w:r w:rsidRPr="00653BF6">
        <w:rPr>
          <w:color w:val="000000"/>
          <w:szCs w:val="22"/>
          <w:lang w:val="fr-FR"/>
        </w:rPr>
        <w:sym w:font="Symbol" w:char="F0B3"/>
      </w:r>
      <w:r w:rsidRPr="00653BF6">
        <w:rPr>
          <w:color w:val="000000"/>
          <w:szCs w:val="22"/>
          <w:lang w:val="fr-FR"/>
        </w:rPr>
        <w:t xml:space="preserve"> 30% dans le sang ou la moelle osseuse (à condition que blastes &lt; 30%), basophiles dans le sang </w:t>
      </w:r>
      <w:r w:rsidRPr="00653BF6">
        <w:rPr>
          <w:color w:val="000000"/>
          <w:szCs w:val="22"/>
          <w:lang w:val="fr-FR"/>
        </w:rPr>
        <w:sym w:font="Symbol" w:char="F0B3"/>
      </w:r>
      <w:r w:rsidRPr="00653BF6">
        <w:rPr>
          <w:color w:val="000000"/>
          <w:szCs w:val="22"/>
          <w:lang w:val="fr-FR"/>
        </w:rPr>
        <w:t> 20%, plaquettes &lt; 100 x 10</w:t>
      </w:r>
      <w:r w:rsidRPr="00653BF6">
        <w:rPr>
          <w:color w:val="000000"/>
          <w:szCs w:val="22"/>
          <w:vertAlign w:val="superscript"/>
          <w:lang w:val="fr-FR"/>
        </w:rPr>
        <w:t>9</w:t>
      </w:r>
      <w:r w:rsidRPr="00653BF6">
        <w:rPr>
          <w:color w:val="000000"/>
          <w:szCs w:val="22"/>
          <w:lang w:val="fr-FR"/>
        </w:rPr>
        <w:t>/</w:t>
      </w:r>
      <w:ins w:id="11" w:author="Author">
        <w:r w:rsidR="00503B83" w:rsidRPr="00653BF6">
          <w:rPr>
            <w:color w:val="000000"/>
            <w:szCs w:val="22"/>
            <w:lang w:val="fr-FR"/>
          </w:rPr>
          <w:t>L</w:t>
        </w:r>
      </w:ins>
      <w:del w:id="12" w:author="Author">
        <w:r w:rsidRPr="00653BF6" w:rsidDel="00503B83">
          <w:rPr>
            <w:color w:val="000000"/>
            <w:szCs w:val="22"/>
            <w:lang w:val="fr-FR"/>
          </w:rPr>
          <w:delText>l</w:delText>
        </w:r>
      </w:del>
      <w:r w:rsidRPr="00653BF6">
        <w:rPr>
          <w:color w:val="000000"/>
          <w:szCs w:val="22"/>
          <w:lang w:val="fr-FR"/>
        </w:rPr>
        <w:t xml:space="preserve"> indépendamment du traitement.</w:t>
      </w:r>
    </w:p>
    <w:p w14:paraId="5955A156" w14:textId="77777777" w:rsidR="007D642D" w:rsidRPr="00653BF6" w:rsidRDefault="007D642D" w:rsidP="007F23EE">
      <w:pPr>
        <w:pStyle w:val="EndnoteText"/>
        <w:tabs>
          <w:tab w:val="clear" w:pos="567"/>
        </w:tabs>
        <w:rPr>
          <w:color w:val="000000"/>
          <w:szCs w:val="22"/>
          <w:lang w:val="fr-FR"/>
        </w:rPr>
      </w:pPr>
    </w:p>
    <w:p w14:paraId="451B3CC7"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t xml:space="preserve">Patients adultes en crise blastique : la posologie recommandée est de 600 mg/j. La crise blastique est définie par la présence de blastes </w:t>
      </w:r>
      <w:r w:rsidRPr="00653BF6">
        <w:rPr>
          <w:color w:val="000000"/>
          <w:szCs w:val="22"/>
          <w:lang w:val="fr-FR"/>
        </w:rPr>
        <w:sym w:font="Symbol" w:char="F0B3"/>
      </w:r>
      <w:r w:rsidRPr="00653BF6">
        <w:rPr>
          <w:color w:val="000000"/>
          <w:szCs w:val="22"/>
          <w:lang w:val="fr-FR"/>
        </w:rPr>
        <w:t xml:space="preserve"> 30% dans le sang ou la moelle osseuse ou un envahissement </w:t>
      </w:r>
      <w:proofErr w:type="spellStart"/>
      <w:r w:rsidRPr="00653BF6">
        <w:rPr>
          <w:color w:val="000000"/>
          <w:szCs w:val="22"/>
          <w:lang w:val="fr-FR"/>
        </w:rPr>
        <w:t>extramédullaire</w:t>
      </w:r>
      <w:proofErr w:type="spellEnd"/>
      <w:r w:rsidRPr="00653BF6">
        <w:rPr>
          <w:color w:val="000000"/>
          <w:szCs w:val="22"/>
          <w:lang w:val="fr-FR"/>
        </w:rPr>
        <w:t xml:space="preserve"> autre qu’une hépatosplénomégalie.</w:t>
      </w:r>
    </w:p>
    <w:p w14:paraId="40F784A5" w14:textId="77777777" w:rsidR="007D642D" w:rsidRPr="00653BF6" w:rsidRDefault="007D642D" w:rsidP="007F23EE">
      <w:pPr>
        <w:pStyle w:val="EndnoteText"/>
        <w:tabs>
          <w:tab w:val="clear" w:pos="567"/>
        </w:tabs>
        <w:rPr>
          <w:color w:val="000000"/>
          <w:szCs w:val="22"/>
          <w:lang w:val="fr-FR"/>
        </w:rPr>
      </w:pPr>
    </w:p>
    <w:p w14:paraId="72A88C6C"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lastRenderedPageBreak/>
        <w:t>Durée du traitement : dans les études cliniques, le traitement est poursuivi jusqu’à progression de la maladie. L’effet de l’arrêt du traitement après l’obtention d’une réponse cytogénétique complète n’a pas été étudié.</w:t>
      </w:r>
    </w:p>
    <w:p w14:paraId="47200D4F" w14:textId="77777777" w:rsidR="007D642D" w:rsidRPr="00653BF6" w:rsidRDefault="007D642D" w:rsidP="007F23EE">
      <w:pPr>
        <w:pStyle w:val="EndnoteText"/>
        <w:tabs>
          <w:tab w:val="clear" w:pos="567"/>
        </w:tabs>
        <w:rPr>
          <w:color w:val="000000"/>
          <w:szCs w:val="22"/>
          <w:lang w:val="fr-FR"/>
        </w:rPr>
      </w:pPr>
    </w:p>
    <w:p w14:paraId="33AB7621" w14:textId="36F61720" w:rsidR="007D642D" w:rsidRPr="00653BF6" w:rsidRDefault="007D642D" w:rsidP="007F23EE">
      <w:pPr>
        <w:pStyle w:val="EndnoteText"/>
        <w:tabs>
          <w:tab w:val="clear" w:pos="567"/>
        </w:tabs>
        <w:rPr>
          <w:color w:val="000000"/>
          <w:szCs w:val="22"/>
          <w:lang w:val="fr-FR"/>
        </w:rPr>
      </w:pPr>
      <w:r w:rsidRPr="00653BF6">
        <w:rPr>
          <w:color w:val="000000"/>
          <w:szCs w:val="22"/>
          <w:lang w:val="fr-FR"/>
        </w:rPr>
        <w:t>En l’absence d</w:t>
      </w:r>
      <w:r w:rsidR="00813A7A">
        <w:rPr>
          <w:color w:val="000000"/>
          <w:szCs w:val="22"/>
          <w:lang w:val="fr-FR"/>
        </w:rPr>
        <w:t>’</w:t>
      </w:r>
      <w:r w:rsidRPr="00653BF6">
        <w:rPr>
          <w:color w:val="000000"/>
          <w:szCs w:val="22"/>
          <w:lang w:val="fr-FR"/>
        </w:rPr>
        <w:t>effets indésirables sévères et de neutropénie ou de thrombopénie sévères non imputables à la leucémie, une augmentation de la dose peut être envisagée, de 400 mg à 600 mg ou 800 mg, chez les patients en phase chronique, ou de 600 mg à un maximum de 800 mg (en deux prises de 400 mg par jour) chez les patients en phase accélérée ou en crise blastique, dans les circonstances suivantes : évolution de la maladie (à tout moment), absence de réponse hématologique satisfaisante après un minimum de 3 mois de traitement, absence de réponse cytogénétique après 12 mois de traitement, ou perte de la réponse hématologique et/ou cytogénétique obtenue auparavant. Les patients devront être surveillés étroitement après augmentation de la dose étant donnée la possibilité d’une incidence accrue des effets indésirables à plus fortes doses.</w:t>
      </w:r>
    </w:p>
    <w:p w14:paraId="53DF8F14" w14:textId="77777777" w:rsidR="007D642D" w:rsidRPr="00653BF6" w:rsidRDefault="007D642D" w:rsidP="007F23EE">
      <w:pPr>
        <w:pStyle w:val="EndnoteText"/>
        <w:tabs>
          <w:tab w:val="clear" w:pos="567"/>
        </w:tabs>
        <w:rPr>
          <w:color w:val="000000"/>
          <w:szCs w:val="22"/>
          <w:lang w:val="fr-FR"/>
        </w:rPr>
      </w:pPr>
    </w:p>
    <w:p w14:paraId="4280C9DB" w14:textId="0C3CCDD3" w:rsidR="007D642D" w:rsidRPr="00653BF6" w:rsidRDefault="007D642D" w:rsidP="007F23EE">
      <w:pPr>
        <w:pStyle w:val="EndnoteText"/>
        <w:keepNext/>
        <w:tabs>
          <w:tab w:val="clear" w:pos="567"/>
        </w:tabs>
        <w:rPr>
          <w:color w:val="000000"/>
          <w:szCs w:val="22"/>
          <w:u w:val="single"/>
          <w:lang w:val="fr-FR"/>
        </w:rPr>
      </w:pPr>
      <w:r w:rsidRPr="00653BF6">
        <w:rPr>
          <w:color w:val="000000"/>
          <w:szCs w:val="22"/>
          <w:u w:val="single"/>
          <w:lang w:val="fr-FR"/>
        </w:rPr>
        <w:t>Posologie dans la LMC chez l’enfant</w:t>
      </w:r>
    </w:p>
    <w:p w14:paraId="13B0CA62" w14:textId="77777777" w:rsidR="005159EA" w:rsidRPr="00653BF6" w:rsidRDefault="005159EA" w:rsidP="007F23EE">
      <w:pPr>
        <w:pStyle w:val="EndnoteText"/>
        <w:keepNext/>
        <w:tabs>
          <w:tab w:val="clear" w:pos="567"/>
        </w:tabs>
        <w:rPr>
          <w:color w:val="000000"/>
          <w:szCs w:val="22"/>
          <w:u w:val="single"/>
          <w:lang w:val="fr-FR"/>
        </w:rPr>
      </w:pPr>
    </w:p>
    <w:p w14:paraId="61CCBD5C" w14:textId="7A8285E9" w:rsidR="007D642D" w:rsidRPr="00653BF6" w:rsidRDefault="007D642D" w:rsidP="007F23EE">
      <w:pPr>
        <w:pStyle w:val="EndnoteText"/>
        <w:tabs>
          <w:tab w:val="clear" w:pos="567"/>
        </w:tabs>
        <w:rPr>
          <w:color w:val="000000"/>
          <w:szCs w:val="22"/>
          <w:lang w:val="fr-FR"/>
        </w:rPr>
      </w:pPr>
      <w:r w:rsidRPr="00653BF6">
        <w:rPr>
          <w:color w:val="000000"/>
          <w:szCs w:val="22"/>
          <w:lang w:val="fr-FR"/>
        </w:rPr>
        <w:t>Chez l</w:t>
      </w:r>
      <w:r w:rsidR="00813A7A">
        <w:rPr>
          <w:color w:val="000000"/>
          <w:szCs w:val="22"/>
          <w:lang w:val="fr-FR"/>
        </w:rPr>
        <w:t>’</w:t>
      </w:r>
      <w:r w:rsidRPr="00653BF6">
        <w:rPr>
          <w:color w:val="000000"/>
          <w:szCs w:val="22"/>
          <w:lang w:val="fr-FR"/>
        </w:rPr>
        <w:t>enfant, la posologie devra être établie en fonction de la surface corporelle (mg/m</w:t>
      </w:r>
      <w:r w:rsidRPr="00653BF6">
        <w:rPr>
          <w:color w:val="000000"/>
          <w:szCs w:val="22"/>
          <w:vertAlign w:val="superscript"/>
          <w:lang w:val="fr-FR"/>
        </w:rPr>
        <w:t>2</w:t>
      </w:r>
      <w:r w:rsidRPr="00653BF6">
        <w:rPr>
          <w:color w:val="000000"/>
          <w:szCs w:val="22"/>
          <w:lang w:val="fr-FR"/>
        </w:rPr>
        <w:t>). La dose journalière recommandée chez l</w:t>
      </w:r>
      <w:r w:rsidR="00813A7A">
        <w:rPr>
          <w:color w:val="000000"/>
          <w:szCs w:val="22"/>
          <w:lang w:val="fr-FR"/>
        </w:rPr>
        <w:t>’</w:t>
      </w:r>
      <w:r w:rsidRPr="00653BF6">
        <w:rPr>
          <w:color w:val="000000"/>
          <w:szCs w:val="22"/>
          <w:lang w:val="fr-FR"/>
        </w:rPr>
        <w:t>enfant est de 340 mg/m</w:t>
      </w:r>
      <w:r w:rsidRPr="00653BF6">
        <w:rPr>
          <w:color w:val="000000"/>
          <w:szCs w:val="22"/>
          <w:vertAlign w:val="superscript"/>
          <w:lang w:val="fr-FR"/>
        </w:rPr>
        <w:t>2</w:t>
      </w:r>
      <w:r w:rsidRPr="00653BF6">
        <w:rPr>
          <w:color w:val="000000"/>
          <w:szCs w:val="22"/>
          <w:lang w:val="fr-FR"/>
        </w:rPr>
        <w:t xml:space="preserve"> dans la LMC en phase chronique et dans la LMC en phase avancée (ne doit pas dépasser une dose totale de 800 mg). Le traitement peut être administré en une prise quotidienne ou bien être divisé en deux prises (une le matin et une le soir). Ces recommandations posologiques reposent actuellement sur un faible nombre d’enfants (voir rubriques</w:t>
      </w:r>
      <w:r w:rsidR="002F003A" w:rsidRPr="00653BF6">
        <w:rPr>
          <w:color w:val="000000"/>
          <w:szCs w:val="22"/>
          <w:lang w:val="fr-FR"/>
        </w:rPr>
        <w:t> </w:t>
      </w:r>
      <w:r w:rsidRPr="00653BF6">
        <w:rPr>
          <w:color w:val="000000"/>
          <w:szCs w:val="22"/>
          <w:lang w:val="fr-FR"/>
        </w:rPr>
        <w:t>5.1 et 5.2). On ne dispose d</w:t>
      </w:r>
      <w:r w:rsidR="00813A7A">
        <w:rPr>
          <w:color w:val="000000"/>
          <w:szCs w:val="22"/>
          <w:lang w:val="fr-FR"/>
        </w:rPr>
        <w:t>’</w:t>
      </w:r>
      <w:r w:rsidRPr="00653BF6">
        <w:rPr>
          <w:color w:val="000000"/>
          <w:szCs w:val="22"/>
          <w:lang w:val="fr-FR"/>
        </w:rPr>
        <w:t>aucune donnée chez l</w:t>
      </w:r>
      <w:r w:rsidR="00813A7A">
        <w:rPr>
          <w:color w:val="000000"/>
          <w:szCs w:val="22"/>
          <w:lang w:val="fr-FR"/>
        </w:rPr>
        <w:t>’</w:t>
      </w:r>
      <w:r w:rsidRPr="00653BF6">
        <w:rPr>
          <w:color w:val="000000"/>
          <w:szCs w:val="22"/>
          <w:lang w:val="fr-FR"/>
        </w:rPr>
        <w:t>enfant de moins de 2 ans.</w:t>
      </w:r>
    </w:p>
    <w:p w14:paraId="0689545B" w14:textId="77777777" w:rsidR="007D642D" w:rsidRPr="00653BF6" w:rsidRDefault="007D642D" w:rsidP="007F23EE">
      <w:pPr>
        <w:pStyle w:val="EndnoteText"/>
        <w:tabs>
          <w:tab w:val="clear" w:pos="567"/>
        </w:tabs>
        <w:rPr>
          <w:color w:val="000000"/>
          <w:szCs w:val="22"/>
          <w:lang w:val="fr-FR"/>
        </w:rPr>
      </w:pPr>
    </w:p>
    <w:p w14:paraId="5D75EA0B"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t>L’augmentation de doses de 340 mg/m</w:t>
      </w:r>
      <w:r w:rsidRPr="00653BF6">
        <w:rPr>
          <w:color w:val="000000"/>
          <w:szCs w:val="22"/>
          <w:vertAlign w:val="superscript"/>
          <w:lang w:val="fr-FR"/>
        </w:rPr>
        <w:t>2</w:t>
      </w:r>
      <w:r w:rsidRPr="00653BF6">
        <w:rPr>
          <w:color w:val="000000"/>
          <w:szCs w:val="22"/>
          <w:lang w:val="fr-FR"/>
        </w:rPr>
        <w:t xml:space="preserve"> jusqu’à 570 mg/m</w:t>
      </w:r>
      <w:r w:rsidRPr="00653BF6">
        <w:rPr>
          <w:color w:val="000000"/>
          <w:szCs w:val="22"/>
          <w:vertAlign w:val="superscript"/>
          <w:lang w:val="fr-FR"/>
        </w:rPr>
        <w:t>2</w:t>
      </w:r>
      <w:r w:rsidRPr="00653BF6">
        <w:rPr>
          <w:color w:val="000000"/>
          <w:szCs w:val="22"/>
          <w:lang w:val="fr-FR"/>
        </w:rPr>
        <w:t xml:space="preserve"> par jour (sans dépasser la dose totale de 800 mg) peut être envisagée chez l’enfant en l’absence d’effets indésirables graves et de neutropénie ou thrombopénie sévères non liées à la leucémie dans les circonstances suivantes : progression de la maladie (à n’importe quel moment) ; absence de réponse hématologique satisfaisante après au moins 3 mois de traitement ; absence de réponse cytogénétique après 12 mois de traitement ; ou perte d’une réponse hématologique et/ou cytogénétique antérieure. Les patients devront être surveillés attentivement au cours des escalades de doses compte tenu du risque accru d’effets indésirables à des doses plus élevées.</w:t>
      </w:r>
    </w:p>
    <w:p w14:paraId="0FA090AD" w14:textId="77777777" w:rsidR="007D642D" w:rsidRPr="00653BF6" w:rsidRDefault="007D642D" w:rsidP="007F23EE">
      <w:pPr>
        <w:pStyle w:val="EndnoteText"/>
        <w:tabs>
          <w:tab w:val="clear" w:pos="567"/>
        </w:tabs>
        <w:rPr>
          <w:color w:val="000000"/>
          <w:szCs w:val="22"/>
          <w:lang w:val="fr-FR"/>
        </w:rPr>
      </w:pPr>
    </w:p>
    <w:p w14:paraId="1DDAE6CF" w14:textId="0050C3F5" w:rsidR="007D642D" w:rsidRPr="00653BF6" w:rsidRDefault="007D642D" w:rsidP="007F23EE">
      <w:pPr>
        <w:pStyle w:val="EndnoteText"/>
        <w:keepNext/>
        <w:tabs>
          <w:tab w:val="clear" w:pos="567"/>
        </w:tabs>
        <w:rPr>
          <w:color w:val="000000"/>
          <w:szCs w:val="22"/>
          <w:u w:val="single"/>
          <w:lang w:val="fr-FR"/>
        </w:rPr>
      </w:pPr>
      <w:r w:rsidRPr="00653BF6">
        <w:rPr>
          <w:color w:val="000000"/>
          <w:szCs w:val="22"/>
          <w:u w:val="single"/>
          <w:lang w:val="fr-FR"/>
        </w:rPr>
        <w:t>Posologie dans les LAL Ph+</w:t>
      </w:r>
      <w:r w:rsidR="0001320F" w:rsidRPr="00653BF6">
        <w:rPr>
          <w:color w:val="000000"/>
          <w:szCs w:val="22"/>
          <w:u w:val="single"/>
          <w:lang w:val="fr-FR"/>
        </w:rPr>
        <w:t xml:space="preserve"> chez l’adulte</w:t>
      </w:r>
    </w:p>
    <w:p w14:paraId="357A43E1" w14:textId="77777777" w:rsidR="005159EA" w:rsidRPr="00653BF6" w:rsidRDefault="005159EA" w:rsidP="007F23EE">
      <w:pPr>
        <w:pStyle w:val="EndnoteText"/>
        <w:keepNext/>
        <w:tabs>
          <w:tab w:val="clear" w:pos="567"/>
        </w:tabs>
        <w:rPr>
          <w:color w:val="000000"/>
          <w:szCs w:val="22"/>
          <w:u w:val="single"/>
          <w:lang w:val="fr-FR"/>
        </w:rPr>
      </w:pPr>
    </w:p>
    <w:p w14:paraId="71D5623F"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t>La posologie recommandée de Glivec est de 600 mg/jour chez les patients adultes atteints de LAL Ph+. Le traitement devrait être supervisé par des hématologues experts dans la prise en charge de cette maladie pour toutes les phases de traitement.</w:t>
      </w:r>
    </w:p>
    <w:p w14:paraId="2226FCEE" w14:textId="77777777" w:rsidR="007D642D" w:rsidRPr="00653BF6" w:rsidRDefault="007D642D" w:rsidP="007F23EE">
      <w:pPr>
        <w:pStyle w:val="EndnoteText"/>
        <w:tabs>
          <w:tab w:val="clear" w:pos="567"/>
        </w:tabs>
        <w:rPr>
          <w:color w:val="000000"/>
          <w:szCs w:val="22"/>
          <w:lang w:val="fr-FR"/>
        </w:rPr>
      </w:pPr>
    </w:p>
    <w:p w14:paraId="4CC1FB9F" w14:textId="29537CA3" w:rsidR="007D642D" w:rsidRPr="00653BF6" w:rsidRDefault="007D642D" w:rsidP="007F23EE">
      <w:pPr>
        <w:pStyle w:val="EndnoteText"/>
        <w:tabs>
          <w:tab w:val="clear" w:pos="567"/>
        </w:tabs>
        <w:rPr>
          <w:color w:val="000000"/>
          <w:szCs w:val="22"/>
          <w:lang w:val="fr-FR"/>
        </w:rPr>
      </w:pPr>
      <w:r w:rsidRPr="00653BF6">
        <w:rPr>
          <w:color w:val="000000"/>
          <w:szCs w:val="22"/>
          <w:lang w:val="fr-FR"/>
        </w:rPr>
        <w:t xml:space="preserve">Schéma thérapeutique : Sur la base des données existantes, Glivec s’est montré efficace et </w:t>
      </w:r>
      <w:r w:rsidR="00D747B9" w:rsidRPr="00653BF6">
        <w:rPr>
          <w:color w:val="000000"/>
          <w:szCs w:val="22"/>
          <w:lang w:val="fr-FR"/>
        </w:rPr>
        <w:t xml:space="preserve">bien toléré </w:t>
      </w:r>
      <w:r w:rsidRPr="00653BF6">
        <w:rPr>
          <w:color w:val="000000"/>
          <w:szCs w:val="22"/>
          <w:lang w:val="fr-FR"/>
        </w:rPr>
        <w:t>lorsqu’il est administré à 600 mg/j en association à une chimiothérapie d’induction, de consolidation et d’entretien utilisée des LAL Ph+ nouvellement diagnostiquées de l’adulte (voir rubrique 5.1). La durée de traitement par Glivec peut varier en fonction du traitement appliqué, mais généralement les traitements prolongés de Glivec ont fourni de meilleurs résultats.</w:t>
      </w:r>
    </w:p>
    <w:p w14:paraId="48DECF57" w14:textId="77777777" w:rsidR="007D642D" w:rsidRPr="00653BF6" w:rsidRDefault="007D642D" w:rsidP="007F23EE">
      <w:pPr>
        <w:pStyle w:val="EndnoteText"/>
        <w:tabs>
          <w:tab w:val="clear" w:pos="567"/>
        </w:tabs>
        <w:rPr>
          <w:color w:val="000000"/>
          <w:szCs w:val="22"/>
          <w:lang w:val="fr-FR"/>
        </w:rPr>
      </w:pPr>
    </w:p>
    <w:p w14:paraId="26C50882"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t>Chez les patients adultes atteints de LAL Ph+ en rechute ou réfractaire, une monothérapie par Glivec à la dose de 600 mg/j est sure, efficace et peut être poursuivie jusqu’à la progression de la maladie.</w:t>
      </w:r>
    </w:p>
    <w:p w14:paraId="6FE43D23" w14:textId="77777777" w:rsidR="007D642D" w:rsidRPr="00653BF6" w:rsidRDefault="007D642D" w:rsidP="007F23EE">
      <w:pPr>
        <w:pStyle w:val="EndnoteText"/>
        <w:tabs>
          <w:tab w:val="clear" w:pos="567"/>
        </w:tabs>
        <w:rPr>
          <w:color w:val="000000"/>
          <w:szCs w:val="22"/>
          <w:lang w:val="fr-FR"/>
        </w:rPr>
      </w:pPr>
    </w:p>
    <w:p w14:paraId="220A66B8" w14:textId="2E8AD938" w:rsidR="0001320F" w:rsidRPr="00653BF6" w:rsidRDefault="0001320F" w:rsidP="007F23EE">
      <w:pPr>
        <w:pStyle w:val="EndnoteText"/>
        <w:keepNext/>
        <w:tabs>
          <w:tab w:val="clear" w:pos="567"/>
        </w:tabs>
        <w:rPr>
          <w:color w:val="000000"/>
          <w:szCs w:val="22"/>
          <w:u w:val="single"/>
          <w:lang w:val="fr-FR"/>
        </w:rPr>
      </w:pPr>
      <w:r w:rsidRPr="00653BF6">
        <w:rPr>
          <w:color w:val="000000"/>
          <w:szCs w:val="22"/>
          <w:u w:val="single"/>
          <w:lang w:val="fr-FR"/>
        </w:rPr>
        <w:t>Posologie dans les LAL Ph+ chez l’enfant</w:t>
      </w:r>
    </w:p>
    <w:p w14:paraId="1FBC1056" w14:textId="77777777" w:rsidR="005159EA" w:rsidRPr="00653BF6" w:rsidRDefault="005159EA" w:rsidP="007F23EE">
      <w:pPr>
        <w:pStyle w:val="EndnoteText"/>
        <w:keepNext/>
        <w:tabs>
          <w:tab w:val="clear" w:pos="567"/>
        </w:tabs>
        <w:rPr>
          <w:color w:val="000000"/>
          <w:szCs w:val="22"/>
          <w:u w:val="single"/>
          <w:lang w:val="fr-FR"/>
        </w:rPr>
      </w:pPr>
    </w:p>
    <w:p w14:paraId="04137631" w14:textId="77777777" w:rsidR="0001320F" w:rsidRPr="00653BF6" w:rsidRDefault="0001320F" w:rsidP="007F23EE">
      <w:pPr>
        <w:pStyle w:val="EndnoteText"/>
        <w:tabs>
          <w:tab w:val="clear" w:pos="567"/>
        </w:tabs>
        <w:rPr>
          <w:color w:val="000000"/>
          <w:szCs w:val="22"/>
          <w:lang w:val="fr-FR"/>
        </w:rPr>
      </w:pPr>
      <w:r w:rsidRPr="00653BF6">
        <w:rPr>
          <w:color w:val="000000"/>
          <w:szCs w:val="22"/>
          <w:lang w:val="fr-FR"/>
        </w:rPr>
        <w:t>Chez l’enfant, la posologie devra être établie en fonction de la surface corporelle (mg/m</w:t>
      </w:r>
      <w:r w:rsidRPr="00653BF6">
        <w:rPr>
          <w:color w:val="000000"/>
          <w:szCs w:val="22"/>
          <w:vertAlign w:val="superscript"/>
          <w:lang w:val="fr-FR"/>
        </w:rPr>
        <w:t>2</w:t>
      </w:r>
      <w:r w:rsidRPr="00653BF6">
        <w:rPr>
          <w:color w:val="000000"/>
          <w:szCs w:val="22"/>
          <w:lang w:val="fr-FR"/>
        </w:rPr>
        <w:t>). Dans les LAL Ph+, la dose journalière recommandée chez l’enfant est de 340 mg/m</w:t>
      </w:r>
      <w:r w:rsidRPr="00653BF6">
        <w:rPr>
          <w:color w:val="000000"/>
          <w:szCs w:val="22"/>
          <w:vertAlign w:val="superscript"/>
          <w:lang w:val="fr-FR"/>
        </w:rPr>
        <w:t>2</w:t>
      </w:r>
      <w:r w:rsidRPr="00653BF6">
        <w:rPr>
          <w:color w:val="000000"/>
          <w:szCs w:val="22"/>
          <w:lang w:val="fr-FR"/>
        </w:rPr>
        <w:t xml:space="preserve"> (sans dépasser une dose totale de 600 mg).</w:t>
      </w:r>
    </w:p>
    <w:p w14:paraId="79A9E501" w14:textId="77777777" w:rsidR="0001320F" w:rsidRPr="00653BF6" w:rsidRDefault="0001320F" w:rsidP="007F23EE">
      <w:pPr>
        <w:pStyle w:val="EndnoteText"/>
        <w:tabs>
          <w:tab w:val="clear" w:pos="567"/>
        </w:tabs>
        <w:rPr>
          <w:color w:val="000000"/>
          <w:szCs w:val="22"/>
          <w:lang w:val="fr-FR"/>
        </w:rPr>
      </w:pPr>
    </w:p>
    <w:p w14:paraId="05C341D7" w14:textId="0CCB88AA" w:rsidR="007D642D" w:rsidRPr="00653BF6" w:rsidRDefault="007D642D" w:rsidP="007F23EE">
      <w:pPr>
        <w:pStyle w:val="EndnoteText"/>
        <w:keepNext/>
        <w:tabs>
          <w:tab w:val="clear" w:pos="567"/>
        </w:tabs>
        <w:rPr>
          <w:color w:val="000000"/>
          <w:szCs w:val="22"/>
          <w:u w:val="single"/>
          <w:lang w:val="fr-FR"/>
        </w:rPr>
      </w:pPr>
      <w:r w:rsidRPr="00653BF6">
        <w:rPr>
          <w:color w:val="000000"/>
          <w:szCs w:val="22"/>
          <w:u w:val="single"/>
          <w:lang w:val="fr-FR"/>
        </w:rPr>
        <w:t xml:space="preserve">Posologie dans les </w:t>
      </w:r>
      <w:smartTag w:uri="urn:schemas-microsoft-com:office:smarttags" w:element="stockticker">
        <w:r w:rsidRPr="00653BF6">
          <w:rPr>
            <w:color w:val="000000"/>
            <w:szCs w:val="22"/>
            <w:u w:val="single"/>
            <w:lang w:val="fr-FR"/>
          </w:rPr>
          <w:t>SMD</w:t>
        </w:r>
      </w:smartTag>
      <w:r w:rsidRPr="00653BF6">
        <w:rPr>
          <w:color w:val="000000"/>
          <w:szCs w:val="22"/>
          <w:u w:val="single"/>
          <w:lang w:val="fr-FR"/>
        </w:rPr>
        <w:t>/</w:t>
      </w:r>
      <w:smartTag w:uri="urn:schemas-microsoft-com:office:smarttags" w:element="stockticker">
        <w:r w:rsidRPr="00653BF6">
          <w:rPr>
            <w:color w:val="000000"/>
            <w:szCs w:val="22"/>
            <w:u w:val="single"/>
            <w:lang w:val="fr-FR"/>
          </w:rPr>
          <w:t>SMP</w:t>
        </w:r>
      </w:smartTag>
    </w:p>
    <w:p w14:paraId="774697EE" w14:textId="77777777" w:rsidR="005159EA" w:rsidRPr="00653BF6" w:rsidRDefault="005159EA" w:rsidP="007F23EE">
      <w:pPr>
        <w:pStyle w:val="EndnoteText"/>
        <w:keepNext/>
        <w:tabs>
          <w:tab w:val="clear" w:pos="567"/>
        </w:tabs>
        <w:rPr>
          <w:color w:val="000000"/>
          <w:szCs w:val="22"/>
          <w:u w:val="single"/>
          <w:lang w:val="fr-FR"/>
        </w:rPr>
      </w:pPr>
    </w:p>
    <w:p w14:paraId="2EC18CEE"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t xml:space="preserve">La posologie recommandée de Glivec est de 400 mg/jour chez les patients adultes atteints de </w:t>
      </w:r>
      <w:smartTag w:uri="urn:schemas-microsoft-com:office:smarttags" w:element="stockticker">
        <w:r w:rsidRPr="00653BF6">
          <w:rPr>
            <w:color w:val="000000"/>
            <w:szCs w:val="22"/>
            <w:lang w:val="fr-FR"/>
          </w:rPr>
          <w:t>SMD</w:t>
        </w:r>
      </w:smartTag>
      <w:r w:rsidRPr="00653BF6">
        <w:rPr>
          <w:color w:val="000000"/>
          <w:szCs w:val="22"/>
          <w:lang w:val="fr-FR"/>
        </w:rPr>
        <w:t>/</w:t>
      </w:r>
      <w:smartTag w:uri="urn:schemas-microsoft-com:office:smarttags" w:element="stockticker">
        <w:r w:rsidRPr="00653BF6">
          <w:rPr>
            <w:color w:val="000000"/>
            <w:szCs w:val="22"/>
            <w:lang w:val="fr-FR"/>
          </w:rPr>
          <w:t>SMP</w:t>
        </w:r>
      </w:smartTag>
      <w:r w:rsidRPr="00653BF6">
        <w:rPr>
          <w:color w:val="000000"/>
          <w:szCs w:val="22"/>
          <w:lang w:val="fr-FR"/>
        </w:rPr>
        <w:t>.</w:t>
      </w:r>
    </w:p>
    <w:p w14:paraId="5248464D" w14:textId="77777777" w:rsidR="007D642D" w:rsidRPr="00653BF6" w:rsidRDefault="007D642D" w:rsidP="007F23EE">
      <w:pPr>
        <w:pStyle w:val="EndnoteText"/>
        <w:tabs>
          <w:tab w:val="clear" w:pos="567"/>
        </w:tabs>
        <w:rPr>
          <w:color w:val="000000"/>
          <w:szCs w:val="22"/>
          <w:lang w:val="fr-FR"/>
        </w:rPr>
      </w:pPr>
    </w:p>
    <w:p w14:paraId="39BDC885" w14:textId="644D0857" w:rsidR="007D642D" w:rsidRPr="00653BF6" w:rsidRDefault="007D642D" w:rsidP="007F23EE">
      <w:pPr>
        <w:pStyle w:val="EndnoteText"/>
        <w:tabs>
          <w:tab w:val="clear" w:pos="567"/>
        </w:tabs>
        <w:rPr>
          <w:color w:val="000000"/>
          <w:szCs w:val="22"/>
          <w:lang w:val="fr-FR"/>
        </w:rPr>
      </w:pPr>
      <w:r w:rsidRPr="00653BF6">
        <w:rPr>
          <w:color w:val="000000"/>
          <w:szCs w:val="22"/>
          <w:lang w:val="fr-FR"/>
        </w:rPr>
        <w:t>La durée de traitement : dans l’unique étude clinique menée à ce jour, le traitement par Glivec a été poursuivi jusqu’à la progression de la maladie (voir rubrique</w:t>
      </w:r>
      <w:r w:rsidR="002F003A" w:rsidRPr="00653BF6">
        <w:rPr>
          <w:color w:val="000000"/>
          <w:szCs w:val="22"/>
          <w:lang w:val="fr-FR"/>
        </w:rPr>
        <w:t> </w:t>
      </w:r>
      <w:r w:rsidRPr="00653BF6">
        <w:rPr>
          <w:color w:val="000000"/>
          <w:szCs w:val="22"/>
          <w:lang w:val="fr-FR"/>
        </w:rPr>
        <w:t>5.1). A la date de l’analyse, la durée médiane de traitement était de 47 mois (24 jours à 60 mois).</w:t>
      </w:r>
    </w:p>
    <w:p w14:paraId="40C27A45" w14:textId="77777777" w:rsidR="007D642D" w:rsidRPr="00653BF6" w:rsidRDefault="007D642D" w:rsidP="007F23EE">
      <w:pPr>
        <w:pStyle w:val="EndnoteText"/>
        <w:tabs>
          <w:tab w:val="clear" w:pos="567"/>
        </w:tabs>
        <w:rPr>
          <w:color w:val="000000"/>
          <w:szCs w:val="22"/>
          <w:lang w:val="fr-FR"/>
        </w:rPr>
      </w:pPr>
    </w:p>
    <w:p w14:paraId="7FD98EBE" w14:textId="6A3F6BD0" w:rsidR="007D642D" w:rsidRPr="00653BF6" w:rsidRDefault="007D642D" w:rsidP="007F23EE">
      <w:pPr>
        <w:pStyle w:val="EndnoteText"/>
        <w:keepNext/>
        <w:tabs>
          <w:tab w:val="clear" w:pos="567"/>
        </w:tabs>
        <w:rPr>
          <w:color w:val="000000"/>
          <w:szCs w:val="22"/>
          <w:u w:val="single"/>
          <w:lang w:val="fr-FR"/>
        </w:rPr>
      </w:pPr>
      <w:r w:rsidRPr="00653BF6">
        <w:rPr>
          <w:color w:val="000000"/>
          <w:szCs w:val="22"/>
          <w:u w:val="single"/>
          <w:lang w:val="fr-FR"/>
        </w:rPr>
        <w:t>Posologie dans les SHE/LCE</w:t>
      </w:r>
    </w:p>
    <w:p w14:paraId="1E17E933" w14:textId="77777777" w:rsidR="005159EA" w:rsidRPr="00653BF6" w:rsidRDefault="005159EA" w:rsidP="007F23EE">
      <w:pPr>
        <w:pStyle w:val="EndnoteText"/>
        <w:keepNext/>
        <w:tabs>
          <w:tab w:val="clear" w:pos="567"/>
        </w:tabs>
        <w:rPr>
          <w:color w:val="000000"/>
          <w:szCs w:val="22"/>
          <w:u w:val="single"/>
          <w:lang w:val="fr-FR"/>
        </w:rPr>
      </w:pPr>
    </w:p>
    <w:p w14:paraId="5845FB85"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t>La dose recommandée de Glivec est de 100 mg/jour chez les patients adultes atteints de SHE/LCE.</w:t>
      </w:r>
    </w:p>
    <w:p w14:paraId="0FCEF7C2" w14:textId="77777777" w:rsidR="007D642D" w:rsidRPr="00653BF6" w:rsidRDefault="007D642D" w:rsidP="007F23EE">
      <w:pPr>
        <w:pStyle w:val="EndnoteText"/>
        <w:tabs>
          <w:tab w:val="clear" w:pos="567"/>
        </w:tabs>
        <w:rPr>
          <w:color w:val="000000"/>
          <w:szCs w:val="22"/>
          <w:lang w:val="fr-FR"/>
        </w:rPr>
      </w:pPr>
    </w:p>
    <w:p w14:paraId="12038A2C" w14:textId="77777777" w:rsidR="007D642D" w:rsidRPr="00653BF6" w:rsidRDefault="007D642D" w:rsidP="007F23EE">
      <w:pPr>
        <w:pStyle w:val="EndnoteText"/>
        <w:tabs>
          <w:tab w:val="clear" w:pos="567"/>
        </w:tabs>
        <w:rPr>
          <w:rFonts w:eastAsia="MS Mincho"/>
          <w:color w:val="000000"/>
          <w:szCs w:val="22"/>
          <w:lang w:val="fr-FR" w:eastAsia="ja-JP"/>
        </w:rPr>
      </w:pPr>
      <w:r w:rsidRPr="00653BF6">
        <w:rPr>
          <w:color w:val="000000"/>
          <w:lang w:val="fr-FR"/>
        </w:rPr>
        <w:t>Une augmentation de dose de 100 mg à 400 mg chez ces patients peut être envisagée si la réponse au traitement est insuffisante et en l’absence d’effets indésirables</w:t>
      </w:r>
      <w:r w:rsidRPr="00653BF6">
        <w:rPr>
          <w:rFonts w:eastAsia="MS Mincho"/>
          <w:color w:val="000000"/>
          <w:szCs w:val="22"/>
          <w:lang w:val="fr-FR" w:eastAsia="ja-JP"/>
        </w:rPr>
        <w:t>.</w:t>
      </w:r>
    </w:p>
    <w:p w14:paraId="2CD87268" w14:textId="77777777" w:rsidR="007D642D" w:rsidRPr="00653BF6" w:rsidRDefault="007D642D" w:rsidP="007F23EE">
      <w:pPr>
        <w:pStyle w:val="EndnoteText"/>
        <w:tabs>
          <w:tab w:val="clear" w:pos="567"/>
        </w:tabs>
        <w:rPr>
          <w:rFonts w:eastAsia="MS Mincho"/>
          <w:color w:val="000000"/>
          <w:szCs w:val="22"/>
          <w:lang w:val="fr-FR" w:eastAsia="ja-JP"/>
        </w:rPr>
      </w:pPr>
    </w:p>
    <w:p w14:paraId="06A9D102" w14:textId="77777777" w:rsidR="007D642D" w:rsidRPr="00653BF6" w:rsidRDefault="007D642D" w:rsidP="007F23EE">
      <w:pPr>
        <w:pStyle w:val="EndnoteText"/>
        <w:tabs>
          <w:tab w:val="clear" w:pos="567"/>
        </w:tabs>
        <w:rPr>
          <w:color w:val="000000"/>
          <w:szCs w:val="22"/>
          <w:lang w:val="fr-FR"/>
        </w:rPr>
      </w:pPr>
      <w:r w:rsidRPr="00653BF6">
        <w:rPr>
          <w:rFonts w:eastAsia="MS Mincho"/>
          <w:color w:val="000000"/>
          <w:szCs w:val="22"/>
          <w:lang w:val="fr-FR" w:eastAsia="ja-JP"/>
        </w:rPr>
        <w:t>Le traitement doit être poursuivi aussi longtemps qu’il est bénéfique pour le patient.</w:t>
      </w:r>
    </w:p>
    <w:p w14:paraId="3BC3E94E" w14:textId="77777777" w:rsidR="007D642D" w:rsidRPr="00653BF6" w:rsidRDefault="007D642D" w:rsidP="007F23EE">
      <w:pPr>
        <w:pStyle w:val="EndnoteText"/>
        <w:tabs>
          <w:tab w:val="clear" w:pos="567"/>
        </w:tabs>
        <w:rPr>
          <w:color w:val="000000"/>
          <w:szCs w:val="22"/>
          <w:lang w:val="fr-FR"/>
        </w:rPr>
      </w:pPr>
    </w:p>
    <w:p w14:paraId="65DA3C49" w14:textId="165A0CD1" w:rsidR="007D642D" w:rsidRPr="00653BF6" w:rsidRDefault="007D642D" w:rsidP="007F23EE">
      <w:pPr>
        <w:pStyle w:val="EndnoteText"/>
        <w:keepNext/>
        <w:tabs>
          <w:tab w:val="clear" w:pos="567"/>
        </w:tabs>
        <w:rPr>
          <w:color w:val="000000"/>
          <w:szCs w:val="22"/>
          <w:u w:val="single"/>
          <w:lang w:val="fr-FR"/>
        </w:rPr>
      </w:pPr>
      <w:r w:rsidRPr="00653BF6">
        <w:rPr>
          <w:color w:val="000000"/>
          <w:szCs w:val="22"/>
          <w:u w:val="single"/>
          <w:lang w:val="fr-FR"/>
        </w:rPr>
        <w:t>Posologie dans les GIST</w:t>
      </w:r>
    </w:p>
    <w:p w14:paraId="17AA65C0" w14:textId="77777777" w:rsidR="005159EA" w:rsidRPr="00653BF6" w:rsidRDefault="005159EA" w:rsidP="007F23EE">
      <w:pPr>
        <w:pStyle w:val="EndnoteText"/>
        <w:keepNext/>
        <w:tabs>
          <w:tab w:val="clear" w:pos="567"/>
        </w:tabs>
        <w:rPr>
          <w:color w:val="000000"/>
          <w:szCs w:val="22"/>
          <w:u w:val="single"/>
          <w:lang w:val="fr-FR"/>
        </w:rPr>
      </w:pPr>
    </w:p>
    <w:p w14:paraId="0047AC64"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t>Patients adultes atteints de GIST malignes non résécables et/ou métastatiques : la posologie recommandée est de 400 mg/j.</w:t>
      </w:r>
    </w:p>
    <w:p w14:paraId="58AD3312" w14:textId="77777777" w:rsidR="007D642D" w:rsidRPr="00653BF6" w:rsidRDefault="007D642D" w:rsidP="007F23EE">
      <w:pPr>
        <w:pStyle w:val="EndnoteText"/>
        <w:tabs>
          <w:tab w:val="clear" w:pos="567"/>
        </w:tabs>
        <w:rPr>
          <w:color w:val="000000"/>
          <w:szCs w:val="22"/>
          <w:lang w:val="fr-FR"/>
        </w:rPr>
      </w:pPr>
    </w:p>
    <w:p w14:paraId="078D22F8" w14:textId="7D35043A" w:rsidR="007D642D" w:rsidRPr="00653BF6" w:rsidRDefault="007D642D" w:rsidP="007F23EE">
      <w:pPr>
        <w:pStyle w:val="EndnoteText"/>
        <w:tabs>
          <w:tab w:val="clear" w:pos="567"/>
        </w:tabs>
        <w:rPr>
          <w:color w:val="000000"/>
          <w:szCs w:val="22"/>
          <w:lang w:val="fr-FR"/>
        </w:rPr>
      </w:pPr>
      <w:r w:rsidRPr="00653BF6">
        <w:rPr>
          <w:color w:val="000000"/>
          <w:szCs w:val="22"/>
          <w:lang w:val="fr-FR"/>
        </w:rPr>
        <w:t>Les données concernant l’effet de l’augmentation des doses de 400 mg à 600 mg ou 800 mg chez des patients en progression lorsqu’ils sont traités à la plus faible dose sont limitées (voir rubrique</w:t>
      </w:r>
      <w:r w:rsidR="002F003A" w:rsidRPr="00653BF6">
        <w:rPr>
          <w:color w:val="000000"/>
          <w:szCs w:val="22"/>
          <w:lang w:val="fr-FR"/>
        </w:rPr>
        <w:t> </w:t>
      </w:r>
      <w:r w:rsidRPr="00653BF6">
        <w:rPr>
          <w:color w:val="000000"/>
          <w:szCs w:val="22"/>
          <w:lang w:val="fr-FR"/>
        </w:rPr>
        <w:t>5.1).</w:t>
      </w:r>
    </w:p>
    <w:p w14:paraId="4C833565" w14:textId="77777777" w:rsidR="007D642D" w:rsidRPr="00653BF6" w:rsidRDefault="007D642D" w:rsidP="007F23EE">
      <w:pPr>
        <w:pStyle w:val="EndnoteText"/>
        <w:tabs>
          <w:tab w:val="clear" w:pos="567"/>
        </w:tabs>
        <w:rPr>
          <w:color w:val="000000"/>
          <w:szCs w:val="22"/>
          <w:lang w:val="fr-FR"/>
        </w:rPr>
      </w:pPr>
    </w:p>
    <w:p w14:paraId="60A45176"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t>Durée du traitement : dans les études cliniques menées chez des patients atteints de GIST, le traitement par Glivec a été poursuivi jusqu’à la progression de la maladie. A la date de l’analyse, la durée médiane de traitement était de 7 mois (7 jours à 13 mois). L’effet de l’arrêt du traitement après l’obtention d’une réponse n’a pas été étudié.</w:t>
      </w:r>
    </w:p>
    <w:p w14:paraId="1AD5F9AE" w14:textId="77777777" w:rsidR="007D642D" w:rsidRPr="00653BF6" w:rsidRDefault="007D642D" w:rsidP="007F23EE">
      <w:pPr>
        <w:pStyle w:val="EndnoteText"/>
        <w:tabs>
          <w:tab w:val="clear" w:pos="567"/>
        </w:tabs>
        <w:rPr>
          <w:color w:val="000000"/>
          <w:szCs w:val="22"/>
          <w:lang w:val="fr-FR"/>
        </w:rPr>
      </w:pPr>
    </w:p>
    <w:p w14:paraId="1DD84B93" w14:textId="396D70CB" w:rsidR="007D642D" w:rsidRPr="00653BF6" w:rsidRDefault="007D642D" w:rsidP="007F23EE">
      <w:pPr>
        <w:pStyle w:val="EndnoteText"/>
        <w:tabs>
          <w:tab w:val="clear" w:pos="567"/>
        </w:tabs>
        <w:rPr>
          <w:color w:val="000000"/>
          <w:szCs w:val="22"/>
          <w:lang w:val="fr-FR"/>
        </w:rPr>
      </w:pPr>
      <w:r w:rsidRPr="00653BF6">
        <w:rPr>
          <w:color w:val="000000"/>
          <w:szCs w:val="22"/>
          <w:lang w:val="fr-FR"/>
        </w:rPr>
        <w:t>La dose recommandée de Glivec est de 400 mg par jour dans le traitement adjuvant des patients adultes après résection d’une tumeur stromale gastro-intestinale (GIST). La durée optimale de traitement n’a pas encore été établie. La durée de traitement dans les essais cliniques dans cette indication était de 36 mois (voir rubrique</w:t>
      </w:r>
      <w:r w:rsidR="002F003A" w:rsidRPr="00653BF6">
        <w:rPr>
          <w:color w:val="000000"/>
          <w:szCs w:val="22"/>
          <w:lang w:val="fr-FR"/>
        </w:rPr>
        <w:t> </w:t>
      </w:r>
      <w:r w:rsidRPr="00653BF6">
        <w:rPr>
          <w:color w:val="000000"/>
          <w:szCs w:val="22"/>
          <w:lang w:val="fr-FR"/>
        </w:rPr>
        <w:t>5.1).</w:t>
      </w:r>
    </w:p>
    <w:p w14:paraId="0DD80532" w14:textId="77777777" w:rsidR="007D642D" w:rsidRPr="00653BF6" w:rsidRDefault="007D642D" w:rsidP="007F23EE">
      <w:pPr>
        <w:pStyle w:val="EndnoteText"/>
        <w:tabs>
          <w:tab w:val="clear" w:pos="567"/>
        </w:tabs>
        <w:rPr>
          <w:color w:val="000000"/>
          <w:szCs w:val="22"/>
          <w:lang w:val="fr-FR"/>
        </w:rPr>
      </w:pPr>
    </w:p>
    <w:p w14:paraId="334C0AE2" w14:textId="6E8398F2" w:rsidR="007D642D" w:rsidRPr="00653BF6" w:rsidRDefault="007D642D" w:rsidP="007F23EE">
      <w:pPr>
        <w:pStyle w:val="EndnoteText"/>
        <w:keepNext/>
        <w:tabs>
          <w:tab w:val="clear" w:pos="567"/>
        </w:tabs>
        <w:rPr>
          <w:color w:val="000000"/>
          <w:szCs w:val="22"/>
          <w:u w:val="single"/>
          <w:lang w:val="fr-FR"/>
        </w:rPr>
      </w:pPr>
      <w:r w:rsidRPr="00653BF6">
        <w:rPr>
          <w:color w:val="000000"/>
          <w:szCs w:val="22"/>
          <w:u w:val="single"/>
          <w:lang w:val="fr-FR"/>
        </w:rPr>
        <w:t>Posologie dans le DFSP</w:t>
      </w:r>
    </w:p>
    <w:p w14:paraId="498F7705" w14:textId="77777777" w:rsidR="00A010F3" w:rsidRPr="00653BF6" w:rsidRDefault="00A010F3" w:rsidP="007F23EE">
      <w:pPr>
        <w:pStyle w:val="EndnoteText"/>
        <w:keepNext/>
        <w:tabs>
          <w:tab w:val="clear" w:pos="567"/>
        </w:tabs>
        <w:rPr>
          <w:color w:val="000000"/>
          <w:szCs w:val="22"/>
          <w:u w:val="single"/>
          <w:lang w:val="fr-FR"/>
        </w:rPr>
      </w:pPr>
    </w:p>
    <w:p w14:paraId="074A5107"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t>La posologie recommandée de Glivec est de 800 mg/jour chez les patients adultes atteints de DFSP.</w:t>
      </w:r>
    </w:p>
    <w:p w14:paraId="4913339D" w14:textId="77777777" w:rsidR="007D642D" w:rsidRPr="00653BF6" w:rsidRDefault="007D642D" w:rsidP="007F23EE">
      <w:pPr>
        <w:pStyle w:val="EndnoteText"/>
        <w:tabs>
          <w:tab w:val="clear" w:pos="567"/>
        </w:tabs>
        <w:rPr>
          <w:color w:val="000000"/>
          <w:szCs w:val="22"/>
          <w:lang w:val="fr-FR"/>
        </w:rPr>
      </w:pPr>
    </w:p>
    <w:p w14:paraId="00AFDF1D" w14:textId="6376F561" w:rsidR="007D642D" w:rsidRPr="00653BF6" w:rsidRDefault="007D642D" w:rsidP="007F23EE">
      <w:pPr>
        <w:pStyle w:val="EndnoteText"/>
        <w:keepNext/>
        <w:tabs>
          <w:tab w:val="clear" w:pos="567"/>
        </w:tabs>
        <w:rPr>
          <w:color w:val="000000"/>
          <w:szCs w:val="22"/>
          <w:u w:val="single"/>
          <w:lang w:val="fr-FR"/>
        </w:rPr>
      </w:pPr>
      <w:r w:rsidRPr="00653BF6">
        <w:rPr>
          <w:color w:val="000000"/>
          <w:szCs w:val="22"/>
          <w:u w:val="single"/>
          <w:lang w:val="fr-FR"/>
        </w:rPr>
        <w:t>Ajustement de la posologie en cas d</w:t>
      </w:r>
      <w:r w:rsidR="00813A7A">
        <w:rPr>
          <w:color w:val="000000"/>
          <w:szCs w:val="22"/>
          <w:u w:val="single"/>
          <w:lang w:val="fr-FR"/>
        </w:rPr>
        <w:t>’</w:t>
      </w:r>
      <w:r w:rsidRPr="00653BF6">
        <w:rPr>
          <w:color w:val="000000"/>
          <w:szCs w:val="22"/>
          <w:u w:val="single"/>
          <w:lang w:val="fr-FR"/>
        </w:rPr>
        <w:t>effets indésirables</w:t>
      </w:r>
    </w:p>
    <w:p w14:paraId="6BCFE5BB" w14:textId="77777777" w:rsidR="00A010F3" w:rsidRPr="00653BF6" w:rsidRDefault="00A010F3" w:rsidP="007F23EE">
      <w:pPr>
        <w:pStyle w:val="EndnoteText"/>
        <w:keepNext/>
        <w:tabs>
          <w:tab w:val="clear" w:pos="567"/>
        </w:tabs>
        <w:rPr>
          <w:color w:val="000000"/>
          <w:szCs w:val="22"/>
          <w:u w:val="single"/>
          <w:lang w:val="fr-FR"/>
        </w:rPr>
      </w:pPr>
    </w:p>
    <w:p w14:paraId="760EFD2D" w14:textId="77777777" w:rsidR="007D642D" w:rsidRPr="00653BF6" w:rsidRDefault="007D642D" w:rsidP="007F23EE">
      <w:pPr>
        <w:pStyle w:val="EndnoteText"/>
        <w:keepNext/>
        <w:tabs>
          <w:tab w:val="clear" w:pos="567"/>
        </w:tabs>
        <w:rPr>
          <w:i/>
          <w:color w:val="000000"/>
          <w:szCs w:val="22"/>
          <w:u w:val="single"/>
          <w:lang w:val="fr-FR"/>
        </w:rPr>
      </w:pPr>
      <w:r w:rsidRPr="00653BF6">
        <w:rPr>
          <w:i/>
          <w:color w:val="000000"/>
          <w:szCs w:val="22"/>
          <w:u w:val="single"/>
          <w:lang w:val="fr-FR"/>
        </w:rPr>
        <w:t>Effets indésirables extra-hématologiques</w:t>
      </w:r>
    </w:p>
    <w:p w14:paraId="3813968B" w14:textId="55B8DE0F" w:rsidR="007D642D" w:rsidRPr="00653BF6" w:rsidRDefault="007D642D" w:rsidP="007F23EE">
      <w:pPr>
        <w:pStyle w:val="EndnoteText"/>
        <w:tabs>
          <w:tab w:val="clear" w:pos="567"/>
        </w:tabs>
        <w:rPr>
          <w:color w:val="000000"/>
          <w:szCs w:val="22"/>
          <w:lang w:val="fr-FR"/>
        </w:rPr>
      </w:pPr>
      <w:r w:rsidRPr="00653BF6">
        <w:rPr>
          <w:color w:val="000000"/>
          <w:szCs w:val="22"/>
          <w:lang w:val="fr-FR"/>
        </w:rPr>
        <w:t>En cas de survenue d’un effet indésirable extra-hématologique sévère, le traitement par Glivec doit être interrompu jusqu'à résolution de l</w:t>
      </w:r>
      <w:r w:rsidR="00813A7A">
        <w:rPr>
          <w:color w:val="000000"/>
          <w:szCs w:val="22"/>
          <w:lang w:val="fr-FR"/>
        </w:rPr>
        <w:t>’</w:t>
      </w:r>
      <w:r w:rsidRPr="00653BF6">
        <w:rPr>
          <w:color w:val="000000"/>
          <w:szCs w:val="22"/>
          <w:lang w:val="fr-FR"/>
        </w:rPr>
        <w:t>événement. Le traitement peut ensuite être repris de manière appropriée en fonction de la sévérité initiale de l</w:t>
      </w:r>
      <w:r w:rsidR="00813A7A">
        <w:rPr>
          <w:color w:val="000000"/>
          <w:szCs w:val="22"/>
          <w:lang w:val="fr-FR"/>
        </w:rPr>
        <w:t>’</w:t>
      </w:r>
      <w:r w:rsidRPr="00653BF6">
        <w:rPr>
          <w:color w:val="000000"/>
          <w:szCs w:val="22"/>
          <w:lang w:val="fr-FR"/>
        </w:rPr>
        <w:t>événement.</w:t>
      </w:r>
    </w:p>
    <w:p w14:paraId="628326CA" w14:textId="77777777" w:rsidR="007D642D" w:rsidRPr="00653BF6" w:rsidRDefault="007D642D" w:rsidP="007F23EE">
      <w:pPr>
        <w:pStyle w:val="EndnoteText"/>
        <w:tabs>
          <w:tab w:val="clear" w:pos="567"/>
        </w:tabs>
        <w:rPr>
          <w:color w:val="000000"/>
          <w:szCs w:val="22"/>
          <w:lang w:val="fr-FR"/>
        </w:rPr>
      </w:pPr>
    </w:p>
    <w:p w14:paraId="5C73FA7C"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t>En cas d’élévation de la bilirubine &gt; 3 x la limite supérieure de la normale (LSN) fournie par le laboratoire d’analyses ou des transaminases &gt; 5 x la LSN, Glivec doit être interrompu jusqu’à un retour de la bilirubine à un taux &lt; 1,5 x la LSN et des transaminases à un taux &lt; 2,5 x la LSN. Le traitement peut alors être repris à dose réduite chez l’adulte, la dose sera diminuée de 400 à 300 mg ou de 600 à 400 mg ou de 800 mg à 600 mg, et chez l’enfant la dose sera diminuée de 340 à 260 mg/m</w:t>
      </w:r>
      <w:r w:rsidRPr="00653BF6">
        <w:rPr>
          <w:color w:val="000000"/>
          <w:szCs w:val="22"/>
          <w:vertAlign w:val="superscript"/>
          <w:lang w:val="fr-FR"/>
        </w:rPr>
        <w:t>2</w:t>
      </w:r>
      <w:r w:rsidRPr="00653BF6">
        <w:rPr>
          <w:color w:val="000000"/>
          <w:szCs w:val="22"/>
          <w:lang w:val="fr-FR"/>
        </w:rPr>
        <w:t>/jour.</w:t>
      </w:r>
    </w:p>
    <w:p w14:paraId="685D3E7C" w14:textId="77777777" w:rsidR="007D642D" w:rsidRPr="00653BF6" w:rsidRDefault="007D642D" w:rsidP="007F23EE">
      <w:pPr>
        <w:pStyle w:val="EndnoteText"/>
        <w:tabs>
          <w:tab w:val="clear" w:pos="567"/>
        </w:tabs>
        <w:rPr>
          <w:color w:val="000000"/>
          <w:szCs w:val="22"/>
          <w:lang w:val="fr-FR"/>
        </w:rPr>
      </w:pPr>
    </w:p>
    <w:p w14:paraId="5C331A46" w14:textId="77777777" w:rsidR="007D642D" w:rsidRPr="00653BF6" w:rsidRDefault="007D642D" w:rsidP="007F23EE">
      <w:pPr>
        <w:pStyle w:val="EndnoteText"/>
        <w:keepNext/>
        <w:tabs>
          <w:tab w:val="clear" w:pos="567"/>
        </w:tabs>
        <w:rPr>
          <w:i/>
          <w:color w:val="000000"/>
          <w:szCs w:val="22"/>
          <w:u w:val="single"/>
          <w:lang w:val="fr-FR"/>
        </w:rPr>
      </w:pPr>
      <w:r w:rsidRPr="00653BF6">
        <w:rPr>
          <w:i/>
          <w:color w:val="000000"/>
          <w:szCs w:val="22"/>
          <w:u w:val="single"/>
          <w:lang w:val="fr-FR"/>
        </w:rPr>
        <w:t>Effets indésirables hématologiques</w:t>
      </w:r>
    </w:p>
    <w:p w14:paraId="2F83D99B" w14:textId="012D3F1D" w:rsidR="007D642D" w:rsidRPr="00653BF6" w:rsidRDefault="007D642D" w:rsidP="007F23EE">
      <w:pPr>
        <w:pStyle w:val="EndnoteText"/>
        <w:tabs>
          <w:tab w:val="clear" w:pos="567"/>
        </w:tabs>
        <w:rPr>
          <w:color w:val="000000"/>
          <w:szCs w:val="22"/>
          <w:lang w:val="fr-FR"/>
        </w:rPr>
      </w:pPr>
      <w:r w:rsidRPr="00653BF6">
        <w:rPr>
          <w:color w:val="000000"/>
          <w:szCs w:val="22"/>
          <w:lang w:val="fr-FR"/>
        </w:rPr>
        <w:t>En cas de neutropénie ou thrombopénie sévères, il est recommandé de diminuer la dose ou d</w:t>
      </w:r>
      <w:r w:rsidR="00813A7A">
        <w:rPr>
          <w:color w:val="000000"/>
          <w:szCs w:val="22"/>
          <w:lang w:val="fr-FR"/>
        </w:rPr>
        <w:t>’</w:t>
      </w:r>
      <w:r w:rsidRPr="00653BF6">
        <w:rPr>
          <w:color w:val="000000"/>
          <w:szCs w:val="22"/>
          <w:lang w:val="fr-FR"/>
        </w:rPr>
        <w:t>interrompre le traitement conformément au tableau ci-dessous.</w:t>
      </w:r>
    </w:p>
    <w:p w14:paraId="703FD18B" w14:textId="77777777" w:rsidR="007D642D" w:rsidRPr="00653BF6" w:rsidRDefault="007D642D" w:rsidP="007F23EE">
      <w:pPr>
        <w:pStyle w:val="EndnoteText"/>
        <w:tabs>
          <w:tab w:val="clear" w:pos="567"/>
        </w:tabs>
        <w:rPr>
          <w:color w:val="000000"/>
          <w:szCs w:val="22"/>
          <w:lang w:val="fr-FR"/>
        </w:rPr>
      </w:pPr>
    </w:p>
    <w:p w14:paraId="5B56B136" w14:textId="77777777" w:rsidR="007D642D" w:rsidRPr="00653BF6" w:rsidRDefault="007D642D" w:rsidP="007F23EE">
      <w:pPr>
        <w:pStyle w:val="EndnoteText"/>
        <w:keepNext/>
        <w:tabs>
          <w:tab w:val="clear" w:pos="567"/>
        </w:tabs>
        <w:rPr>
          <w:color w:val="000000"/>
          <w:szCs w:val="22"/>
          <w:lang w:val="fr-FR"/>
        </w:rPr>
      </w:pPr>
      <w:r w:rsidRPr="00653BF6">
        <w:rPr>
          <w:color w:val="000000"/>
          <w:szCs w:val="22"/>
          <w:lang w:val="fr-FR"/>
        </w:rPr>
        <w:lastRenderedPageBreak/>
        <w:t>Ajustements de posologie en cas de neutropénie et de thrombocytopénie :</w:t>
      </w:r>
    </w:p>
    <w:p w14:paraId="27D95E3A" w14:textId="77777777" w:rsidR="007D642D" w:rsidRPr="00653BF6" w:rsidRDefault="007D642D" w:rsidP="007F23EE">
      <w:pPr>
        <w:pStyle w:val="EndnoteText"/>
        <w:keepNext/>
        <w:tabs>
          <w:tab w:val="clear" w:pos="567"/>
        </w:tabs>
        <w:rPr>
          <w:color w:val="000000"/>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00"/>
        <w:gridCol w:w="4404"/>
      </w:tblGrid>
      <w:tr w:rsidR="007D642D" w:rsidRPr="00653BF6" w14:paraId="727ECF66" w14:textId="77777777" w:rsidTr="00B92E0B">
        <w:trPr>
          <w:cantSplit/>
        </w:trPr>
        <w:tc>
          <w:tcPr>
            <w:tcW w:w="2376" w:type="dxa"/>
          </w:tcPr>
          <w:p w14:paraId="5900A957"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t xml:space="preserve">SHE/LCE </w:t>
            </w:r>
            <w:r w:rsidRPr="00653BF6">
              <w:rPr>
                <w:color w:val="000000"/>
                <w:lang w:val="fr-FR"/>
              </w:rPr>
              <w:t>(dose initiale de 100 mg)</w:t>
            </w:r>
          </w:p>
        </w:tc>
        <w:tc>
          <w:tcPr>
            <w:tcW w:w="2400" w:type="dxa"/>
          </w:tcPr>
          <w:p w14:paraId="096D5962" w14:textId="49684320" w:rsidR="007D642D" w:rsidRPr="00653BF6" w:rsidRDefault="007D642D" w:rsidP="007F23EE">
            <w:pPr>
              <w:pStyle w:val="TableCarCarCarCarCarCarCarCarCar"/>
              <w:keepNext w:val="0"/>
              <w:keepLines w:val="0"/>
              <w:suppressLineNumbers/>
              <w:tabs>
                <w:tab w:val="clear" w:pos="284"/>
              </w:tabs>
              <w:spacing w:before="0" w:after="0"/>
              <w:rPr>
                <w:rFonts w:ascii="Times New Roman" w:hAnsi="Times New Roman"/>
                <w:color w:val="000000"/>
                <w:szCs w:val="22"/>
                <w:lang w:val="fr-FR"/>
              </w:rPr>
            </w:pPr>
            <w:r w:rsidRPr="00653BF6">
              <w:rPr>
                <w:rFonts w:ascii="Times New Roman" w:hAnsi="Times New Roman"/>
                <w:color w:val="000000"/>
                <w:szCs w:val="22"/>
                <w:lang w:val="fr-FR"/>
              </w:rPr>
              <w:t>PN &lt; 1,0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13" w:author="Author">
              <w:r w:rsidR="00503B83" w:rsidRPr="00653BF6">
                <w:rPr>
                  <w:rFonts w:ascii="Times New Roman" w:hAnsi="Times New Roman"/>
                  <w:color w:val="000000"/>
                  <w:szCs w:val="22"/>
                  <w:lang w:val="fr-FR"/>
                </w:rPr>
                <w:t>L</w:t>
              </w:r>
            </w:ins>
            <w:del w:id="14" w:author="Author">
              <w:r w:rsidRPr="00653BF6" w:rsidDel="00503B83">
                <w:rPr>
                  <w:rFonts w:ascii="Times New Roman" w:hAnsi="Times New Roman"/>
                  <w:color w:val="000000"/>
                  <w:szCs w:val="22"/>
                  <w:lang w:val="fr-FR"/>
                </w:rPr>
                <w:delText>l</w:delText>
              </w:r>
            </w:del>
          </w:p>
          <w:p w14:paraId="430AB1DC" w14:textId="77777777" w:rsidR="007D642D" w:rsidRPr="00653BF6" w:rsidRDefault="007D642D" w:rsidP="007F23EE">
            <w:pPr>
              <w:pStyle w:val="TableCarCarCarCarCarCarCarCarCar"/>
              <w:keepNext w:val="0"/>
              <w:keepLines w:val="0"/>
              <w:suppressLineNumbers/>
              <w:tabs>
                <w:tab w:val="clear" w:pos="284"/>
              </w:tabs>
              <w:spacing w:before="0" w:after="0"/>
              <w:rPr>
                <w:rFonts w:ascii="Times New Roman" w:hAnsi="Times New Roman"/>
                <w:color w:val="000000"/>
                <w:szCs w:val="22"/>
                <w:lang w:val="fr-FR"/>
              </w:rPr>
            </w:pPr>
            <w:proofErr w:type="gramStart"/>
            <w:r w:rsidRPr="00653BF6">
              <w:rPr>
                <w:rFonts w:ascii="Times New Roman" w:hAnsi="Times New Roman"/>
                <w:color w:val="000000"/>
                <w:szCs w:val="22"/>
                <w:lang w:val="fr-FR"/>
              </w:rPr>
              <w:t>et</w:t>
            </w:r>
            <w:proofErr w:type="gramEnd"/>
            <w:r w:rsidRPr="00653BF6">
              <w:rPr>
                <w:rFonts w:ascii="Times New Roman" w:hAnsi="Times New Roman"/>
                <w:color w:val="000000"/>
                <w:szCs w:val="22"/>
                <w:lang w:val="fr-FR"/>
              </w:rPr>
              <w:t>/ou</w:t>
            </w:r>
          </w:p>
          <w:p w14:paraId="0C5613AD" w14:textId="1BB1137C" w:rsidR="007D642D" w:rsidRPr="00653BF6" w:rsidRDefault="007D642D" w:rsidP="007F23EE">
            <w:pPr>
              <w:pStyle w:val="TableCarCarCarCarCarCarCarCarCar"/>
              <w:keepNext w:val="0"/>
              <w:keepLines w:val="0"/>
              <w:suppressLineNumbers/>
              <w:tabs>
                <w:tab w:val="clear" w:pos="284"/>
              </w:tabs>
              <w:spacing w:before="0" w:after="0"/>
              <w:rPr>
                <w:rFonts w:ascii="Times New Roman" w:hAnsi="Times New Roman"/>
                <w:color w:val="000000"/>
                <w:szCs w:val="22"/>
                <w:lang w:val="fr-FR"/>
              </w:rPr>
            </w:pPr>
            <w:proofErr w:type="gramStart"/>
            <w:r w:rsidRPr="00653BF6">
              <w:rPr>
                <w:rFonts w:ascii="Times New Roman" w:hAnsi="Times New Roman"/>
                <w:color w:val="000000"/>
                <w:szCs w:val="22"/>
                <w:lang w:val="fr-FR"/>
              </w:rPr>
              <w:t>plaquettes</w:t>
            </w:r>
            <w:proofErr w:type="gramEnd"/>
            <w:r w:rsidRPr="00653BF6">
              <w:rPr>
                <w:rFonts w:ascii="Times New Roman" w:hAnsi="Times New Roman"/>
                <w:color w:val="000000"/>
                <w:szCs w:val="22"/>
                <w:lang w:val="fr-FR"/>
              </w:rPr>
              <w:t xml:space="preserve"> &lt; 50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15" w:author="Author">
              <w:r w:rsidR="00503B83" w:rsidRPr="00653BF6">
                <w:rPr>
                  <w:rFonts w:ascii="Times New Roman" w:hAnsi="Times New Roman"/>
                  <w:color w:val="000000"/>
                  <w:szCs w:val="22"/>
                  <w:lang w:val="fr-FR"/>
                </w:rPr>
                <w:t>L</w:t>
              </w:r>
            </w:ins>
            <w:del w:id="16" w:author="Author">
              <w:r w:rsidRPr="00653BF6" w:rsidDel="00503B83">
                <w:rPr>
                  <w:rFonts w:ascii="Times New Roman" w:hAnsi="Times New Roman"/>
                  <w:color w:val="000000"/>
                  <w:szCs w:val="22"/>
                  <w:lang w:val="fr-FR"/>
                </w:rPr>
                <w:delText>l</w:delText>
              </w:r>
            </w:del>
          </w:p>
        </w:tc>
        <w:tc>
          <w:tcPr>
            <w:tcW w:w="4404" w:type="dxa"/>
          </w:tcPr>
          <w:p w14:paraId="5D3D83A7" w14:textId="6B6B49C5" w:rsidR="007D642D" w:rsidRPr="00653BF6" w:rsidRDefault="007D642D" w:rsidP="007F23EE">
            <w:pPr>
              <w:pStyle w:val="TableCarCarCarCarCarCarCarCarCar"/>
              <w:keepNext w:val="0"/>
              <w:keepLines w:val="0"/>
              <w:suppressLineNumbers/>
              <w:tabs>
                <w:tab w:val="clear" w:pos="284"/>
              </w:tabs>
              <w:spacing w:before="0" w:after="0"/>
              <w:ind w:left="469" w:hanging="469"/>
              <w:rPr>
                <w:rFonts w:ascii="Times New Roman" w:hAnsi="Times New Roman"/>
                <w:color w:val="000000"/>
                <w:szCs w:val="22"/>
                <w:lang w:val="fr-FR"/>
              </w:rPr>
            </w:pPr>
            <w:r w:rsidRPr="00653BF6">
              <w:rPr>
                <w:rFonts w:ascii="Times New Roman" w:hAnsi="Times New Roman"/>
                <w:color w:val="000000"/>
                <w:szCs w:val="22"/>
                <w:lang w:val="fr-FR"/>
              </w:rPr>
              <w:t>1.</w:t>
            </w:r>
            <w:r w:rsidRPr="00653BF6">
              <w:rPr>
                <w:rFonts w:ascii="Times New Roman" w:hAnsi="Times New Roman"/>
                <w:color w:val="000000"/>
                <w:szCs w:val="22"/>
                <w:lang w:val="fr-FR"/>
              </w:rPr>
              <w:tab/>
              <w:t xml:space="preserve">Arrêter Glivec jusqu'à ce que PN </w:t>
            </w:r>
            <w:r w:rsidRPr="00653BF6">
              <w:rPr>
                <w:rFonts w:ascii="Times New Roman" w:hAnsi="Times New Roman"/>
                <w:color w:val="000000"/>
                <w:szCs w:val="22"/>
                <w:lang w:val="fr-FR"/>
              </w:rPr>
              <w:sym w:font="Symbol" w:char="F0B3"/>
            </w:r>
            <w:r w:rsidRPr="00653BF6">
              <w:rPr>
                <w:rFonts w:ascii="Times New Roman" w:hAnsi="Times New Roman"/>
                <w:color w:val="000000"/>
                <w:szCs w:val="22"/>
                <w:lang w:val="fr-FR"/>
              </w:rPr>
              <w:t> 1,5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17" w:author="Author">
              <w:r w:rsidR="00503B83" w:rsidRPr="00653BF6">
                <w:rPr>
                  <w:rFonts w:ascii="Times New Roman" w:hAnsi="Times New Roman"/>
                  <w:color w:val="000000"/>
                  <w:szCs w:val="22"/>
                  <w:lang w:val="fr-FR"/>
                </w:rPr>
                <w:t>L</w:t>
              </w:r>
            </w:ins>
            <w:del w:id="18" w:author="Author">
              <w:r w:rsidRPr="00653BF6" w:rsidDel="00503B83">
                <w:rPr>
                  <w:rFonts w:ascii="Times New Roman" w:hAnsi="Times New Roman"/>
                  <w:color w:val="000000"/>
                  <w:szCs w:val="22"/>
                  <w:lang w:val="fr-FR"/>
                </w:rPr>
                <w:delText>l</w:delText>
              </w:r>
            </w:del>
            <w:r w:rsidRPr="00653BF6">
              <w:rPr>
                <w:rFonts w:ascii="Times New Roman" w:hAnsi="Times New Roman"/>
                <w:color w:val="000000"/>
                <w:szCs w:val="22"/>
                <w:lang w:val="fr-FR"/>
              </w:rPr>
              <w:t xml:space="preserve"> et plaquettes </w:t>
            </w:r>
            <w:r w:rsidRPr="00653BF6">
              <w:rPr>
                <w:rFonts w:ascii="Times New Roman" w:hAnsi="Times New Roman"/>
                <w:color w:val="000000"/>
                <w:szCs w:val="22"/>
                <w:lang w:val="fr-FR"/>
              </w:rPr>
              <w:sym w:font="Symbol" w:char="F0B3"/>
            </w:r>
            <w:r w:rsidRPr="00653BF6">
              <w:rPr>
                <w:rFonts w:ascii="Times New Roman" w:hAnsi="Times New Roman"/>
                <w:color w:val="000000"/>
                <w:szCs w:val="22"/>
                <w:lang w:val="fr-FR"/>
              </w:rPr>
              <w:t> 75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19" w:author="Author">
              <w:r w:rsidR="00503B83" w:rsidRPr="00653BF6">
                <w:rPr>
                  <w:rFonts w:ascii="Times New Roman" w:hAnsi="Times New Roman"/>
                  <w:color w:val="000000"/>
                  <w:szCs w:val="22"/>
                  <w:lang w:val="fr-FR"/>
                </w:rPr>
                <w:t>L</w:t>
              </w:r>
            </w:ins>
            <w:del w:id="20" w:author="Author">
              <w:r w:rsidRPr="00653BF6" w:rsidDel="00503B83">
                <w:rPr>
                  <w:rFonts w:ascii="Times New Roman" w:hAnsi="Times New Roman"/>
                  <w:color w:val="000000"/>
                  <w:szCs w:val="22"/>
                  <w:lang w:val="fr-FR"/>
                </w:rPr>
                <w:delText>l</w:delText>
              </w:r>
            </w:del>
            <w:r w:rsidRPr="00653BF6">
              <w:rPr>
                <w:rFonts w:ascii="Times New Roman" w:hAnsi="Times New Roman"/>
                <w:color w:val="000000"/>
                <w:szCs w:val="22"/>
                <w:lang w:val="fr-FR"/>
              </w:rPr>
              <w:t>.</w:t>
            </w:r>
          </w:p>
          <w:p w14:paraId="1BF0732A" w14:textId="77777777" w:rsidR="007D642D" w:rsidRPr="00653BF6" w:rsidRDefault="007D642D" w:rsidP="007F23EE">
            <w:pPr>
              <w:pStyle w:val="TableCarCarCarCarCarCarCarCarCar"/>
              <w:keepNext w:val="0"/>
              <w:keepLines w:val="0"/>
              <w:suppressLineNumbers/>
              <w:tabs>
                <w:tab w:val="clear" w:pos="284"/>
              </w:tabs>
              <w:spacing w:before="0" w:after="0"/>
              <w:ind w:left="469" w:hanging="469"/>
              <w:rPr>
                <w:rFonts w:ascii="Times New Roman" w:hAnsi="Times New Roman"/>
                <w:color w:val="000000"/>
                <w:szCs w:val="22"/>
                <w:lang w:val="fr-FR"/>
              </w:rPr>
            </w:pPr>
            <w:r w:rsidRPr="00653BF6">
              <w:rPr>
                <w:rFonts w:ascii="Times New Roman" w:hAnsi="Times New Roman"/>
                <w:color w:val="000000"/>
                <w:szCs w:val="22"/>
                <w:lang w:val="fr-FR"/>
              </w:rPr>
              <w:t>2.</w:t>
            </w:r>
            <w:r w:rsidRPr="00653BF6">
              <w:rPr>
                <w:rFonts w:ascii="Times New Roman" w:hAnsi="Times New Roman"/>
                <w:color w:val="000000"/>
                <w:szCs w:val="22"/>
                <w:lang w:val="fr-FR"/>
              </w:rPr>
              <w:tab/>
              <w:t>Reprendre le traitement par Glivec à la dose antérieure (c’est à dire avant l’effet indésirable sévère).</w:t>
            </w:r>
          </w:p>
        </w:tc>
      </w:tr>
      <w:tr w:rsidR="007D642D" w:rsidRPr="00653BF6" w14:paraId="6057F78A" w14:textId="77777777" w:rsidTr="00B92E0B">
        <w:trPr>
          <w:cantSplit/>
        </w:trPr>
        <w:tc>
          <w:tcPr>
            <w:tcW w:w="2376" w:type="dxa"/>
          </w:tcPr>
          <w:p w14:paraId="05E75E4A"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t xml:space="preserve">LMC en phase chronique, </w:t>
            </w:r>
            <w:smartTag w:uri="urn:schemas-microsoft-com:office:smarttags" w:element="stockticker">
              <w:r w:rsidRPr="00653BF6">
                <w:rPr>
                  <w:color w:val="000000"/>
                  <w:szCs w:val="22"/>
                  <w:lang w:val="fr-FR"/>
                </w:rPr>
                <w:t>SMD</w:t>
              </w:r>
            </w:smartTag>
            <w:r w:rsidRPr="00653BF6">
              <w:rPr>
                <w:color w:val="000000"/>
                <w:szCs w:val="22"/>
                <w:lang w:val="fr-FR"/>
              </w:rPr>
              <w:t>/</w:t>
            </w:r>
            <w:smartTag w:uri="urn:schemas-microsoft-com:office:smarttags" w:element="stockticker">
              <w:r w:rsidRPr="00653BF6">
                <w:rPr>
                  <w:color w:val="000000"/>
                  <w:szCs w:val="22"/>
                  <w:lang w:val="fr-FR"/>
                </w:rPr>
                <w:t>SMP</w:t>
              </w:r>
            </w:smartTag>
            <w:r w:rsidRPr="00653BF6">
              <w:rPr>
                <w:color w:val="000000"/>
                <w:szCs w:val="22"/>
                <w:lang w:val="fr-FR"/>
              </w:rPr>
              <w:t xml:space="preserve"> et GIST (dose initiale 400 mg)</w:t>
            </w:r>
          </w:p>
          <w:p w14:paraId="1818F575"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t>SHE/LCE (à la dose de 400 mg)</w:t>
            </w:r>
          </w:p>
        </w:tc>
        <w:tc>
          <w:tcPr>
            <w:tcW w:w="2400" w:type="dxa"/>
          </w:tcPr>
          <w:p w14:paraId="108D424E" w14:textId="78B545FC" w:rsidR="007D642D" w:rsidRPr="00653BF6" w:rsidRDefault="007D642D" w:rsidP="007F23EE">
            <w:pPr>
              <w:pStyle w:val="TableCarCarCarCarCarCarCarCarCar"/>
              <w:keepNext w:val="0"/>
              <w:keepLines w:val="0"/>
              <w:suppressLineNumbers/>
              <w:tabs>
                <w:tab w:val="clear" w:pos="284"/>
              </w:tabs>
              <w:spacing w:before="0" w:after="0"/>
              <w:rPr>
                <w:rFonts w:ascii="Times New Roman" w:hAnsi="Times New Roman"/>
                <w:color w:val="000000"/>
                <w:szCs w:val="22"/>
                <w:lang w:val="fr-FR"/>
              </w:rPr>
            </w:pPr>
            <w:r w:rsidRPr="00653BF6">
              <w:rPr>
                <w:rFonts w:ascii="Times New Roman" w:hAnsi="Times New Roman"/>
                <w:color w:val="000000"/>
                <w:szCs w:val="22"/>
                <w:lang w:val="fr-FR"/>
              </w:rPr>
              <w:t>PN &lt; 1,0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21" w:author="Author">
              <w:r w:rsidR="00503B83" w:rsidRPr="00653BF6">
                <w:rPr>
                  <w:rFonts w:ascii="Times New Roman" w:hAnsi="Times New Roman"/>
                  <w:color w:val="000000"/>
                  <w:szCs w:val="22"/>
                  <w:lang w:val="fr-FR"/>
                </w:rPr>
                <w:t>L</w:t>
              </w:r>
            </w:ins>
            <w:del w:id="22" w:author="Author">
              <w:r w:rsidRPr="00653BF6" w:rsidDel="00503B83">
                <w:rPr>
                  <w:rFonts w:ascii="Times New Roman" w:hAnsi="Times New Roman"/>
                  <w:color w:val="000000"/>
                  <w:szCs w:val="22"/>
                  <w:lang w:val="fr-FR"/>
                </w:rPr>
                <w:delText>l</w:delText>
              </w:r>
            </w:del>
          </w:p>
          <w:p w14:paraId="163551AD" w14:textId="77777777" w:rsidR="007D642D" w:rsidRPr="00653BF6" w:rsidRDefault="007D642D" w:rsidP="007F23EE">
            <w:pPr>
              <w:pStyle w:val="TableCarCarCarCarCarCarCarCarCar"/>
              <w:keepNext w:val="0"/>
              <w:keepLines w:val="0"/>
              <w:suppressLineNumbers/>
              <w:tabs>
                <w:tab w:val="clear" w:pos="284"/>
              </w:tabs>
              <w:spacing w:before="0" w:after="0"/>
              <w:rPr>
                <w:rFonts w:ascii="Times New Roman" w:hAnsi="Times New Roman"/>
                <w:color w:val="000000"/>
                <w:szCs w:val="22"/>
                <w:lang w:val="fr-FR"/>
              </w:rPr>
            </w:pPr>
            <w:proofErr w:type="gramStart"/>
            <w:r w:rsidRPr="00653BF6">
              <w:rPr>
                <w:rFonts w:ascii="Times New Roman" w:hAnsi="Times New Roman"/>
                <w:color w:val="000000"/>
                <w:szCs w:val="22"/>
                <w:lang w:val="fr-FR"/>
              </w:rPr>
              <w:t>et</w:t>
            </w:r>
            <w:proofErr w:type="gramEnd"/>
            <w:r w:rsidRPr="00653BF6">
              <w:rPr>
                <w:rFonts w:ascii="Times New Roman" w:hAnsi="Times New Roman"/>
                <w:color w:val="000000"/>
                <w:szCs w:val="22"/>
                <w:lang w:val="fr-FR"/>
              </w:rPr>
              <w:t>/ou</w:t>
            </w:r>
          </w:p>
          <w:p w14:paraId="168B1B30" w14:textId="45457EB6" w:rsidR="007D642D" w:rsidRPr="00653BF6" w:rsidRDefault="007D642D" w:rsidP="007F23EE">
            <w:pPr>
              <w:pStyle w:val="EndnoteText"/>
              <w:tabs>
                <w:tab w:val="clear" w:pos="567"/>
              </w:tabs>
              <w:rPr>
                <w:color w:val="000000"/>
                <w:szCs w:val="22"/>
                <w:lang w:val="fr-FR"/>
              </w:rPr>
            </w:pPr>
            <w:proofErr w:type="gramStart"/>
            <w:r w:rsidRPr="00653BF6">
              <w:rPr>
                <w:color w:val="000000"/>
                <w:szCs w:val="22"/>
                <w:lang w:val="fr-FR"/>
              </w:rPr>
              <w:t>plaquettes</w:t>
            </w:r>
            <w:proofErr w:type="gramEnd"/>
            <w:r w:rsidRPr="00653BF6">
              <w:rPr>
                <w:color w:val="000000"/>
                <w:szCs w:val="22"/>
                <w:lang w:val="fr-FR"/>
              </w:rPr>
              <w:t xml:space="preserve"> &lt; 50 x 10</w:t>
            </w:r>
            <w:r w:rsidRPr="00653BF6">
              <w:rPr>
                <w:color w:val="000000"/>
                <w:szCs w:val="22"/>
                <w:vertAlign w:val="superscript"/>
                <w:lang w:val="fr-FR"/>
              </w:rPr>
              <w:t>9</w:t>
            </w:r>
            <w:r w:rsidRPr="00653BF6">
              <w:rPr>
                <w:color w:val="000000"/>
                <w:szCs w:val="22"/>
                <w:lang w:val="fr-FR"/>
              </w:rPr>
              <w:t>/</w:t>
            </w:r>
            <w:ins w:id="23" w:author="Author">
              <w:r w:rsidR="00503B83" w:rsidRPr="00653BF6">
                <w:rPr>
                  <w:color w:val="000000"/>
                  <w:szCs w:val="22"/>
                  <w:lang w:val="fr-FR"/>
                </w:rPr>
                <w:t>L</w:t>
              </w:r>
            </w:ins>
            <w:del w:id="24" w:author="Author">
              <w:r w:rsidRPr="00653BF6" w:rsidDel="00503B83">
                <w:rPr>
                  <w:color w:val="000000"/>
                  <w:szCs w:val="22"/>
                  <w:lang w:val="fr-FR"/>
                </w:rPr>
                <w:delText>l</w:delText>
              </w:r>
            </w:del>
          </w:p>
        </w:tc>
        <w:tc>
          <w:tcPr>
            <w:tcW w:w="4404" w:type="dxa"/>
          </w:tcPr>
          <w:p w14:paraId="719EC2E5" w14:textId="3A3ACBE3" w:rsidR="007D642D" w:rsidRPr="00653BF6" w:rsidRDefault="007D642D" w:rsidP="007F23EE">
            <w:pPr>
              <w:pStyle w:val="TableCarCarCarCarCarCarCarCarCar"/>
              <w:keepNext w:val="0"/>
              <w:keepLines w:val="0"/>
              <w:suppressLineNumbers/>
              <w:tabs>
                <w:tab w:val="clear" w:pos="284"/>
              </w:tabs>
              <w:spacing w:before="0" w:after="0"/>
              <w:ind w:left="469" w:hanging="469"/>
              <w:rPr>
                <w:rFonts w:ascii="Times New Roman" w:hAnsi="Times New Roman"/>
                <w:color w:val="000000"/>
                <w:szCs w:val="22"/>
                <w:lang w:val="fr-FR"/>
              </w:rPr>
            </w:pPr>
            <w:r w:rsidRPr="00653BF6">
              <w:rPr>
                <w:rFonts w:ascii="Times New Roman" w:hAnsi="Times New Roman"/>
                <w:color w:val="000000"/>
                <w:szCs w:val="22"/>
                <w:lang w:val="fr-FR"/>
              </w:rPr>
              <w:t>1.</w:t>
            </w:r>
            <w:r w:rsidRPr="00653BF6">
              <w:rPr>
                <w:rFonts w:ascii="Times New Roman" w:hAnsi="Times New Roman"/>
                <w:color w:val="000000"/>
                <w:szCs w:val="22"/>
                <w:lang w:val="fr-FR"/>
              </w:rPr>
              <w:tab/>
              <w:t xml:space="preserve">Arrêter Glivec jusqu'à ce que PN </w:t>
            </w:r>
            <w:r w:rsidRPr="00653BF6">
              <w:rPr>
                <w:rFonts w:ascii="Times New Roman" w:hAnsi="Times New Roman"/>
                <w:color w:val="000000"/>
                <w:szCs w:val="22"/>
                <w:lang w:val="fr-FR"/>
              </w:rPr>
              <w:sym w:font="Symbol" w:char="F0B3"/>
            </w:r>
            <w:r w:rsidRPr="00653BF6">
              <w:rPr>
                <w:rFonts w:ascii="Times New Roman" w:hAnsi="Times New Roman"/>
                <w:color w:val="000000"/>
                <w:szCs w:val="22"/>
                <w:lang w:val="fr-FR"/>
              </w:rPr>
              <w:t> 1,5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25" w:author="Author">
              <w:r w:rsidR="00503B83" w:rsidRPr="00653BF6">
                <w:rPr>
                  <w:rFonts w:ascii="Times New Roman" w:hAnsi="Times New Roman"/>
                  <w:color w:val="000000"/>
                  <w:szCs w:val="22"/>
                  <w:lang w:val="fr-FR"/>
                </w:rPr>
                <w:t>L</w:t>
              </w:r>
            </w:ins>
            <w:del w:id="26" w:author="Author">
              <w:r w:rsidRPr="00653BF6" w:rsidDel="00503B83">
                <w:rPr>
                  <w:rFonts w:ascii="Times New Roman" w:hAnsi="Times New Roman"/>
                  <w:color w:val="000000"/>
                  <w:szCs w:val="22"/>
                  <w:lang w:val="fr-FR"/>
                </w:rPr>
                <w:delText>l</w:delText>
              </w:r>
            </w:del>
            <w:r w:rsidRPr="00653BF6">
              <w:rPr>
                <w:rFonts w:ascii="Times New Roman" w:hAnsi="Times New Roman"/>
                <w:color w:val="000000"/>
                <w:szCs w:val="22"/>
                <w:lang w:val="fr-FR"/>
              </w:rPr>
              <w:t xml:space="preserve"> et plaquettes </w:t>
            </w:r>
            <w:r w:rsidRPr="00653BF6">
              <w:rPr>
                <w:rFonts w:ascii="Times New Roman" w:hAnsi="Times New Roman"/>
                <w:color w:val="000000"/>
                <w:szCs w:val="22"/>
                <w:lang w:val="fr-FR"/>
              </w:rPr>
              <w:sym w:font="Symbol" w:char="F0B3"/>
            </w:r>
            <w:r w:rsidRPr="00653BF6">
              <w:rPr>
                <w:rFonts w:ascii="Times New Roman" w:hAnsi="Times New Roman"/>
                <w:color w:val="000000"/>
                <w:szCs w:val="22"/>
                <w:lang w:val="fr-FR"/>
              </w:rPr>
              <w:t> 75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27" w:author="Author">
              <w:r w:rsidR="00503B83" w:rsidRPr="00653BF6">
                <w:rPr>
                  <w:rFonts w:ascii="Times New Roman" w:hAnsi="Times New Roman"/>
                  <w:color w:val="000000"/>
                  <w:szCs w:val="22"/>
                  <w:lang w:val="fr-FR"/>
                </w:rPr>
                <w:t>L</w:t>
              </w:r>
            </w:ins>
            <w:del w:id="28" w:author="Author">
              <w:r w:rsidRPr="00653BF6" w:rsidDel="00503B83">
                <w:rPr>
                  <w:rFonts w:ascii="Times New Roman" w:hAnsi="Times New Roman"/>
                  <w:color w:val="000000"/>
                  <w:szCs w:val="22"/>
                  <w:lang w:val="fr-FR"/>
                </w:rPr>
                <w:delText>l</w:delText>
              </w:r>
            </w:del>
            <w:r w:rsidRPr="00653BF6">
              <w:rPr>
                <w:rFonts w:ascii="Times New Roman" w:hAnsi="Times New Roman"/>
                <w:color w:val="000000"/>
                <w:szCs w:val="22"/>
                <w:lang w:val="fr-FR"/>
              </w:rPr>
              <w:t>.</w:t>
            </w:r>
          </w:p>
          <w:p w14:paraId="72A7CFD0" w14:textId="77777777" w:rsidR="007D642D" w:rsidRPr="00653BF6" w:rsidRDefault="007D642D" w:rsidP="007F23EE">
            <w:pPr>
              <w:pStyle w:val="TableCarCarCarCarCarCarCarCarCar"/>
              <w:keepNext w:val="0"/>
              <w:keepLines w:val="0"/>
              <w:suppressLineNumbers/>
              <w:tabs>
                <w:tab w:val="clear" w:pos="284"/>
              </w:tabs>
              <w:spacing w:before="0" w:after="0"/>
              <w:ind w:left="469" w:hanging="469"/>
              <w:rPr>
                <w:rFonts w:ascii="Times New Roman" w:hAnsi="Times New Roman"/>
                <w:color w:val="000000"/>
                <w:szCs w:val="22"/>
                <w:lang w:val="fr-FR"/>
              </w:rPr>
            </w:pPr>
            <w:r w:rsidRPr="00653BF6">
              <w:rPr>
                <w:rFonts w:ascii="Times New Roman" w:hAnsi="Times New Roman"/>
                <w:color w:val="000000"/>
                <w:szCs w:val="22"/>
                <w:lang w:val="fr-FR"/>
              </w:rPr>
              <w:t>2.</w:t>
            </w:r>
            <w:r w:rsidRPr="00653BF6">
              <w:rPr>
                <w:rFonts w:ascii="Times New Roman" w:hAnsi="Times New Roman"/>
                <w:color w:val="000000"/>
                <w:szCs w:val="22"/>
                <w:lang w:val="fr-FR"/>
              </w:rPr>
              <w:tab/>
              <w:t>Reprendre le traitement par Glivec à la dose antérieure (c’est à dire avant l’effet indésirable sévère).</w:t>
            </w:r>
          </w:p>
          <w:p w14:paraId="2ADC4BE2" w14:textId="5F2BA51A" w:rsidR="007D642D" w:rsidRPr="00653BF6" w:rsidRDefault="007D642D" w:rsidP="007F23EE">
            <w:pPr>
              <w:pStyle w:val="EndnoteText"/>
              <w:tabs>
                <w:tab w:val="clear" w:pos="567"/>
              </w:tabs>
              <w:ind w:left="469" w:hanging="469"/>
              <w:rPr>
                <w:color w:val="000000"/>
                <w:szCs w:val="22"/>
                <w:lang w:val="fr-FR"/>
              </w:rPr>
            </w:pPr>
            <w:r w:rsidRPr="00653BF6">
              <w:rPr>
                <w:color w:val="000000"/>
                <w:szCs w:val="22"/>
                <w:lang w:val="fr-FR"/>
              </w:rPr>
              <w:t>3.</w:t>
            </w:r>
            <w:r w:rsidRPr="00653BF6">
              <w:rPr>
                <w:color w:val="000000"/>
                <w:szCs w:val="22"/>
                <w:lang w:val="fr-FR"/>
              </w:rPr>
              <w:tab/>
              <w:t>En cas de récidive de PN &lt; 1,0 x 10</w:t>
            </w:r>
            <w:r w:rsidRPr="00653BF6">
              <w:rPr>
                <w:color w:val="000000"/>
                <w:szCs w:val="22"/>
                <w:vertAlign w:val="superscript"/>
                <w:lang w:val="fr-FR"/>
              </w:rPr>
              <w:t>9</w:t>
            </w:r>
            <w:r w:rsidRPr="00653BF6">
              <w:rPr>
                <w:color w:val="000000"/>
                <w:szCs w:val="22"/>
                <w:lang w:val="fr-FR"/>
              </w:rPr>
              <w:t>/</w:t>
            </w:r>
            <w:ins w:id="29" w:author="Author">
              <w:r w:rsidR="00503B83" w:rsidRPr="00653BF6">
                <w:rPr>
                  <w:color w:val="000000"/>
                  <w:szCs w:val="22"/>
                  <w:lang w:val="fr-FR"/>
                </w:rPr>
                <w:t>L</w:t>
              </w:r>
            </w:ins>
            <w:del w:id="30" w:author="Author">
              <w:r w:rsidRPr="00653BF6" w:rsidDel="00503B83">
                <w:rPr>
                  <w:color w:val="000000"/>
                  <w:szCs w:val="22"/>
                  <w:lang w:val="fr-FR"/>
                </w:rPr>
                <w:delText>l</w:delText>
              </w:r>
            </w:del>
            <w:r w:rsidRPr="00653BF6">
              <w:rPr>
                <w:color w:val="000000"/>
                <w:szCs w:val="22"/>
                <w:lang w:val="fr-FR"/>
              </w:rPr>
              <w:t xml:space="preserve"> et/ou plaquettes &lt; 50 x 10</w:t>
            </w:r>
            <w:r w:rsidRPr="00653BF6">
              <w:rPr>
                <w:color w:val="000000"/>
                <w:szCs w:val="22"/>
                <w:vertAlign w:val="superscript"/>
                <w:lang w:val="fr-FR"/>
              </w:rPr>
              <w:t>9</w:t>
            </w:r>
            <w:r w:rsidRPr="00653BF6">
              <w:rPr>
                <w:color w:val="000000"/>
                <w:szCs w:val="22"/>
                <w:lang w:val="fr-FR"/>
              </w:rPr>
              <w:t>/</w:t>
            </w:r>
            <w:ins w:id="31" w:author="Author">
              <w:r w:rsidR="00503B83" w:rsidRPr="00653BF6">
                <w:rPr>
                  <w:color w:val="000000"/>
                  <w:szCs w:val="22"/>
                  <w:lang w:val="fr-FR"/>
                </w:rPr>
                <w:t>L</w:t>
              </w:r>
            </w:ins>
            <w:del w:id="32" w:author="Author">
              <w:r w:rsidRPr="00653BF6" w:rsidDel="00503B83">
                <w:rPr>
                  <w:color w:val="000000"/>
                  <w:szCs w:val="22"/>
                  <w:lang w:val="fr-FR"/>
                </w:rPr>
                <w:delText>l</w:delText>
              </w:r>
            </w:del>
            <w:r w:rsidRPr="00653BF6">
              <w:rPr>
                <w:color w:val="000000"/>
                <w:szCs w:val="22"/>
                <w:lang w:val="fr-FR"/>
              </w:rPr>
              <w:t>, répéter l</w:t>
            </w:r>
            <w:r w:rsidR="00813A7A">
              <w:rPr>
                <w:color w:val="000000"/>
                <w:szCs w:val="22"/>
                <w:lang w:val="fr-FR"/>
              </w:rPr>
              <w:t>’</w:t>
            </w:r>
            <w:r w:rsidRPr="00653BF6">
              <w:rPr>
                <w:color w:val="000000"/>
                <w:szCs w:val="22"/>
                <w:lang w:val="fr-FR"/>
              </w:rPr>
              <w:t>étape 1 puis reprendre Glivec à la dose de 300 mg.</w:t>
            </w:r>
          </w:p>
        </w:tc>
      </w:tr>
      <w:tr w:rsidR="007D642D" w:rsidRPr="00653BF6" w14:paraId="7AF0CE0B" w14:textId="77777777" w:rsidTr="00B92E0B">
        <w:trPr>
          <w:cantSplit/>
        </w:trPr>
        <w:tc>
          <w:tcPr>
            <w:tcW w:w="2376" w:type="dxa"/>
            <w:tcBorders>
              <w:bottom w:val="nil"/>
            </w:tcBorders>
          </w:tcPr>
          <w:p w14:paraId="29C04C31"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t>LMC en phase chronique en pédiatrie</w:t>
            </w:r>
          </w:p>
          <w:p w14:paraId="5137AC39"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t>(</w:t>
            </w:r>
            <w:proofErr w:type="gramStart"/>
            <w:r w:rsidRPr="00653BF6">
              <w:rPr>
                <w:color w:val="000000"/>
                <w:szCs w:val="22"/>
                <w:lang w:val="fr-FR"/>
              </w:rPr>
              <w:t>à</w:t>
            </w:r>
            <w:proofErr w:type="gramEnd"/>
            <w:r w:rsidRPr="00653BF6">
              <w:rPr>
                <w:color w:val="000000"/>
                <w:szCs w:val="22"/>
                <w:lang w:val="fr-FR"/>
              </w:rPr>
              <w:t xml:space="preserve"> la dose de 340 mg/m</w:t>
            </w:r>
            <w:r w:rsidRPr="00653BF6">
              <w:rPr>
                <w:color w:val="000000"/>
                <w:szCs w:val="22"/>
                <w:vertAlign w:val="superscript"/>
                <w:lang w:val="fr-FR"/>
              </w:rPr>
              <w:t>2</w:t>
            </w:r>
            <w:r w:rsidRPr="00653BF6">
              <w:rPr>
                <w:color w:val="000000"/>
                <w:szCs w:val="22"/>
                <w:lang w:val="fr-FR"/>
              </w:rPr>
              <w:t>)</w:t>
            </w:r>
          </w:p>
        </w:tc>
        <w:tc>
          <w:tcPr>
            <w:tcW w:w="2400" w:type="dxa"/>
            <w:tcBorders>
              <w:bottom w:val="nil"/>
            </w:tcBorders>
          </w:tcPr>
          <w:p w14:paraId="5FD6D7ED" w14:textId="73201DE9" w:rsidR="007D642D" w:rsidRPr="00653BF6" w:rsidRDefault="007D642D" w:rsidP="007F23EE">
            <w:pPr>
              <w:pStyle w:val="TableCarCarCarCarCarCarCarCarCar"/>
              <w:keepNext w:val="0"/>
              <w:keepLines w:val="0"/>
              <w:suppressLineNumbers/>
              <w:tabs>
                <w:tab w:val="clear" w:pos="284"/>
              </w:tabs>
              <w:spacing w:before="0" w:after="0"/>
              <w:rPr>
                <w:rFonts w:ascii="Times New Roman" w:hAnsi="Times New Roman"/>
                <w:color w:val="000000"/>
                <w:szCs w:val="22"/>
                <w:lang w:val="fr-FR"/>
              </w:rPr>
            </w:pPr>
            <w:r w:rsidRPr="00653BF6">
              <w:rPr>
                <w:rFonts w:ascii="Times New Roman" w:hAnsi="Times New Roman"/>
                <w:color w:val="000000"/>
                <w:szCs w:val="22"/>
                <w:lang w:val="fr-FR"/>
              </w:rPr>
              <w:t>PN &lt; 1,0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33" w:author="Author">
              <w:r w:rsidR="00503B83" w:rsidRPr="00653BF6">
                <w:rPr>
                  <w:rFonts w:ascii="Times New Roman" w:hAnsi="Times New Roman"/>
                  <w:color w:val="000000"/>
                  <w:szCs w:val="22"/>
                  <w:lang w:val="fr-FR"/>
                </w:rPr>
                <w:t>L</w:t>
              </w:r>
            </w:ins>
            <w:del w:id="34" w:author="Author">
              <w:r w:rsidRPr="00653BF6" w:rsidDel="00503B83">
                <w:rPr>
                  <w:rFonts w:ascii="Times New Roman" w:hAnsi="Times New Roman"/>
                  <w:color w:val="000000"/>
                  <w:szCs w:val="22"/>
                  <w:lang w:val="fr-FR"/>
                </w:rPr>
                <w:delText>l</w:delText>
              </w:r>
            </w:del>
          </w:p>
          <w:p w14:paraId="50269B67" w14:textId="77777777" w:rsidR="007D642D" w:rsidRPr="00653BF6" w:rsidRDefault="007D642D" w:rsidP="007F23EE">
            <w:pPr>
              <w:pStyle w:val="TableCarCarCarCarCarCarCarCarCar"/>
              <w:keepNext w:val="0"/>
              <w:keepLines w:val="0"/>
              <w:suppressLineNumbers/>
              <w:tabs>
                <w:tab w:val="clear" w:pos="284"/>
              </w:tabs>
              <w:spacing w:before="0" w:after="0"/>
              <w:rPr>
                <w:rFonts w:ascii="Times New Roman" w:hAnsi="Times New Roman"/>
                <w:color w:val="000000"/>
                <w:szCs w:val="22"/>
                <w:lang w:val="fr-FR"/>
              </w:rPr>
            </w:pPr>
            <w:proofErr w:type="gramStart"/>
            <w:r w:rsidRPr="00653BF6">
              <w:rPr>
                <w:rFonts w:ascii="Times New Roman" w:hAnsi="Times New Roman"/>
                <w:color w:val="000000"/>
                <w:szCs w:val="22"/>
                <w:lang w:val="fr-FR"/>
              </w:rPr>
              <w:t>et</w:t>
            </w:r>
            <w:proofErr w:type="gramEnd"/>
            <w:r w:rsidRPr="00653BF6">
              <w:rPr>
                <w:rFonts w:ascii="Times New Roman" w:hAnsi="Times New Roman"/>
                <w:color w:val="000000"/>
                <w:szCs w:val="22"/>
                <w:lang w:val="fr-FR"/>
              </w:rPr>
              <w:t>/ou</w:t>
            </w:r>
          </w:p>
          <w:p w14:paraId="7424A55E" w14:textId="10755473" w:rsidR="007D642D" w:rsidRPr="00653BF6" w:rsidRDefault="007D642D" w:rsidP="007F23EE">
            <w:pPr>
              <w:pStyle w:val="TableCarCarCarCarCarCarCarCarCar"/>
              <w:keepNext w:val="0"/>
              <w:keepLines w:val="0"/>
              <w:suppressLineNumbers/>
              <w:tabs>
                <w:tab w:val="clear" w:pos="284"/>
              </w:tabs>
              <w:spacing w:before="0" w:after="0"/>
              <w:rPr>
                <w:rFonts w:ascii="Times New Roman" w:hAnsi="Times New Roman"/>
                <w:color w:val="000000"/>
                <w:szCs w:val="22"/>
                <w:vertAlign w:val="superscript"/>
                <w:lang w:val="fr-FR"/>
              </w:rPr>
            </w:pPr>
            <w:proofErr w:type="gramStart"/>
            <w:r w:rsidRPr="00653BF6">
              <w:rPr>
                <w:rFonts w:ascii="Times New Roman" w:hAnsi="Times New Roman"/>
                <w:color w:val="000000"/>
                <w:szCs w:val="22"/>
                <w:lang w:val="fr-FR"/>
              </w:rPr>
              <w:t>plaquettes</w:t>
            </w:r>
            <w:proofErr w:type="gramEnd"/>
            <w:r w:rsidRPr="00653BF6">
              <w:rPr>
                <w:rFonts w:ascii="Times New Roman" w:hAnsi="Times New Roman"/>
                <w:color w:val="000000"/>
                <w:szCs w:val="22"/>
                <w:lang w:val="fr-FR"/>
              </w:rPr>
              <w:t xml:space="preserve"> &lt; 50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35" w:author="Author">
              <w:r w:rsidR="00503B83" w:rsidRPr="00653BF6">
                <w:rPr>
                  <w:rFonts w:ascii="Times New Roman" w:hAnsi="Times New Roman"/>
                  <w:color w:val="000000"/>
                  <w:szCs w:val="22"/>
                  <w:lang w:val="fr-FR"/>
                </w:rPr>
                <w:t>L</w:t>
              </w:r>
            </w:ins>
            <w:del w:id="36" w:author="Author">
              <w:r w:rsidRPr="00653BF6" w:rsidDel="00503B83">
                <w:rPr>
                  <w:rFonts w:ascii="Times New Roman" w:hAnsi="Times New Roman"/>
                  <w:color w:val="000000"/>
                  <w:szCs w:val="22"/>
                  <w:lang w:val="fr-FR"/>
                </w:rPr>
                <w:delText>l</w:delText>
              </w:r>
            </w:del>
          </w:p>
        </w:tc>
        <w:tc>
          <w:tcPr>
            <w:tcW w:w="4404" w:type="dxa"/>
            <w:tcBorders>
              <w:bottom w:val="nil"/>
            </w:tcBorders>
          </w:tcPr>
          <w:p w14:paraId="3CE8F704" w14:textId="1EA2ADA1" w:rsidR="007D642D" w:rsidRPr="00653BF6" w:rsidRDefault="007D642D" w:rsidP="007F23EE">
            <w:pPr>
              <w:pStyle w:val="TableCarCarCarCarCarCarCarCarCar"/>
              <w:keepNext w:val="0"/>
              <w:keepLines w:val="0"/>
              <w:suppressLineNumbers/>
              <w:tabs>
                <w:tab w:val="clear" w:pos="284"/>
              </w:tabs>
              <w:spacing w:before="0" w:after="0"/>
              <w:ind w:left="469" w:hanging="469"/>
              <w:rPr>
                <w:rFonts w:ascii="Times New Roman" w:hAnsi="Times New Roman"/>
                <w:color w:val="000000"/>
                <w:szCs w:val="22"/>
                <w:lang w:val="fr-FR"/>
              </w:rPr>
            </w:pPr>
            <w:r w:rsidRPr="00653BF6">
              <w:rPr>
                <w:rFonts w:ascii="Times New Roman" w:hAnsi="Times New Roman"/>
                <w:color w:val="000000"/>
                <w:szCs w:val="22"/>
                <w:lang w:val="fr-FR"/>
              </w:rPr>
              <w:t>1.</w:t>
            </w:r>
            <w:r w:rsidRPr="00653BF6">
              <w:rPr>
                <w:rFonts w:ascii="Times New Roman" w:hAnsi="Times New Roman"/>
                <w:color w:val="000000"/>
                <w:szCs w:val="22"/>
                <w:lang w:val="fr-FR"/>
              </w:rPr>
              <w:tab/>
              <w:t xml:space="preserve">Arrêter Glivec jusqu'à ce que PN </w:t>
            </w:r>
            <w:r w:rsidRPr="00653BF6">
              <w:rPr>
                <w:rFonts w:ascii="Times New Roman" w:hAnsi="Times New Roman"/>
                <w:color w:val="000000"/>
                <w:szCs w:val="22"/>
                <w:lang w:val="fr-FR"/>
              </w:rPr>
              <w:sym w:font="Symbol" w:char="F0B3"/>
            </w:r>
            <w:r w:rsidRPr="00653BF6">
              <w:rPr>
                <w:rFonts w:ascii="Times New Roman" w:hAnsi="Times New Roman"/>
                <w:color w:val="000000"/>
                <w:szCs w:val="22"/>
                <w:lang w:val="fr-FR"/>
              </w:rPr>
              <w:t> 1,5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37" w:author="Author">
              <w:r w:rsidR="00503B83" w:rsidRPr="00653BF6">
                <w:rPr>
                  <w:rFonts w:ascii="Times New Roman" w:hAnsi="Times New Roman"/>
                  <w:color w:val="000000"/>
                  <w:szCs w:val="22"/>
                  <w:lang w:val="fr-FR"/>
                </w:rPr>
                <w:t>L</w:t>
              </w:r>
            </w:ins>
            <w:del w:id="38" w:author="Author">
              <w:r w:rsidRPr="00653BF6" w:rsidDel="00503B83">
                <w:rPr>
                  <w:rFonts w:ascii="Times New Roman" w:hAnsi="Times New Roman"/>
                  <w:color w:val="000000"/>
                  <w:szCs w:val="22"/>
                  <w:lang w:val="fr-FR"/>
                </w:rPr>
                <w:delText>l</w:delText>
              </w:r>
            </w:del>
            <w:r w:rsidRPr="00653BF6">
              <w:rPr>
                <w:rFonts w:ascii="Times New Roman" w:hAnsi="Times New Roman"/>
                <w:color w:val="000000"/>
                <w:szCs w:val="22"/>
                <w:lang w:val="fr-FR"/>
              </w:rPr>
              <w:t xml:space="preserve"> et plaquettes </w:t>
            </w:r>
            <w:r w:rsidRPr="00653BF6">
              <w:rPr>
                <w:rFonts w:ascii="Times New Roman" w:hAnsi="Times New Roman"/>
                <w:color w:val="000000"/>
                <w:szCs w:val="22"/>
                <w:lang w:val="fr-FR"/>
              </w:rPr>
              <w:sym w:font="Symbol" w:char="F0B3"/>
            </w:r>
            <w:r w:rsidRPr="00653BF6">
              <w:rPr>
                <w:rFonts w:ascii="Times New Roman" w:hAnsi="Times New Roman"/>
                <w:color w:val="000000"/>
                <w:szCs w:val="22"/>
                <w:lang w:val="fr-FR"/>
              </w:rPr>
              <w:t> 75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39" w:author="Author">
              <w:r w:rsidR="00503B83" w:rsidRPr="00653BF6">
                <w:rPr>
                  <w:rFonts w:ascii="Times New Roman" w:hAnsi="Times New Roman"/>
                  <w:color w:val="000000"/>
                  <w:szCs w:val="22"/>
                  <w:lang w:val="fr-FR"/>
                </w:rPr>
                <w:t>L</w:t>
              </w:r>
            </w:ins>
            <w:del w:id="40" w:author="Author">
              <w:r w:rsidRPr="00653BF6" w:rsidDel="00503B83">
                <w:rPr>
                  <w:rFonts w:ascii="Times New Roman" w:hAnsi="Times New Roman"/>
                  <w:color w:val="000000"/>
                  <w:szCs w:val="22"/>
                  <w:lang w:val="fr-FR"/>
                </w:rPr>
                <w:delText>l</w:delText>
              </w:r>
            </w:del>
            <w:r w:rsidRPr="00653BF6">
              <w:rPr>
                <w:rFonts w:ascii="Times New Roman" w:hAnsi="Times New Roman"/>
                <w:color w:val="000000"/>
                <w:szCs w:val="22"/>
                <w:lang w:val="fr-FR"/>
              </w:rPr>
              <w:t>.</w:t>
            </w:r>
          </w:p>
          <w:p w14:paraId="505935A2" w14:textId="77777777" w:rsidR="007D642D" w:rsidRPr="00653BF6" w:rsidRDefault="007D642D" w:rsidP="007F23EE">
            <w:pPr>
              <w:pStyle w:val="TableCarCarCarCarCarCarCarCarCar"/>
              <w:keepNext w:val="0"/>
              <w:keepLines w:val="0"/>
              <w:suppressLineNumbers/>
              <w:tabs>
                <w:tab w:val="clear" w:pos="284"/>
              </w:tabs>
              <w:spacing w:before="0" w:after="0"/>
              <w:ind w:left="469" w:hanging="469"/>
              <w:rPr>
                <w:rFonts w:ascii="Times New Roman" w:hAnsi="Times New Roman"/>
                <w:color w:val="000000"/>
                <w:szCs w:val="22"/>
                <w:lang w:val="fr-FR"/>
              </w:rPr>
            </w:pPr>
            <w:r w:rsidRPr="00653BF6">
              <w:rPr>
                <w:rFonts w:ascii="Times New Roman" w:hAnsi="Times New Roman"/>
                <w:color w:val="000000"/>
                <w:szCs w:val="22"/>
                <w:lang w:val="fr-FR"/>
              </w:rPr>
              <w:t>2.</w:t>
            </w:r>
            <w:r w:rsidRPr="00653BF6">
              <w:rPr>
                <w:rFonts w:ascii="Times New Roman" w:hAnsi="Times New Roman"/>
                <w:color w:val="000000"/>
                <w:szCs w:val="22"/>
                <w:lang w:val="fr-FR"/>
              </w:rPr>
              <w:tab/>
              <w:t>Reprendre le traitement par Glivec à la dose antérieure (c’est à dire avant l’effet indésirable sévère).</w:t>
            </w:r>
          </w:p>
          <w:p w14:paraId="096B783F" w14:textId="4534103D" w:rsidR="007D642D" w:rsidRPr="00653BF6" w:rsidRDefault="007D642D" w:rsidP="007F23EE">
            <w:pPr>
              <w:pStyle w:val="TableCarCarCarCarCarCarCarCarCar"/>
              <w:keepNext w:val="0"/>
              <w:keepLines w:val="0"/>
              <w:suppressLineNumbers/>
              <w:tabs>
                <w:tab w:val="clear" w:pos="284"/>
              </w:tabs>
              <w:spacing w:before="0" w:after="0"/>
              <w:ind w:left="469" w:hanging="469"/>
              <w:rPr>
                <w:rFonts w:ascii="Times New Roman" w:hAnsi="Times New Roman"/>
                <w:color w:val="000000"/>
                <w:szCs w:val="22"/>
                <w:lang w:val="fr-FR"/>
              </w:rPr>
            </w:pPr>
            <w:r w:rsidRPr="00653BF6">
              <w:rPr>
                <w:rFonts w:ascii="Times New Roman" w:hAnsi="Times New Roman"/>
                <w:color w:val="000000"/>
                <w:szCs w:val="22"/>
                <w:lang w:val="fr-FR"/>
              </w:rPr>
              <w:t>3.</w:t>
            </w:r>
            <w:r w:rsidRPr="00653BF6">
              <w:rPr>
                <w:rFonts w:ascii="Times New Roman" w:hAnsi="Times New Roman"/>
                <w:color w:val="000000"/>
                <w:szCs w:val="22"/>
                <w:lang w:val="fr-FR"/>
              </w:rPr>
              <w:tab/>
              <w:t>En cas de récidive de PN &lt; 1,0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41" w:author="Author">
              <w:r w:rsidR="00503B83" w:rsidRPr="00653BF6">
                <w:rPr>
                  <w:rFonts w:ascii="Times New Roman" w:hAnsi="Times New Roman"/>
                  <w:color w:val="000000"/>
                  <w:szCs w:val="22"/>
                  <w:lang w:val="fr-FR"/>
                </w:rPr>
                <w:t>L</w:t>
              </w:r>
            </w:ins>
            <w:del w:id="42" w:author="Author">
              <w:r w:rsidRPr="00653BF6" w:rsidDel="00503B83">
                <w:rPr>
                  <w:rFonts w:ascii="Times New Roman" w:hAnsi="Times New Roman"/>
                  <w:color w:val="000000"/>
                  <w:szCs w:val="22"/>
                  <w:lang w:val="fr-FR"/>
                </w:rPr>
                <w:delText>l</w:delText>
              </w:r>
            </w:del>
            <w:r w:rsidRPr="00653BF6">
              <w:rPr>
                <w:rFonts w:ascii="Times New Roman" w:hAnsi="Times New Roman"/>
                <w:color w:val="000000"/>
                <w:szCs w:val="22"/>
                <w:lang w:val="fr-FR"/>
              </w:rPr>
              <w:t xml:space="preserve"> et/ou plaquettes &lt; 50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43" w:author="Author">
              <w:r w:rsidR="00503B83" w:rsidRPr="00653BF6">
                <w:rPr>
                  <w:rFonts w:ascii="Times New Roman" w:hAnsi="Times New Roman"/>
                  <w:color w:val="000000"/>
                  <w:szCs w:val="22"/>
                  <w:lang w:val="fr-FR"/>
                </w:rPr>
                <w:t>L</w:t>
              </w:r>
            </w:ins>
            <w:del w:id="44" w:author="Author">
              <w:r w:rsidRPr="00653BF6" w:rsidDel="00503B83">
                <w:rPr>
                  <w:rFonts w:ascii="Times New Roman" w:hAnsi="Times New Roman"/>
                  <w:color w:val="000000"/>
                  <w:szCs w:val="22"/>
                  <w:lang w:val="fr-FR"/>
                </w:rPr>
                <w:delText>l</w:delText>
              </w:r>
            </w:del>
            <w:r w:rsidRPr="00653BF6">
              <w:rPr>
                <w:rFonts w:ascii="Times New Roman" w:hAnsi="Times New Roman"/>
                <w:color w:val="000000"/>
                <w:szCs w:val="22"/>
                <w:lang w:val="fr-FR"/>
              </w:rPr>
              <w:t>, répéter l</w:t>
            </w:r>
            <w:r w:rsidR="00813A7A">
              <w:rPr>
                <w:rFonts w:ascii="Times New Roman" w:hAnsi="Times New Roman"/>
                <w:color w:val="000000"/>
                <w:szCs w:val="22"/>
                <w:lang w:val="fr-FR"/>
              </w:rPr>
              <w:t>’</w:t>
            </w:r>
            <w:r w:rsidRPr="00653BF6">
              <w:rPr>
                <w:rFonts w:ascii="Times New Roman" w:hAnsi="Times New Roman"/>
                <w:color w:val="000000"/>
                <w:szCs w:val="22"/>
                <w:lang w:val="fr-FR"/>
              </w:rPr>
              <w:t>étape 1 puis reprendre Glivec à la dose de 260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w:t>
            </w:r>
          </w:p>
        </w:tc>
      </w:tr>
      <w:tr w:rsidR="007D642D" w:rsidRPr="00653BF6" w14:paraId="2FA2A7E8" w14:textId="77777777" w:rsidTr="00B92E0B">
        <w:trPr>
          <w:cantSplit/>
        </w:trPr>
        <w:tc>
          <w:tcPr>
            <w:tcW w:w="2376" w:type="dxa"/>
            <w:tcBorders>
              <w:bottom w:val="single" w:sz="4" w:space="0" w:color="auto"/>
            </w:tcBorders>
          </w:tcPr>
          <w:p w14:paraId="031D6EF1"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t>LMC en phase accélérée ou crise blastique et LAL Ph+ (dose initiale 600 mg)</w:t>
            </w:r>
          </w:p>
        </w:tc>
        <w:tc>
          <w:tcPr>
            <w:tcW w:w="2400" w:type="dxa"/>
            <w:tcBorders>
              <w:bottom w:val="single" w:sz="4" w:space="0" w:color="auto"/>
            </w:tcBorders>
          </w:tcPr>
          <w:p w14:paraId="1B35B93E" w14:textId="4AAEB294" w:rsidR="007D642D" w:rsidRPr="00653BF6" w:rsidRDefault="007D642D" w:rsidP="007F23EE">
            <w:pPr>
              <w:pStyle w:val="TableCarCarCarCarCarCarCarCarCar"/>
              <w:keepNext w:val="0"/>
              <w:keepLines w:val="0"/>
              <w:suppressLineNumbers/>
              <w:tabs>
                <w:tab w:val="clear" w:pos="284"/>
              </w:tabs>
              <w:spacing w:before="0" w:after="0"/>
              <w:rPr>
                <w:rFonts w:ascii="Times New Roman" w:hAnsi="Times New Roman"/>
                <w:color w:val="000000"/>
                <w:szCs w:val="22"/>
                <w:lang w:val="fr-FR"/>
              </w:rPr>
            </w:pPr>
            <w:proofErr w:type="spellStart"/>
            <w:proofErr w:type="gramStart"/>
            <w:r w:rsidRPr="00653BF6">
              <w:rPr>
                <w:rFonts w:ascii="Times New Roman" w:hAnsi="Times New Roman"/>
                <w:color w:val="000000"/>
                <w:szCs w:val="22"/>
                <w:vertAlign w:val="superscript"/>
                <w:lang w:val="fr-FR"/>
              </w:rPr>
              <w:t>a</w:t>
            </w:r>
            <w:r w:rsidRPr="00653BF6">
              <w:rPr>
                <w:rFonts w:ascii="Times New Roman" w:hAnsi="Times New Roman"/>
                <w:color w:val="000000"/>
                <w:szCs w:val="22"/>
                <w:lang w:val="fr-FR"/>
              </w:rPr>
              <w:t>PN</w:t>
            </w:r>
            <w:proofErr w:type="spellEnd"/>
            <w:proofErr w:type="gramEnd"/>
            <w:r w:rsidRPr="00653BF6">
              <w:rPr>
                <w:rFonts w:ascii="Times New Roman" w:hAnsi="Times New Roman"/>
                <w:color w:val="000000"/>
                <w:szCs w:val="22"/>
                <w:lang w:val="fr-FR"/>
              </w:rPr>
              <w:t xml:space="preserve"> &lt; 0,5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45" w:author="Author">
              <w:r w:rsidR="00503B83" w:rsidRPr="00653BF6">
                <w:rPr>
                  <w:rFonts w:ascii="Times New Roman" w:hAnsi="Times New Roman"/>
                  <w:color w:val="000000"/>
                  <w:szCs w:val="22"/>
                  <w:lang w:val="fr-FR"/>
                </w:rPr>
                <w:t>L</w:t>
              </w:r>
            </w:ins>
            <w:del w:id="46" w:author="Author">
              <w:r w:rsidRPr="00653BF6" w:rsidDel="00503B83">
                <w:rPr>
                  <w:rFonts w:ascii="Times New Roman" w:hAnsi="Times New Roman"/>
                  <w:color w:val="000000"/>
                  <w:szCs w:val="22"/>
                  <w:lang w:val="fr-FR"/>
                </w:rPr>
                <w:delText>l</w:delText>
              </w:r>
            </w:del>
          </w:p>
          <w:p w14:paraId="77104103" w14:textId="77777777" w:rsidR="007D642D" w:rsidRPr="00653BF6" w:rsidRDefault="007D642D" w:rsidP="007F23EE">
            <w:pPr>
              <w:pStyle w:val="TableCarCarCarCarCarCarCarCarCar"/>
              <w:keepNext w:val="0"/>
              <w:keepLines w:val="0"/>
              <w:suppressLineNumbers/>
              <w:tabs>
                <w:tab w:val="clear" w:pos="284"/>
              </w:tabs>
              <w:spacing w:before="0" w:after="0"/>
              <w:rPr>
                <w:rFonts w:ascii="Times New Roman" w:hAnsi="Times New Roman"/>
                <w:color w:val="000000"/>
                <w:szCs w:val="22"/>
                <w:lang w:val="fr-FR"/>
              </w:rPr>
            </w:pPr>
            <w:proofErr w:type="gramStart"/>
            <w:r w:rsidRPr="00653BF6">
              <w:rPr>
                <w:rFonts w:ascii="Times New Roman" w:hAnsi="Times New Roman"/>
                <w:color w:val="000000"/>
                <w:szCs w:val="22"/>
                <w:lang w:val="fr-FR"/>
              </w:rPr>
              <w:t>et</w:t>
            </w:r>
            <w:proofErr w:type="gramEnd"/>
            <w:r w:rsidRPr="00653BF6">
              <w:rPr>
                <w:rFonts w:ascii="Times New Roman" w:hAnsi="Times New Roman"/>
                <w:color w:val="000000"/>
                <w:szCs w:val="22"/>
                <w:lang w:val="fr-FR"/>
              </w:rPr>
              <w:t>/ou</w:t>
            </w:r>
          </w:p>
          <w:p w14:paraId="459AF77E" w14:textId="01BF63CD" w:rsidR="007D642D" w:rsidRPr="00653BF6" w:rsidRDefault="007D642D" w:rsidP="007F23EE">
            <w:pPr>
              <w:pStyle w:val="EndnoteText"/>
              <w:tabs>
                <w:tab w:val="clear" w:pos="567"/>
              </w:tabs>
              <w:rPr>
                <w:color w:val="000000"/>
                <w:szCs w:val="22"/>
                <w:lang w:val="fr-FR"/>
              </w:rPr>
            </w:pPr>
            <w:proofErr w:type="gramStart"/>
            <w:r w:rsidRPr="00653BF6">
              <w:rPr>
                <w:color w:val="000000"/>
                <w:szCs w:val="22"/>
                <w:lang w:val="fr-FR"/>
              </w:rPr>
              <w:t>plaquettes</w:t>
            </w:r>
            <w:proofErr w:type="gramEnd"/>
            <w:r w:rsidRPr="00653BF6">
              <w:rPr>
                <w:color w:val="000000"/>
                <w:szCs w:val="22"/>
                <w:lang w:val="fr-FR"/>
              </w:rPr>
              <w:t xml:space="preserve"> &lt; 10 x 10</w:t>
            </w:r>
            <w:r w:rsidRPr="00653BF6">
              <w:rPr>
                <w:color w:val="000000"/>
                <w:szCs w:val="22"/>
                <w:vertAlign w:val="superscript"/>
                <w:lang w:val="fr-FR"/>
              </w:rPr>
              <w:t>9</w:t>
            </w:r>
            <w:r w:rsidRPr="00653BF6">
              <w:rPr>
                <w:color w:val="000000"/>
                <w:szCs w:val="22"/>
                <w:lang w:val="fr-FR"/>
              </w:rPr>
              <w:t>/</w:t>
            </w:r>
            <w:ins w:id="47" w:author="Author">
              <w:r w:rsidR="00503B83" w:rsidRPr="00653BF6">
                <w:rPr>
                  <w:color w:val="000000"/>
                  <w:szCs w:val="22"/>
                  <w:lang w:val="fr-FR"/>
                </w:rPr>
                <w:t>L</w:t>
              </w:r>
            </w:ins>
            <w:del w:id="48" w:author="Author">
              <w:r w:rsidRPr="00653BF6" w:rsidDel="00503B83">
                <w:rPr>
                  <w:color w:val="000000"/>
                  <w:szCs w:val="22"/>
                  <w:lang w:val="fr-FR"/>
                </w:rPr>
                <w:delText>l</w:delText>
              </w:r>
            </w:del>
          </w:p>
        </w:tc>
        <w:tc>
          <w:tcPr>
            <w:tcW w:w="4404" w:type="dxa"/>
            <w:tcBorders>
              <w:bottom w:val="single" w:sz="4" w:space="0" w:color="auto"/>
            </w:tcBorders>
          </w:tcPr>
          <w:p w14:paraId="651569B9" w14:textId="77777777" w:rsidR="007D642D" w:rsidRPr="00653BF6" w:rsidRDefault="007D642D" w:rsidP="007F23EE">
            <w:pPr>
              <w:pStyle w:val="TableCarCarCarCarCarCarCarCarCar"/>
              <w:keepNext w:val="0"/>
              <w:keepLines w:val="0"/>
              <w:suppressLineNumbers/>
              <w:tabs>
                <w:tab w:val="clear" w:pos="284"/>
              </w:tabs>
              <w:spacing w:before="0" w:after="0"/>
              <w:ind w:left="469" w:hanging="469"/>
              <w:rPr>
                <w:rFonts w:ascii="Times New Roman" w:hAnsi="Times New Roman"/>
                <w:color w:val="000000"/>
                <w:szCs w:val="22"/>
                <w:lang w:val="fr-FR"/>
              </w:rPr>
            </w:pPr>
            <w:r w:rsidRPr="00653BF6">
              <w:rPr>
                <w:rFonts w:ascii="Times New Roman" w:hAnsi="Times New Roman"/>
                <w:color w:val="000000"/>
                <w:szCs w:val="22"/>
                <w:lang w:val="fr-FR"/>
              </w:rPr>
              <w:t>1.</w:t>
            </w:r>
            <w:r w:rsidRPr="00653BF6">
              <w:rPr>
                <w:rFonts w:ascii="Times New Roman" w:hAnsi="Times New Roman"/>
                <w:color w:val="000000"/>
                <w:szCs w:val="22"/>
                <w:lang w:val="fr-FR"/>
              </w:rPr>
              <w:tab/>
              <w:t>Vérifier si la cytopénie est imputable à la leucémie (ponction ou biopsie médullaire).</w:t>
            </w:r>
          </w:p>
          <w:p w14:paraId="0185CCF5" w14:textId="0CAA37F5" w:rsidR="007D642D" w:rsidRPr="00653BF6" w:rsidRDefault="007D642D" w:rsidP="007F23EE">
            <w:pPr>
              <w:pStyle w:val="TableCarCarCarCarCarCarCarCarCar"/>
              <w:keepNext w:val="0"/>
              <w:keepLines w:val="0"/>
              <w:suppressLineNumbers/>
              <w:tabs>
                <w:tab w:val="clear" w:pos="284"/>
              </w:tabs>
              <w:spacing w:before="0" w:after="0"/>
              <w:ind w:left="469" w:hanging="469"/>
              <w:rPr>
                <w:rFonts w:ascii="Times New Roman" w:hAnsi="Times New Roman"/>
                <w:color w:val="000000"/>
                <w:szCs w:val="22"/>
                <w:lang w:val="fr-FR"/>
              </w:rPr>
            </w:pPr>
            <w:r w:rsidRPr="00653BF6">
              <w:rPr>
                <w:rFonts w:ascii="Times New Roman" w:hAnsi="Times New Roman"/>
                <w:color w:val="000000"/>
                <w:szCs w:val="22"/>
                <w:lang w:val="fr-FR"/>
              </w:rPr>
              <w:t>2.</w:t>
            </w:r>
            <w:r w:rsidRPr="00653BF6">
              <w:rPr>
                <w:rFonts w:ascii="Times New Roman" w:hAnsi="Times New Roman"/>
                <w:color w:val="000000"/>
                <w:szCs w:val="22"/>
                <w:lang w:val="fr-FR"/>
              </w:rPr>
              <w:tab/>
              <w:t>Si la cytopénie n</w:t>
            </w:r>
            <w:r w:rsidR="00813A7A">
              <w:rPr>
                <w:rFonts w:ascii="Times New Roman" w:hAnsi="Times New Roman"/>
                <w:color w:val="000000"/>
                <w:szCs w:val="22"/>
                <w:lang w:val="fr-FR"/>
              </w:rPr>
              <w:t>’</w:t>
            </w:r>
            <w:r w:rsidRPr="00653BF6">
              <w:rPr>
                <w:rFonts w:ascii="Times New Roman" w:hAnsi="Times New Roman"/>
                <w:color w:val="000000"/>
                <w:szCs w:val="22"/>
                <w:lang w:val="fr-FR"/>
              </w:rPr>
              <w:t>est pas imputable à la leucémie, diminuer la dose de Glivec à 400 mg.</w:t>
            </w:r>
          </w:p>
          <w:p w14:paraId="051471F4" w14:textId="77777777" w:rsidR="007D642D" w:rsidRPr="00653BF6" w:rsidRDefault="007D642D" w:rsidP="007F23EE">
            <w:pPr>
              <w:pStyle w:val="TableCarCarCarCarCarCarCarCarCar"/>
              <w:keepNext w:val="0"/>
              <w:keepLines w:val="0"/>
              <w:suppressLineNumbers/>
              <w:tabs>
                <w:tab w:val="clear" w:pos="284"/>
              </w:tabs>
              <w:spacing w:before="0" w:after="0"/>
              <w:ind w:left="469" w:hanging="469"/>
              <w:rPr>
                <w:rFonts w:ascii="Times New Roman" w:hAnsi="Times New Roman"/>
                <w:color w:val="000000"/>
                <w:szCs w:val="22"/>
                <w:lang w:val="fr-FR"/>
              </w:rPr>
            </w:pPr>
            <w:r w:rsidRPr="00653BF6">
              <w:rPr>
                <w:rFonts w:ascii="Times New Roman" w:hAnsi="Times New Roman"/>
                <w:color w:val="000000"/>
                <w:szCs w:val="22"/>
                <w:lang w:val="fr-FR"/>
              </w:rPr>
              <w:t>3.</w:t>
            </w:r>
            <w:r w:rsidRPr="00653BF6">
              <w:rPr>
                <w:rFonts w:ascii="Times New Roman" w:hAnsi="Times New Roman"/>
                <w:color w:val="000000"/>
                <w:szCs w:val="22"/>
                <w:lang w:val="fr-FR"/>
              </w:rPr>
              <w:tab/>
              <w:t>Si la cytopénie persiste pendant 2 semaines, diminuer encore la dose à 300 mg.</w:t>
            </w:r>
          </w:p>
          <w:p w14:paraId="7C6451CA" w14:textId="3708F96A" w:rsidR="007D642D" w:rsidRPr="00653BF6" w:rsidRDefault="007D642D" w:rsidP="007F23EE">
            <w:pPr>
              <w:pStyle w:val="EndnoteText"/>
              <w:tabs>
                <w:tab w:val="clear" w:pos="567"/>
              </w:tabs>
              <w:ind w:left="469" w:hanging="469"/>
              <w:rPr>
                <w:color w:val="000000"/>
                <w:szCs w:val="22"/>
                <w:lang w:val="fr-FR"/>
              </w:rPr>
            </w:pPr>
            <w:r w:rsidRPr="00653BF6">
              <w:rPr>
                <w:color w:val="000000"/>
                <w:szCs w:val="22"/>
                <w:lang w:val="fr-FR"/>
              </w:rPr>
              <w:t>4.</w:t>
            </w:r>
            <w:r w:rsidRPr="00653BF6">
              <w:rPr>
                <w:color w:val="000000"/>
                <w:szCs w:val="22"/>
                <w:lang w:val="fr-FR"/>
              </w:rPr>
              <w:tab/>
              <w:t>Si la cytopénie persiste pendant 4 semaines et n</w:t>
            </w:r>
            <w:r w:rsidR="00813A7A">
              <w:rPr>
                <w:color w:val="000000"/>
                <w:szCs w:val="22"/>
                <w:lang w:val="fr-FR"/>
              </w:rPr>
              <w:t>’</w:t>
            </w:r>
            <w:r w:rsidRPr="00653BF6">
              <w:rPr>
                <w:color w:val="000000"/>
                <w:szCs w:val="22"/>
                <w:lang w:val="fr-FR"/>
              </w:rPr>
              <w:t xml:space="preserve">est toujours pas imputable à la leucémie, arrêter Glivec jusqu'à ce que PN </w:t>
            </w:r>
            <w:r w:rsidRPr="00653BF6">
              <w:rPr>
                <w:color w:val="000000"/>
                <w:szCs w:val="22"/>
                <w:lang w:val="fr-FR"/>
              </w:rPr>
              <w:sym w:font="Symbol" w:char="F0B3"/>
            </w:r>
            <w:r w:rsidRPr="00653BF6">
              <w:rPr>
                <w:color w:val="000000"/>
                <w:szCs w:val="22"/>
                <w:lang w:val="fr-FR"/>
              </w:rPr>
              <w:t> 1 x 10</w:t>
            </w:r>
            <w:r w:rsidRPr="00653BF6">
              <w:rPr>
                <w:color w:val="000000"/>
                <w:szCs w:val="22"/>
                <w:vertAlign w:val="superscript"/>
                <w:lang w:val="fr-FR"/>
              </w:rPr>
              <w:t>9</w:t>
            </w:r>
            <w:r w:rsidRPr="00653BF6">
              <w:rPr>
                <w:color w:val="000000"/>
                <w:szCs w:val="22"/>
                <w:lang w:val="fr-FR"/>
              </w:rPr>
              <w:t>/</w:t>
            </w:r>
            <w:ins w:id="49" w:author="Author">
              <w:r w:rsidR="00503B83" w:rsidRPr="00653BF6">
                <w:rPr>
                  <w:color w:val="000000"/>
                  <w:szCs w:val="22"/>
                  <w:lang w:val="fr-FR"/>
                </w:rPr>
                <w:t>L</w:t>
              </w:r>
            </w:ins>
            <w:del w:id="50" w:author="Author">
              <w:r w:rsidRPr="00653BF6" w:rsidDel="00503B83">
                <w:rPr>
                  <w:color w:val="000000"/>
                  <w:szCs w:val="22"/>
                  <w:lang w:val="fr-FR"/>
                </w:rPr>
                <w:delText>l</w:delText>
              </w:r>
            </w:del>
            <w:r w:rsidRPr="00653BF6">
              <w:rPr>
                <w:color w:val="000000"/>
                <w:szCs w:val="22"/>
                <w:lang w:val="fr-FR"/>
              </w:rPr>
              <w:t xml:space="preserve"> et plaquettes </w:t>
            </w:r>
            <w:r w:rsidRPr="00653BF6">
              <w:rPr>
                <w:color w:val="000000"/>
                <w:szCs w:val="22"/>
                <w:lang w:val="fr-FR"/>
              </w:rPr>
              <w:sym w:font="Symbol" w:char="F0B3"/>
            </w:r>
            <w:r w:rsidRPr="00653BF6">
              <w:rPr>
                <w:color w:val="000000"/>
                <w:szCs w:val="22"/>
                <w:lang w:val="fr-FR"/>
              </w:rPr>
              <w:t> 20 x 10</w:t>
            </w:r>
            <w:r w:rsidRPr="00653BF6">
              <w:rPr>
                <w:color w:val="000000"/>
                <w:szCs w:val="22"/>
                <w:vertAlign w:val="superscript"/>
                <w:lang w:val="fr-FR"/>
              </w:rPr>
              <w:t>9</w:t>
            </w:r>
            <w:r w:rsidRPr="00653BF6">
              <w:rPr>
                <w:color w:val="000000"/>
                <w:szCs w:val="22"/>
                <w:lang w:val="fr-FR"/>
              </w:rPr>
              <w:t>/</w:t>
            </w:r>
            <w:ins w:id="51" w:author="Author">
              <w:r w:rsidR="00503B83" w:rsidRPr="00653BF6">
                <w:rPr>
                  <w:color w:val="000000"/>
                  <w:szCs w:val="22"/>
                  <w:lang w:val="fr-FR"/>
                </w:rPr>
                <w:t>L</w:t>
              </w:r>
            </w:ins>
            <w:del w:id="52" w:author="Author">
              <w:r w:rsidRPr="00653BF6" w:rsidDel="00503B83">
                <w:rPr>
                  <w:color w:val="000000"/>
                  <w:szCs w:val="22"/>
                  <w:lang w:val="fr-FR"/>
                </w:rPr>
                <w:delText>l</w:delText>
              </w:r>
            </w:del>
            <w:r w:rsidRPr="00653BF6">
              <w:rPr>
                <w:color w:val="000000"/>
                <w:szCs w:val="22"/>
                <w:lang w:val="fr-FR"/>
              </w:rPr>
              <w:t>, puis reprendre le traitement à 300 mg.</w:t>
            </w:r>
          </w:p>
        </w:tc>
      </w:tr>
      <w:tr w:rsidR="007D642D" w:rsidRPr="00653BF6" w14:paraId="3B7B27CC" w14:textId="77777777" w:rsidTr="00B92E0B">
        <w:trPr>
          <w:cantSplit/>
        </w:trPr>
        <w:tc>
          <w:tcPr>
            <w:tcW w:w="2376" w:type="dxa"/>
            <w:tcBorders>
              <w:top w:val="single" w:sz="4" w:space="0" w:color="auto"/>
              <w:left w:val="single" w:sz="4" w:space="0" w:color="auto"/>
              <w:bottom w:val="single" w:sz="4" w:space="0" w:color="auto"/>
              <w:right w:val="single" w:sz="4" w:space="0" w:color="auto"/>
            </w:tcBorders>
          </w:tcPr>
          <w:p w14:paraId="0E102AB4"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t>LMC en phase accélérée ou en crise blastique en pédiatrie</w:t>
            </w:r>
          </w:p>
          <w:p w14:paraId="1D42F071" w14:textId="77777777" w:rsidR="007D642D" w:rsidRPr="00653BF6" w:rsidRDefault="007D642D" w:rsidP="007F23EE">
            <w:pPr>
              <w:pStyle w:val="EndnoteText"/>
              <w:tabs>
                <w:tab w:val="clear" w:pos="567"/>
              </w:tabs>
              <w:rPr>
                <w:color w:val="000000"/>
                <w:szCs w:val="22"/>
                <w:lang w:val="fr-FR"/>
              </w:rPr>
            </w:pPr>
            <w:r w:rsidRPr="00653BF6">
              <w:rPr>
                <w:color w:val="000000"/>
                <w:szCs w:val="22"/>
                <w:lang w:val="fr-FR"/>
              </w:rPr>
              <w:t>(</w:t>
            </w:r>
            <w:proofErr w:type="gramStart"/>
            <w:r w:rsidRPr="00653BF6">
              <w:rPr>
                <w:color w:val="000000"/>
                <w:szCs w:val="22"/>
                <w:lang w:val="fr-FR"/>
              </w:rPr>
              <w:t>à</w:t>
            </w:r>
            <w:proofErr w:type="gramEnd"/>
            <w:r w:rsidRPr="00653BF6">
              <w:rPr>
                <w:color w:val="000000"/>
                <w:szCs w:val="22"/>
                <w:lang w:val="fr-FR"/>
              </w:rPr>
              <w:t xml:space="preserve"> la dose de 340 mg/m</w:t>
            </w:r>
            <w:r w:rsidRPr="00653BF6">
              <w:rPr>
                <w:color w:val="000000"/>
                <w:szCs w:val="22"/>
                <w:vertAlign w:val="superscript"/>
                <w:lang w:val="fr-FR"/>
              </w:rPr>
              <w:t>2</w:t>
            </w:r>
            <w:r w:rsidRPr="00653BF6">
              <w:rPr>
                <w:color w:val="000000"/>
                <w:szCs w:val="22"/>
                <w:lang w:val="fr-FR"/>
              </w:rPr>
              <w:t>)</w:t>
            </w:r>
          </w:p>
        </w:tc>
        <w:tc>
          <w:tcPr>
            <w:tcW w:w="2400" w:type="dxa"/>
            <w:tcBorders>
              <w:top w:val="single" w:sz="4" w:space="0" w:color="auto"/>
              <w:left w:val="single" w:sz="4" w:space="0" w:color="auto"/>
              <w:bottom w:val="single" w:sz="4" w:space="0" w:color="auto"/>
              <w:right w:val="single" w:sz="4" w:space="0" w:color="auto"/>
            </w:tcBorders>
          </w:tcPr>
          <w:p w14:paraId="2C0EE99B" w14:textId="422DF222" w:rsidR="007D642D" w:rsidRPr="00653BF6" w:rsidRDefault="007D642D" w:rsidP="007F23EE">
            <w:pPr>
              <w:pStyle w:val="TableCarCarCarCarCarCarCarCarCar"/>
              <w:keepNext w:val="0"/>
              <w:keepLines w:val="0"/>
              <w:suppressLineNumbers/>
              <w:tabs>
                <w:tab w:val="clear" w:pos="284"/>
              </w:tabs>
              <w:spacing w:before="0" w:after="0"/>
              <w:rPr>
                <w:rFonts w:ascii="Times New Roman" w:hAnsi="Times New Roman"/>
                <w:color w:val="000000"/>
                <w:szCs w:val="22"/>
                <w:lang w:val="fr-FR"/>
              </w:rPr>
            </w:pPr>
            <w:proofErr w:type="spellStart"/>
            <w:proofErr w:type="gramStart"/>
            <w:r w:rsidRPr="00653BF6">
              <w:rPr>
                <w:color w:val="000000"/>
                <w:szCs w:val="22"/>
                <w:vertAlign w:val="superscript"/>
                <w:lang w:val="fr-FR"/>
              </w:rPr>
              <w:t>a</w:t>
            </w:r>
            <w:r w:rsidRPr="00653BF6">
              <w:rPr>
                <w:rFonts w:ascii="Times New Roman" w:hAnsi="Times New Roman"/>
                <w:color w:val="000000"/>
                <w:szCs w:val="22"/>
                <w:lang w:val="fr-FR"/>
              </w:rPr>
              <w:t>PN</w:t>
            </w:r>
            <w:proofErr w:type="spellEnd"/>
            <w:proofErr w:type="gramEnd"/>
            <w:r w:rsidRPr="00653BF6">
              <w:rPr>
                <w:rFonts w:ascii="Times New Roman" w:hAnsi="Times New Roman"/>
                <w:color w:val="000000"/>
                <w:szCs w:val="22"/>
                <w:lang w:val="fr-FR"/>
              </w:rPr>
              <w:t xml:space="preserve"> &lt; 0,5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53" w:author="Author">
              <w:r w:rsidR="00503B83" w:rsidRPr="00653BF6">
                <w:rPr>
                  <w:rFonts w:ascii="Times New Roman" w:hAnsi="Times New Roman"/>
                  <w:color w:val="000000"/>
                  <w:szCs w:val="22"/>
                  <w:lang w:val="fr-FR"/>
                </w:rPr>
                <w:t>L</w:t>
              </w:r>
            </w:ins>
            <w:del w:id="54" w:author="Author">
              <w:r w:rsidRPr="00653BF6" w:rsidDel="00503B83">
                <w:rPr>
                  <w:rFonts w:ascii="Times New Roman" w:hAnsi="Times New Roman"/>
                  <w:color w:val="000000"/>
                  <w:szCs w:val="22"/>
                  <w:lang w:val="fr-FR"/>
                </w:rPr>
                <w:delText>l</w:delText>
              </w:r>
            </w:del>
          </w:p>
          <w:p w14:paraId="5324AEE2" w14:textId="77777777" w:rsidR="007D642D" w:rsidRPr="00653BF6" w:rsidRDefault="007D642D" w:rsidP="007F23EE">
            <w:pPr>
              <w:pStyle w:val="TableCarCarCarCarCarCarCarCarCar"/>
              <w:keepNext w:val="0"/>
              <w:keepLines w:val="0"/>
              <w:suppressLineNumbers/>
              <w:tabs>
                <w:tab w:val="clear" w:pos="284"/>
              </w:tabs>
              <w:spacing w:before="0" w:after="0"/>
              <w:rPr>
                <w:rFonts w:ascii="Times New Roman" w:hAnsi="Times New Roman"/>
                <w:color w:val="000000"/>
                <w:szCs w:val="22"/>
                <w:lang w:val="fr-FR"/>
              </w:rPr>
            </w:pPr>
            <w:proofErr w:type="gramStart"/>
            <w:r w:rsidRPr="00653BF6">
              <w:rPr>
                <w:rFonts w:ascii="Times New Roman" w:hAnsi="Times New Roman"/>
                <w:color w:val="000000"/>
                <w:szCs w:val="22"/>
                <w:lang w:val="fr-FR"/>
              </w:rPr>
              <w:t>et</w:t>
            </w:r>
            <w:proofErr w:type="gramEnd"/>
            <w:r w:rsidRPr="00653BF6">
              <w:rPr>
                <w:rFonts w:ascii="Times New Roman" w:hAnsi="Times New Roman"/>
                <w:color w:val="000000"/>
                <w:szCs w:val="22"/>
                <w:lang w:val="fr-FR"/>
              </w:rPr>
              <w:t>/ou</w:t>
            </w:r>
          </w:p>
          <w:p w14:paraId="4155EA32" w14:textId="0C7C708B" w:rsidR="007D642D" w:rsidRPr="00653BF6" w:rsidRDefault="007D642D" w:rsidP="007F23EE">
            <w:pPr>
              <w:pStyle w:val="TableCarCarCarCarCarCarCarCarCar"/>
              <w:keepNext w:val="0"/>
              <w:keepLines w:val="0"/>
              <w:suppressLineNumbers/>
              <w:tabs>
                <w:tab w:val="clear" w:pos="284"/>
              </w:tabs>
              <w:spacing w:before="0" w:after="0"/>
              <w:rPr>
                <w:rFonts w:ascii="Times New Roman" w:hAnsi="Times New Roman"/>
                <w:color w:val="000000"/>
                <w:szCs w:val="22"/>
                <w:vertAlign w:val="superscript"/>
                <w:lang w:val="fr-FR"/>
              </w:rPr>
            </w:pPr>
            <w:proofErr w:type="gramStart"/>
            <w:r w:rsidRPr="00653BF6">
              <w:rPr>
                <w:rFonts w:ascii="Times New Roman" w:hAnsi="Times New Roman"/>
                <w:color w:val="000000"/>
                <w:szCs w:val="22"/>
                <w:lang w:val="fr-FR"/>
              </w:rPr>
              <w:t>plaquettes</w:t>
            </w:r>
            <w:proofErr w:type="gramEnd"/>
            <w:r w:rsidRPr="00653BF6">
              <w:rPr>
                <w:rFonts w:ascii="Times New Roman" w:hAnsi="Times New Roman"/>
                <w:color w:val="000000"/>
                <w:szCs w:val="22"/>
                <w:lang w:val="fr-FR"/>
              </w:rPr>
              <w:t xml:space="preserve"> &lt; 10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55" w:author="Author">
              <w:r w:rsidR="00503B83" w:rsidRPr="00653BF6">
                <w:rPr>
                  <w:rFonts w:ascii="Times New Roman" w:hAnsi="Times New Roman"/>
                  <w:color w:val="000000"/>
                  <w:szCs w:val="22"/>
                  <w:lang w:val="fr-FR"/>
                </w:rPr>
                <w:t>L</w:t>
              </w:r>
            </w:ins>
            <w:del w:id="56" w:author="Author">
              <w:r w:rsidRPr="00653BF6" w:rsidDel="00503B83">
                <w:rPr>
                  <w:rFonts w:ascii="Times New Roman" w:hAnsi="Times New Roman"/>
                  <w:color w:val="000000"/>
                  <w:szCs w:val="22"/>
                  <w:lang w:val="fr-FR"/>
                </w:rPr>
                <w:delText>l</w:delText>
              </w:r>
            </w:del>
          </w:p>
        </w:tc>
        <w:tc>
          <w:tcPr>
            <w:tcW w:w="4404" w:type="dxa"/>
            <w:tcBorders>
              <w:top w:val="single" w:sz="4" w:space="0" w:color="auto"/>
              <w:left w:val="single" w:sz="4" w:space="0" w:color="auto"/>
              <w:bottom w:val="single" w:sz="4" w:space="0" w:color="auto"/>
              <w:right w:val="single" w:sz="4" w:space="0" w:color="auto"/>
            </w:tcBorders>
          </w:tcPr>
          <w:p w14:paraId="18064EB1" w14:textId="77777777" w:rsidR="007D642D" w:rsidRPr="00653BF6" w:rsidRDefault="007D642D" w:rsidP="007F23EE">
            <w:pPr>
              <w:pStyle w:val="TableCarCarCarCarCarCarCarCarCar"/>
              <w:keepNext w:val="0"/>
              <w:keepLines w:val="0"/>
              <w:suppressLineNumbers/>
              <w:tabs>
                <w:tab w:val="clear" w:pos="284"/>
              </w:tabs>
              <w:spacing w:before="0" w:after="0"/>
              <w:ind w:left="469" w:hanging="425"/>
              <w:rPr>
                <w:rFonts w:ascii="Times New Roman" w:hAnsi="Times New Roman"/>
                <w:color w:val="000000"/>
                <w:szCs w:val="22"/>
                <w:lang w:val="fr-FR"/>
              </w:rPr>
            </w:pPr>
            <w:r w:rsidRPr="00653BF6">
              <w:rPr>
                <w:rFonts w:ascii="Times New Roman" w:hAnsi="Times New Roman"/>
                <w:color w:val="000000"/>
                <w:szCs w:val="22"/>
                <w:lang w:val="fr-FR"/>
              </w:rPr>
              <w:t>1.</w:t>
            </w:r>
            <w:r w:rsidRPr="00653BF6">
              <w:rPr>
                <w:rFonts w:ascii="Times New Roman" w:hAnsi="Times New Roman"/>
                <w:color w:val="000000"/>
                <w:szCs w:val="22"/>
                <w:lang w:val="fr-FR"/>
              </w:rPr>
              <w:tab/>
              <w:t>Vérifier si la cytopénie est imputable à la leucémie (ponction ou biopsie médullaire).</w:t>
            </w:r>
          </w:p>
          <w:p w14:paraId="45059D90" w14:textId="07131E87" w:rsidR="007D642D" w:rsidRPr="00653BF6" w:rsidRDefault="007D642D" w:rsidP="007F23EE">
            <w:pPr>
              <w:pStyle w:val="TableCarCarCarCarCarCarCarCarCar"/>
              <w:keepNext w:val="0"/>
              <w:keepLines w:val="0"/>
              <w:suppressLineNumbers/>
              <w:tabs>
                <w:tab w:val="clear" w:pos="284"/>
              </w:tabs>
              <w:spacing w:before="0" w:after="0"/>
              <w:ind w:left="469" w:hanging="425"/>
              <w:rPr>
                <w:rFonts w:ascii="Times New Roman" w:hAnsi="Times New Roman"/>
                <w:color w:val="000000"/>
                <w:szCs w:val="22"/>
                <w:lang w:val="fr-FR"/>
              </w:rPr>
            </w:pPr>
            <w:r w:rsidRPr="00653BF6">
              <w:rPr>
                <w:rFonts w:ascii="Times New Roman" w:hAnsi="Times New Roman"/>
                <w:color w:val="000000"/>
                <w:szCs w:val="22"/>
                <w:lang w:val="fr-FR"/>
              </w:rPr>
              <w:t>2.</w:t>
            </w:r>
            <w:r w:rsidRPr="00653BF6">
              <w:rPr>
                <w:rFonts w:ascii="Times New Roman" w:hAnsi="Times New Roman"/>
                <w:color w:val="000000"/>
                <w:szCs w:val="22"/>
                <w:lang w:val="fr-FR"/>
              </w:rPr>
              <w:tab/>
              <w:t>Si la cytopénie n</w:t>
            </w:r>
            <w:r w:rsidR="00813A7A">
              <w:rPr>
                <w:rFonts w:ascii="Times New Roman" w:hAnsi="Times New Roman"/>
                <w:color w:val="000000"/>
                <w:szCs w:val="22"/>
                <w:lang w:val="fr-FR"/>
              </w:rPr>
              <w:t>’</w:t>
            </w:r>
            <w:r w:rsidRPr="00653BF6">
              <w:rPr>
                <w:rFonts w:ascii="Times New Roman" w:hAnsi="Times New Roman"/>
                <w:color w:val="000000"/>
                <w:szCs w:val="22"/>
                <w:lang w:val="fr-FR"/>
              </w:rPr>
              <w:t>est pas imputable à la leucémie, diminuer la dose de Glivec à 260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w:t>
            </w:r>
          </w:p>
          <w:p w14:paraId="037A7F2C" w14:textId="77777777" w:rsidR="007D642D" w:rsidRPr="00653BF6" w:rsidRDefault="007D642D" w:rsidP="007F23EE">
            <w:pPr>
              <w:pStyle w:val="TableCarCarCarCarCarCarCarCarCar"/>
              <w:keepNext w:val="0"/>
              <w:keepLines w:val="0"/>
              <w:suppressLineNumbers/>
              <w:tabs>
                <w:tab w:val="clear" w:pos="284"/>
              </w:tabs>
              <w:spacing w:before="0" w:after="0"/>
              <w:ind w:left="469" w:hanging="425"/>
              <w:rPr>
                <w:rFonts w:ascii="Times New Roman" w:hAnsi="Times New Roman"/>
                <w:color w:val="000000"/>
                <w:szCs w:val="22"/>
                <w:lang w:val="fr-FR"/>
              </w:rPr>
            </w:pPr>
            <w:r w:rsidRPr="00653BF6">
              <w:rPr>
                <w:rFonts w:ascii="Times New Roman" w:hAnsi="Times New Roman"/>
                <w:color w:val="000000"/>
                <w:szCs w:val="22"/>
                <w:lang w:val="fr-FR"/>
              </w:rPr>
              <w:t>3.</w:t>
            </w:r>
            <w:r w:rsidRPr="00653BF6">
              <w:rPr>
                <w:rFonts w:ascii="Times New Roman" w:hAnsi="Times New Roman"/>
                <w:color w:val="000000"/>
                <w:szCs w:val="22"/>
                <w:lang w:val="fr-FR"/>
              </w:rPr>
              <w:tab/>
              <w:t>Si la cytopénie persiste pendant 2 semaines, diminuer encore la dose à 200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w:t>
            </w:r>
          </w:p>
          <w:p w14:paraId="0D6D7701" w14:textId="0A695423" w:rsidR="007D642D" w:rsidRPr="00653BF6" w:rsidRDefault="007D642D" w:rsidP="007F23EE">
            <w:pPr>
              <w:pStyle w:val="TableCarCarCarCarCarCarCarCarCar"/>
              <w:keepNext w:val="0"/>
              <w:keepLines w:val="0"/>
              <w:suppressLineNumbers/>
              <w:tabs>
                <w:tab w:val="clear" w:pos="284"/>
              </w:tabs>
              <w:spacing w:before="0" w:after="0"/>
              <w:ind w:left="469" w:hanging="425"/>
              <w:rPr>
                <w:rFonts w:ascii="Times New Roman" w:hAnsi="Times New Roman"/>
                <w:color w:val="000000"/>
                <w:szCs w:val="22"/>
                <w:lang w:val="fr-FR"/>
              </w:rPr>
            </w:pPr>
            <w:r w:rsidRPr="00653BF6">
              <w:rPr>
                <w:rFonts w:ascii="Times New Roman" w:hAnsi="Times New Roman"/>
                <w:color w:val="000000"/>
                <w:szCs w:val="22"/>
                <w:lang w:val="fr-FR"/>
              </w:rPr>
              <w:t>4.</w:t>
            </w:r>
            <w:r w:rsidRPr="00653BF6">
              <w:rPr>
                <w:rFonts w:ascii="Times New Roman" w:hAnsi="Times New Roman"/>
                <w:color w:val="000000"/>
                <w:szCs w:val="22"/>
                <w:lang w:val="fr-FR"/>
              </w:rPr>
              <w:tab/>
              <w:t>Si la cytopénie persiste pendant 4 semaines et n</w:t>
            </w:r>
            <w:r w:rsidR="00813A7A">
              <w:rPr>
                <w:rFonts w:ascii="Times New Roman" w:hAnsi="Times New Roman"/>
                <w:color w:val="000000"/>
                <w:szCs w:val="22"/>
                <w:lang w:val="fr-FR"/>
              </w:rPr>
              <w:t>’</w:t>
            </w:r>
            <w:r w:rsidRPr="00653BF6">
              <w:rPr>
                <w:rFonts w:ascii="Times New Roman" w:hAnsi="Times New Roman"/>
                <w:color w:val="000000"/>
                <w:szCs w:val="22"/>
                <w:lang w:val="fr-FR"/>
              </w:rPr>
              <w:t xml:space="preserve">est toujours pas imputable à la leucémie, arrêter Glivec jusqu'à ce que PN </w:t>
            </w:r>
            <w:r w:rsidRPr="00653BF6">
              <w:rPr>
                <w:rFonts w:ascii="Times New Roman" w:hAnsi="Times New Roman"/>
                <w:color w:val="000000"/>
                <w:szCs w:val="22"/>
                <w:lang w:val="fr-FR"/>
              </w:rPr>
              <w:sym w:font="Symbol" w:char="F0B3"/>
            </w:r>
            <w:r w:rsidRPr="00653BF6">
              <w:rPr>
                <w:rFonts w:ascii="Times New Roman" w:hAnsi="Times New Roman"/>
                <w:color w:val="000000"/>
                <w:szCs w:val="22"/>
                <w:lang w:val="fr-FR"/>
              </w:rPr>
              <w:t> 1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57" w:author="Author">
              <w:r w:rsidR="00503B83" w:rsidRPr="00653BF6">
                <w:rPr>
                  <w:rFonts w:ascii="Times New Roman" w:hAnsi="Times New Roman"/>
                  <w:color w:val="000000"/>
                  <w:szCs w:val="22"/>
                  <w:lang w:val="fr-FR"/>
                </w:rPr>
                <w:t>L</w:t>
              </w:r>
            </w:ins>
            <w:del w:id="58" w:author="Author">
              <w:r w:rsidRPr="00653BF6" w:rsidDel="00503B83">
                <w:rPr>
                  <w:rFonts w:ascii="Times New Roman" w:hAnsi="Times New Roman"/>
                  <w:color w:val="000000"/>
                  <w:szCs w:val="22"/>
                  <w:lang w:val="fr-FR"/>
                </w:rPr>
                <w:delText>l</w:delText>
              </w:r>
            </w:del>
            <w:r w:rsidRPr="00653BF6">
              <w:rPr>
                <w:rFonts w:ascii="Times New Roman" w:hAnsi="Times New Roman"/>
                <w:color w:val="000000"/>
                <w:szCs w:val="22"/>
                <w:lang w:val="fr-FR"/>
              </w:rPr>
              <w:t xml:space="preserve"> et plaquettes </w:t>
            </w:r>
            <w:r w:rsidRPr="00653BF6">
              <w:rPr>
                <w:rFonts w:ascii="Times New Roman" w:hAnsi="Times New Roman"/>
                <w:color w:val="000000"/>
                <w:szCs w:val="22"/>
                <w:lang w:val="fr-FR"/>
              </w:rPr>
              <w:sym w:font="Symbol" w:char="F0B3"/>
            </w:r>
            <w:r w:rsidRPr="00653BF6">
              <w:rPr>
                <w:rFonts w:ascii="Times New Roman" w:hAnsi="Times New Roman"/>
                <w:color w:val="000000"/>
                <w:szCs w:val="22"/>
                <w:lang w:val="fr-FR"/>
              </w:rPr>
              <w:t> 20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59" w:author="Author">
              <w:r w:rsidR="00503B83" w:rsidRPr="00653BF6">
                <w:rPr>
                  <w:rFonts w:ascii="Times New Roman" w:hAnsi="Times New Roman"/>
                  <w:color w:val="000000"/>
                  <w:szCs w:val="22"/>
                  <w:lang w:val="fr-FR"/>
                </w:rPr>
                <w:t>L</w:t>
              </w:r>
            </w:ins>
            <w:del w:id="60" w:author="Author">
              <w:r w:rsidRPr="00653BF6" w:rsidDel="00503B83">
                <w:rPr>
                  <w:rFonts w:ascii="Times New Roman" w:hAnsi="Times New Roman"/>
                  <w:color w:val="000000"/>
                  <w:szCs w:val="22"/>
                  <w:lang w:val="fr-FR"/>
                </w:rPr>
                <w:delText>l</w:delText>
              </w:r>
            </w:del>
            <w:r w:rsidRPr="00653BF6">
              <w:rPr>
                <w:rFonts w:ascii="Times New Roman" w:hAnsi="Times New Roman"/>
                <w:color w:val="000000"/>
                <w:szCs w:val="22"/>
                <w:lang w:val="fr-FR"/>
              </w:rPr>
              <w:t>, puis reprendre le traitement à 200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w:t>
            </w:r>
          </w:p>
        </w:tc>
      </w:tr>
      <w:tr w:rsidR="007D642D" w:rsidRPr="00653BF6" w14:paraId="055A63FF" w14:textId="77777777" w:rsidTr="00B92E0B">
        <w:trPr>
          <w:cantSplit/>
        </w:trPr>
        <w:tc>
          <w:tcPr>
            <w:tcW w:w="2376" w:type="dxa"/>
            <w:tcBorders>
              <w:top w:val="single" w:sz="4" w:space="0" w:color="auto"/>
              <w:bottom w:val="nil"/>
            </w:tcBorders>
          </w:tcPr>
          <w:p w14:paraId="7EB28D0E" w14:textId="77777777" w:rsidR="007D642D" w:rsidRPr="00653BF6" w:rsidRDefault="007D642D" w:rsidP="007F23EE">
            <w:pPr>
              <w:pStyle w:val="EndnoteText"/>
              <w:keepNext/>
              <w:tabs>
                <w:tab w:val="clear" w:pos="567"/>
              </w:tabs>
              <w:rPr>
                <w:color w:val="000000"/>
                <w:szCs w:val="22"/>
                <w:lang w:val="fr-FR"/>
              </w:rPr>
            </w:pPr>
            <w:r w:rsidRPr="00653BF6">
              <w:rPr>
                <w:color w:val="000000"/>
                <w:szCs w:val="22"/>
                <w:lang w:val="fr-FR"/>
              </w:rPr>
              <w:lastRenderedPageBreak/>
              <w:t>DFSP</w:t>
            </w:r>
          </w:p>
          <w:p w14:paraId="22DA4B06" w14:textId="77777777" w:rsidR="007D642D" w:rsidRPr="00653BF6" w:rsidRDefault="007D642D" w:rsidP="007F23EE">
            <w:pPr>
              <w:pStyle w:val="EndnoteText"/>
              <w:keepNext/>
              <w:tabs>
                <w:tab w:val="clear" w:pos="567"/>
              </w:tabs>
              <w:rPr>
                <w:color w:val="000000"/>
                <w:szCs w:val="22"/>
                <w:lang w:val="fr-FR"/>
              </w:rPr>
            </w:pPr>
            <w:r w:rsidRPr="00653BF6">
              <w:rPr>
                <w:color w:val="000000"/>
                <w:szCs w:val="22"/>
                <w:lang w:val="fr-FR"/>
              </w:rPr>
              <w:t>(</w:t>
            </w:r>
            <w:proofErr w:type="gramStart"/>
            <w:r w:rsidRPr="00653BF6">
              <w:rPr>
                <w:color w:val="000000"/>
                <w:szCs w:val="22"/>
                <w:lang w:val="fr-FR"/>
              </w:rPr>
              <w:t>à</w:t>
            </w:r>
            <w:proofErr w:type="gramEnd"/>
            <w:r w:rsidRPr="00653BF6">
              <w:rPr>
                <w:color w:val="000000"/>
                <w:szCs w:val="22"/>
                <w:lang w:val="fr-FR"/>
              </w:rPr>
              <w:t xml:space="preserve"> la dose de 800 mg)</w:t>
            </w:r>
          </w:p>
        </w:tc>
        <w:tc>
          <w:tcPr>
            <w:tcW w:w="2400" w:type="dxa"/>
            <w:tcBorders>
              <w:top w:val="single" w:sz="4" w:space="0" w:color="auto"/>
              <w:bottom w:val="nil"/>
            </w:tcBorders>
          </w:tcPr>
          <w:p w14:paraId="2B7CDF40" w14:textId="0FFF2057" w:rsidR="007D642D" w:rsidRPr="00653BF6" w:rsidRDefault="007D642D" w:rsidP="007F23EE">
            <w:pPr>
              <w:pStyle w:val="TableCarCarCarCarCarCarCarCarCar"/>
              <w:keepLines w:val="0"/>
              <w:suppressLineNumbers/>
              <w:tabs>
                <w:tab w:val="clear" w:pos="284"/>
              </w:tabs>
              <w:spacing w:before="0" w:after="0"/>
              <w:rPr>
                <w:rFonts w:ascii="Times New Roman" w:hAnsi="Times New Roman"/>
                <w:color w:val="000000"/>
                <w:szCs w:val="22"/>
                <w:lang w:val="fr-FR"/>
              </w:rPr>
            </w:pPr>
            <w:r w:rsidRPr="00653BF6">
              <w:rPr>
                <w:rFonts w:ascii="Times New Roman" w:hAnsi="Times New Roman"/>
                <w:color w:val="000000"/>
                <w:szCs w:val="22"/>
                <w:lang w:val="fr-FR"/>
              </w:rPr>
              <w:t>PN &lt; 1,0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61" w:author="Author">
              <w:r w:rsidR="00503B83" w:rsidRPr="00653BF6">
                <w:rPr>
                  <w:rFonts w:ascii="Times New Roman" w:hAnsi="Times New Roman"/>
                  <w:color w:val="000000"/>
                  <w:szCs w:val="22"/>
                  <w:lang w:val="fr-FR"/>
                </w:rPr>
                <w:t>L</w:t>
              </w:r>
            </w:ins>
            <w:del w:id="62" w:author="Author">
              <w:r w:rsidRPr="00653BF6" w:rsidDel="00503B83">
                <w:rPr>
                  <w:rFonts w:ascii="Times New Roman" w:hAnsi="Times New Roman"/>
                  <w:color w:val="000000"/>
                  <w:szCs w:val="22"/>
                  <w:lang w:val="fr-FR"/>
                </w:rPr>
                <w:delText>l</w:delText>
              </w:r>
            </w:del>
          </w:p>
          <w:p w14:paraId="708D6B52" w14:textId="77777777" w:rsidR="007D642D" w:rsidRPr="00653BF6" w:rsidRDefault="007D642D" w:rsidP="007F23EE">
            <w:pPr>
              <w:pStyle w:val="TableCarCarCarCarCarCarCarCarCar"/>
              <w:keepLines w:val="0"/>
              <w:suppressLineNumbers/>
              <w:tabs>
                <w:tab w:val="clear" w:pos="284"/>
              </w:tabs>
              <w:spacing w:before="0" w:after="0"/>
              <w:rPr>
                <w:rFonts w:ascii="Times New Roman" w:hAnsi="Times New Roman"/>
                <w:color w:val="000000"/>
                <w:szCs w:val="22"/>
                <w:lang w:val="fr-FR"/>
              </w:rPr>
            </w:pPr>
            <w:proofErr w:type="gramStart"/>
            <w:r w:rsidRPr="00653BF6">
              <w:rPr>
                <w:rFonts w:ascii="Times New Roman" w:hAnsi="Times New Roman"/>
                <w:color w:val="000000"/>
                <w:szCs w:val="22"/>
                <w:lang w:val="fr-FR"/>
              </w:rPr>
              <w:t>et</w:t>
            </w:r>
            <w:proofErr w:type="gramEnd"/>
            <w:r w:rsidRPr="00653BF6">
              <w:rPr>
                <w:rFonts w:ascii="Times New Roman" w:hAnsi="Times New Roman"/>
                <w:color w:val="000000"/>
                <w:szCs w:val="22"/>
                <w:lang w:val="fr-FR"/>
              </w:rPr>
              <w:t>/ou</w:t>
            </w:r>
          </w:p>
          <w:p w14:paraId="7C5B1728" w14:textId="2727CCF2" w:rsidR="007D642D" w:rsidRPr="00653BF6" w:rsidRDefault="007D642D" w:rsidP="007F23EE">
            <w:pPr>
              <w:pStyle w:val="TableCarCarCarCarCarCarCarCarCar"/>
              <w:keepLines w:val="0"/>
              <w:suppressLineNumbers/>
              <w:tabs>
                <w:tab w:val="clear" w:pos="284"/>
              </w:tabs>
              <w:spacing w:before="0" w:after="0"/>
              <w:rPr>
                <w:rFonts w:ascii="Times New Roman" w:hAnsi="Times New Roman"/>
                <w:color w:val="000000"/>
                <w:szCs w:val="22"/>
                <w:lang w:val="fr-FR"/>
              </w:rPr>
            </w:pPr>
            <w:proofErr w:type="gramStart"/>
            <w:r w:rsidRPr="00653BF6">
              <w:rPr>
                <w:rFonts w:ascii="Times New Roman" w:hAnsi="Times New Roman"/>
                <w:color w:val="000000"/>
                <w:szCs w:val="22"/>
                <w:lang w:val="fr-FR"/>
              </w:rPr>
              <w:t>plaquettes</w:t>
            </w:r>
            <w:proofErr w:type="gramEnd"/>
            <w:r w:rsidRPr="00653BF6">
              <w:rPr>
                <w:rFonts w:ascii="Times New Roman" w:hAnsi="Times New Roman"/>
                <w:color w:val="000000"/>
                <w:szCs w:val="22"/>
                <w:lang w:val="fr-FR"/>
              </w:rPr>
              <w:t xml:space="preserve"> &lt; 50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63" w:author="Author">
              <w:r w:rsidR="00503B83" w:rsidRPr="00653BF6">
                <w:rPr>
                  <w:rFonts w:ascii="Times New Roman" w:hAnsi="Times New Roman"/>
                  <w:color w:val="000000"/>
                  <w:szCs w:val="22"/>
                  <w:lang w:val="fr-FR"/>
                </w:rPr>
                <w:t>L</w:t>
              </w:r>
            </w:ins>
            <w:del w:id="64" w:author="Author">
              <w:r w:rsidRPr="00653BF6" w:rsidDel="00503B83">
                <w:rPr>
                  <w:rFonts w:ascii="Times New Roman" w:hAnsi="Times New Roman"/>
                  <w:color w:val="000000"/>
                  <w:szCs w:val="22"/>
                  <w:lang w:val="fr-FR"/>
                </w:rPr>
                <w:delText>l</w:delText>
              </w:r>
            </w:del>
          </w:p>
          <w:p w14:paraId="4D9448CD" w14:textId="77777777" w:rsidR="007D642D" w:rsidRPr="00653BF6" w:rsidRDefault="007D642D" w:rsidP="007F23EE">
            <w:pPr>
              <w:pStyle w:val="TableCarCarCarCarCarCarCarCarCar"/>
              <w:keepLines w:val="0"/>
              <w:suppressLineNumbers/>
              <w:tabs>
                <w:tab w:val="clear" w:pos="284"/>
              </w:tabs>
              <w:spacing w:before="0" w:after="0"/>
              <w:rPr>
                <w:rFonts w:ascii="Times New Roman" w:hAnsi="Times New Roman"/>
                <w:color w:val="000000"/>
                <w:szCs w:val="22"/>
                <w:lang w:val="fr-FR"/>
              </w:rPr>
            </w:pPr>
          </w:p>
        </w:tc>
        <w:tc>
          <w:tcPr>
            <w:tcW w:w="4404" w:type="dxa"/>
            <w:tcBorders>
              <w:top w:val="single" w:sz="4" w:space="0" w:color="auto"/>
              <w:bottom w:val="nil"/>
            </w:tcBorders>
          </w:tcPr>
          <w:p w14:paraId="4CB9B045" w14:textId="025FC0FB" w:rsidR="007D642D" w:rsidRPr="00653BF6" w:rsidRDefault="007D642D" w:rsidP="007F23EE">
            <w:pPr>
              <w:pStyle w:val="TableCarCarCarCarCarCarCarCarCar"/>
              <w:keepLines w:val="0"/>
              <w:suppressLineNumbers/>
              <w:tabs>
                <w:tab w:val="clear" w:pos="284"/>
              </w:tabs>
              <w:spacing w:before="0" w:after="0"/>
              <w:ind w:left="469" w:hanging="469"/>
              <w:rPr>
                <w:rFonts w:ascii="Times New Roman" w:hAnsi="Times New Roman"/>
                <w:color w:val="000000"/>
                <w:szCs w:val="22"/>
                <w:lang w:val="fr-FR"/>
              </w:rPr>
            </w:pPr>
            <w:r w:rsidRPr="00653BF6">
              <w:rPr>
                <w:rFonts w:ascii="Times New Roman" w:hAnsi="Times New Roman"/>
                <w:color w:val="000000"/>
                <w:szCs w:val="22"/>
                <w:lang w:val="fr-FR"/>
              </w:rPr>
              <w:t>1.</w:t>
            </w:r>
            <w:r w:rsidRPr="00653BF6">
              <w:rPr>
                <w:rFonts w:ascii="Times New Roman" w:hAnsi="Times New Roman"/>
                <w:color w:val="000000"/>
                <w:szCs w:val="22"/>
                <w:lang w:val="fr-FR"/>
              </w:rPr>
              <w:tab/>
              <w:t xml:space="preserve">Arrêter Glivec jusqu'à ce que PN </w:t>
            </w:r>
            <w:r w:rsidRPr="00653BF6">
              <w:rPr>
                <w:rFonts w:ascii="Times New Roman" w:hAnsi="Times New Roman"/>
                <w:color w:val="000000"/>
                <w:szCs w:val="22"/>
                <w:lang w:val="fr-FR"/>
              </w:rPr>
              <w:sym w:font="Symbol" w:char="F0B3"/>
            </w:r>
            <w:r w:rsidRPr="00653BF6">
              <w:rPr>
                <w:rFonts w:ascii="Times New Roman" w:hAnsi="Times New Roman"/>
                <w:color w:val="000000"/>
                <w:szCs w:val="22"/>
                <w:lang w:val="fr-FR"/>
              </w:rPr>
              <w:t> 1,5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65" w:author="Author">
              <w:r w:rsidR="00503B83" w:rsidRPr="00653BF6">
                <w:rPr>
                  <w:rFonts w:ascii="Times New Roman" w:hAnsi="Times New Roman"/>
                  <w:color w:val="000000"/>
                  <w:szCs w:val="22"/>
                  <w:lang w:val="fr-FR"/>
                </w:rPr>
                <w:t>L</w:t>
              </w:r>
            </w:ins>
            <w:del w:id="66" w:author="Author">
              <w:r w:rsidRPr="00653BF6" w:rsidDel="00503B83">
                <w:rPr>
                  <w:rFonts w:ascii="Times New Roman" w:hAnsi="Times New Roman"/>
                  <w:color w:val="000000"/>
                  <w:szCs w:val="22"/>
                  <w:lang w:val="fr-FR"/>
                </w:rPr>
                <w:delText>l</w:delText>
              </w:r>
            </w:del>
            <w:r w:rsidRPr="00653BF6">
              <w:rPr>
                <w:rFonts w:ascii="Times New Roman" w:hAnsi="Times New Roman"/>
                <w:color w:val="000000"/>
                <w:szCs w:val="22"/>
                <w:lang w:val="fr-FR"/>
              </w:rPr>
              <w:t xml:space="preserve"> et plaquettes </w:t>
            </w:r>
            <w:r w:rsidRPr="00653BF6">
              <w:rPr>
                <w:rFonts w:ascii="Times New Roman" w:hAnsi="Times New Roman"/>
                <w:color w:val="000000"/>
                <w:szCs w:val="22"/>
                <w:lang w:val="fr-FR"/>
              </w:rPr>
              <w:sym w:font="Symbol" w:char="F0B3"/>
            </w:r>
            <w:r w:rsidRPr="00653BF6">
              <w:rPr>
                <w:rFonts w:ascii="Times New Roman" w:hAnsi="Times New Roman"/>
                <w:color w:val="000000"/>
                <w:szCs w:val="22"/>
                <w:lang w:val="fr-FR"/>
              </w:rPr>
              <w:t> 75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67" w:author="Author">
              <w:r w:rsidR="00503B83" w:rsidRPr="00653BF6">
                <w:rPr>
                  <w:rFonts w:ascii="Times New Roman" w:hAnsi="Times New Roman"/>
                  <w:color w:val="000000"/>
                  <w:szCs w:val="22"/>
                  <w:lang w:val="fr-FR"/>
                </w:rPr>
                <w:t>L</w:t>
              </w:r>
            </w:ins>
            <w:del w:id="68" w:author="Author">
              <w:r w:rsidRPr="00653BF6" w:rsidDel="00503B83">
                <w:rPr>
                  <w:rFonts w:ascii="Times New Roman" w:hAnsi="Times New Roman"/>
                  <w:color w:val="000000"/>
                  <w:szCs w:val="22"/>
                  <w:lang w:val="fr-FR"/>
                </w:rPr>
                <w:delText>l</w:delText>
              </w:r>
            </w:del>
            <w:r w:rsidRPr="00653BF6">
              <w:rPr>
                <w:rFonts w:ascii="Times New Roman" w:hAnsi="Times New Roman"/>
                <w:color w:val="000000"/>
                <w:szCs w:val="22"/>
                <w:lang w:val="fr-FR"/>
              </w:rPr>
              <w:t>.</w:t>
            </w:r>
          </w:p>
          <w:p w14:paraId="0AAC3211" w14:textId="77777777" w:rsidR="007D642D" w:rsidRPr="00653BF6" w:rsidRDefault="007D642D" w:rsidP="007F23EE">
            <w:pPr>
              <w:pStyle w:val="TableCarCarCarCarCarCarCarCarCar"/>
              <w:keepLines w:val="0"/>
              <w:suppressLineNumbers/>
              <w:tabs>
                <w:tab w:val="clear" w:pos="284"/>
              </w:tabs>
              <w:spacing w:before="0" w:after="0"/>
              <w:ind w:left="469" w:hanging="469"/>
              <w:rPr>
                <w:rFonts w:ascii="Times New Roman" w:hAnsi="Times New Roman"/>
                <w:color w:val="000000"/>
                <w:szCs w:val="22"/>
                <w:lang w:val="fr-FR"/>
              </w:rPr>
            </w:pPr>
            <w:r w:rsidRPr="00653BF6">
              <w:rPr>
                <w:rFonts w:ascii="Times New Roman" w:hAnsi="Times New Roman"/>
                <w:color w:val="000000"/>
                <w:szCs w:val="22"/>
                <w:lang w:val="fr-FR"/>
              </w:rPr>
              <w:t>2.</w:t>
            </w:r>
            <w:r w:rsidRPr="00653BF6">
              <w:rPr>
                <w:rFonts w:ascii="Times New Roman" w:hAnsi="Times New Roman"/>
                <w:color w:val="000000"/>
                <w:szCs w:val="22"/>
                <w:lang w:val="fr-FR"/>
              </w:rPr>
              <w:tab/>
              <w:t>Reprendre le traitement par Glivec à la dose de 600 mg.</w:t>
            </w:r>
          </w:p>
          <w:p w14:paraId="0B097857" w14:textId="4424D092" w:rsidR="007D642D" w:rsidRPr="00653BF6" w:rsidRDefault="007D642D" w:rsidP="007F23EE">
            <w:pPr>
              <w:pStyle w:val="TableCarCarCarCarCarCarCarCarCar"/>
              <w:keepLines w:val="0"/>
              <w:suppressLineNumbers/>
              <w:tabs>
                <w:tab w:val="clear" w:pos="284"/>
              </w:tabs>
              <w:spacing w:before="0" w:after="0"/>
              <w:ind w:left="469" w:hanging="469"/>
              <w:rPr>
                <w:rFonts w:ascii="Times New Roman" w:hAnsi="Times New Roman"/>
                <w:color w:val="000000"/>
                <w:szCs w:val="22"/>
                <w:lang w:val="fr-FR"/>
              </w:rPr>
            </w:pPr>
            <w:r w:rsidRPr="00653BF6">
              <w:rPr>
                <w:rFonts w:ascii="Times New Roman" w:hAnsi="Times New Roman"/>
                <w:color w:val="000000"/>
                <w:szCs w:val="22"/>
                <w:lang w:val="fr-FR"/>
              </w:rPr>
              <w:t>3.</w:t>
            </w:r>
            <w:r w:rsidRPr="00653BF6">
              <w:rPr>
                <w:rFonts w:ascii="Times New Roman" w:hAnsi="Times New Roman"/>
                <w:color w:val="000000"/>
                <w:szCs w:val="22"/>
                <w:lang w:val="fr-FR"/>
              </w:rPr>
              <w:tab/>
              <w:t>En cas de récidive de PN &lt; 1,0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69" w:author="Author">
              <w:r w:rsidR="00503B83" w:rsidRPr="00653BF6">
                <w:rPr>
                  <w:rFonts w:ascii="Times New Roman" w:hAnsi="Times New Roman"/>
                  <w:color w:val="000000"/>
                  <w:szCs w:val="22"/>
                  <w:lang w:val="fr-FR"/>
                </w:rPr>
                <w:t>L</w:t>
              </w:r>
            </w:ins>
            <w:del w:id="70" w:author="Author">
              <w:r w:rsidRPr="00653BF6" w:rsidDel="00503B83">
                <w:rPr>
                  <w:rFonts w:ascii="Times New Roman" w:hAnsi="Times New Roman"/>
                  <w:color w:val="000000"/>
                  <w:szCs w:val="22"/>
                  <w:lang w:val="fr-FR"/>
                </w:rPr>
                <w:delText>l</w:delText>
              </w:r>
            </w:del>
            <w:r w:rsidRPr="00653BF6">
              <w:rPr>
                <w:rFonts w:ascii="Times New Roman" w:hAnsi="Times New Roman"/>
                <w:color w:val="000000"/>
                <w:szCs w:val="22"/>
                <w:lang w:val="fr-FR"/>
              </w:rPr>
              <w:t xml:space="preserve"> et/ou plaquettes &lt; 50 x 10</w:t>
            </w:r>
            <w:r w:rsidRPr="00653BF6">
              <w:rPr>
                <w:rFonts w:ascii="Times New Roman" w:hAnsi="Times New Roman"/>
                <w:color w:val="000000"/>
                <w:szCs w:val="22"/>
                <w:vertAlign w:val="superscript"/>
                <w:lang w:val="fr-FR"/>
              </w:rPr>
              <w:t>9</w:t>
            </w:r>
            <w:r w:rsidRPr="00653BF6">
              <w:rPr>
                <w:rFonts w:ascii="Times New Roman" w:hAnsi="Times New Roman"/>
                <w:color w:val="000000"/>
                <w:szCs w:val="22"/>
                <w:lang w:val="fr-FR"/>
              </w:rPr>
              <w:t>/</w:t>
            </w:r>
            <w:ins w:id="71" w:author="Author">
              <w:r w:rsidR="00503B83" w:rsidRPr="00653BF6">
                <w:rPr>
                  <w:rFonts w:ascii="Times New Roman" w:hAnsi="Times New Roman"/>
                  <w:color w:val="000000"/>
                  <w:szCs w:val="22"/>
                  <w:lang w:val="fr-FR"/>
                </w:rPr>
                <w:t>L</w:t>
              </w:r>
            </w:ins>
            <w:del w:id="72" w:author="Author">
              <w:r w:rsidRPr="00653BF6" w:rsidDel="00503B83">
                <w:rPr>
                  <w:rFonts w:ascii="Times New Roman" w:hAnsi="Times New Roman"/>
                  <w:color w:val="000000"/>
                  <w:szCs w:val="22"/>
                  <w:lang w:val="fr-FR"/>
                </w:rPr>
                <w:delText>l</w:delText>
              </w:r>
            </w:del>
            <w:r w:rsidRPr="00653BF6">
              <w:rPr>
                <w:rFonts w:ascii="Times New Roman" w:hAnsi="Times New Roman"/>
                <w:color w:val="000000"/>
                <w:szCs w:val="22"/>
                <w:lang w:val="fr-FR"/>
              </w:rPr>
              <w:t>, répéter l</w:t>
            </w:r>
            <w:r w:rsidR="00813A7A">
              <w:rPr>
                <w:rFonts w:ascii="Times New Roman" w:hAnsi="Times New Roman"/>
                <w:color w:val="000000"/>
                <w:szCs w:val="22"/>
                <w:lang w:val="fr-FR"/>
              </w:rPr>
              <w:t>’</w:t>
            </w:r>
            <w:r w:rsidRPr="00653BF6">
              <w:rPr>
                <w:rFonts w:ascii="Times New Roman" w:hAnsi="Times New Roman"/>
                <w:color w:val="000000"/>
                <w:szCs w:val="22"/>
                <w:lang w:val="fr-FR"/>
              </w:rPr>
              <w:t>étape 1 puis reprendre Glivec à la dose réduite de 400 mg.</w:t>
            </w:r>
          </w:p>
        </w:tc>
      </w:tr>
      <w:tr w:rsidR="007D642D" w:rsidRPr="00653BF6" w14:paraId="56F92B9A" w14:textId="77777777" w:rsidTr="00B92E0B">
        <w:trPr>
          <w:cantSplit/>
        </w:trPr>
        <w:tc>
          <w:tcPr>
            <w:tcW w:w="9180" w:type="dxa"/>
            <w:gridSpan w:val="3"/>
            <w:tcBorders>
              <w:bottom w:val="nil"/>
            </w:tcBorders>
          </w:tcPr>
          <w:p w14:paraId="77BADE90" w14:textId="77777777" w:rsidR="007D642D" w:rsidRPr="005205FF" w:rsidRDefault="007D642D" w:rsidP="007F23EE">
            <w:pPr>
              <w:pStyle w:val="TableCarCarCarCarCarCarCarCarCar"/>
              <w:keepNext w:val="0"/>
              <w:keepLines w:val="0"/>
              <w:suppressLineNumbers/>
              <w:tabs>
                <w:tab w:val="clear" w:pos="284"/>
              </w:tabs>
              <w:spacing w:before="0" w:after="0"/>
              <w:rPr>
                <w:rFonts w:ascii="Times New Roman" w:hAnsi="Times New Roman"/>
                <w:color w:val="000000"/>
                <w:sz w:val="20"/>
                <w:lang w:val="fr-FR"/>
                <w:rPrChange w:id="73" w:author="Author">
                  <w:rPr>
                    <w:rFonts w:ascii="Times New Roman" w:hAnsi="Times New Roman"/>
                    <w:color w:val="000000"/>
                    <w:szCs w:val="22"/>
                    <w:lang w:val="fr-FR"/>
                  </w:rPr>
                </w:rPrChange>
              </w:rPr>
            </w:pPr>
            <w:r w:rsidRPr="005205FF">
              <w:rPr>
                <w:rFonts w:ascii="Times New Roman" w:hAnsi="Times New Roman"/>
                <w:color w:val="000000"/>
                <w:sz w:val="20"/>
                <w:lang w:val="fr-FR"/>
                <w:rPrChange w:id="74" w:author="Author">
                  <w:rPr>
                    <w:rFonts w:ascii="Times New Roman" w:hAnsi="Times New Roman"/>
                    <w:color w:val="000000"/>
                    <w:szCs w:val="22"/>
                    <w:lang w:val="fr-FR"/>
                  </w:rPr>
                </w:rPrChange>
              </w:rPr>
              <w:t>PN = Polynucléaires Neutrophiles</w:t>
            </w:r>
          </w:p>
        </w:tc>
      </w:tr>
      <w:tr w:rsidR="007D642D" w:rsidRPr="00653BF6" w14:paraId="2376A246" w14:textId="77777777" w:rsidTr="00B92E0B">
        <w:trPr>
          <w:cantSplit/>
        </w:trPr>
        <w:tc>
          <w:tcPr>
            <w:tcW w:w="9180" w:type="dxa"/>
            <w:gridSpan w:val="3"/>
            <w:tcBorders>
              <w:top w:val="nil"/>
            </w:tcBorders>
          </w:tcPr>
          <w:p w14:paraId="300AA55D" w14:textId="234F4C16" w:rsidR="007D642D" w:rsidRPr="005205FF" w:rsidRDefault="007D642D" w:rsidP="007F23EE">
            <w:pPr>
              <w:pStyle w:val="EndnoteText"/>
              <w:tabs>
                <w:tab w:val="clear" w:pos="567"/>
              </w:tabs>
              <w:ind w:left="284" w:hanging="284"/>
              <w:rPr>
                <w:color w:val="000000"/>
                <w:sz w:val="20"/>
                <w:lang w:val="fr-FR"/>
                <w:rPrChange w:id="75" w:author="Author">
                  <w:rPr>
                    <w:color w:val="000000"/>
                    <w:szCs w:val="22"/>
                    <w:lang w:val="fr-FR"/>
                  </w:rPr>
                </w:rPrChange>
              </w:rPr>
            </w:pPr>
            <w:proofErr w:type="gramStart"/>
            <w:r w:rsidRPr="005205FF">
              <w:rPr>
                <w:color w:val="000000"/>
                <w:sz w:val="20"/>
                <w:vertAlign w:val="superscript"/>
                <w:lang w:val="fr-FR"/>
                <w:rPrChange w:id="76" w:author="Author">
                  <w:rPr>
                    <w:color w:val="000000"/>
                    <w:szCs w:val="22"/>
                    <w:vertAlign w:val="superscript"/>
                    <w:lang w:val="fr-FR"/>
                  </w:rPr>
                </w:rPrChange>
              </w:rPr>
              <w:t>a</w:t>
            </w:r>
            <w:proofErr w:type="gramEnd"/>
            <w:ins w:id="77" w:author="Author">
              <w:r w:rsidR="002F003A" w:rsidRPr="00653BF6">
                <w:rPr>
                  <w:color w:val="000000"/>
                  <w:sz w:val="20"/>
                  <w:vertAlign w:val="superscript"/>
                  <w:lang w:val="fr-FR"/>
                </w:rPr>
                <w:t xml:space="preserve"> </w:t>
              </w:r>
            </w:ins>
            <w:r w:rsidRPr="005205FF">
              <w:rPr>
                <w:color w:val="000000"/>
                <w:sz w:val="20"/>
                <w:lang w:val="fr-FR"/>
                <w:rPrChange w:id="78" w:author="Author">
                  <w:rPr>
                    <w:color w:val="000000"/>
                    <w:szCs w:val="22"/>
                    <w:lang w:val="fr-FR"/>
                  </w:rPr>
                </w:rPrChange>
              </w:rPr>
              <w:t>survenant après au moins 1 mois de traitement</w:t>
            </w:r>
          </w:p>
        </w:tc>
      </w:tr>
    </w:tbl>
    <w:p w14:paraId="193C27D5" w14:textId="77777777" w:rsidR="007D642D" w:rsidRPr="00653BF6" w:rsidRDefault="007D642D" w:rsidP="007F23EE">
      <w:pPr>
        <w:pStyle w:val="EndnoteText"/>
        <w:tabs>
          <w:tab w:val="clear" w:pos="567"/>
        </w:tabs>
        <w:rPr>
          <w:color w:val="000000"/>
          <w:szCs w:val="22"/>
          <w:lang w:val="fr-FR"/>
        </w:rPr>
      </w:pPr>
    </w:p>
    <w:p w14:paraId="33D0C609" w14:textId="41EC9480" w:rsidR="007D642D" w:rsidRPr="00653BF6" w:rsidRDefault="007D642D" w:rsidP="007F23EE">
      <w:pPr>
        <w:pStyle w:val="EndnoteText"/>
        <w:keepNext/>
        <w:tabs>
          <w:tab w:val="clear" w:pos="567"/>
        </w:tabs>
        <w:rPr>
          <w:color w:val="000000"/>
          <w:szCs w:val="22"/>
          <w:u w:val="single"/>
          <w:lang w:val="fr-FR"/>
        </w:rPr>
      </w:pPr>
      <w:r w:rsidRPr="00653BF6">
        <w:rPr>
          <w:color w:val="000000"/>
          <w:szCs w:val="22"/>
          <w:u w:val="single"/>
          <w:lang w:val="fr-FR"/>
        </w:rPr>
        <w:t>Populations spéciales</w:t>
      </w:r>
    </w:p>
    <w:p w14:paraId="2C09B770" w14:textId="77777777" w:rsidR="00A010F3" w:rsidRPr="00653BF6" w:rsidRDefault="00A010F3" w:rsidP="007F23EE">
      <w:pPr>
        <w:pStyle w:val="EndnoteText"/>
        <w:keepNext/>
        <w:tabs>
          <w:tab w:val="clear" w:pos="567"/>
        </w:tabs>
        <w:rPr>
          <w:color w:val="000000"/>
          <w:szCs w:val="22"/>
          <w:u w:val="single"/>
          <w:lang w:val="fr-FR"/>
        </w:rPr>
      </w:pPr>
    </w:p>
    <w:p w14:paraId="720957F4" w14:textId="11922049" w:rsidR="00A010F3" w:rsidRPr="005205FF" w:rsidRDefault="00A010F3" w:rsidP="007F23EE">
      <w:pPr>
        <w:pStyle w:val="EndnoteText"/>
        <w:keepNext/>
        <w:tabs>
          <w:tab w:val="clear" w:pos="567"/>
        </w:tabs>
        <w:rPr>
          <w:color w:val="000000"/>
          <w:szCs w:val="22"/>
          <w:u w:val="single"/>
          <w:lang w:val="fr-FR"/>
          <w:rPrChange w:id="79" w:author="Author">
            <w:rPr>
              <w:color w:val="000000"/>
              <w:szCs w:val="22"/>
              <w:lang w:val="fr-FR"/>
            </w:rPr>
          </w:rPrChange>
        </w:rPr>
      </w:pPr>
      <w:r w:rsidRPr="005205FF">
        <w:rPr>
          <w:i/>
          <w:iCs/>
          <w:color w:val="000000"/>
          <w:szCs w:val="22"/>
          <w:u w:val="single"/>
          <w:lang w:val="fr-FR"/>
          <w:rPrChange w:id="80" w:author="Author">
            <w:rPr>
              <w:i/>
              <w:iCs/>
              <w:color w:val="000000"/>
              <w:szCs w:val="22"/>
              <w:lang w:val="fr-FR"/>
            </w:rPr>
          </w:rPrChange>
        </w:rPr>
        <w:t>Population pédiatrique</w:t>
      </w:r>
    </w:p>
    <w:p w14:paraId="6B4A0ED3" w14:textId="5D6B2222" w:rsidR="007D642D" w:rsidRPr="00653BF6" w:rsidRDefault="007D642D" w:rsidP="007F23EE">
      <w:pPr>
        <w:pStyle w:val="EndnoteText"/>
        <w:tabs>
          <w:tab w:val="clear" w:pos="567"/>
        </w:tabs>
        <w:rPr>
          <w:color w:val="000000"/>
          <w:szCs w:val="22"/>
          <w:lang w:val="fr-FR"/>
        </w:rPr>
      </w:pPr>
      <w:r w:rsidRPr="00653BF6">
        <w:rPr>
          <w:color w:val="000000"/>
          <w:szCs w:val="22"/>
          <w:lang w:val="fr-FR"/>
        </w:rPr>
        <w:t xml:space="preserve">Il n’y a pas d’expérience chez l’enfant de moins de 2 ans </w:t>
      </w:r>
      <w:r w:rsidR="006D51E4" w:rsidRPr="00653BF6">
        <w:rPr>
          <w:color w:val="000000"/>
          <w:szCs w:val="22"/>
          <w:lang w:val="fr-FR"/>
        </w:rPr>
        <w:t xml:space="preserve">atteint de LMC et chez l’enfant de moins d’un an atteint de LAL Ph+ </w:t>
      </w:r>
      <w:r w:rsidRPr="00653BF6">
        <w:rPr>
          <w:color w:val="000000"/>
          <w:szCs w:val="22"/>
          <w:lang w:val="fr-FR"/>
        </w:rPr>
        <w:t>(voir rubrique 5.1). L’</w:t>
      </w:r>
      <w:r w:rsidR="009E44A8" w:rsidRPr="00653BF6">
        <w:rPr>
          <w:color w:val="000000"/>
          <w:szCs w:val="22"/>
          <w:lang w:val="fr-FR"/>
        </w:rPr>
        <w:t>expérience est très limitée</w:t>
      </w:r>
      <w:r w:rsidRPr="00653BF6">
        <w:rPr>
          <w:color w:val="000000"/>
          <w:szCs w:val="22"/>
          <w:lang w:val="fr-FR"/>
        </w:rPr>
        <w:t xml:space="preserve"> chez l’enfant atteint de </w:t>
      </w:r>
      <w:smartTag w:uri="urn:schemas-microsoft-com:office:smarttags" w:element="stockticker">
        <w:r w:rsidRPr="00653BF6">
          <w:rPr>
            <w:color w:val="000000"/>
            <w:szCs w:val="22"/>
            <w:lang w:val="fr-FR"/>
          </w:rPr>
          <w:t>SMD</w:t>
        </w:r>
      </w:smartTag>
      <w:r w:rsidRPr="00653BF6">
        <w:rPr>
          <w:color w:val="000000"/>
          <w:szCs w:val="22"/>
          <w:lang w:val="fr-FR"/>
        </w:rPr>
        <w:t>/SMP</w:t>
      </w:r>
      <w:r w:rsidR="009E44A8" w:rsidRPr="00653BF6">
        <w:rPr>
          <w:color w:val="000000"/>
          <w:szCs w:val="22"/>
          <w:lang w:val="fr-FR"/>
        </w:rPr>
        <w:t>,</w:t>
      </w:r>
      <w:r w:rsidRPr="00653BF6">
        <w:rPr>
          <w:color w:val="000000"/>
          <w:szCs w:val="22"/>
          <w:lang w:val="fr-FR"/>
        </w:rPr>
        <w:t xml:space="preserve"> de DFSP</w:t>
      </w:r>
      <w:r w:rsidR="009E44A8" w:rsidRPr="00653BF6">
        <w:rPr>
          <w:color w:val="000000"/>
          <w:szCs w:val="22"/>
          <w:lang w:val="fr-FR"/>
        </w:rPr>
        <w:t>, de GIST et de SHE/LCE</w:t>
      </w:r>
      <w:r w:rsidRPr="00653BF6">
        <w:rPr>
          <w:color w:val="000000"/>
          <w:szCs w:val="22"/>
          <w:lang w:val="fr-FR"/>
        </w:rPr>
        <w:t>.</w:t>
      </w:r>
    </w:p>
    <w:p w14:paraId="1327A067" w14:textId="77777777" w:rsidR="009E44A8" w:rsidRPr="00653BF6" w:rsidRDefault="009E44A8" w:rsidP="007F23EE">
      <w:pPr>
        <w:pStyle w:val="EndnoteText"/>
        <w:tabs>
          <w:tab w:val="clear" w:pos="567"/>
        </w:tabs>
        <w:rPr>
          <w:color w:val="000000"/>
          <w:szCs w:val="22"/>
          <w:lang w:val="fr-FR"/>
        </w:rPr>
      </w:pPr>
    </w:p>
    <w:p w14:paraId="72414AAF" w14:textId="41F9D4AC" w:rsidR="009E44A8" w:rsidRPr="00653BF6" w:rsidRDefault="009E44A8" w:rsidP="007F23EE">
      <w:pPr>
        <w:pStyle w:val="EndnoteText"/>
        <w:tabs>
          <w:tab w:val="clear" w:pos="567"/>
        </w:tabs>
        <w:rPr>
          <w:color w:val="000000"/>
          <w:szCs w:val="22"/>
          <w:lang w:val="fr-FR"/>
        </w:rPr>
      </w:pPr>
      <w:r w:rsidRPr="00653BF6">
        <w:rPr>
          <w:color w:val="000000"/>
          <w:szCs w:val="22"/>
          <w:lang w:val="fr-FR"/>
        </w:rPr>
        <w:t>La sécurité et l’effica</w:t>
      </w:r>
      <w:r w:rsidR="008E3368" w:rsidRPr="00653BF6">
        <w:rPr>
          <w:color w:val="000000"/>
          <w:szCs w:val="22"/>
          <w:lang w:val="fr-FR"/>
        </w:rPr>
        <w:t>c</w:t>
      </w:r>
      <w:r w:rsidRPr="00653BF6">
        <w:rPr>
          <w:color w:val="000000"/>
          <w:szCs w:val="22"/>
          <w:lang w:val="fr-FR"/>
        </w:rPr>
        <w:t xml:space="preserve">ité de l’imatinib chez les enfants âgés de moins de 18 ans atteints de SMD/SMP, DFSP, GIST et SHE/LCE n’ont pas été établies par des études cliniques. Les données publiées actuellement disponibles sont </w:t>
      </w:r>
      <w:r w:rsidR="00BD34D0" w:rsidRPr="00653BF6">
        <w:rPr>
          <w:color w:val="000000"/>
          <w:szCs w:val="22"/>
          <w:lang w:val="fr-FR"/>
        </w:rPr>
        <w:t>décrites</w:t>
      </w:r>
      <w:r w:rsidRPr="00653BF6">
        <w:rPr>
          <w:color w:val="000000"/>
          <w:szCs w:val="22"/>
          <w:lang w:val="fr-FR"/>
        </w:rPr>
        <w:t xml:space="preserve"> </w:t>
      </w:r>
      <w:r w:rsidR="00BD34D0" w:rsidRPr="00653BF6">
        <w:rPr>
          <w:color w:val="000000"/>
          <w:szCs w:val="22"/>
          <w:lang w:val="fr-FR"/>
        </w:rPr>
        <w:t>à</w:t>
      </w:r>
      <w:r w:rsidRPr="00653BF6">
        <w:rPr>
          <w:color w:val="000000"/>
          <w:szCs w:val="22"/>
          <w:lang w:val="fr-FR"/>
        </w:rPr>
        <w:t xml:space="preserve"> la rubrique</w:t>
      </w:r>
      <w:r w:rsidR="002F003A" w:rsidRPr="00653BF6">
        <w:rPr>
          <w:color w:val="000000"/>
          <w:szCs w:val="22"/>
          <w:lang w:val="fr-FR"/>
        </w:rPr>
        <w:t> </w:t>
      </w:r>
      <w:r w:rsidRPr="00653BF6">
        <w:rPr>
          <w:color w:val="000000"/>
          <w:szCs w:val="22"/>
          <w:lang w:val="fr-FR"/>
        </w:rPr>
        <w:t>5.1 mais aucune recommandation sur la posologie ne peut être donnée.</w:t>
      </w:r>
    </w:p>
    <w:p w14:paraId="4DDB0F6A" w14:textId="77777777" w:rsidR="007D642D" w:rsidRPr="00653BF6" w:rsidRDefault="007D642D" w:rsidP="007F23EE">
      <w:pPr>
        <w:pStyle w:val="EndnoteText"/>
        <w:tabs>
          <w:tab w:val="clear" w:pos="567"/>
        </w:tabs>
        <w:rPr>
          <w:color w:val="000000"/>
          <w:szCs w:val="22"/>
          <w:lang w:val="fr-FR"/>
        </w:rPr>
      </w:pPr>
    </w:p>
    <w:p w14:paraId="3D0DBAD4" w14:textId="14095730" w:rsidR="00A010F3" w:rsidRPr="00653BF6" w:rsidRDefault="007D642D" w:rsidP="007F23EE">
      <w:pPr>
        <w:pStyle w:val="EndnoteText"/>
        <w:keepNext/>
        <w:tabs>
          <w:tab w:val="clear" w:pos="567"/>
        </w:tabs>
        <w:rPr>
          <w:color w:val="000000"/>
          <w:szCs w:val="22"/>
          <w:u w:val="single"/>
          <w:lang w:val="fr-FR"/>
        </w:rPr>
      </w:pPr>
      <w:r w:rsidRPr="00653BF6">
        <w:rPr>
          <w:i/>
          <w:color w:val="000000"/>
          <w:szCs w:val="22"/>
          <w:u w:val="single"/>
          <w:lang w:val="fr-FR"/>
        </w:rPr>
        <w:t>Insuffisance hépatique</w:t>
      </w:r>
    </w:p>
    <w:p w14:paraId="67EB2874" w14:textId="068A6B1F" w:rsidR="007D642D" w:rsidRPr="00653BF6" w:rsidRDefault="007D642D" w:rsidP="007F23EE">
      <w:pPr>
        <w:pStyle w:val="EndnoteText"/>
        <w:tabs>
          <w:tab w:val="clear" w:pos="567"/>
        </w:tabs>
        <w:rPr>
          <w:color w:val="000000"/>
          <w:szCs w:val="22"/>
          <w:lang w:val="fr-FR"/>
        </w:rPr>
      </w:pPr>
      <w:r w:rsidRPr="00653BF6">
        <w:rPr>
          <w:color w:val="000000"/>
          <w:szCs w:val="22"/>
          <w:lang w:val="fr-FR"/>
        </w:rPr>
        <w:t>L’imatinib est principalement métabolisé par le foie. Les patients présentant une altération de la fonction hépatique, légère, modérée ou importante devraient être traités à la dose minimale recommandée 400 mg. La dose peut être réduite si elle est mal tolérée (voir rubrique</w:t>
      </w:r>
      <w:ins w:id="81" w:author="Author">
        <w:r w:rsidR="00F80EF7" w:rsidRPr="00653BF6">
          <w:rPr>
            <w:color w:val="000000"/>
            <w:szCs w:val="22"/>
            <w:lang w:val="fr-FR"/>
          </w:rPr>
          <w:t>s</w:t>
        </w:r>
      </w:ins>
      <w:r w:rsidR="002F003A" w:rsidRPr="00653BF6">
        <w:rPr>
          <w:color w:val="000000"/>
          <w:szCs w:val="22"/>
          <w:lang w:val="fr-FR"/>
        </w:rPr>
        <w:t> </w:t>
      </w:r>
      <w:r w:rsidRPr="00653BF6">
        <w:rPr>
          <w:color w:val="000000"/>
          <w:szCs w:val="22"/>
          <w:lang w:val="fr-FR"/>
        </w:rPr>
        <w:t>4.4, 4.8 et</w:t>
      </w:r>
      <w:r w:rsidR="002F003A" w:rsidRPr="00653BF6">
        <w:rPr>
          <w:color w:val="000000"/>
          <w:szCs w:val="22"/>
          <w:lang w:val="fr-FR"/>
        </w:rPr>
        <w:t> </w:t>
      </w:r>
      <w:r w:rsidRPr="00653BF6">
        <w:rPr>
          <w:color w:val="000000"/>
          <w:szCs w:val="22"/>
          <w:lang w:val="fr-FR"/>
        </w:rPr>
        <w:t>5.2).</w:t>
      </w:r>
    </w:p>
    <w:p w14:paraId="437BC6E7" w14:textId="77777777" w:rsidR="007D642D" w:rsidRPr="00653BF6" w:rsidRDefault="007D642D" w:rsidP="007F23EE">
      <w:pPr>
        <w:pStyle w:val="EndnoteText"/>
        <w:tabs>
          <w:tab w:val="clear" w:pos="567"/>
        </w:tabs>
        <w:rPr>
          <w:color w:val="000000"/>
          <w:szCs w:val="22"/>
          <w:lang w:val="fr-FR"/>
        </w:rPr>
      </w:pPr>
    </w:p>
    <w:p w14:paraId="7E8A60CF" w14:textId="77777777" w:rsidR="007D642D" w:rsidRPr="00653BF6" w:rsidRDefault="007D642D" w:rsidP="007F23EE">
      <w:pPr>
        <w:pStyle w:val="EndnoteText"/>
        <w:keepNext/>
        <w:tabs>
          <w:tab w:val="clear" w:pos="567"/>
        </w:tabs>
        <w:rPr>
          <w:color w:val="000000"/>
          <w:szCs w:val="22"/>
          <w:lang w:val="fr-FR"/>
        </w:rPr>
      </w:pPr>
      <w:r w:rsidRPr="00653BF6">
        <w:rPr>
          <w:color w:val="000000"/>
          <w:szCs w:val="22"/>
          <w:lang w:val="fr-FR"/>
        </w:rPr>
        <w:t>Classification des altérations hépatiques :</w:t>
      </w:r>
    </w:p>
    <w:p w14:paraId="1DB0DDB0" w14:textId="77777777" w:rsidR="007D642D" w:rsidRPr="00653BF6" w:rsidRDefault="007D642D" w:rsidP="007F23EE">
      <w:pPr>
        <w:pStyle w:val="EndnoteText"/>
        <w:keepNext/>
        <w:tabs>
          <w:tab w:val="clear" w:pos="567"/>
        </w:tabs>
        <w:rPr>
          <w:color w:val="000000"/>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82"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3549"/>
        <w:gridCol w:w="5467"/>
        <w:gridCol w:w="44"/>
        <w:tblGridChange w:id="83">
          <w:tblGrid>
            <w:gridCol w:w="3549"/>
            <w:gridCol w:w="17"/>
            <w:gridCol w:w="5450"/>
            <w:gridCol w:w="44"/>
          </w:tblGrid>
        </w:tblGridChange>
      </w:tblGrid>
      <w:tr w:rsidR="007D642D" w:rsidRPr="00653BF6" w14:paraId="320AE9BA" w14:textId="77777777" w:rsidTr="005205FF">
        <w:trPr>
          <w:cantSplit/>
          <w:trPrChange w:id="84" w:author="Author">
            <w:trPr>
              <w:cantSplit/>
            </w:trPr>
          </w:trPrChange>
        </w:trPr>
        <w:tc>
          <w:tcPr>
            <w:tcW w:w="3566" w:type="dxa"/>
            <w:tcPrChange w:id="85" w:author="Author">
              <w:tcPr>
                <w:tcW w:w="3652" w:type="dxa"/>
                <w:gridSpan w:val="2"/>
              </w:tcPr>
            </w:tcPrChange>
          </w:tcPr>
          <w:p w14:paraId="25355F6A" w14:textId="77777777" w:rsidR="007D642D" w:rsidRPr="00653BF6" w:rsidRDefault="007D642D" w:rsidP="007F23EE">
            <w:pPr>
              <w:pStyle w:val="EndnoteText"/>
              <w:keepNext/>
              <w:tabs>
                <w:tab w:val="clear" w:pos="567"/>
              </w:tabs>
              <w:rPr>
                <w:color w:val="000000"/>
                <w:szCs w:val="22"/>
                <w:lang w:val="fr-FR"/>
              </w:rPr>
            </w:pPr>
            <w:r w:rsidRPr="00653BF6">
              <w:rPr>
                <w:color w:val="000000"/>
                <w:szCs w:val="22"/>
                <w:lang w:val="fr-FR"/>
              </w:rPr>
              <w:t>Altération de la fonction hépatique</w:t>
            </w:r>
          </w:p>
        </w:tc>
        <w:tc>
          <w:tcPr>
            <w:tcW w:w="5494" w:type="dxa"/>
            <w:gridSpan w:val="2"/>
            <w:tcPrChange w:id="86" w:author="Author">
              <w:tcPr>
                <w:tcW w:w="5634" w:type="dxa"/>
                <w:gridSpan w:val="2"/>
              </w:tcPr>
            </w:tcPrChange>
          </w:tcPr>
          <w:p w14:paraId="0B9A1B03" w14:textId="77777777" w:rsidR="007D642D" w:rsidRPr="00653BF6" w:rsidRDefault="007D642D" w:rsidP="007F23EE">
            <w:pPr>
              <w:pStyle w:val="EndnoteText"/>
              <w:keepNext/>
              <w:tabs>
                <w:tab w:val="clear" w:pos="567"/>
              </w:tabs>
              <w:rPr>
                <w:color w:val="000000"/>
                <w:szCs w:val="22"/>
                <w:lang w:val="fr-FR"/>
              </w:rPr>
            </w:pPr>
            <w:r w:rsidRPr="00653BF6">
              <w:rPr>
                <w:color w:val="000000"/>
                <w:szCs w:val="22"/>
                <w:lang w:val="fr-FR"/>
              </w:rPr>
              <w:t>Tests de la fonction hépatique</w:t>
            </w:r>
          </w:p>
        </w:tc>
      </w:tr>
      <w:tr w:rsidR="007D642D" w:rsidRPr="00653BF6" w14:paraId="09A6CF66" w14:textId="77777777" w:rsidTr="005205FF">
        <w:trPr>
          <w:cantSplit/>
          <w:trPrChange w:id="87" w:author="Author">
            <w:trPr>
              <w:cantSplit/>
            </w:trPr>
          </w:trPrChange>
        </w:trPr>
        <w:tc>
          <w:tcPr>
            <w:tcW w:w="3566" w:type="dxa"/>
            <w:tcPrChange w:id="88" w:author="Author">
              <w:tcPr>
                <w:tcW w:w="3652" w:type="dxa"/>
                <w:gridSpan w:val="2"/>
              </w:tcPr>
            </w:tcPrChange>
          </w:tcPr>
          <w:p w14:paraId="67B561C7" w14:textId="51263479" w:rsidR="007D642D" w:rsidRPr="00653BF6" w:rsidRDefault="007D642D" w:rsidP="007F23EE">
            <w:pPr>
              <w:pStyle w:val="EndnoteText"/>
              <w:keepNext/>
              <w:tabs>
                <w:tab w:val="clear" w:pos="567"/>
              </w:tabs>
              <w:rPr>
                <w:color w:val="000000"/>
                <w:szCs w:val="22"/>
                <w:lang w:val="fr-FR"/>
              </w:rPr>
            </w:pPr>
            <w:r w:rsidRPr="00653BF6">
              <w:rPr>
                <w:color w:val="000000"/>
                <w:szCs w:val="22"/>
                <w:lang w:val="fr-FR"/>
              </w:rPr>
              <w:t>Lég</w:t>
            </w:r>
            <w:r w:rsidR="003A71E7" w:rsidRPr="00653BF6">
              <w:rPr>
                <w:color w:val="000000"/>
                <w:szCs w:val="22"/>
                <w:lang w:val="fr-FR"/>
              </w:rPr>
              <w:t>è</w:t>
            </w:r>
            <w:r w:rsidRPr="00653BF6">
              <w:rPr>
                <w:color w:val="000000"/>
                <w:szCs w:val="22"/>
                <w:lang w:val="fr-FR"/>
              </w:rPr>
              <w:t>re</w:t>
            </w:r>
          </w:p>
        </w:tc>
        <w:tc>
          <w:tcPr>
            <w:tcW w:w="5494" w:type="dxa"/>
            <w:gridSpan w:val="2"/>
            <w:tcPrChange w:id="89" w:author="Author">
              <w:tcPr>
                <w:tcW w:w="5634" w:type="dxa"/>
                <w:gridSpan w:val="2"/>
              </w:tcPr>
            </w:tcPrChange>
          </w:tcPr>
          <w:p w14:paraId="34750DFF" w14:textId="77777777" w:rsidR="007D642D" w:rsidRPr="00653BF6" w:rsidRDefault="007D642D" w:rsidP="007F23EE">
            <w:pPr>
              <w:pStyle w:val="EndnoteText"/>
              <w:keepNext/>
              <w:tabs>
                <w:tab w:val="clear" w:pos="567"/>
              </w:tabs>
              <w:rPr>
                <w:color w:val="000000"/>
                <w:szCs w:val="22"/>
                <w:lang w:val="fr-FR"/>
              </w:rPr>
            </w:pPr>
            <w:r w:rsidRPr="00653BF6">
              <w:rPr>
                <w:color w:val="000000"/>
                <w:szCs w:val="22"/>
                <w:lang w:val="fr-FR"/>
              </w:rPr>
              <w:t>Augmentation de la bilirubine totale de 1,5 fois la LSN ASAT : &gt; LSN (peut être normale ou &lt; LSN si la bilirubine totale est &gt; LSN)</w:t>
            </w:r>
          </w:p>
        </w:tc>
      </w:tr>
      <w:tr w:rsidR="007D642D" w:rsidRPr="00653BF6" w14:paraId="04715774" w14:textId="77777777" w:rsidTr="005205FF">
        <w:trPr>
          <w:cantSplit/>
          <w:trPrChange w:id="90" w:author="Author">
            <w:trPr>
              <w:cantSplit/>
            </w:trPr>
          </w:trPrChange>
        </w:trPr>
        <w:tc>
          <w:tcPr>
            <w:tcW w:w="3566" w:type="dxa"/>
            <w:tcPrChange w:id="91" w:author="Author">
              <w:tcPr>
                <w:tcW w:w="3652" w:type="dxa"/>
                <w:gridSpan w:val="2"/>
              </w:tcPr>
            </w:tcPrChange>
          </w:tcPr>
          <w:p w14:paraId="5F6F34C6" w14:textId="77777777" w:rsidR="007D642D" w:rsidRPr="00653BF6" w:rsidRDefault="007D642D" w:rsidP="007F23EE">
            <w:pPr>
              <w:pStyle w:val="EndnoteText"/>
              <w:keepNext/>
              <w:tabs>
                <w:tab w:val="clear" w:pos="567"/>
              </w:tabs>
              <w:rPr>
                <w:color w:val="000000"/>
                <w:szCs w:val="22"/>
                <w:lang w:val="fr-FR"/>
              </w:rPr>
            </w:pPr>
            <w:r w:rsidRPr="00653BF6">
              <w:rPr>
                <w:color w:val="000000"/>
                <w:szCs w:val="22"/>
                <w:lang w:val="fr-FR"/>
              </w:rPr>
              <w:t>Modérée</w:t>
            </w:r>
          </w:p>
        </w:tc>
        <w:tc>
          <w:tcPr>
            <w:tcW w:w="5494" w:type="dxa"/>
            <w:gridSpan w:val="2"/>
            <w:tcPrChange w:id="92" w:author="Author">
              <w:tcPr>
                <w:tcW w:w="5634" w:type="dxa"/>
                <w:gridSpan w:val="2"/>
              </w:tcPr>
            </w:tcPrChange>
          </w:tcPr>
          <w:p w14:paraId="48487D06" w14:textId="77777777" w:rsidR="007D642D" w:rsidRPr="00653BF6" w:rsidRDefault="007D642D" w:rsidP="007F23EE">
            <w:pPr>
              <w:pStyle w:val="EndnoteText"/>
              <w:keepNext/>
              <w:tabs>
                <w:tab w:val="clear" w:pos="567"/>
              </w:tabs>
              <w:rPr>
                <w:color w:val="000000"/>
                <w:szCs w:val="22"/>
                <w:lang w:val="fr-FR"/>
              </w:rPr>
            </w:pPr>
            <w:r w:rsidRPr="00653BF6">
              <w:rPr>
                <w:color w:val="000000"/>
                <w:szCs w:val="22"/>
                <w:lang w:val="fr-FR"/>
              </w:rPr>
              <w:t>Augmentation de la bilirubine totale &gt; à 1,5 fois la LSN et &lt; 3,0 fois la LSN</w:t>
            </w:r>
          </w:p>
          <w:p w14:paraId="1FF13B01" w14:textId="77777777" w:rsidR="007D642D" w:rsidRPr="00653BF6" w:rsidRDefault="007D642D" w:rsidP="007F23EE">
            <w:pPr>
              <w:pStyle w:val="EndnoteText"/>
              <w:keepNext/>
              <w:tabs>
                <w:tab w:val="clear" w:pos="567"/>
              </w:tabs>
              <w:rPr>
                <w:color w:val="000000"/>
                <w:szCs w:val="22"/>
                <w:lang w:val="fr-FR"/>
              </w:rPr>
            </w:pPr>
            <w:r w:rsidRPr="00653BF6">
              <w:rPr>
                <w:color w:val="000000"/>
                <w:szCs w:val="22"/>
                <w:lang w:val="fr-FR"/>
              </w:rPr>
              <w:t>ASAT quelle que soit la valeur</w:t>
            </w:r>
          </w:p>
        </w:tc>
      </w:tr>
      <w:tr w:rsidR="007D642D" w:rsidRPr="00653BF6" w14:paraId="1003542F" w14:textId="77777777" w:rsidTr="005205FF">
        <w:trPr>
          <w:cantSplit/>
          <w:trPrChange w:id="93" w:author="Author">
            <w:trPr>
              <w:cantSplit/>
            </w:trPr>
          </w:trPrChange>
        </w:trPr>
        <w:tc>
          <w:tcPr>
            <w:tcW w:w="3566" w:type="dxa"/>
            <w:tcPrChange w:id="94" w:author="Author">
              <w:tcPr>
                <w:tcW w:w="3652" w:type="dxa"/>
                <w:gridSpan w:val="2"/>
              </w:tcPr>
            </w:tcPrChange>
          </w:tcPr>
          <w:p w14:paraId="0B34B890" w14:textId="77777777" w:rsidR="007D642D" w:rsidRPr="00653BF6" w:rsidRDefault="007D642D" w:rsidP="007F23EE">
            <w:pPr>
              <w:pStyle w:val="EndnoteText"/>
              <w:keepNext/>
              <w:tabs>
                <w:tab w:val="clear" w:pos="567"/>
              </w:tabs>
              <w:rPr>
                <w:color w:val="000000"/>
                <w:szCs w:val="22"/>
                <w:lang w:val="fr-FR"/>
              </w:rPr>
            </w:pPr>
            <w:r w:rsidRPr="00653BF6">
              <w:rPr>
                <w:color w:val="000000"/>
                <w:szCs w:val="22"/>
                <w:lang w:val="fr-FR"/>
              </w:rPr>
              <w:t>Importante</w:t>
            </w:r>
          </w:p>
        </w:tc>
        <w:tc>
          <w:tcPr>
            <w:tcW w:w="5494" w:type="dxa"/>
            <w:gridSpan w:val="2"/>
            <w:tcPrChange w:id="95" w:author="Author">
              <w:tcPr>
                <w:tcW w:w="5634" w:type="dxa"/>
                <w:gridSpan w:val="2"/>
              </w:tcPr>
            </w:tcPrChange>
          </w:tcPr>
          <w:p w14:paraId="0099215E" w14:textId="77777777" w:rsidR="007D642D" w:rsidRPr="00653BF6" w:rsidRDefault="007D642D" w:rsidP="007F23EE">
            <w:pPr>
              <w:pStyle w:val="EndnoteText"/>
              <w:keepNext/>
              <w:tabs>
                <w:tab w:val="clear" w:pos="567"/>
              </w:tabs>
              <w:rPr>
                <w:color w:val="000000"/>
                <w:szCs w:val="22"/>
                <w:lang w:val="fr-FR"/>
              </w:rPr>
            </w:pPr>
            <w:r w:rsidRPr="00653BF6">
              <w:rPr>
                <w:color w:val="000000"/>
                <w:szCs w:val="22"/>
                <w:lang w:val="fr-FR"/>
              </w:rPr>
              <w:t>Augmentation de la bilirubine totale &gt; 3,0 fois la LSN et &lt; 10 fois la LSN</w:t>
            </w:r>
          </w:p>
          <w:p w14:paraId="0DA1B758" w14:textId="77777777" w:rsidR="007D642D" w:rsidRPr="00653BF6" w:rsidRDefault="007D642D" w:rsidP="007F23EE">
            <w:pPr>
              <w:pStyle w:val="EndnoteText"/>
              <w:keepNext/>
              <w:tabs>
                <w:tab w:val="clear" w:pos="567"/>
              </w:tabs>
              <w:rPr>
                <w:color w:val="000000"/>
                <w:szCs w:val="22"/>
                <w:lang w:val="fr-FR"/>
              </w:rPr>
            </w:pPr>
            <w:r w:rsidRPr="00653BF6">
              <w:rPr>
                <w:color w:val="000000"/>
                <w:szCs w:val="22"/>
                <w:lang w:val="fr-FR"/>
              </w:rPr>
              <w:t>ASAT quelle que soit la valeur</w:t>
            </w:r>
          </w:p>
        </w:tc>
      </w:tr>
      <w:tr w:rsidR="0077631D" w:rsidRPr="00653BF6" w14:paraId="7C3AF544" w14:textId="77777777" w:rsidTr="004D789B">
        <w:trPr>
          <w:gridAfter w:val="1"/>
          <w:wAfter w:w="44" w:type="dxa"/>
          <w:cantSplit/>
          <w:ins w:id="96" w:author="Author"/>
        </w:trPr>
        <w:tc>
          <w:tcPr>
            <w:tcW w:w="9060" w:type="dxa"/>
            <w:gridSpan w:val="2"/>
          </w:tcPr>
          <w:p w14:paraId="08831CA7" w14:textId="2A67E0F2" w:rsidR="0077631D" w:rsidRPr="00653BF6" w:rsidRDefault="0077631D" w:rsidP="007F23EE">
            <w:pPr>
              <w:pStyle w:val="EndnoteText"/>
              <w:keepNext/>
              <w:rPr>
                <w:ins w:id="97" w:author="Author"/>
                <w:color w:val="000000"/>
                <w:sz w:val="20"/>
                <w:lang w:val="fr-FR"/>
              </w:rPr>
            </w:pPr>
            <w:ins w:id="98" w:author="Author">
              <w:r w:rsidRPr="00653BF6">
                <w:rPr>
                  <w:color w:val="000000"/>
                  <w:sz w:val="20"/>
                  <w:lang w:val="fr-FR"/>
                </w:rPr>
                <w:t>LSN : Limite supérieure de la normale du laboratoire</w:t>
              </w:r>
            </w:ins>
          </w:p>
          <w:p w14:paraId="510D09BA" w14:textId="21FE2194" w:rsidR="0077631D" w:rsidRPr="00653BF6" w:rsidRDefault="0077631D" w:rsidP="007F23EE">
            <w:pPr>
              <w:pStyle w:val="EndnoteText"/>
              <w:keepNext/>
              <w:tabs>
                <w:tab w:val="clear" w:pos="567"/>
              </w:tabs>
              <w:rPr>
                <w:ins w:id="99" w:author="Author"/>
                <w:color w:val="000000"/>
                <w:szCs w:val="22"/>
                <w:lang w:val="fr-FR"/>
              </w:rPr>
            </w:pPr>
            <w:ins w:id="100" w:author="Author">
              <w:r w:rsidRPr="00653BF6">
                <w:rPr>
                  <w:color w:val="000000"/>
                  <w:sz w:val="20"/>
                  <w:lang w:val="fr-FR"/>
                </w:rPr>
                <w:t>ASAT : aspartate aminotransférase</w:t>
              </w:r>
            </w:ins>
          </w:p>
        </w:tc>
      </w:tr>
    </w:tbl>
    <w:p w14:paraId="6AC14A4E" w14:textId="77759A1F" w:rsidR="007D642D" w:rsidRPr="00653BF6" w:rsidDel="0077631D" w:rsidRDefault="007D642D" w:rsidP="007F23EE">
      <w:pPr>
        <w:pStyle w:val="EndnoteText"/>
        <w:keepNext/>
        <w:tabs>
          <w:tab w:val="clear" w:pos="567"/>
        </w:tabs>
        <w:rPr>
          <w:del w:id="101" w:author="Author"/>
          <w:color w:val="000000"/>
          <w:szCs w:val="22"/>
          <w:lang w:val="fr-FR"/>
        </w:rPr>
      </w:pPr>
      <w:del w:id="102" w:author="Author">
        <w:r w:rsidRPr="00653BF6" w:rsidDel="0077631D">
          <w:rPr>
            <w:color w:val="000000"/>
            <w:szCs w:val="22"/>
            <w:lang w:val="fr-FR"/>
          </w:rPr>
          <w:delText>LSN : Limite supérieure de la normale du laboratoire</w:delText>
        </w:r>
      </w:del>
    </w:p>
    <w:p w14:paraId="144C6F83" w14:textId="116F949A" w:rsidR="007D642D" w:rsidRPr="00653BF6" w:rsidDel="0077631D" w:rsidRDefault="007D642D" w:rsidP="007F23EE">
      <w:pPr>
        <w:pStyle w:val="EndnoteText"/>
        <w:tabs>
          <w:tab w:val="clear" w:pos="567"/>
        </w:tabs>
        <w:rPr>
          <w:del w:id="103" w:author="Author"/>
          <w:color w:val="000000"/>
          <w:szCs w:val="22"/>
          <w:lang w:val="fr-FR"/>
        </w:rPr>
      </w:pPr>
      <w:del w:id="104" w:author="Author">
        <w:r w:rsidRPr="00653BF6" w:rsidDel="0077631D">
          <w:rPr>
            <w:color w:val="000000"/>
            <w:szCs w:val="22"/>
            <w:lang w:val="fr-FR"/>
          </w:rPr>
          <w:delText>ASAT : aspartate aminotransférase</w:delText>
        </w:r>
      </w:del>
    </w:p>
    <w:p w14:paraId="535EB63A" w14:textId="77777777" w:rsidR="007D642D" w:rsidRPr="00653BF6" w:rsidRDefault="007D642D" w:rsidP="007F23EE">
      <w:pPr>
        <w:pStyle w:val="EndnoteText"/>
        <w:tabs>
          <w:tab w:val="clear" w:pos="567"/>
        </w:tabs>
        <w:rPr>
          <w:color w:val="000000"/>
          <w:szCs w:val="22"/>
          <w:lang w:val="fr-FR"/>
        </w:rPr>
      </w:pPr>
    </w:p>
    <w:p w14:paraId="2C9091EE" w14:textId="6D87748D" w:rsidR="00A010F3" w:rsidRPr="00653BF6" w:rsidRDefault="007D642D" w:rsidP="007F23EE">
      <w:pPr>
        <w:pStyle w:val="EndnoteText"/>
        <w:keepNext/>
        <w:tabs>
          <w:tab w:val="clear" w:pos="567"/>
        </w:tabs>
        <w:rPr>
          <w:color w:val="000000"/>
          <w:szCs w:val="22"/>
          <w:u w:val="single"/>
          <w:lang w:val="fr-FR"/>
        </w:rPr>
      </w:pPr>
      <w:r w:rsidRPr="00653BF6">
        <w:rPr>
          <w:i/>
          <w:color w:val="000000"/>
          <w:szCs w:val="22"/>
          <w:u w:val="single"/>
          <w:lang w:val="fr-FR"/>
        </w:rPr>
        <w:t>Insuffisance rénale</w:t>
      </w:r>
    </w:p>
    <w:p w14:paraId="7381AD67" w14:textId="122F3BBC" w:rsidR="007D642D" w:rsidRPr="00653BF6" w:rsidRDefault="007D642D" w:rsidP="007F23EE">
      <w:pPr>
        <w:pStyle w:val="EndnoteText"/>
        <w:tabs>
          <w:tab w:val="clear" w:pos="567"/>
        </w:tabs>
        <w:rPr>
          <w:color w:val="000000"/>
          <w:szCs w:val="22"/>
          <w:lang w:val="fr-FR"/>
        </w:rPr>
      </w:pPr>
      <w:r w:rsidRPr="00653BF6">
        <w:rPr>
          <w:color w:val="000000"/>
          <w:szCs w:val="22"/>
          <w:lang w:val="fr-FR"/>
        </w:rPr>
        <w:t>Chez les patients présentant une altération de la fonction rénale ou sous dialyse, la dose initiale de traitement de 400 mg par jour est recommandée. Toutefois, la prudence est recommandée chez ces patients. La dose peut être réduite si elle est mal tolérée. Si elle est tolérée, la dose peut être augmentée en l’absence d’efficacité (voir rubrique</w:t>
      </w:r>
      <w:ins w:id="105" w:author="Author">
        <w:r w:rsidR="0077631D" w:rsidRPr="00653BF6">
          <w:rPr>
            <w:color w:val="000000"/>
            <w:szCs w:val="22"/>
            <w:lang w:val="fr-FR"/>
          </w:rPr>
          <w:t>s</w:t>
        </w:r>
      </w:ins>
      <w:r w:rsidRPr="00653BF6">
        <w:rPr>
          <w:color w:val="000000"/>
          <w:szCs w:val="22"/>
          <w:lang w:val="fr-FR"/>
        </w:rPr>
        <w:t> 4.4 et</w:t>
      </w:r>
      <w:r w:rsidR="002F003A" w:rsidRPr="00653BF6">
        <w:rPr>
          <w:color w:val="000000"/>
          <w:szCs w:val="22"/>
          <w:lang w:val="fr-FR"/>
        </w:rPr>
        <w:t> </w:t>
      </w:r>
      <w:r w:rsidRPr="00653BF6">
        <w:rPr>
          <w:color w:val="000000"/>
          <w:szCs w:val="22"/>
          <w:lang w:val="fr-FR"/>
        </w:rPr>
        <w:t>5.2).</w:t>
      </w:r>
    </w:p>
    <w:p w14:paraId="50E63C8E" w14:textId="77777777" w:rsidR="007D642D" w:rsidRPr="00653BF6" w:rsidRDefault="007D642D" w:rsidP="007F23EE">
      <w:pPr>
        <w:pStyle w:val="EndnoteText"/>
        <w:tabs>
          <w:tab w:val="clear" w:pos="567"/>
        </w:tabs>
        <w:rPr>
          <w:color w:val="000000"/>
          <w:szCs w:val="22"/>
          <w:lang w:val="fr-FR"/>
        </w:rPr>
      </w:pPr>
    </w:p>
    <w:p w14:paraId="6D671B39" w14:textId="0F9E8401" w:rsidR="00A010F3" w:rsidRPr="00653BF6" w:rsidRDefault="006E7418" w:rsidP="007F23EE">
      <w:pPr>
        <w:pStyle w:val="EndnoteText"/>
        <w:keepNext/>
        <w:tabs>
          <w:tab w:val="clear" w:pos="567"/>
        </w:tabs>
        <w:rPr>
          <w:color w:val="000000"/>
          <w:szCs w:val="22"/>
          <w:u w:val="single"/>
          <w:lang w:val="fr-FR"/>
        </w:rPr>
      </w:pPr>
      <w:r w:rsidRPr="00653BF6">
        <w:rPr>
          <w:i/>
          <w:color w:val="000000"/>
          <w:szCs w:val="22"/>
          <w:u w:val="single"/>
          <w:lang w:val="fr-FR"/>
        </w:rPr>
        <w:t xml:space="preserve">Personnes </w:t>
      </w:r>
      <w:r w:rsidR="007D642D" w:rsidRPr="00653BF6">
        <w:rPr>
          <w:i/>
          <w:color w:val="000000"/>
          <w:szCs w:val="22"/>
          <w:u w:val="single"/>
          <w:lang w:val="fr-FR"/>
        </w:rPr>
        <w:t>âgé</w:t>
      </w:r>
      <w:r w:rsidRPr="00653BF6">
        <w:rPr>
          <w:i/>
          <w:color w:val="000000"/>
          <w:szCs w:val="22"/>
          <w:u w:val="single"/>
          <w:lang w:val="fr-FR"/>
        </w:rPr>
        <w:t>e</w:t>
      </w:r>
      <w:r w:rsidR="007D642D" w:rsidRPr="00653BF6">
        <w:rPr>
          <w:i/>
          <w:color w:val="000000"/>
          <w:szCs w:val="22"/>
          <w:u w:val="single"/>
          <w:lang w:val="fr-FR"/>
        </w:rPr>
        <w:t>s</w:t>
      </w:r>
    </w:p>
    <w:p w14:paraId="2BAE0268" w14:textId="4F3AE30B" w:rsidR="007D642D" w:rsidRPr="00653BF6" w:rsidRDefault="00A010F3" w:rsidP="007F23EE">
      <w:pPr>
        <w:pStyle w:val="EndnoteText"/>
        <w:tabs>
          <w:tab w:val="clear" w:pos="567"/>
        </w:tabs>
        <w:rPr>
          <w:color w:val="000000"/>
          <w:szCs w:val="22"/>
          <w:lang w:val="fr-FR"/>
        </w:rPr>
      </w:pPr>
      <w:r w:rsidRPr="00653BF6">
        <w:rPr>
          <w:color w:val="000000"/>
          <w:szCs w:val="22"/>
          <w:lang w:val="fr-FR"/>
        </w:rPr>
        <w:t>L</w:t>
      </w:r>
      <w:r w:rsidR="007D642D" w:rsidRPr="00653BF6">
        <w:rPr>
          <w:color w:val="000000"/>
          <w:szCs w:val="22"/>
          <w:lang w:val="fr-FR"/>
        </w:rPr>
        <w:t>a pharmacocinétique de l’imatinib n’a pas été spécifiquement étudiée chez le</w:t>
      </w:r>
      <w:r w:rsidR="006E7418" w:rsidRPr="00653BF6">
        <w:rPr>
          <w:color w:val="000000"/>
          <w:szCs w:val="22"/>
          <w:lang w:val="fr-FR"/>
        </w:rPr>
        <w:t>s</w:t>
      </w:r>
      <w:r w:rsidR="007D642D" w:rsidRPr="00653BF6">
        <w:rPr>
          <w:color w:val="000000"/>
          <w:szCs w:val="22"/>
          <w:lang w:val="fr-FR"/>
        </w:rPr>
        <w:t xml:space="preserve"> </w:t>
      </w:r>
      <w:r w:rsidR="006E7418" w:rsidRPr="00653BF6">
        <w:rPr>
          <w:color w:val="000000"/>
          <w:szCs w:val="22"/>
          <w:lang w:val="fr-FR"/>
        </w:rPr>
        <w:t xml:space="preserve">personnes </w:t>
      </w:r>
      <w:r w:rsidR="007D642D" w:rsidRPr="00653BF6">
        <w:rPr>
          <w:color w:val="000000"/>
          <w:szCs w:val="22"/>
          <w:lang w:val="fr-FR"/>
        </w:rPr>
        <w:t>âgé</w:t>
      </w:r>
      <w:r w:rsidR="006E7418" w:rsidRPr="00653BF6">
        <w:rPr>
          <w:color w:val="000000"/>
          <w:szCs w:val="22"/>
          <w:lang w:val="fr-FR"/>
        </w:rPr>
        <w:t>es</w:t>
      </w:r>
      <w:r w:rsidR="007D642D" w:rsidRPr="00653BF6">
        <w:rPr>
          <w:color w:val="000000"/>
          <w:szCs w:val="22"/>
          <w:lang w:val="fr-FR"/>
        </w:rPr>
        <w:t xml:space="preserve">. Aucune différence significative de pharmacocinétique n’a été observée en fonction de l’âge chez les patients adultes inclus dans les études cliniques dont plus de 20% étaient âgés de 65 ans et plus. Par conséquent, aucune recommandation particulière sur la posologie n’est requise </w:t>
      </w:r>
      <w:r w:rsidR="006E7418" w:rsidRPr="00653BF6">
        <w:rPr>
          <w:color w:val="000000"/>
          <w:szCs w:val="22"/>
          <w:lang w:val="fr-FR"/>
        </w:rPr>
        <w:t>chez les personnes âgées</w:t>
      </w:r>
      <w:r w:rsidR="007D642D" w:rsidRPr="00653BF6">
        <w:rPr>
          <w:color w:val="000000"/>
          <w:szCs w:val="22"/>
          <w:lang w:val="fr-FR"/>
        </w:rPr>
        <w:t>.</w:t>
      </w:r>
    </w:p>
    <w:p w14:paraId="4D9F1C0F" w14:textId="77777777" w:rsidR="007D642D" w:rsidRPr="00653BF6" w:rsidRDefault="007D642D" w:rsidP="007F23EE">
      <w:pPr>
        <w:pStyle w:val="EndnoteText"/>
        <w:tabs>
          <w:tab w:val="clear" w:pos="567"/>
        </w:tabs>
        <w:rPr>
          <w:color w:val="000000"/>
          <w:szCs w:val="22"/>
          <w:lang w:val="fr-FR"/>
        </w:rPr>
      </w:pPr>
    </w:p>
    <w:p w14:paraId="6C0441D7" w14:textId="77777777" w:rsidR="00EF4CB3" w:rsidRPr="00653BF6" w:rsidRDefault="00EF4CB3" w:rsidP="007F23EE">
      <w:pPr>
        <w:keepNext/>
        <w:ind w:left="567" w:hanging="567"/>
        <w:rPr>
          <w:rFonts w:ascii="Times New Roman" w:hAnsi="Times New Roman"/>
          <w:color w:val="000000"/>
          <w:szCs w:val="22"/>
        </w:rPr>
      </w:pPr>
      <w:r w:rsidRPr="00653BF6">
        <w:rPr>
          <w:rFonts w:ascii="Times New Roman" w:hAnsi="Times New Roman"/>
          <w:b/>
          <w:color w:val="000000"/>
          <w:szCs w:val="22"/>
        </w:rPr>
        <w:lastRenderedPageBreak/>
        <w:t>4.3</w:t>
      </w:r>
      <w:r w:rsidRPr="00653BF6">
        <w:rPr>
          <w:rFonts w:ascii="Times New Roman" w:hAnsi="Times New Roman"/>
          <w:b/>
          <w:color w:val="000000"/>
          <w:szCs w:val="22"/>
        </w:rPr>
        <w:tab/>
        <w:t>Contre-indications</w:t>
      </w:r>
    </w:p>
    <w:p w14:paraId="7A5EBF80" w14:textId="77777777" w:rsidR="00EF4CB3" w:rsidRPr="00653BF6" w:rsidRDefault="00EF4CB3" w:rsidP="007F23EE">
      <w:pPr>
        <w:pStyle w:val="EndnoteText"/>
        <w:keepNext/>
        <w:tabs>
          <w:tab w:val="clear" w:pos="567"/>
        </w:tabs>
        <w:rPr>
          <w:color w:val="000000"/>
          <w:szCs w:val="22"/>
          <w:lang w:val="fr-FR"/>
        </w:rPr>
      </w:pPr>
    </w:p>
    <w:p w14:paraId="1FE58F02" w14:textId="77777777" w:rsidR="00EF4CB3" w:rsidRPr="00653BF6" w:rsidRDefault="00EF4CB3" w:rsidP="007F23EE">
      <w:pPr>
        <w:pStyle w:val="EndnoteText"/>
        <w:tabs>
          <w:tab w:val="clear" w:pos="567"/>
        </w:tabs>
        <w:rPr>
          <w:color w:val="000000"/>
          <w:szCs w:val="22"/>
          <w:lang w:val="fr-FR"/>
        </w:rPr>
      </w:pPr>
      <w:r w:rsidRPr="00653BF6">
        <w:rPr>
          <w:color w:val="000000"/>
          <w:szCs w:val="22"/>
          <w:lang w:val="fr-FR"/>
        </w:rPr>
        <w:t>Hypersensibilité à la substance active ou à l’un des excipients mentionnés à la rubrique 6.1.</w:t>
      </w:r>
    </w:p>
    <w:p w14:paraId="44ABFCCB" w14:textId="77777777" w:rsidR="00EF4CB3" w:rsidRPr="00653BF6" w:rsidRDefault="00EF4CB3" w:rsidP="007F23EE">
      <w:pPr>
        <w:pStyle w:val="EndnoteText"/>
        <w:tabs>
          <w:tab w:val="clear" w:pos="567"/>
        </w:tabs>
        <w:rPr>
          <w:color w:val="000000"/>
          <w:szCs w:val="22"/>
          <w:lang w:val="fr-FR"/>
        </w:rPr>
      </w:pPr>
    </w:p>
    <w:p w14:paraId="150DD303" w14:textId="083AEC87" w:rsidR="00EF4CB3" w:rsidRPr="00653BF6" w:rsidRDefault="00EF4CB3" w:rsidP="007F23EE">
      <w:pPr>
        <w:keepNext/>
        <w:ind w:left="567" w:hanging="567"/>
        <w:rPr>
          <w:rFonts w:ascii="Times New Roman" w:hAnsi="Times New Roman"/>
          <w:b/>
          <w:color w:val="000000"/>
          <w:szCs w:val="22"/>
        </w:rPr>
      </w:pPr>
      <w:r w:rsidRPr="00653BF6">
        <w:rPr>
          <w:rFonts w:ascii="Times New Roman" w:hAnsi="Times New Roman"/>
          <w:b/>
          <w:color w:val="000000"/>
          <w:szCs w:val="22"/>
        </w:rPr>
        <w:t>4.4</w:t>
      </w:r>
      <w:r w:rsidRPr="00653BF6">
        <w:rPr>
          <w:rFonts w:ascii="Times New Roman" w:hAnsi="Times New Roman"/>
          <w:b/>
          <w:color w:val="000000"/>
          <w:szCs w:val="22"/>
        </w:rPr>
        <w:tab/>
        <w:t>Mises en garde spéciales et précautions d</w:t>
      </w:r>
      <w:r w:rsidR="00813A7A">
        <w:rPr>
          <w:rFonts w:ascii="Times New Roman" w:hAnsi="Times New Roman"/>
          <w:b/>
          <w:color w:val="000000"/>
          <w:szCs w:val="22"/>
        </w:rPr>
        <w:t>’</w:t>
      </w:r>
      <w:r w:rsidRPr="00653BF6">
        <w:rPr>
          <w:rFonts w:ascii="Times New Roman" w:hAnsi="Times New Roman"/>
          <w:b/>
          <w:color w:val="000000"/>
          <w:szCs w:val="22"/>
        </w:rPr>
        <w:t>emploi</w:t>
      </w:r>
    </w:p>
    <w:p w14:paraId="4E64D6B5" w14:textId="77777777" w:rsidR="00EF4CB3" w:rsidRPr="00653BF6" w:rsidRDefault="00EF4CB3" w:rsidP="007F23EE">
      <w:pPr>
        <w:keepNext/>
        <w:ind w:left="567" w:hanging="567"/>
        <w:rPr>
          <w:rFonts w:ascii="Times New Roman" w:hAnsi="Times New Roman"/>
          <w:color w:val="000000"/>
          <w:szCs w:val="22"/>
        </w:rPr>
      </w:pPr>
    </w:p>
    <w:p w14:paraId="0D8DB593" w14:textId="1A38EA90" w:rsidR="00EF4CB3" w:rsidRPr="00653BF6" w:rsidRDefault="00EF4CB3" w:rsidP="007F23EE">
      <w:pPr>
        <w:pStyle w:val="EndnoteText"/>
        <w:tabs>
          <w:tab w:val="clear" w:pos="567"/>
        </w:tabs>
        <w:rPr>
          <w:color w:val="000000"/>
          <w:szCs w:val="22"/>
          <w:lang w:val="fr-FR"/>
        </w:rPr>
      </w:pPr>
      <w:r w:rsidRPr="00653BF6">
        <w:rPr>
          <w:color w:val="000000"/>
          <w:szCs w:val="22"/>
          <w:lang w:val="fr-FR"/>
        </w:rPr>
        <w:t xml:space="preserve">Lorsque Glivec est </w:t>
      </w:r>
      <w:proofErr w:type="spellStart"/>
      <w:r w:rsidRPr="00653BF6">
        <w:rPr>
          <w:color w:val="000000"/>
          <w:szCs w:val="22"/>
          <w:lang w:val="fr-FR"/>
        </w:rPr>
        <w:t>co-administré</w:t>
      </w:r>
      <w:proofErr w:type="spellEnd"/>
      <w:r w:rsidRPr="00653BF6">
        <w:rPr>
          <w:color w:val="000000"/>
          <w:szCs w:val="22"/>
          <w:lang w:val="fr-FR"/>
        </w:rPr>
        <w:t xml:space="preserve"> avec d’autres médicaments, des interactions médicamenteuses sont possibles. La prudence est requise en cas d</w:t>
      </w:r>
      <w:r w:rsidR="00813A7A">
        <w:rPr>
          <w:color w:val="000000"/>
          <w:szCs w:val="22"/>
          <w:lang w:val="fr-FR"/>
        </w:rPr>
        <w:t>’</w:t>
      </w:r>
      <w:r w:rsidRPr="00653BF6">
        <w:rPr>
          <w:color w:val="000000"/>
          <w:szCs w:val="22"/>
          <w:lang w:val="fr-FR"/>
        </w:rPr>
        <w:t>utilisation de Glivec avec des inhibiteurs de protéase, des antifongiques azolés, certains macrolides (voir rubrique</w:t>
      </w:r>
      <w:r w:rsidR="002F003A" w:rsidRPr="00653BF6">
        <w:rPr>
          <w:color w:val="000000"/>
          <w:szCs w:val="22"/>
          <w:lang w:val="fr-FR"/>
        </w:rPr>
        <w:t> </w:t>
      </w:r>
      <w:r w:rsidRPr="00653BF6">
        <w:rPr>
          <w:color w:val="000000"/>
          <w:szCs w:val="22"/>
          <w:lang w:val="fr-FR"/>
        </w:rPr>
        <w:t xml:space="preserve">4.5), des substrats du CYP3A4 avec une marge thérapeutique étroite (par exemple : ciclosporine, </w:t>
      </w:r>
      <w:proofErr w:type="spellStart"/>
      <w:r w:rsidRPr="00653BF6">
        <w:rPr>
          <w:color w:val="000000"/>
          <w:szCs w:val="22"/>
          <w:lang w:val="fr-FR"/>
        </w:rPr>
        <w:t>pimozide</w:t>
      </w:r>
      <w:proofErr w:type="spellEnd"/>
      <w:r w:rsidRPr="00653BF6">
        <w:rPr>
          <w:color w:val="000000"/>
          <w:szCs w:val="22"/>
          <w:lang w:val="fr-FR"/>
        </w:rPr>
        <w:t xml:space="preserve">, tacrolimus, </w:t>
      </w:r>
      <w:proofErr w:type="spellStart"/>
      <w:r w:rsidRPr="00653BF6">
        <w:rPr>
          <w:color w:val="000000"/>
          <w:szCs w:val="22"/>
          <w:lang w:val="fr-FR"/>
        </w:rPr>
        <w:t>sirolimus</w:t>
      </w:r>
      <w:proofErr w:type="spellEnd"/>
      <w:r w:rsidRPr="00653BF6">
        <w:rPr>
          <w:color w:val="000000"/>
          <w:szCs w:val="22"/>
          <w:lang w:val="fr-FR"/>
        </w:rPr>
        <w:t xml:space="preserve">, ergotamine, </w:t>
      </w:r>
      <w:proofErr w:type="spellStart"/>
      <w:r w:rsidRPr="00653BF6">
        <w:rPr>
          <w:color w:val="000000"/>
          <w:szCs w:val="22"/>
          <w:lang w:val="fr-FR"/>
        </w:rPr>
        <w:t>diergotamine</w:t>
      </w:r>
      <w:proofErr w:type="spellEnd"/>
      <w:r w:rsidRPr="00653BF6">
        <w:rPr>
          <w:color w:val="000000"/>
          <w:szCs w:val="22"/>
          <w:lang w:val="fr-FR"/>
        </w:rPr>
        <w:t xml:space="preserve">, fentanyl, </w:t>
      </w:r>
      <w:proofErr w:type="spellStart"/>
      <w:r w:rsidRPr="00653BF6">
        <w:rPr>
          <w:color w:val="000000"/>
          <w:szCs w:val="22"/>
          <w:lang w:val="fr-FR"/>
        </w:rPr>
        <w:t>alfentanil</w:t>
      </w:r>
      <w:proofErr w:type="spellEnd"/>
      <w:r w:rsidRPr="00653BF6">
        <w:rPr>
          <w:color w:val="000000"/>
          <w:szCs w:val="22"/>
          <w:lang w:val="fr-FR"/>
        </w:rPr>
        <w:t xml:space="preserve">, </w:t>
      </w:r>
      <w:proofErr w:type="spellStart"/>
      <w:r w:rsidRPr="00653BF6">
        <w:rPr>
          <w:color w:val="000000"/>
          <w:szCs w:val="22"/>
          <w:lang w:val="fr-FR"/>
        </w:rPr>
        <w:t>terfénadine</w:t>
      </w:r>
      <w:proofErr w:type="spellEnd"/>
      <w:r w:rsidRPr="00653BF6">
        <w:rPr>
          <w:color w:val="000000"/>
          <w:szCs w:val="22"/>
          <w:lang w:val="fr-FR"/>
        </w:rPr>
        <w:t xml:space="preserve">, </w:t>
      </w:r>
      <w:proofErr w:type="spellStart"/>
      <w:r w:rsidRPr="00653BF6">
        <w:rPr>
          <w:color w:val="000000"/>
          <w:szCs w:val="22"/>
          <w:lang w:val="fr-FR"/>
        </w:rPr>
        <w:t>bortézomib</w:t>
      </w:r>
      <w:proofErr w:type="spellEnd"/>
      <w:r w:rsidRPr="00653BF6">
        <w:rPr>
          <w:color w:val="000000"/>
          <w:szCs w:val="22"/>
          <w:lang w:val="fr-FR"/>
        </w:rPr>
        <w:t xml:space="preserve">, </w:t>
      </w:r>
      <w:proofErr w:type="spellStart"/>
      <w:r w:rsidRPr="00653BF6">
        <w:rPr>
          <w:color w:val="000000"/>
          <w:szCs w:val="22"/>
          <w:lang w:val="fr-FR"/>
        </w:rPr>
        <w:t>docétaxel</w:t>
      </w:r>
      <w:proofErr w:type="spellEnd"/>
      <w:r w:rsidRPr="00653BF6">
        <w:rPr>
          <w:color w:val="000000"/>
          <w:szCs w:val="22"/>
          <w:lang w:val="fr-FR"/>
        </w:rPr>
        <w:t>, quinidine) ou warfarine et autres dérivés coumariniques (voir rubrique 4.5).</w:t>
      </w:r>
    </w:p>
    <w:p w14:paraId="107B7763" w14:textId="77777777" w:rsidR="00EF4CB3" w:rsidRPr="00653BF6" w:rsidRDefault="00EF4CB3" w:rsidP="007F23EE">
      <w:pPr>
        <w:pStyle w:val="EndnoteText"/>
        <w:tabs>
          <w:tab w:val="clear" w:pos="567"/>
        </w:tabs>
        <w:rPr>
          <w:color w:val="000000"/>
          <w:szCs w:val="22"/>
          <w:lang w:val="fr-FR"/>
        </w:rPr>
      </w:pPr>
    </w:p>
    <w:p w14:paraId="6B9FC02B" w14:textId="76339A67" w:rsidR="00EF4CB3" w:rsidRPr="00653BF6" w:rsidRDefault="00EF4CB3" w:rsidP="007F23EE">
      <w:pPr>
        <w:pStyle w:val="EndnoteText"/>
        <w:tabs>
          <w:tab w:val="clear" w:pos="567"/>
        </w:tabs>
        <w:rPr>
          <w:color w:val="000000"/>
          <w:szCs w:val="22"/>
          <w:lang w:val="fr-FR"/>
        </w:rPr>
      </w:pPr>
      <w:r w:rsidRPr="00653BF6">
        <w:rPr>
          <w:color w:val="000000"/>
          <w:szCs w:val="22"/>
          <w:lang w:val="fr-FR"/>
        </w:rPr>
        <w:t xml:space="preserve">L’utilisation concomitante d’imatinib et de médicaments inducteurs du CYP3A4 (par exemple : dexaméthasone, phénytoïne, carbamazépine, rifampicine, phénobarbital, ou </w:t>
      </w:r>
      <w:proofErr w:type="spellStart"/>
      <w:r w:rsidRPr="00653BF6">
        <w:rPr>
          <w:i/>
          <w:color w:val="000000"/>
          <w:szCs w:val="22"/>
          <w:lang w:val="fr-FR"/>
        </w:rPr>
        <w:t>Hypericum</w:t>
      </w:r>
      <w:proofErr w:type="spellEnd"/>
      <w:r w:rsidRPr="00653BF6">
        <w:rPr>
          <w:i/>
          <w:color w:val="000000"/>
          <w:szCs w:val="22"/>
          <w:lang w:val="fr-FR"/>
        </w:rPr>
        <w:t xml:space="preserve"> </w:t>
      </w:r>
      <w:proofErr w:type="spellStart"/>
      <w:r w:rsidRPr="00653BF6">
        <w:rPr>
          <w:i/>
          <w:color w:val="000000"/>
          <w:szCs w:val="22"/>
          <w:lang w:val="fr-FR"/>
        </w:rPr>
        <w:t>perforatum</w:t>
      </w:r>
      <w:proofErr w:type="spellEnd"/>
      <w:r w:rsidRPr="00653BF6">
        <w:rPr>
          <w:color w:val="000000"/>
          <w:szCs w:val="22"/>
          <w:lang w:val="fr-FR"/>
        </w:rPr>
        <w:t xml:space="preserve"> (millepertuis), peut réduire significativement l’exposition systémique au Glivec et augmenter potentiellement le risque d’échec thérapeutique. Par conséquent, l’utilisation concomitante d’imatinib avec des inducteurs puissants du CYP3A4 devra être évitée (voir rubrique</w:t>
      </w:r>
      <w:r w:rsidR="002F003A" w:rsidRPr="00653BF6">
        <w:rPr>
          <w:color w:val="000000"/>
          <w:szCs w:val="22"/>
          <w:lang w:val="fr-FR"/>
        </w:rPr>
        <w:t> </w:t>
      </w:r>
      <w:r w:rsidRPr="00653BF6">
        <w:rPr>
          <w:color w:val="000000"/>
          <w:szCs w:val="22"/>
          <w:lang w:val="fr-FR"/>
        </w:rPr>
        <w:t>4.5).</w:t>
      </w:r>
    </w:p>
    <w:p w14:paraId="6A9C1C18" w14:textId="77777777" w:rsidR="00EF4CB3" w:rsidRPr="00653BF6" w:rsidRDefault="00EF4CB3" w:rsidP="007F23EE">
      <w:pPr>
        <w:pStyle w:val="EndnoteText"/>
        <w:tabs>
          <w:tab w:val="clear" w:pos="567"/>
        </w:tabs>
        <w:rPr>
          <w:color w:val="000000"/>
          <w:szCs w:val="22"/>
          <w:lang w:val="fr-FR"/>
        </w:rPr>
      </w:pPr>
    </w:p>
    <w:p w14:paraId="01EEA2E8" w14:textId="50422A8D" w:rsidR="00EF4CB3" w:rsidRPr="00653BF6" w:rsidRDefault="00EF4CB3" w:rsidP="007F23EE">
      <w:pPr>
        <w:pStyle w:val="EndnoteText"/>
        <w:keepNext/>
        <w:tabs>
          <w:tab w:val="clear" w:pos="567"/>
        </w:tabs>
        <w:rPr>
          <w:color w:val="000000"/>
          <w:szCs w:val="22"/>
          <w:u w:val="single"/>
          <w:lang w:val="fr-FR"/>
        </w:rPr>
      </w:pPr>
      <w:r w:rsidRPr="00653BF6">
        <w:rPr>
          <w:color w:val="000000"/>
          <w:szCs w:val="22"/>
          <w:u w:val="single"/>
          <w:lang w:val="fr-FR"/>
        </w:rPr>
        <w:t>Hypothyroïdie</w:t>
      </w:r>
    </w:p>
    <w:p w14:paraId="15675185" w14:textId="77777777" w:rsidR="00A010F3" w:rsidRPr="00653BF6" w:rsidRDefault="00A010F3" w:rsidP="007F23EE">
      <w:pPr>
        <w:pStyle w:val="EndnoteText"/>
        <w:keepNext/>
        <w:tabs>
          <w:tab w:val="clear" w:pos="567"/>
        </w:tabs>
        <w:rPr>
          <w:color w:val="000000"/>
          <w:szCs w:val="22"/>
          <w:u w:val="single"/>
          <w:lang w:val="fr-FR"/>
        </w:rPr>
      </w:pPr>
    </w:p>
    <w:p w14:paraId="3AEC5E1F" w14:textId="77777777" w:rsidR="00EF4CB3" w:rsidRPr="00653BF6" w:rsidRDefault="00EF4CB3" w:rsidP="007F23EE">
      <w:pPr>
        <w:pStyle w:val="EndnoteText"/>
        <w:tabs>
          <w:tab w:val="clear" w:pos="567"/>
        </w:tabs>
        <w:rPr>
          <w:color w:val="000000"/>
          <w:szCs w:val="22"/>
          <w:lang w:val="fr-FR"/>
        </w:rPr>
      </w:pPr>
      <w:r w:rsidRPr="00653BF6">
        <w:rPr>
          <w:color w:val="000000"/>
          <w:szCs w:val="22"/>
          <w:lang w:val="fr-FR"/>
        </w:rPr>
        <w:t>Des cas cliniques d’hypothyroïdie ont été rapportés chez des patients traités par Glivec, ayant subi une thyroïdectomie et recevant un traitement par lévothyroxine (voir rubrique 4.5). Les taux de l’hormone thyréotrope (TSH) devront être étroitement surveillés chez ces patients.</w:t>
      </w:r>
    </w:p>
    <w:p w14:paraId="18E39BD1" w14:textId="77777777" w:rsidR="00EF4CB3" w:rsidRPr="00653BF6" w:rsidRDefault="00EF4CB3" w:rsidP="007F23EE">
      <w:pPr>
        <w:pStyle w:val="EndnoteText"/>
        <w:tabs>
          <w:tab w:val="clear" w:pos="567"/>
        </w:tabs>
        <w:rPr>
          <w:color w:val="000000"/>
          <w:szCs w:val="22"/>
          <w:lang w:val="fr-FR"/>
        </w:rPr>
      </w:pPr>
    </w:p>
    <w:p w14:paraId="6EDD4F27" w14:textId="37AF1D2E" w:rsidR="00EF4CB3" w:rsidRPr="00653BF6" w:rsidRDefault="00EF4CB3" w:rsidP="007F23EE">
      <w:pPr>
        <w:pStyle w:val="EndnoteText"/>
        <w:keepNext/>
        <w:tabs>
          <w:tab w:val="clear" w:pos="567"/>
        </w:tabs>
        <w:rPr>
          <w:color w:val="000000"/>
          <w:szCs w:val="22"/>
          <w:u w:val="single"/>
          <w:lang w:val="fr-FR"/>
        </w:rPr>
      </w:pPr>
      <w:r w:rsidRPr="00653BF6">
        <w:rPr>
          <w:color w:val="000000"/>
          <w:szCs w:val="22"/>
          <w:u w:val="single"/>
          <w:lang w:val="fr-FR"/>
        </w:rPr>
        <w:t>Hépatotoxicité</w:t>
      </w:r>
    </w:p>
    <w:p w14:paraId="53FF3A96" w14:textId="77777777" w:rsidR="00A010F3" w:rsidRPr="00653BF6" w:rsidRDefault="00A010F3" w:rsidP="007F23EE">
      <w:pPr>
        <w:pStyle w:val="EndnoteText"/>
        <w:keepNext/>
        <w:tabs>
          <w:tab w:val="clear" w:pos="567"/>
        </w:tabs>
        <w:rPr>
          <w:color w:val="000000"/>
          <w:szCs w:val="22"/>
          <w:u w:val="single"/>
          <w:lang w:val="fr-FR"/>
        </w:rPr>
      </w:pPr>
    </w:p>
    <w:p w14:paraId="3B328E25" w14:textId="31C938BA" w:rsidR="00EF4CB3" w:rsidRPr="00653BF6" w:rsidRDefault="00EF4CB3" w:rsidP="007F23EE">
      <w:pPr>
        <w:pStyle w:val="EndnoteText"/>
        <w:tabs>
          <w:tab w:val="clear" w:pos="567"/>
        </w:tabs>
        <w:rPr>
          <w:color w:val="000000"/>
          <w:szCs w:val="22"/>
          <w:lang w:val="fr-FR"/>
        </w:rPr>
      </w:pPr>
      <w:r w:rsidRPr="00653BF6">
        <w:rPr>
          <w:color w:val="000000"/>
          <w:szCs w:val="22"/>
          <w:lang w:val="fr-FR"/>
        </w:rPr>
        <w:t>Le métabolisme de Glivec est principalement hépatique, et seulement 13% de l’excrétion est rénale. Chez les patients présentant une altération de la fonction hépatique (légère, modérée ou importante) la numération formule sanguine et les enzymes hépatiques devront être étroitement surveillées (</w:t>
      </w:r>
      <w:del w:id="106" w:author="Author">
        <w:r w:rsidRPr="00653BF6" w:rsidDel="00303A31">
          <w:rPr>
            <w:color w:val="000000"/>
            <w:szCs w:val="22"/>
            <w:lang w:val="fr-FR"/>
          </w:rPr>
          <w:delText>cf.</w:delText>
        </w:r>
      </w:del>
      <w:ins w:id="107" w:author="Author">
        <w:r w:rsidR="00303A31" w:rsidRPr="00653BF6">
          <w:rPr>
            <w:color w:val="000000"/>
            <w:szCs w:val="22"/>
            <w:lang w:val="fr-FR"/>
          </w:rPr>
          <w:t>voir</w:t>
        </w:r>
      </w:ins>
      <w:r w:rsidRPr="00653BF6">
        <w:rPr>
          <w:color w:val="000000"/>
          <w:szCs w:val="22"/>
          <w:lang w:val="fr-FR"/>
        </w:rPr>
        <w:t xml:space="preserve"> rubrique</w:t>
      </w:r>
      <w:ins w:id="108" w:author="Author">
        <w:r w:rsidR="00303A31">
          <w:rPr>
            <w:color w:val="000000"/>
            <w:szCs w:val="22"/>
            <w:lang w:val="fr-FR"/>
          </w:rPr>
          <w:t>s</w:t>
        </w:r>
      </w:ins>
      <w:r w:rsidR="002F003A" w:rsidRPr="00653BF6">
        <w:rPr>
          <w:color w:val="000000"/>
          <w:szCs w:val="22"/>
          <w:lang w:val="fr-FR"/>
        </w:rPr>
        <w:t> </w:t>
      </w:r>
      <w:r w:rsidRPr="00653BF6">
        <w:rPr>
          <w:color w:val="000000"/>
          <w:szCs w:val="22"/>
          <w:lang w:val="fr-FR"/>
        </w:rPr>
        <w:t>4.2, 4.8 et</w:t>
      </w:r>
      <w:r w:rsidR="002F003A" w:rsidRPr="00653BF6">
        <w:rPr>
          <w:color w:val="000000"/>
          <w:szCs w:val="22"/>
          <w:lang w:val="fr-FR"/>
        </w:rPr>
        <w:t> </w:t>
      </w:r>
      <w:r w:rsidRPr="00653BF6">
        <w:rPr>
          <w:color w:val="000000"/>
          <w:szCs w:val="22"/>
          <w:lang w:val="fr-FR"/>
        </w:rPr>
        <w:t>5.2). Il est à noter que les patients atteints de GIST peuvent présenter des métastases hépatiques qui pourraient entraîner une insuffisance hépatique.</w:t>
      </w:r>
    </w:p>
    <w:p w14:paraId="1D83E867" w14:textId="77777777" w:rsidR="00EF4CB3" w:rsidRPr="00653BF6" w:rsidRDefault="00EF4CB3" w:rsidP="007F23EE">
      <w:pPr>
        <w:pStyle w:val="EndnoteText"/>
        <w:tabs>
          <w:tab w:val="clear" w:pos="567"/>
        </w:tabs>
        <w:rPr>
          <w:color w:val="000000"/>
          <w:szCs w:val="22"/>
          <w:lang w:val="fr-FR"/>
        </w:rPr>
      </w:pPr>
    </w:p>
    <w:p w14:paraId="68776B6B" w14:textId="3105A706" w:rsidR="00EF4CB3" w:rsidRPr="00653BF6" w:rsidRDefault="00EF4CB3" w:rsidP="007F23EE">
      <w:pPr>
        <w:pStyle w:val="EndnoteText"/>
        <w:tabs>
          <w:tab w:val="clear" w:pos="567"/>
        </w:tabs>
        <w:rPr>
          <w:color w:val="000000"/>
          <w:szCs w:val="22"/>
          <w:lang w:val="fr-FR"/>
        </w:rPr>
      </w:pPr>
      <w:r w:rsidRPr="00653BF6">
        <w:rPr>
          <w:color w:val="000000"/>
          <w:szCs w:val="22"/>
          <w:lang w:val="fr-FR"/>
        </w:rPr>
        <w:t>Des cas d’altérations de la fonction hépatique, y compris des cas d’insuffisance hépatique et de nécrose hépatique ont été observés avec l’imatinib. Lorsque l’imatinib est associé à des chimiothérapies à fortes doses, une augmentation des réactions hépatiques graves a été mise en évidence. Une surveillance étroite de la fonction hépatique est recommandée lorsque l’imatinib est associé à une chimiothérapie connue comme pouvant être associée à une altération de la fonction hépatique (voir rubriques</w:t>
      </w:r>
      <w:r w:rsidR="002F003A" w:rsidRPr="00653BF6">
        <w:rPr>
          <w:color w:val="000000"/>
          <w:szCs w:val="22"/>
          <w:lang w:val="fr-FR"/>
        </w:rPr>
        <w:t> </w:t>
      </w:r>
      <w:r w:rsidRPr="00653BF6">
        <w:rPr>
          <w:color w:val="000000"/>
          <w:szCs w:val="22"/>
          <w:lang w:val="fr-FR"/>
        </w:rPr>
        <w:t>4.5 et</w:t>
      </w:r>
      <w:r w:rsidR="002F003A" w:rsidRPr="00653BF6">
        <w:rPr>
          <w:color w:val="000000"/>
          <w:szCs w:val="22"/>
          <w:lang w:val="fr-FR"/>
        </w:rPr>
        <w:t> </w:t>
      </w:r>
      <w:r w:rsidRPr="00653BF6">
        <w:rPr>
          <w:color w:val="000000"/>
          <w:szCs w:val="22"/>
          <w:lang w:val="fr-FR"/>
        </w:rPr>
        <w:t>4.8).</w:t>
      </w:r>
    </w:p>
    <w:p w14:paraId="4860C3F5" w14:textId="77777777" w:rsidR="00EF4CB3" w:rsidRPr="00653BF6" w:rsidRDefault="00EF4CB3" w:rsidP="007F23EE">
      <w:pPr>
        <w:pStyle w:val="EndnoteText"/>
        <w:tabs>
          <w:tab w:val="clear" w:pos="567"/>
        </w:tabs>
        <w:rPr>
          <w:color w:val="000000"/>
          <w:szCs w:val="22"/>
          <w:lang w:val="fr-FR"/>
        </w:rPr>
      </w:pPr>
    </w:p>
    <w:p w14:paraId="434A70E9" w14:textId="01777446" w:rsidR="00EF4CB3" w:rsidRPr="00653BF6" w:rsidRDefault="00EF4CB3" w:rsidP="007F23EE">
      <w:pPr>
        <w:pStyle w:val="EndnoteText"/>
        <w:keepNext/>
        <w:tabs>
          <w:tab w:val="clear" w:pos="567"/>
        </w:tabs>
        <w:rPr>
          <w:color w:val="000000"/>
          <w:szCs w:val="22"/>
          <w:u w:val="single"/>
          <w:lang w:val="fr-FR"/>
        </w:rPr>
      </w:pPr>
      <w:r w:rsidRPr="00653BF6">
        <w:rPr>
          <w:color w:val="000000"/>
          <w:szCs w:val="22"/>
          <w:u w:val="single"/>
          <w:lang w:val="fr-FR"/>
        </w:rPr>
        <w:t>Rétention hydrique</w:t>
      </w:r>
    </w:p>
    <w:p w14:paraId="5EB4447F" w14:textId="77777777" w:rsidR="00A010F3" w:rsidRPr="00653BF6" w:rsidRDefault="00A010F3" w:rsidP="007F23EE">
      <w:pPr>
        <w:pStyle w:val="EndnoteText"/>
        <w:keepNext/>
        <w:tabs>
          <w:tab w:val="clear" w:pos="567"/>
        </w:tabs>
        <w:rPr>
          <w:color w:val="000000"/>
          <w:szCs w:val="22"/>
          <w:u w:val="single"/>
          <w:lang w:val="fr-FR"/>
        </w:rPr>
      </w:pPr>
    </w:p>
    <w:p w14:paraId="19DA6B7F" w14:textId="1F96F787" w:rsidR="00EF4CB3" w:rsidRPr="00653BF6" w:rsidRDefault="00EF4CB3" w:rsidP="007F23EE">
      <w:pPr>
        <w:pStyle w:val="EndnoteText"/>
        <w:tabs>
          <w:tab w:val="clear" w:pos="567"/>
        </w:tabs>
        <w:rPr>
          <w:color w:val="000000"/>
          <w:szCs w:val="22"/>
          <w:lang w:val="fr-FR"/>
        </w:rPr>
      </w:pPr>
      <w:r w:rsidRPr="00653BF6">
        <w:rPr>
          <w:color w:val="000000"/>
          <w:szCs w:val="22"/>
          <w:lang w:val="fr-FR"/>
        </w:rPr>
        <w:t>Des cas de rétention hydrique sévère (épanchement pleural, œdème, œdème pulmonaire, ascite, œdème superficiel) ont été décrits chez environ 2,5% des patients atteints de LMC nouvellement diagnostiqués traités par Glivec. Il est donc fortement recommandé de peser régulièrement les patients. Une prise de poids rapide et inattendue devra faire l</w:t>
      </w:r>
      <w:r w:rsidR="00813A7A">
        <w:rPr>
          <w:color w:val="000000"/>
          <w:szCs w:val="22"/>
          <w:lang w:val="fr-FR"/>
        </w:rPr>
        <w:t>’</w:t>
      </w:r>
      <w:r w:rsidRPr="00653BF6">
        <w:rPr>
          <w:color w:val="000000"/>
          <w:szCs w:val="22"/>
          <w:lang w:val="fr-FR"/>
        </w:rPr>
        <w:t>objet d</w:t>
      </w:r>
      <w:r w:rsidR="00813A7A">
        <w:rPr>
          <w:color w:val="000000"/>
          <w:szCs w:val="22"/>
          <w:lang w:val="fr-FR"/>
        </w:rPr>
        <w:t>’</w:t>
      </w:r>
      <w:r w:rsidRPr="00653BF6">
        <w:rPr>
          <w:color w:val="000000"/>
          <w:szCs w:val="22"/>
          <w:lang w:val="fr-FR"/>
        </w:rPr>
        <w:t>un examen plus approfondi et, si nécessaire, l’instauration d</w:t>
      </w:r>
      <w:r w:rsidR="00813A7A">
        <w:rPr>
          <w:color w:val="000000"/>
          <w:szCs w:val="22"/>
          <w:lang w:val="fr-FR"/>
        </w:rPr>
        <w:t>’</w:t>
      </w:r>
      <w:r w:rsidRPr="00653BF6">
        <w:rPr>
          <w:color w:val="000000"/>
          <w:szCs w:val="22"/>
          <w:lang w:val="fr-FR"/>
        </w:rPr>
        <w:t>un traitement symptomatique et des mesures thérapeutiques devront être entreprises. Dans les études cliniques, l’incidence de ces effets indésirables était augmentée chez les personnes âgées ainsi que chez ceux ayant des antécédents cardiaques. La prudence est donc recommandée chez des patients présentant un dysfonctionnement cardiaque.</w:t>
      </w:r>
    </w:p>
    <w:p w14:paraId="6B5A9A3C" w14:textId="77777777" w:rsidR="00EF4CB3" w:rsidRPr="00653BF6" w:rsidRDefault="00EF4CB3" w:rsidP="007F23EE">
      <w:pPr>
        <w:pStyle w:val="EndnoteText"/>
        <w:tabs>
          <w:tab w:val="clear" w:pos="567"/>
        </w:tabs>
        <w:rPr>
          <w:color w:val="000000"/>
          <w:szCs w:val="22"/>
          <w:lang w:val="fr-FR"/>
        </w:rPr>
      </w:pPr>
    </w:p>
    <w:p w14:paraId="0DDBEB5B" w14:textId="44B49647" w:rsidR="00EF4CB3" w:rsidRPr="00653BF6" w:rsidRDefault="00EF4CB3" w:rsidP="007F23EE">
      <w:pPr>
        <w:pStyle w:val="EndnoteText"/>
        <w:keepNext/>
        <w:tabs>
          <w:tab w:val="clear" w:pos="567"/>
        </w:tabs>
        <w:rPr>
          <w:color w:val="000000"/>
          <w:szCs w:val="22"/>
          <w:u w:val="single"/>
          <w:lang w:val="fr-FR"/>
        </w:rPr>
      </w:pPr>
      <w:r w:rsidRPr="00653BF6">
        <w:rPr>
          <w:color w:val="000000"/>
          <w:szCs w:val="22"/>
          <w:u w:val="single"/>
          <w:lang w:val="fr-FR"/>
        </w:rPr>
        <w:t>Patients présentant des pathologies cardiaques</w:t>
      </w:r>
    </w:p>
    <w:p w14:paraId="5EF5F470" w14:textId="77777777" w:rsidR="00A010F3" w:rsidRPr="00653BF6" w:rsidRDefault="00A010F3" w:rsidP="007F23EE">
      <w:pPr>
        <w:pStyle w:val="EndnoteText"/>
        <w:keepNext/>
        <w:tabs>
          <w:tab w:val="clear" w:pos="567"/>
        </w:tabs>
        <w:rPr>
          <w:color w:val="000000"/>
          <w:szCs w:val="22"/>
          <w:u w:val="single"/>
          <w:lang w:val="fr-FR"/>
        </w:rPr>
      </w:pPr>
    </w:p>
    <w:p w14:paraId="48E0C9C4" w14:textId="77777777" w:rsidR="00EF4CB3" w:rsidRPr="00653BF6" w:rsidRDefault="00EF4CB3" w:rsidP="007F23EE">
      <w:pPr>
        <w:pStyle w:val="EndnoteText"/>
        <w:tabs>
          <w:tab w:val="clear" w:pos="567"/>
        </w:tabs>
        <w:rPr>
          <w:color w:val="000000"/>
          <w:szCs w:val="22"/>
          <w:lang w:val="fr-FR"/>
        </w:rPr>
      </w:pPr>
      <w:r w:rsidRPr="00653BF6">
        <w:rPr>
          <w:color w:val="000000"/>
          <w:szCs w:val="22"/>
          <w:lang w:val="fr-FR"/>
        </w:rPr>
        <w:t>Les patients présentant des pathologies cardiaques, des facteurs de risque de survenue d’insuffisance cardiaque ou des antécédents d’insuffisance rénale devront être étroitement surveillés, et tout patient présentant des signes ou des symptômes évocateurs d’une insuffisance cardiaque ou rénale doit faire l’objet d’une évaluation et être traités.</w:t>
      </w:r>
    </w:p>
    <w:p w14:paraId="72A93785" w14:textId="77777777" w:rsidR="00EF4CB3" w:rsidRPr="00653BF6" w:rsidRDefault="00EF4CB3" w:rsidP="007F23EE">
      <w:pPr>
        <w:pStyle w:val="EndnoteText"/>
        <w:tabs>
          <w:tab w:val="clear" w:pos="567"/>
        </w:tabs>
        <w:rPr>
          <w:color w:val="000000"/>
          <w:szCs w:val="22"/>
          <w:lang w:val="fr-FR"/>
        </w:rPr>
      </w:pPr>
    </w:p>
    <w:p w14:paraId="60C3E8EB" w14:textId="41B7EAA9" w:rsidR="00EF4CB3" w:rsidRPr="00653BF6" w:rsidRDefault="00EF4CB3" w:rsidP="007F23EE">
      <w:pPr>
        <w:pStyle w:val="EndnoteText"/>
        <w:tabs>
          <w:tab w:val="clear" w:pos="567"/>
        </w:tabs>
        <w:rPr>
          <w:color w:val="000000"/>
          <w:szCs w:val="22"/>
          <w:lang w:val="fr-FR"/>
        </w:rPr>
      </w:pPr>
      <w:r w:rsidRPr="00653BF6">
        <w:rPr>
          <w:color w:val="000000"/>
          <w:szCs w:val="22"/>
          <w:lang w:val="fr-FR"/>
        </w:rPr>
        <w:t xml:space="preserve">Chez des patients présentant un syndrome </w:t>
      </w:r>
      <w:proofErr w:type="spellStart"/>
      <w:r w:rsidRPr="00653BF6">
        <w:rPr>
          <w:color w:val="000000"/>
          <w:szCs w:val="22"/>
          <w:lang w:val="fr-FR"/>
        </w:rPr>
        <w:t>hyperéosinophilique</w:t>
      </w:r>
      <w:proofErr w:type="spellEnd"/>
      <w:r w:rsidRPr="00653BF6">
        <w:rPr>
          <w:color w:val="000000"/>
          <w:szCs w:val="22"/>
          <w:lang w:val="fr-FR"/>
        </w:rPr>
        <w:t xml:space="preserve"> (HES) avec infiltration de cellules HES dans le myocarde, des cas isolés de choc cardiogénique et d’altération de la fonction ventriculaire gauche ont été associés à la dégranulation de cellules HES lors de l’instauration d’un traitement par Glivec. Cette situation s’est montrée réversible après l’administration d’une corticothérapie systémique, des mesures d’assistance circulatoire et l’interruption temporaire de l’imatinib. Comme des effets indésirables cardiaques ont été observés peu fréquemment avec l’imatinib, une évaluation du rapport bénéfices/risques du traitement par l’imatinib devra être envisagé chez les patients atteints de SHE/LCE avant l’instauration du traitement.</w:t>
      </w:r>
    </w:p>
    <w:p w14:paraId="56CB6619" w14:textId="77777777" w:rsidR="00EF4CB3" w:rsidRPr="00653BF6" w:rsidRDefault="00EF4CB3" w:rsidP="007F23EE">
      <w:pPr>
        <w:pStyle w:val="EndnoteText"/>
        <w:tabs>
          <w:tab w:val="clear" w:pos="567"/>
        </w:tabs>
        <w:rPr>
          <w:color w:val="000000"/>
          <w:szCs w:val="22"/>
          <w:lang w:val="fr-FR"/>
        </w:rPr>
      </w:pPr>
    </w:p>
    <w:p w14:paraId="5418A80B" w14:textId="1A82DA32" w:rsidR="00EF4CB3" w:rsidRPr="00653BF6" w:rsidRDefault="00EF4CB3" w:rsidP="007F23EE">
      <w:pPr>
        <w:pStyle w:val="EndnoteText"/>
        <w:tabs>
          <w:tab w:val="clear" w:pos="567"/>
        </w:tabs>
        <w:rPr>
          <w:color w:val="000000"/>
          <w:szCs w:val="22"/>
          <w:lang w:val="fr-FR"/>
        </w:rPr>
      </w:pPr>
      <w:r w:rsidRPr="00653BF6">
        <w:rPr>
          <w:color w:val="000000"/>
          <w:szCs w:val="22"/>
          <w:lang w:val="fr-FR"/>
        </w:rPr>
        <w:t>Les syndromes myélodysplasiques/myéloprolifératifs associés à des réarrangements du gène du récepteur PDGFR pourront être associés à des taux él</w:t>
      </w:r>
      <w:r w:rsidR="003A71E7" w:rsidRPr="00653BF6">
        <w:rPr>
          <w:color w:val="000000"/>
          <w:szCs w:val="22"/>
          <w:lang w:val="fr-FR"/>
        </w:rPr>
        <w:t>e</w:t>
      </w:r>
      <w:r w:rsidRPr="00653BF6">
        <w:rPr>
          <w:color w:val="000000"/>
          <w:szCs w:val="22"/>
          <w:lang w:val="fr-FR"/>
        </w:rPr>
        <w:t xml:space="preserve">vés d’éosinophiles. La prise en charge par un cardiologue, la réalisation d’un échocardiogramme et le dosage sérique de la troponine devront donc être envisagés chez les patients atteints de SHE/LCE et chez les patients atteints de </w:t>
      </w:r>
      <w:smartTag w:uri="urn:schemas-microsoft-com:office:smarttags" w:element="stockticker">
        <w:r w:rsidRPr="00653BF6">
          <w:rPr>
            <w:color w:val="000000"/>
            <w:szCs w:val="22"/>
            <w:lang w:val="fr-FR"/>
          </w:rPr>
          <w:t>SMD</w:t>
        </w:r>
      </w:smartTag>
      <w:r w:rsidRPr="00653BF6">
        <w:rPr>
          <w:color w:val="000000"/>
          <w:szCs w:val="22"/>
          <w:lang w:val="fr-FR"/>
        </w:rPr>
        <w:t>/</w:t>
      </w:r>
      <w:smartTag w:uri="urn:schemas-microsoft-com:office:smarttags" w:element="stockticker">
        <w:r w:rsidRPr="00653BF6">
          <w:rPr>
            <w:color w:val="000000"/>
            <w:szCs w:val="22"/>
            <w:lang w:val="fr-FR"/>
          </w:rPr>
          <w:t>SMP</w:t>
        </w:r>
      </w:smartTag>
      <w:r w:rsidRPr="00653BF6">
        <w:rPr>
          <w:color w:val="000000"/>
          <w:szCs w:val="22"/>
          <w:lang w:val="fr-FR"/>
        </w:rPr>
        <w:t xml:space="preserve"> associés à des taux élevés d’éosinophiles, avant l’administration de l’imatinib. Si l’un de ces examens est anormal, le suivi par un cardiologue et l’administration prophylactique d’une corticothérapie systémique (1</w:t>
      </w:r>
      <w:r w:rsidRPr="00653BF6">
        <w:rPr>
          <w:color w:val="000000"/>
          <w:szCs w:val="22"/>
          <w:lang w:val="fr-FR"/>
        </w:rPr>
        <w:noBreakHyphen/>
        <w:t>2 mg/kg) pendant une à deux semaines en association avec l’imatinib devra être envisagée lors de l’instauration du traitement.</w:t>
      </w:r>
    </w:p>
    <w:p w14:paraId="50F39B77" w14:textId="77777777" w:rsidR="00EF4CB3" w:rsidRPr="00653BF6" w:rsidRDefault="00EF4CB3" w:rsidP="007F23EE">
      <w:pPr>
        <w:pStyle w:val="EndnoteText"/>
        <w:tabs>
          <w:tab w:val="clear" w:pos="567"/>
        </w:tabs>
        <w:rPr>
          <w:color w:val="000000"/>
          <w:szCs w:val="22"/>
          <w:lang w:val="fr-FR"/>
        </w:rPr>
      </w:pPr>
    </w:p>
    <w:p w14:paraId="2CA00C88" w14:textId="1CAF53F1" w:rsidR="00EF4CB3" w:rsidRPr="00653BF6" w:rsidRDefault="00EF4CB3" w:rsidP="007F23EE">
      <w:pPr>
        <w:pStyle w:val="EndnoteText"/>
        <w:keepNext/>
        <w:tabs>
          <w:tab w:val="clear" w:pos="567"/>
        </w:tabs>
        <w:rPr>
          <w:color w:val="000000"/>
          <w:szCs w:val="22"/>
          <w:u w:val="single"/>
          <w:lang w:val="fr-FR"/>
        </w:rPr>
      </w:pPr>
      <w:r w:rsidRPr="00653BF6">
        <w:rPr>
          <w:color w:val="000000"/>
          <w:szCs w:val="22"/>
          <w:u w:val="single"/>
          <w:lang w:val="fr-FR"/>
        </w:rPr>
        <w:t>Hémorragies gastro-intestinales</w:t>
      </w:r>
    </w:p>
    <w:p w14:paraId="0D340392" w14:textId="77777777" w:rsidR="00A010F3" w:rsidRPr="00653BF6" w:rsidRDefault="00A010F3" w:rsidP="007F23EE">
      <w:pPr>
        <w:pStyle w:val="EndnoteText"/>
        <w:keepNext/>
        <w:tabs>
          <w:tab w:val="clear" w:pos="567"/>
        </w:tabs>
        <w:rPr>
          <w:color w:val="000000"/>
          <w:szCs w:val="22"/>
          <w:u w:val="single"/>
          <w:lang w:val="fr-FR"/>
        </w:rPr>
      </w:pPr>
    </w:p>
    <w:p w14:paraId="130D9141" w14:textId="5DD6ACE6" w:rsidR="00EF4CB3" w:rsidRPr="00653BF6" w:rsidRDefault="00EF4CB3" w:rsidP="007F23EE">
      <w:pPr>
        <w:pStyle w:val="EndnoteText"/>
        <w:tabs>
          <w:tab w:val="clear" w:pos="567"/>
        </w:tabs>
        <w:rPr>
          <w:color w:val="000000"/>
          <w:szCs w:val="22"/>
          <w:lang w:val="fr-FR"/>
        </w:rPr>
      </w:pPr>
      <w:r w:rsidRPr="00653BF6">
        <w:rPr>
          <w:color w:val="000000"/>
          <w:szCs w:val="22"/>
          <w:lang w:val="fr-FR"/>
        </w:rPr>
        <w:t>Dans l’étude clinique menée chez des patients atteints de GIST non r</w:t>
      </w:r>
      <w:r w:rsidR="003A71E7" w:rsidRPr="00653BF6">
        <w:rPr>
          <w:color w:val="000000"/>
          <w:szCs w:val="22"/>
          <w:lang w:val="fr-FR"/>
        </w:rPr>
        <w:t>é</w:t>
      </w:r>
      <w:r w:rsidRPr="00653BF6">
        <w:rPr>
          <w:color w:val="000000"/>
          <w:szCs w:val="22"/>
          <w:lang w:val="fr-FR"/>
        </w:rPr>
        <w:t xml:space="preserve">sécables et/ou métastatiques, des hémorragies gastro-intestinales et </w:t>
      </w:r>
      <w:proofErr w:type="spellStart"/>
      <w:r w:rsidRPr="00653BF6">
        <w:rPr>
          <w:color w:val="000000"/>
          <w:szCs w:val="22"/>
          <w:lang w:val="fr-FR"/>
        </w:rPr>
        <w:t>intratumorales</w:t>
      </w:r>
      <w:proofErr w:type="spellEnd"/>
      <w:r w:rsidRPr="00653BF6">
        <w:rPr>
          <w:color w:val="000000"/>
          <w:szCs w:val="22"/>
          <w:lang w:val="fr-FR"/>
        </w:rPr>
        <w:t xml:space="preserve"> ont été rapportées (voir rubrique</w:t>
      </w:r>
      <w:r w:rsidR="00813A7A">
        <w:rPr>
          <w:color w:val="000000"/>
          <w:szCs w:val="22"/>
          <w:lang w:val="fr-FR"/>
        </w:rPr>
        <w:t> </w:t>
      </w:r>
      <w:r w:rsidRPr="00653BF6">
        <w:rPr>
          <w:color w:val="000000"/>
          <w:szCs w:val="22"/>
          <w:lang w:val="fr-FR"/>
        </w:rPr>
        <w:t>4.8). Sur la base des données disponibles, aucun facteur (ex. taille de la tumeur, localisation de la tumeur, troubles de la coagulation) n’a été identifié, prédisposant les patients atteints de GIST à un risque plus élevé de développer l’un ou l’autre des deux types d’hémorragies. Puisqu’une augmentation de la vascularisation et une propension aux saignements font partie de la nature et l’évolution clinique de la maladie, des modalités standardisées de suivi et de prise en charge des hémorragies devront être adoptées pour tous les patients.</w:t>
      </w:r>
    </w:p>
    <w:p w14:paraId="0A8A27E9" w14:textId="77777777" w:rsidR="00EF4CB3" w:rsidRPr="00653BF6" w:rsidRDefault="00EF4CB3" w:rsidP="007F23EE">
      <w:pPr>
        <w:pStyle w:val="EndnoteText"/>
        <w:tabs>
          <w:tab w:val="clear" w:pos="567"/>
        </w:tabs>
        <w:rPr>
          <w:color w:val="000000"/>
          <w:szCs w:val="22"/>
          <w:lang w:val="fr-FR"/>
        </w:rPr>
      </w:pPr>
    </w:p>
    <w:p w14:paraId="7129B915" w14:textId="78503A25" w:rsidR="003848E8" w:rsidRPr="00653BF6" w:rsidRDefault="003848E8" w:rsidP="007F23EE">
      <w:pPr>
        <w:autoSpaceDE w:val="0"/>
        <w:autoSpaceDN w:val="0"/>
        <w:adjustRightInd w:val="0"/>
        <w:rPr>
          <w:rFonts w:ascii="Times New Roman" w:hAnsi="Times New Roman"/>
          <w:color w:val="000000"/>
          <w:szCs w:val="22"/>
        </w:rPr>
      </w:pPr>
      <w:r w:rsidRPr="00653BF6">
        <w:rPr>
          <w:rFonts w:ascii="Times New Roman" w:hAnsi="Times New Roman"/>
          <w:color w:val="000000"/>
          <w:szCs w:val="22"/>
        </w:rPr>
        <w:t>De plus, des ectasies vasculaires de l’antre gastrique (EVAG), une cause rare d’hémorragies gastro-intestinales, ont été rapportées depuis la mise sur le marché chez des patients atteints de LMC, de LAL et d’autres pathologies (voir rubrique</w:t>
      </w:r>
      <w:r w:rsidR="00813A7A">
        <w:rPr>
          <w:rFonts w:ascii="Times New Roman" w:hAnsi="Times New Roman"/>
          <w:color w:val="000000"/>
          <w:szCs w:val="22"/>
        </w:rPr>
        <w:t> </w:t>
      </w:r>
      <w:r w:rsidRPr="00653BF6">
        <w:rPr>
          <w:rFonts w:ascii="Times New Roman" w:hAnsi="Times New Roman"/>
          <w:color w:val="000000"/>
          <w:szCs w:val="22"/>
        </w:rPr>
        <w:t>4.8). Lorsque cela est nécessaire, l’arrêt du traitement par Glivec doit être envisagé.</w:t>
      </w:r>
    </w:p>
    <w:p w14:paraId="68AE579B" w14:textId="77777777" w:rsidR="003848E8" w:rsidRPr="00653BF6" w:rsidRDefault="003848E8" w:rsidP="007F23EE">
      <w:pPr>
        <w:pStyle w:val="EndnoteText"/>
        <w:tabs>
          <w:tab w:val="clear" w:pos="567"/>
        </w:tabs>
        <w:rPr>
          <w:color w:val="000000"/>
          <w:szCs w:val="22"/>
          <w:lang w:val="fr-FR"/>
        </w:rPr>
      </w:pPr>
    </w:p>
    <w:p w14:paraId="0363D49E" w14:textId="1F79A24D" w:rsidR="00EF4CB3" w:rsidRPr="00653BF6" w:rsidRDefault="00EF4CB3" w:rsidP="007F23EE">
      <w:pPr>
        <w:keepNext/>
        <w:autoSpaceDE w:val="0"/>
        <w:autoSpaceDN w:val="0"/>
        <w:adjustRightInd w:val="0"/>
        <w:rPr>
          <w:rFonts w:ascii="Times New Roman" w:hAnsi="Times New Roman"/>
          <w:color w:val="000000"/>
          <w:szCs w:val="22"/>
          <w:u w:val="single"/>
        </w:rPr>
      </w:pPr>
      <w:r w:rsidRPr="00653BF6">
        <w:rPr>
          <w:rFonts w:ascii="Times New Roman" w:hAnsi="Times New Roman"/>
          <w:color w:val="000000"/>
          <w:szCs w:val="22"/>
          <w:u w:val="single"/>
        </w:rPr>
        <w:t>Syndrome de lyse tumorale</w:t>
      </w:r>
    </w:p>
    <w:p w14:paraId="18542889" w14:textId="77777777" w:rsidR="00A010F3" w:rsidRPr="00653BF6" w:rsidRDefault="00A010F3" w:rsidP="007F23EE">
      <w:pPr>
        <w:keepNext/>
        <w:autoSpaceDE w:val="0"/>
        <w:autoSpaceDN w:val="0"/>
        <w:adjustRightInd w:val="0"/>
        <w:rPr>
          <w:rFonts w:ascii="Times New Roman" w:hAnsi="Times New Roman"/>
          <w:color w:val="000000"/>
          <w:szCs w:val="22"/>
          <w:u w:val="single"/>
        </w:rPr>
      </w:pPr>
    </w:p>
    <w:p w14:paraId="27E055D1" w14:textId="02A943D2" w:rsidR="00EF4CB3" w:rsidRPr="00653BF6" w:rsidRDefault="00EF4CB3" w:rsidP="007F23EE">
      <w:pPr>
        <w:autoSpaceDE w:val="0"/>
        <w:autoSpaceDN w:val="0"/>
        <w:adjustRightInd w:val="0"/>
        <w:rPr>
          <w:rFonts w:ascii="Times New Roman" w:hAnsi="Times New Roman"/>
          <w:color w:val="000000"/>
          <w:szCs w:val="22"/>
        </w:rPr>
      </w:pPr>
      <w:r w:rsidRPr="00653BF6">
        <w:rPr>
          <w:rFonts w:ascii="Times New Roman" w:hAnsi="Times New Roman"/>
          <w:color w:val="000000"/>
          <w:szCs w:val="22"/>
        </w:rPr>
        <w:t>En raison de la survenue possible de syndrome de lyse tumorale (SLT), il est recommandé de corriger toute déshydratation cliniquement significative et de traiter l’hyperuricémie avant l’initiation du traitement par Glivec (voir rubrique</w:t>
      </w:r>
      <w:r w:rsidR="00813A7A">
        <w:rPr>
          <w:rFonts w:ascii="Times New Roman" w:hAnsi="Times New Roman"/>
          <w:color w:val="000000"/>
          <w:szCs w:val="22"/>
        </w:rPr>
        <w:t> </w:t>
      </w:r>
      <w:r w:rsidRPr="00653BF6">
        <w:rPr>
          <w:rFonts w:ascii="Times New Roman" w:hAnsi="Times New Roman"/>
          <w:color w:val="000000"/>
          <w:szCs w:val="22"/>
        </w:rPr>
        <w:t>4.8).</w:t>
      </w:r>
    </w:p>
    <w:p w14:paraId="6448F10A" w14:textId="77777777" w:rsidR="00684883" w:rsidRPr="00653BF6" w:rsidRDefault="00684883" w:rsidP="007F23EE">
      <w:pPr>
        <w:autoSpaceDE w:val="0"/>
        <w:autoSpaceDN w:val="0"/>
        <w:adjustRightInd w:val="0"/>
        <w:rPr>
          <w:rFonts w:ascii="Times New Roman" w:hAnsi="Times New Roman"/>
          <w:color w:val="000000"/>
          <w:szCs w:val="22"/>
        </w:rPr>
      </w:pPr>
    </w:p>
    <w:p w14:paraId="5D53FCB9" w14:textId="110A5E30" w:rsidR="00684883" w:rsidRPr="00653BF6" w:rsidRDefault="00684883" w:rsidP="007F23EE">
      <w:pPr>
        <w:pStyle w:val="Default"/>
        <w:keepNext/>
        <w:rPr>
          <w:rFonts w:ascii="Times New Roman" w:hAnsi="Times New Roman" w:cs="Times New Roman"/>
          <w:sz w:val="22"/>
          <w:szCs w:val="22"/>
          <w:u w:val="single"/>
          <w:lang w:val="fr-FR"/>
        </w:rPr>
      </w:pPr>
      <w:r w:rsidRPr="00653BF6">
        <w:rPr>
          <w:rFonts w:ascii="Times New Roman" w:hAnsi="Times New Roman" w:cs="Times New Roman"/>
          <w:sz w:val="22"/>
          <w:szCs w:val="22"/>
          <w:u w:val="single"/>
          <w:lang w:val="fr-FR"/>
        </w:rPr>
        <w:t>Réactivation de l</w:t>
      </w:r>
      <w:ins w:id="109" w:author="Author">
        <w:r w:rsidR="002F003A" w:rsidRPr="00653BF6">
          <w:rPr>
            <w:rFonts w:ascii="Times New Roman" w:hAnsi="Times New Roman" w:cs="Times New Roman"/>
            <w:sz w:val="22"/>
            <w:szCs w:val="22"/>
            <w:u w:val="single"/>
            <w:lang w:val="fr-FR"/>
          </w:rPr>
          <w:t>’</w:t>
        </w:r>
      </w:ins>
      <w:del w:id="110" w:author="Author">
        <w:r w:rsidRPr="00653BF6" w:rsidDel="002F003A">
          <w:rPr>
            <w:rFonts w:ascii="Times New Roman" w:hAnsi="Times New Roman" w:cs="Times New Roman"/>
            <w:sz w:val="22"/>
            <w:szCs w:val="22"/>
            <w:u w:val="single"/>
            <w:lang w:val="fr-FR"/>
          </w:rPr>
          <w:delText>'</w:delText>
        </w:r>
      </w:del>
      <w:r w:rsidRPr="00653BF6">
        <w:rPr>
          <w:rFonts w:ascii="Times New Roman" w:hAnsi="Times New Roman" w:cs="Times New Roman"/>
          <w:sz w:val="22"/>
          <w:szCs w:val="22"/>
          <w:u w:val="single"/>
          <w:lang w:val="fr-FR"/>
        </w:rPr>
        <w:t>hépatite B</w:t>
      </w:r>
    </w:p>
    <w:p w14:paraId="79AE2C3C" w14:textId="77777777" w:rsidR="00A010F3" w:rsidRPr="00653BF6" w:rsidRDefault="00A010F3" w:rsidP="007F23EE">
      <w:pPr>
        <w:pStyle w:val="Default"/>
        <w:keepNext/>
        <w:rPr>
          <w:rFonts w:ascii="Times New Roman" w:hAnsi="Times New Roman" w:cs="Times New Roman"/>
          <w:sz w:val="22"/>
          <w:szCs w:val="22"/>
          <w:u w:val="single"/>
          <w:lang w:val="fr-FR"/>
        </w:rPr>
      </w:pPr>
    </w:p>
    <w:p w14:paraId="7A133B37" w14:textId="77777777" w:rsidR="005964B1" w:rsidRPr="00653BF6" w:rsidRDefault="00684883" w:rsidP="007F23EE">
      <w:pPr>
        <w:pStyle w:val="Default"/>
        <w:rPr>
          <w:rFonts w:ascii="Times New Roman" w:hAnsi="Times New Roman" w:cs="Times New Roman"/>
          <w:sz w:val="22"/>
          <w:szCs w:val="22"/>
          <w:lang w:val="fr-FR"/>
        </w:rPr>
      </w:pPr>
      <w:r w:rsidRPr="00653BF6">
        <w:rPr>
          <w:rFonts w:ascii="Times New Roman" w:hAnsi="Times New Roman" w:cs="Times New Roman"/>
          <w:sz w:val="22"/>
          <w:szCs w:val="22"/>
          <w:lang w:val="fr-FR"/>
        </w:rPr>
        <w:t>Des cas de réactivation du virus l’hépatite B ont été rapportés chez des patients porteurs chroniques du virus et traités par des inhibiteurs de la tyrosine kinase BCR-ABL. Certains de ces cas ont évolué vers une insuffisance hépatique aiguë ou une hépatite fulminante requérant une transplantation hépatique ou dont l’issue a été fatale.</w:t>
      </w:r>
    </w:p>
    <w:p w14:paraId="4ED3B067" w14:textId="77777777" w:rsidR="00684883" w:rsidRPr="00653BF6" w:rsidRDefault="00684883" w:rsidP="007F23EE">
      <w:pPr>
        <w:pStyle w:val="Default"/>
        <w:rPr>
          <w:rFonts w:ascii="Times New Roman" w:hAnsi="Times New Roman" w:cs="Times New Roman"/>
          <w:sz w:val="22"/>
          <w:szCs w:val="22"/>
          <w:lang w:val="fr-FR"/>
        </w:rPr>
      </w:pPr>
    </w:p>
    <w:p w14:paraId="2A235056" w14:textId="77777777" w:rsidR="00684883" w:rsidRPr="00653BF6" w:rsidRDefault="00684883" w:rsidP="007F23EE">
      <w:pPr>
        <w:autoSpaceDE w:val="0"/>
        <w:autoSpaceDN w:val="0"/>
        <w:adjustRightInd w:val="0"/>
        <w:rPr>
          <w:rFonts w:ascii="Times New Roman" w:hAnsi="Times New Roman"/>
          <w:szCs w:val="22"/>
        </w:rPr>
      </w:pPr>
      <w:r w:rsidRPr="00653BF6">
        <w:rPr>
          <w:rFonts w:ascii="Times New Roman" w:hAnsi="Times New Roman"/>
          <w:szCs w:val="22"/>
        </w:rPr>
        <w:t>Tous les patients doivent faire l’objet d’un dépistage d’une infection par le VHB avant l’initiation d’un traitement par Glivec. Un médecin spécialisé en hépatologie doit être consulté avant i</w:t>
      </w:r>
      <w:r w:rsidRPr="00653BF6">
        <w:rPr>
          <w:rFonts w:ascii="Times New Roman" w:hAnsi="Times New Roman"/>
        </w:rPr>
        <w:t>nstauration du traitement chez l</w:t>
      </w:r>
      <w:r w:rsidRPr="00653BF6">
        <w:rPr>
          <w:rFonts w:ascii="Times New Roman" w:hAnsi="Times New Roman"/>
          <w:szCs w:val="22"/>
        </w:rPr>
        <w:t xml:space="preserve">es patients porteurs de marqueurs sérologiques positifs (y compris ceux ayant une hépatite B active) et chez les patients dont la sérologie devient positive en cours du traitement. Les patients porteurs du VHB doivent être étroitement suivis tout au long du traitement par </w:t>
      </w:r>
      <w:r w:rsidRPr="00653BF6">
        <w:rPr>
          <w:rFonts w:ascii="Times New Roman" w:hAnsi="Times New Roman"/>
        </w:rPr>
        <w:t xml:space="preserve">Glivec </w:t>
      </w:r>
      <w:r w:rsidRPr="00653BF6">
        <w:rPr>
          <w:rFonts w:ascii="Times New Roman" w:hAnsi="Times New Roman"/>
          <w:szCs w:val="22"/>
        </w:rPr>
        <w:t>et plusieurs mois après la fin du traitement (voir rubrique</w:t>
      </w:r>
      <w:r w:rsidR="005964B1" w:rsidRPr="00653BF6">
        <w:rPr>
          <w:rFonts w:ascii="Times New Roman" w:hAnsi="Times New Roman"/>
          <w:szCs w:val="22"/>
        </w:rPr>
        <w:t> </w:t>
      </w:r>
      <w:r w:rsidRPr="00653BF6">
        <w:rPr>
          <w:rFonts w:ascii="Times New Roman" w:hAnsi="Times New Roman"/>
          <w:szCs w:val="22"/>
        </w:rPr>
        <w:t>4.8).</w:t>
      </w:r>
    </w:p>
    <w:p w14:paraId="27CDC2D1" w14:textId="77777777" w:rsidR="0067392E" w:rsidRPr="00653BF6" w:rsidRDefault="0067392E" w:rsidP="007F23EE">
      <w:pPr>
        <w:autoSpaceDE w:val="0"/>
        <w:autoSpaceDN w:val="0"/>
        <w:adjustRightInd w:val="0"/>
        <w:rPr>
          <w:rFonts w:ascii="Times New Roman" w:hAnsi="Times New Roman"/>
          <w:szCs w:val="22"/>
        </w:rPr>
      </w:pPr>
    </w:p>
    <w:p w14:paraId="1BB7A205" w14:textId="29E3F727" w:rsidR="0067392E" w:rsidRPr="00653BF6" w:rsidRDefault="0067392E" w:rsidP="007F23EE">
      <w:pPr>
        <w:keepNext/>
        <w:rPr>
          <w:rFonts w:ascii="Times New Roman" w:hAnsi="Times New Roman"/>
          <w:color w:val="000000"/>
          <w:szCs w:val="22"/>
          <w:u w:val="single"/>
        </w:rPr>
      </w:pPr>
      <w:r w:rsidRPr="00653BF6">
        <w:rPr>
          <w:rFonts w:ascii="Times New Roman" w:hAnsi="Times New Roman"/>
          <w:color w:val="000000"/>
          <w:szCs w:val="22"/>
          <w:u w:val="single"/>
        </w:rPr>
        <w:lastRenderedPageBreak/>
        <w:t>Phototoxicité</w:t>
      </w:r>
    </w:p>
    <w:p w14:paraId="298D68AA" w14:textId="77777777" w:rsidR="00A010F3" w:rsidRPr="00653BF6" w:rsidRDefault="00A010F3" w:rsidP="007F23EE">
      <w:pPr>
        <w:keepNext/>
        <w:rPr>
          <w:rFonts w:ascii="Times New Roman" w:hAnsi="Times New Roman"/>
          <w:color w:val="000000"/>
          <w:szCs w:val="22"/>
          <w:u w:val="single"/>
        </w:rPr>
      </w:pPr>
    </w:p>
    <w:p w14:paraId="6ECF6857" w14:textId="77777777" w:rsidR="0067392E" w:rsidRPr="00653BF6" w:rsidRDefault="0067392E" w:rsidP="007F23EE">
      <w:pPr>
        <w:autoSpaceDE w:val="0"/>
        <w:autoSpaceDN w:val="0"/>
        <w:adjustRightInd w:val="0"/>
        <w:rPr>
          <w:rFonts w:ascii="Times New Roman" w:hAnsi="Times New Roman"/>
          <w:color w:val="000000"/>
          <w:szCs w:val="22"/>
        </w:rPr>
      </w:pPr>
      <w:r w:rsidRPr="00653BF6">
        <w:rPr>
          <w:rFonts w:ascii="Times New Roman" w:hAnsi="Times New Roman"/>
          <w:color w:val="000000"/>
          <w:szCs w:val="22"/>
        </w:rPr>
        <w:t xml:space="preserve">L’exposition directe </w:t>
      </w:r>
      <w:r w:rsidR="00D66C34" w:rsidRPr="00653BF6">
        <w:rPr>
          <w:rFonts w:ascii="Times New Roman" w:hAnsi="Times New Roman"/>
          <w:color w:val="000000"/>
          <w:szCs w:val="22"/>
        </w:rPr>
        <w:t>au soleil</w:t>
      </w:r>
      <w:r w:rsidRPr="00653BF6">
        <w:rPr>
          <w:rFonts w:ascii="Times New Roman" w:hAnsi="Times New Roman"/>
          <w:color w:val="000000"/>
          <w:szCs w:val="22"/>
        </w:rPr>
        <w:t xml:space="preserve"> doit être évitée ou réduite en raison du risque de phototoxicité associé au traitement par imatinib. Il doit être conseillé aux patients d’utiliser des mesures telles que le port de vêtements de protection et l’utilisation d’un écran solaire avec un facteur de protection solaire (FPS) élevé.</w:t>
      </w:r>
    </w:p>
    <w:p w14:paraId="25E2B93C" w14:textId="77777777" w:rsidR="00F279C2" w:rsidRPr="00653BF6" w:rsidRDefault="00F279C2" w:rsidP="007F23EE">
      <w:pPr>
        <w:autoSpaceDE w:val="0"/>
        <w:autoSpaceDN w:val="0"/>
        <w:adjustRightInd w:val="0"/>
        <w:rPr>
          <w:rFonts w:ascii="Times New Roman" w:hAnsi="Times New Roman"/>
          <w:color w:val="000000"/>
          <w:szCs w:val="22"/>
        </w:rPr>
      </w:pPr>
    </w:p>
    <w:p w14:paraId="05E8EE5E" w14:textId="30F4FEE7" w:rsidR="0035520A" w:rsidRPr="00653BF6" w:rsidRDefault="0035520A" w:rsidP="007F23EE">
      <w:pPr>
        <w:keepNext/>
        <w:autoSpaceDE w:val="0"/>
        <w:autoSpaceDN w:val="0"/>
        <w:adjustRightInd w:val="0"/>
        <w:rPr>
          <w:rFonts w:ascii="Times New Roman" w:hAnsi="Times New Roman"/>
          <w:color w:val="000000"/>
          <w:szCs w:val="22"/>
          <w:u w:val="single"/>
        </w:rPr>
      </w:pPr>
      <w:r w:rsidRPr="00653BF6">
        <w:rPr>
          <w:rFonts w:ascii="Times New Roman" w:hAnsi="Times New Roman"/>
          <w:color w:val="000000"/>
          <w:szCs w:val="22"/>
          <w:u w:val="single"/>
        </w:rPr>
        <w:t>Microangiopathie thrombotique</w:t>
      </w:r>
    </w:p>
    <w:p w14:paraId="41E39FC9" w14:textId="77777777" w:rsidR="00A010F3" w:rsidRPr="00653BF6" w:rsidRDefault="00A010F3" w:rsidP="007F23EE">
      <w:pPr>
        <w:keepNext/>
        <w:autoSpaceDE w:val="0"/>
        <w:autoSpaceDN w:val="0"/>
        <w:adjustRightInd w:val="0"/>
        <w:rPr>
          <w:rFonts w:ascii="Times New Roman" w:hAnsi="Times New Roman"/>
          <w:color w:val="000000"/>
          <w:szCs w:val="22"/>
          <w:u w:val="single"/>
        </w:rPr>
      </w:pPr>
    </w:p>
    <w:p w14:paraId="540D4F22" w14:textId="031714C1" w:rsidR="0035520A" w:rsidRPr="00653BF6" w:rsidRDefault="0035520A" w:rsidP="007F23EE">
      <w:pPr>
        <w:autoSpaceDE w:val="0"/>
        <w:autoSpaceDN w:val="0"/>
        <w:adjustRightInd w:val="0"/>
        <w:rPr>
          <w:rFonts w:ascii="Times New Roman" w:hAnsi="Times New Roman"/>
          <w:color w:val="000000"/>
          <w:szCs w:val="22"/>
        </w:rPr>
      </w:pPr>
      <w:r w:rsidRPr="00653BF6">
        <w:rPr>
          <w:rFonts w:ascii="Times New Roman" w:hAnsi="Times New Roman"/>
          <w:color w:val="000000"/>
          <w:szCs w:val="22"/>
        </w:rPr>
        <w:t xml:space="preserve">Les inhibiteurs de </w:t>
      </w:r>
      <w:r w:rsidR="0022265F" w:rsidRPr="00653BF6">
        <w:rPr>
          <w:rFonts w:ascii="Times New Roman" w:hAnsi="Times New Roman"/>
          <w:color w:val="000000"/>
          <w:szCs w:val="22"/>
        </w:rPr>
        <w:t xml:space="preserve">la </w:t>
      </w:r>
      <w:r w:rsidRPr="00653BF6">
        <w:rPr>
          <w:rFonts w:ascii="Times New Roman" w:hAnsi="Times New Roman"/>
          <w:color w:val="000000"/>
          <w:szCs w:val="22"/>
        </w:rPr>
        <w:t xml:space="preserve">tyrosine kinase (ITK) BCR-ABL ont été </w:t>
      </w:r>
      <w:r w:rsidR="0022265F" w:rsidRPr="00653BF6">
        <w:rPr>
          <w:rFonts w:ascii="Times New Roman" w:hAnsi="Times New Roman"/>
          <w:color w:val="000000"/>
          <w:szCs w:val="22"/>
        </w:rPr>
        <w:t>associés</w:t>
      </w:r>
      <w:r w:rsidRPr="00653BF6">
        <w:rPr>
          <w:rFonts w:ascii="Times New Roman" w:hAnsi="Times New Roman"/>
          <w:color w:val="000000"/>
          <w:szCs w:val="22"/>
        </w:rPr>
        <w:t xml:space="preserve"> à des microangiopathies thrombotiques (MAT), et des cas individuels ont été rapportés avec Glivec (voir rubrique 4.8). Si des résultats biologiques ou cliniques associés à une MAT surviennent chez un patient traité par Glivec, le traitement doit être interrompu et un</w:t>
      </w:r>
      <w:r w:rsidR="0022265F" w:rsidRPr="00653BF6">
        <w:rPr>
          <w:rFonts w:ascii="Times New Roman" w:hAnsi="Times New Roman"/>
          <w:color w:val="000000"/>
          <w:szCs w:val="22"/>
        </w:rPr>
        <w:t>e évaluation approfondie</w:t>
      </w:r>
      <w:r w:rsidRPr="00653BF6">
        <w:rPr>
          <w:rFonts w:ascii="Times New Roman" w:hAnsi="Times New Roman"/>
          <w:color w:val="000000"/>
          <w:szCs w:val="22"/>
        </w:rPr>
        <w:t xml:space="preserve"> de</w:t>
      </w:r>
      <w:r w:rsidR="0022265F" w:rsidRPr="00653BF6">
        <w:rPr>
          <w:rFonts w:ascii="Times New Roman" w:hAnsi="Times New Roman"/>
          <w:color w:val="000000"/>
          <w:szCs w:val="22"/>
        </w:rPr>
        <w:t xml:space="preserve"> la</w:t>
      </w:r>
      <w:r w:rsidRPr="00653BF6">
        <w:rPr>
          <w:rFonts w:ascii="Times New Roman" w:hAnsi="Times New Roman"/>
          <w:color w:val="000000"/>
          <w:szCs w:val="22"/>
        </w:rPr>
        <w:t xml:space="preserve"> MAT doit être réalisé</w:t>
      </w:r>
      <w:r w:rsidR="0022265F" w:rsidRPr="00653BF6">
        <w:rPr>
          <w:rFonts w:ascii="Times New Roman" w:hAnsi="Times New Roman"/>
          <w:color w:val="000000"/>
          <w:szCs w:val="22"/>
        </w:rPr>
        <w:t>e</w:t>
      </w:r>
      <w:r w:rsidRPr="00653BF6">
        <w:rPr>
          <w:rFonts w:ascii="Times New Roman" w:hAnsi="Times New Roman"/>
          <w:color w:val="000000"/>
          <w:szCs w:val="22"/>
        </w:rPr>
        <w:t xml:space="preserve">, </w:t>
      </w:r>
      <w:r w:rsidR="00242E28" w:rsidRPr="00653BF6">
        <w:rPr>
          <w:rFonts w:ascii="Times New Roman" w:hAnsi="Times New Roman"/>
          <w:color w:val="000000"/>
          <w:szCs w:val="22"/>
        </w:rPr>
        <w:t>incluant</w:t>
      </w:r>
      <w:r w:rsidRPr="00653BF6">
        <w:rPr>
          <w:rFonts w:ascii="Times New Roman" w:hAnsi="Times New Roman"/>
          <w:color w:val="000000"/>
          <w:szCs w:val="22"/>
        </w:rPr>
        <w:t xml:space="preserve"> la détermination de l’activité ADAMTS13 et des anticorps anti-ADAMTS13. Si le taux d’anticorps anti-ADAMTS13 est élevé conjointement à une activité ADAMTS13 faible, le traitement par Glivec ne doit pas être repris.</w:t>
      </w:r>
    </w:p>
    <w:p w14:paraId="1DA1B407" w14:textId="77777777" w:rsidR="00EF4CB3" w:rsidRPr="00653BF6" w:rsidRDefault="00EF4CB3" w:rsidP="007F23EE">
      <w:pPr>
        <w:pStyle w:val="EndnoteText"/>
        <w:tabs>
          <w:tab w:val="clear" w:pos="567"/>
        </w:tabs>
        <w:rPr>
          <w:color w:val="000000"/>
          <w:szCs w:val="22"/>
          <w:lang w:val="fr-FR"/>
        </w:rPr>
      </w:pPr>
    </w:p>
    <w:p w14:paraId="5F8440DD" w14:textId="5475C0E1" w:rsidR="00EF4CB3" w:rsidRPr="00653BF6" w:rsidRDefault="00EF4CB3" w:rsidP="007F23EE">
      <w:pPr>
        <w:pStyle w:val="EndnoteText"/>
        <w:keepNext/>
        <w:tabs>
          <w:tab w:val="clear" w:pos="567"/>
        </w:tabs>
        <w:rPr>
          <w:color w:val="000000"/>
          <w:szCs w:val="22"/>
          <w:u w:val="single"/>
          <w:lang w:val="fr-FR"/>
        </w:rPr>
      </w:pPr>
      <w:r w:rsidRPr="00653BF6">
        <w:rPr>
          <w:color w:val="000000"/>
          <w:szCs w:val="22"/>
          <w:u w:val="single"/>
          <w:lang w:val="fr-FR"/>
        </w:rPr>
        <w:t>Analyses biologiques</w:t>
      </w:r>
    </w:p>
    <w:p w14:paraId="44754FEE" w14:textId="77777777" w:rsidR="00A010F3" w:rsidRPr="00653BF6" w:rsidRDefault="00A010F3" w:rsidP="007F23EE">
      <w:pPr>
        <w:pStyle w:val="EndnoteText"/>
        <w:keepNext/>
        <w:tabs>
          <w:tab w:val="clear" w:pos="567"/>
        </w:tabs>
        <w:rPr>
          <w:color w:val="000000"/>
          <w:szCs w:val="22"/>
          <w:lang w:val="fr-FR"/>
        </w:rPr>
      </w:pPr>
    </w:p>
    <w:p w14:paraId="6FB953B2" w14:textId="77777777" w:rsidR="00EF4CB3" w:rsidRPr="00653BF6" w:rsidRDefault="00EF4CB3" w:rsidP="007F23EE">
      <w:pPr>
        <w:pStyle w:val="EndnoteText"/>
        <w:tabs>
          <w:tab w:val="clear" w:pos="567"/>
        </w:tabs>
        <w:rPr>
          <w:color w:val="000000"/>
          <w:szCs w:val="22"/>
          <w:lang w:val="fr-FR"/>
        </w:rPr>
      </w:pPr>
      <w:r w:rsidRPr="00653BF6">
        <w:rPr>
          <w:color w:val="000000"/>
          <w:szCs w:val="22"/>
          <w:lang w:val="fr-FR"/>
        </w:rPr>
        <w:t>Des numérations formules sanguines doivent être effectuées régulièrement : le traitement par Glivec de patients atteints de LMC a été associé à une neutropénie ou une thrombopénie. Cependant, la survenue de ces cytopénies est vraisemblablement liée au stade de la maladie traitée : elles ont été plus fréquemment retrouvées chez les patients en phase accélérée ou en crise blastique que chez ceux en phase chronique de la LMC. Le traitement peut alors être interrompu ou la dose réduite, selon les recommandations de la rubrique 4.2.</w:t>
      </w:r>
    </w:p>
    <w:p w14:paraId="33CCC5B5" w14:textId="77777777" w:rsidR="00EF4CB3" w:rsidRPr="00653BF6" w:rsidRDefault="00EF4CB3" w:rsidP="007F23EE">
      <w:pPr>
        <w:pStyle w:val="EndnoteText"/>
        <w:tabs>
          <w:tab w:val="clear" w:pos="567"/>
        </w:tabs>
        <w:rPr>
          <w:color w:val="000000"/>
          <w:szCs w:val="22"/>
          <w:lang w:val="fr-FR"/>
        </w:rPr>
      </w:pPr>
    </w:p>
    <w:p w14:paraId="51C975E9" w14:textId="77777777" w:rsidR="00EF4CB3" w:rsidRPr="00653BF6" w:rsidRDefault="00EF4CB3" w:rsidP="007F23EE">
      <w:pPr>
        <w:pStyle w:val="EndnoteText"/>
        <w:tabs>
          <w:tab w:val="clear" w:pos="567"/>
        </w:tabs>
        <w:rPr>
          <w:color w:val="000000"/>
          <w:szCs w:val="22"/>
          <w:lang w:val="fr-FR"/>
        </w:rPr>
      </w:pPr>
      <w:r w:rsidRPr="00653BF6">
        <w:rPr>
          <w:color w:val="000000"/>
          <w:szCs w:val="22"/>
          <w:lang w:val="fr-FR"/>
        </w:rPr>
        <w:t>La fonction hépatique (transaminases, bilirubine, phosphatases alcalines) doit faire l’objet d’une surveillance régulière.</w:t>
      </w:r>
    </w:p>
    <w:p w14:paraId="38BD5E96" w14:textId="77777777" w:rsidR="00EF4CB3" w:rsidRPr="00653BF6" w:rsidRDefault="00EF4CB3" w:rsidP="007F23EE">
      <w:pPr>
        <w:pStyle w:val="EndnoteText"/>
        <w:tabs>
          <w:tab w:val="clear" w:pos="567"/>
        </w:tabs>
        <w:rPr>
          <w:color w:val="000000"/>
          <w:szCs w:val="22"/>
          <w:lang w:val="fr-FR"/>
        </w:rPr>
      </w:pPr>
    </w:p>
    <w:p w14:paraId="53E26C65" w14:textId="63FEF26C" w:rsidR="00EF4CB3" w:rsidRPr="00653BF6" w:rsidRDefault="00EF4CB3" w:rsidP="007F23EE">
      <w:pPr>
        <w:pStyle w:val="EndnoteText"/>
        <w:tabs>
          <w:tab w:val="clear" w:pos="567"/>
        </w:tabs>
        <w:rPr>
          <w:color w:val="000000"/>
          <w:szCs w:val="22"/>
          <w:lang w:val="fr-FR"/>
        </w:rPr>
      </w:pPr>
      <w:r w:rsidRPr="00653BF6">
        <w:rPr>
          <w:color w:val="000000"/>
          <w:szCs w:val="22"/>
          <w:lang w:val="fr-FR"/>
        </w:rPr>
        <w:t>Chez les patients présentant une altération de la fonction rénale, l’exposition plasmatique à l’imatinib semble être supérieure à celle des patients présentant une fonction rénale normale, probablement en raison d’un taux plasmatique élevé de l’alpha-glycoprotéine acide, une protéine plasmatique liée à l’imatinib, chez ces patients. Chez les patients présentant une altération de la fonction rénale légère à modérée, la dose initiale de traitement de 400 mg par jour est recommandée. Les patients présentant une altération sévère de la fonction rénale devront être traités avec attention. La dose peut être réduite si elle est mal tolérée (voir rubrique</w:t>
      </w:r>
      <w:ins w:id="111" w:author="Author">
        <w:r w:rsidR="00503B83" w:rsidRPr="00653BF6">
          <w:rPr>
            <w:color w:val="000000"/>
            <w:szCs w:val="22"/>
            <w:lang w:val="fr-FR"/>
          </w:rPr>
          <w:t>s</w:t>
        </w:r>
      </w:ins>
      <w:r w:rsidRPr="00653BF6">
        <w:rPr>
          <w:color w:val="000000"/>
          <w:szCs w:val="22"/>
          <w:lang w:val="fr-FR"/>
        </w:rPr>
        <w:t> 4.2 et</w:t>
      </w:r>
      <w:r w:rsidR="002F003A" w:rsidRPr="00653BF6">
        <w:rPr>
          <w:color w:val="000000"/>
          <w:szCs w:val="22"/>
          <w:lang w:val="fr-FR"/>
        </w:rPr>
        <w:t> </w:t>
      </w:r>
      <w:r w:rsidRPr="00653BF6">
        <w:rPr>
          <w:color w:val="000000"/>
          <w:szCs w:val="22"/>
          <w:lang w:val="fr-FR"/>
        </w:rPr>
        <w:t>5.2).</w:t>
      </w:r>
    </w:p>
    <w:p w14:paraId="3065389B" w14:textId="77777777" w:rsidR="00A17E1E" w:rsidRPr="00653BF6" w:rsidRDefault="00A17E1E" w:rsidP="007F23EE">
      <w:pPr>
        <w:pStyle w:val="EndnoteText"/>
        <w:tabs>
          <w:tab w:val="clear" w:pos="567"/>
        </w:tabs>
        <w:rPr>
          <w:color w:val="000000"/>
          <w:szCs w:val="22"/>
          <w:lang w:val="fr-FR"/>
        </w:rPr>
      </w:pPr>
    </w:p>
    <w:p w14:paraId="36396AF3" w14:textId="77777777" w:rsidR="00A17E1E" w:rsidRPr="00653BF6" w:rsidRDefault="00A17E1E" w:rsidP="007F23EE">
      <w:pPr>
        <w:pStyle w:val="EndnoteText"/>
        <w:tabs>
          <w:tab w:val="clear" w:pos="567"/>
        </w:tabs>
        <w:rPr>
          <w:color w:val="000000"/>
          <w:szCs w:val="22"/>
          <w:lang w:val="fr-FR"/>
        </w:rPr>
      </w:pPr>
      <w:r w:rsidRPr="00653BF6">
        <w:rPr>
          <w:color w:val="000000"/>
          <w:szCs w:val="22"/>
          <w:lang w:val="fr-FR"/>
        </w:rPr>
        <w:t xml:space="preserve">Un traitement au long terme par imatinib peut être associé à une détérioration cliniquement significative de la fonction rénale. La fonction rénale doit donc être évaluée avant le début du traitement par imatinib et étroitement surveillée pendant le traitement, en portant une attention particulière aux patients présentant des facteurs de risque d’altération de la fonction rénale. Si une altération de la fonction rénale est observée, une prise en charge et </w:t>
      </w:r>
      <w:proofErr w:type="gramStart"/>
      <w:r w:rsidRPr="00653BF6">
        <w:rPr>
          <w:color w:val="000000"/>
          <w:szCs w:val="22"/>
          <w:lang w:val="fr-FR"/>
        </w:rPr>
        <w:t>un traitement adapté</w:t>
      </w:r>
      <w:r w:rsidR="0013094E" w:rsidRPr="00653BF6">
        <w:rPr>
          <w:color w:val="000000"/>
          <w:szCs w:val="22"/>
          <w:lang w:val="fr-FR"/>
        </w:rPr>
        <w:t>s</w:t>
      </w:r>
      <w:proofErr w:type="gramEnd"/>
      <w:r w:rsidRPr="00653BF6">
        <w:rPr>
          <w:color w:val="000000"/>
          <w:szCs w:val="22"/>
          <w:lang w:val="fr-FR"/>
        </w:rPr>
        <w:t xml:space="preserve"> doivent être mis en place en accord avec les recommandations standard</w:t>
      </w:r>
      <w:r w:rsidR="004F627D" w:rsidRPr="00653BF6">
        <w:rPr>
          <w:color w:val="000000"/>
          <w:szCs w:val="22"/>
          <w:lang w:val="fr-FR"/>
        </w:rPr>
        <w:t>s</w:t>
      </w:r>
      <w:r w:rsidRPr="00653BF6">
        <w:rPr>
          <w:color w:val="000000"/>
          <w:szCs w:val="22"/>
          <w:lang w:val="fr-FR"/>
        </w:rPr>
        <w:t xml:space="preserve"> de traitement.</w:t>
      </w:r>
    </w:p>
    <w:p w14:paraId="53C8C18B" w14:textId="77777777" w:rsidR="00EF4CB3" w:rsidRPr="00653BF6" w:rsidRDefault="00EF4CB3" w:rsidP="007F23EE">
      <w:pPr>
        <w:pStyle w:val="EndnoteText"/>
        <w:tabs>
          <w:tab w:val="clear" w:pos="567"/>
        </w:tabs>
        <w:rPr>
          <w:color w:val="000000"/>
          <w:szCs w:val="22"/>
          <w:lang w:val="fr-FR"/>
        </w:rPr>
      </w:pPr>
    </w:p>
    <w:p w14:paraId="57B5E675" w14:textId="48389016" w:rsidR="00EF4CB3" w:rsidRPr="00653BF6" w:rsidRDefault="00EF4CB3" w:rsidP="007F23EE">
      <w:pPr>
        <w:pStyle w:val="EndnoteText"/>
        <w:keepNext/>
        <w:tabs>
          <w:tab w:val="clear" w:pos="567"/>
        </w:tabs>
        <w:rPr>
          <w:color w:val="000000"/>
          <w:szCs w:val="22"/>
          <w:u w:val="single"/>
          <w:lang w:val="fr-FR"/>
        </w:rPr>
      </w:pPr>
      <w:r w:rsidRPr="00653BF6">
        <w:rPr>
          <w:color w:val="000000"/>
          <w:szCs w:val="22"/>
          <w:u w:val="single"/>
          <w:lang w:val="fr-FR"/>
        </w:rPr>
        <w:t>Population pédiatrique</w:t>
      </w:r>
    </w:p>
    <w:p w14:paraId="3CFC65A6" w14:textId="77777777" w:rsidR="00A010F3" w:rsidRPr="00653BF6" w:rsidRDefault="00A010F3" w:rsidP="007F23EE">
      <w:pPr>
        <w:pStyle w:val="EndnoteText"/>
        <w:keepNext/>
        <w:tabs>
          <w:tab w:val="clear" w:pos="567"/>
        </w:tabs>
        <w:rPr>
          <w:color w:val="000000"/>
          <w:szCs w:val="22"/>
          <w:u w:val="single"/>
          <w:lang w:val="fr-FR"/>
        </w:rPr>
      </w:pPr>
    </w:p>
    <w:p w14:paraId="78570518" w14:textId="5B286256" w:rsidR="00EF4CB3" w:rsidRPr="00653BF6" w:rsidRDefault="00EF4CB3" w:rsidP="007F23EE">
      <w:pPr>
        <w:pStyle w:val="EndnoteText"/>
        <w:tabs>
          <w:tab w:val="clear" w:pos="567"/>
        </w:tabs>
        <w:rPr>
          <w:color w:val="000000"/>
          <w:szCs w:val="22"/>
          <w:lang w:val="fr-FR"/>
        </w:rPr>
      </w:pPr>
      <w:r w:rsidRPr="00653BF6">
        <w:rPr>
          <w:color w:val="000000"/>
          <w:szCs w:val="22"/>
          <w:lang w:val="fr-FR"/>
        </w:rPr>
        <w:t xml:space="preserve">Des cas de retard de croissance chez les enfants et pré-adolescents recevant de l’imatinib ont été rapportés. </w:t>
      </w:r>
      <w:r w:rsidR="00250DF7" w:rsidRPr="00653BF6">
        <w:rPr>
          <w:color w:val="000000"/>
          <w:szCs w:val="22"/>
          <w:lang w:val="fr-FR"/>
        </w:rPr>
        <w:t>Dans une étude observationnelle chez les patients pédiatriques atteints de LMC, une diminution statistiquement significative (mais d’une pertinence clinique incertaine) de la médiane du score d’écart type de la taille après 12 et 24 mois de traitement a été reportée dans deux sous-groupes</w:t>
      </w:r>
      <w:r w:rsidR="00B41042" w:rsidRPr="00653BF6">
        <w:rPr>
          <w:color w:val="000000"/>
          <w:szCs w:val="22"/>
          <w:lang w:val="fr-FR"/>
        </w:rPr>
        <w:t xml:space="preserve"> de taille limitée,</w:t>
      </w:r>
      <w:r w:rsidR="00250DF7" w:rsidRPr="00653BF6">
        <w:rPr>
          <w:color w:val="000000"/>
          <w:szCs w:val="22"/>
          <w:lang w:val="fr-FR"/>
        </w:rPr>
        <w:t xml:space="preserve"> indépendamment du statut pubertaire</w:t>
      </w:r>
      <w:r w:rsidR="00755077" w:rsidRPr="00653BF6">
        <w:rPr>
          <w:color w:val="000000"/>
          <w:szCs w:val="22"/>
          <w:lang w:val="fr-FR"/>
        </w:rPr>
        <w:t xml:space="preserve"> </w:t>
      </w:r>
      <w:r w:rsidR="0026756C" w:rsidRPr="00653BF6">
        <w:rPr>
          <w:color w:val="000000"/>
          <w:szCs w:val="22"/>
          <w:lang w:val="fr-FR"/>
        </w:rPr>
        <w:t>ou</w:t>
      </w:r>
      <w:r w:rsidR="00706DB9" w:rsidRPr="00653BF6">
        <w:rPr>
          <w:color w:val="000000"/>
          <w:szCs w:val="22"/>
          <w:lang w:val="fr-FR"/>
        </w:rPr>
        <w:t xml:space="preserve"> du sexe.</w:t>
      </w:r>
      <w:r w:rsidR="00C8738B" w:rsidRPr="00653BF6">
        <w:rPr>
          <w:color w:val="000000"/>
          <w:szCs w:val="22"/>
          <w:lang w:val="fr-FR"/>
        </w:rPr>
        <w:t xml:space="preserve"> </w:t>
      </w:r>
      <w:r w:rsidR="009E3B07" w:rsidRPr="00653BF6">
        <w:rPr>
          <w:color w:val="000000"/>
          <w:szCs w:val="22"/>
          <w:lang w:val="fr-FR"/>
        </w:rPr>
        <w:t xml:space="preserve">Des résultats similaires ont été observés dans une étude observationnelle chez les patients pédiatriques atteints de LAL. </w:t>
      </w:r>
      <w:r w:rsidR="002139B9" w:rsidRPr="00653BF6">
        <w:rPr>
          <w:color w:val="000000"/>
          <w:szCs w:val="22"/>
          <w:lang w:val="fr-FR"/>
        </w:rPr>
        <w:t>U</w:t>
      </w:r>
      <w:r w:rsidRPr="00653BF6">
        <w:rPr>
          <w:color w:val="000000"/>
          <w:szCs w:val="22"/>
          <w:lang w:val="fr-FR"/>
        </w:rPr>
        <w:t>ne surveillance étroite de la croissance chez les enfants traités par imatinib est recommandée (voir rubrique</w:t>
      </w:r>
      <w:r w:rsidR="002E01F7" w:rsidRPr="00653BF6">
        <w:rPr>
          <w:color w:val="000000"/>
          <w:szCs w:val="22"/>
          <w:lang w:val="fr-FR"/>
        </w:rPr>
        <w:t> </w:t>
      </w:r>
      <w:r w:rsidRPr="00653BF6">
        <w:rPr>
          <w:color w:val="000000"/>
          <w:szCs w:val="22"/>
          <w:lang w:val="fr-FR"/>
        </w:rPr>
        <w:t>4.8).</w:t>
      </w:r>
    </w:p>
    <w:p w14:paraId="3D6B6DD1" w14:textId="77777777" w:rsidR="00EF4CB3" w:rsidRPr="00653BF6" w:rsidRDefault="00EF4CB3" w:rsidP="007F23EE">
      <w:pPr>
        <w:pStyle w:val="EndnoteText"/>
        <w:tabs>
          <w:tab w:val="clear" w:pos="567"/>
        </w:tabs>
        <w:rPr>
          <w:color w:val="000000"/>
          <w:szCs w:val="22"/>
          <w:lang w:val="fr-FR"/>
        </w:rPr>
      </w:pPr>
    </w:p>
    <w:p w14:paraId="5D60CDC1" w14:textId="29F15D1E" w:rsidR="00EF4CB3" w:rsidRPr="00653BF6" w:rsidRDefault="00EF4CB3" w:rsidP="007F23EE">
      <w:pPr>
        <w:keepNext/>
        <w:ind w:left="567" w:hanging="567"/>
        <w:rPr>
          <w:rFonts w:ascii="Times New Roman" w:hAnsi="Times New Roman"/>
          <w:b/>
          <w:color w:val="000000"/>
          <w:szCs w:val="22"/>
        </w:rPr>
      </w:pPr>
      <w:r w:rsidRPr="00653BF6">
        <w:rPr>
          <w:rFonts w:ascii="Times New Roman" w:hAnsi="Times New Roman"/>
          <w:b/>
          <w:color w:val="000000"/>
          <w:szCs w:val="22"/>
        </w:rPr>
        <w:lastRenderedPageBreak/>
        <w:t>4.5</w:t>
      </w:r>
      <w:r w:rsidRPr="00653BF6">
        <w:rPr>
          <w:rFonts w:ascii="Times New Roman" w:hAnsi="Times New Roman"/>
          <w:b/>
          <w:color w:val="000000"/>
          <w:szCs w:val="22"/>
        </w:rPr>
        <w:tab/>
        <w:t>Interactions avec d</w:t>
      </w:r>
      <w:r w:rsidR="00813A7A">
        <w:rPr>
          <w:rFonts w:ascii="Times New Roman" w:hAnsi="Times New Roman"/>
          <w:b/>
          <w:color w:val="000000"/>
          <w:szCs w:val="22"/>
        </w:rPr>
        <w:t>’</w:t>
      </w:r>
      <w:r w:rsidRPr="00653BF6">
        <w:rPr>
          <w:rFonts w:ascii="Times New Roman" w:hAnsi="Times New Roman"/>
          <w:b/>
          <w:color w:val="000000"/>
          <w:szCs w:val="22"/>
        </w:rPr>
        <w:t>autres médicaments et autres formes d</w:t>
      </w:r>
      <w:r w:rsidR="00813A7A">
        <w:rPr>
          <w:rFonts w:ascii="Times New Roman" w:hAnsi="Times New Roman"/>
          <w:b/>
          <w:color w:val="000000"/>
          <w:szCs w:val="22"/>
        </w:rPr>
        <w:t>’</w:t>
      </w:r>
      <w:r w:rsidRPr="00653BF6">
        <w:rPr>
          <w:rFonts w:ascii="Times New Roman" w:hAnsi="Times New Roman"/>
          <w:b/>
          <w:color w:val="000000"/>
          <w:szCs w:val="22"/>
        </w:rPr>
        <w:t>interactions</w:t>
      </w:r>
    </w:p>
    <w:p w14:paraId="65C2555B" w14:textId="77777777" w:rsidR="00EF4CB3" w:rsidRPr="00653BF6" w:rsidRDefault="00EF4CB3" w:rsidP="007F23EE">
      <w:pPr>
        <w:pStyle w:val="EndnoteText"/>
        <w:keepNext/>
        <w:tabs>
          <w:tab w:val="clear" w:pos="567"/>
        </w:tabs>
        <w:rPr>
          <w:color w:val="000000"/>
          <w:szCs w:val="22"/>
          <w:lang w:val="fr-FR"/>
        </w:rPr>
      </w:pPr>
    </w:p>
    <w:p w14:paraId="6B5161A4" w14:textId="39D459FC" w:rsidR="00EF4CB3" w:rsidRPr="00653BF6" w:rsidRDefault="00EF4CB3" w:rsidP="007F23EE">
      <w:pPr>
        <w:pStyle w:val="EndnoteText"/>
        <w:keepNext/>
        <w:tabs>
          <w:tab w:val="clear" w:pos="567"/>
        </w:tabs>
        <w:rPr>
          <w:color w:val="000000"/>
          <w:szCs w:val="22"/>
          <w:u w:val="single"/>
          <w:lang w:val="fr-FR"/>
        </w:rPr>
      </w:pPr>
      <w:r w:rsidRPr="00653BF6">
        <w:rPr>
          <w:color w:val="000000"/>
          <w:szCs w:val="22"/>
          <w:u w:val="single"/>
          <w:lang w:val="fr-FR"/>
        </w:rPr>
        <w:t xml:space="preserve">Substances actives pouvant </w:t>
      </w:r>
      <w:r w:rsidRPr="00653BF6">
        <w:rPr>
          <w:b/>
          <w:color w:val="000000"/>
          <w:szCs w:val="22"/>
          <w:u w:val="single"/>
          <w:lang w:val="fr-FR"/>
        </w:rPr>
        <w:t>augmenter</w:t>
      </w:r>
      <w:r w:rsidRPr="00653BF6">
        <w:rPr>
          <w:color w:val="000000"/>
          <w:szCs w:val="22"/>
          <w:u w:val="single"/>
          <w:lang w:val="fr-FR"/>
        </w:rPr>
        <w:t xml:space="preserve"> les concentrations plasmatiques d’imatinib</w:t>
      </w:r>
    </w:p>
    <w:p w14:paraId="228CF9BB" w14:textId="77777777" w:rsidR="00A010F3" w:rsidRPr="00653BF6" w:rsidRDefault="00A010F3" w:rsidP="007F23EE">
      <w:pPr>
        <w:pStyle w:val="EndnoteText"/>
        <w:keepNext/>
        <w:tabs>
          <w:tab w:val="clear" w:pos="567"/>
        </w:tabs>
        <w:rPr>
          <w:color w:val="000000"/>
          <w:szCs w:val="22"/>
          <w:u w:val="single"/>
          <w:lang w:val="fr-FR"/>
        </w:rPr>
      </w:pPr>
    </w:p>
    <w:p w14:paraId="2C1BCBC3" w14:textId="77777777" w:rsidR="00EF4CB3" w:rsidRPr="00653BF6" w:rsidRDefault="00EF4CB3" w:rsidP="007F23EE">
      <w:pPr>
        <w:pStyle w:val="EndnoteText"/>
        <w:tabs>
          <w:tab w:val="clear" w:pos="567"/>
        </w:tabs>
        <w:rPr>
          <w:color w:val="000000"/>
          <w:szCs w:val="22"/>
          <w:lang w:val="fr-FR"/>
        </w:rPr>
      </w:pPr>
      <w:r w:rsidRPr="00653BF6">
        <w:rPr>
          <w:color w:val="000000"/>
          <w:szCs w:val="22"/>
          <w:lang w:val="fr-FR"/>
        </w:rPr>
        <w:t>Les substances inhibant l’activité de l’isoenzyme CYP3A4 du cytochrome P450 (par exemple : inhibiteurs de protéase tels qu’</w:t>
      </w:r>
      <w:proofErr w:type="spellStart"/>
      <w:r w:rsidRPr="00653BF6">
        <w:rPr>
          <w:color w:val="000000"/>
          <w:szCs w:val="22"/>
          <w:lang w:val="fr-FR"/>
        </w:rPr>
        <w:t>indinavir</w:t>
      </w:r>
      <w:proofErr w:type="spellEnd"/>
      <w:r w:rsidRPr="00653BF6">
        <w:rPr>
          <w:color w:val="000000"/>
          <w:szCs w:val="22"/>
          <w:lang w:val="fr-FR"/>
        </w:rPr>
        <w:t xml:space="preserve">, lopinavir/ritonavir, ritonavir, </w:t>
      </w:r>
      <w:proofErr w:type="spellStart"/>
      <w:r w:rsidRPr="00653BF6">
        <w:rPr>
          <w:color w:val="000000"/>
          <w:szCs w:val="22"/>
          <w:lang w:val="fr-FR"/>
        </w:rPr>
        <w:t>saquinavir</w:t>
      </w:r>
      <w:proofErr w:type="spellEnd"/>
      <w:r w:rsidRPr="00653BF6">
        <w:rPr>
          <w:color w:val="000000"/>
          <w:szCs w:val="22"/>
          <w:lang w:val="fr-FR"/>
        </w:rPr>
        <w:t xml:space="preserve">, </w:t>
      </w:r>
      <w:proofErr w:type="spellStart"/>
      <w:r w:rsidRPr="00653BF6">
        <w:rPr>
          <w:color w:val="000000"/>
          <w:szCs w:val="22"/>
          <w:lang w:val="fr-FR"/>
        </w:rPr>
        <w:t>télaprévir</w:t>
      </w:r>
      <w:proofErr w:type="spellEnd"/>
      <w:r w:rsidRPr="00653BF6">
        <w:rPr>
          <w:color w:val="000000"/>
          <w:szCs w:val="22"/>
          <w:lang w:val="fr-FR"/>
        </w:rPr>
        <w:t xml:space="preserve">, </w:t>
      </w:r>
      <w:proofErr w:type="spellStart"/>
      <w:r w:rsidRPr="00653BF6">
        <w:rPr>
          <w:color w:val="000000"/>
          <w:szCs w:val="22"/>
          <w:lang w:val="fr-FR"/>
        </w:rPr>
        <w:t>nelfinavir</w:t>
      </w:r>
      <w:proofErr w:type="spellEnd"/>
      <w:r w:rsidRPr="00653BF6">
        <w:rPr>
          <w:color w:val="000000"/>
          <w:szCs w:val="22"/>
          <w:lang w:val="fr-FR"/>
        </w:rPr>
        <w:t xml:space="preserve">, </w:t>
      </w:r>
      <w:proofErr w:type="spellStart"/>
      <w:r w:rsidRPr="00653BF6">
        <w:rPr>
          <w:color w:val="000000"/>
          <w:szCs w:val="22"/>
          <w:lang w:val="fr-FR"/>
        </w:rPr>
        <w:t>bocéprévir</w:t>
      </w:r>
      <w:proofErr w:type="spellEnd"/>
      <w:r w:rsidRPr="00653BF6">
        <w:rPr>
          <w:color w:val="000000"/>
          <w:szCs w:val="22"/>
          <w:lang w:val="fr-FR"/>
        </w:rPr>
        <w:t xml:space="preserve"> ; antifongiques azolés tels que </w:t>
      </w:r>
      <w:proofErr w:type="spellStart"/>
      <w:r w:rsidRPr="00653BF6">
        <w:rPr>
          <w:color w:val="000000"/>
          <w:szCs w:val="22"/>
          <w:lang w:val="fr-FR"/>
        </w:rPr>
        <w:t>kétoconazole</w:t>
      </w:r>
      <w:proofErr w:type="spellEnd"/>
      <w:r w:rsidRPr="00653BF6">
        <w:rPr>
          <w:color w:val="000000"/>
          <w:szCs w:val="22"/>
          <w:lang w:val="fr-FR"/>
        </w:rPr>
        <w:t xml:space="preserve">, </w:t>
      </w:r>
      <w:proofErr w:type="spellStart"/>
      <w:r w:rsidRPr="00653BF6">
        <w:rPr>
          <w:color w:val="000000"/>
          <w:szCs w:val="22"/>
          <w:lang w:val="fr-FR"/>
        </w:rPr>
        <w:t>itraconazole</w:t>
      </w:r>
      <w:proofErr w:type="spellEnd"/>
      <w:r w:rsidRPr="00653BF6">
        <w:rPr>
          <w:color w:val="000000"/>
          <w:szCs w:val="22"/>
          <w:lang w:val="fr-FR"/>
        </w:rPr>
        <w:t xml:space="preserve">, </w:t>
      </w:r>
      <w:proofErr w:type="spellStart"/>
      <w:r w:rsidRPr="00653BF6">
        <w:rPr>
          <w:color w:val="000000"/>
          <w:szCs w:val="22"/>
          <w:lang w:val="fr-FR"/>
        </w:rPr>
        <w:t>posaconazole</w:t>
      </w:r>
      <w:proofErr w:type="spellEnd"/>
      <w:r w:rsidRPr="00653BF6">
        <w:rPr>
          <w:color w:val="000000"/>
          <w:szCs w:val="22"/>
          <w:lang w:val="fr-FR"/>
        </w:rPr>
        <w:t xml:space="preserve">, voriconazole ; certains macrolides tels qu’érythromycine, clarithromycine et </w:t>
      </w:r>
      <w:proofErr w:type="spellStart"/>
      <w:r w:rsidRPr="00653BF6">
        <w:rPr>
          <w:color w:val="000000"/>
          <w:szCs w:val="22"/>
          <w:lang w:val="fr-FR"/>
        </w:rPr>
        <w:t>télithromycine</w:t>
      </w:r>
      <w:proofErr w:type="spellEnd"/>
      <w:r w:rsidRPr="00653BF6">
        <w:rPr>
          <w:color w:val="000000"/>
          <w:szCs w:val="22"/>
          <w:lang w:val="fr-FR"/>
        </w:rPr>
        <w:t>) pourraient diminuer le métabolisme d’imatinib et donc augmenter les concentrations plasmatiques de l’imatinib. Une augmentation significative de l’exposition systémique à l’imatinib (la valeur moyenne de la C</w:t>
      </w:r>
      <w:r w:rsidRPr="005205FF">
        <w:rPr>
          <w:color w:val="000000"/>
          <w:szCs w:val="22"/>
          <w:vertAlign w:val="subscript"/>
          <w:lang w:val="fr-FR"/>
          <w:rPrChange w:id="112" w:author="Author">
            <w:rPr>
              <w:color w:val="000000"/>
              <w:szCs w:val="22"/>
              <w:lang w:val="fr-FR"/>
            </w:rPr>
          </w:rPrChange>
        </w:rPr>
        <w:t>max</w:t>
      </w:r>
      <w:r w:rsidRPr="00653BF6">
        <w:rPr>
          <w:color w:val="000000"/>
          <w:szCs w:val="22"/>
          <w:lang w:val="fr-FR"/>
        </w:rPr>
        <w:t xml:space="preserve"> et de l’ASC (Aire sous la courbe) </w:t>
      </w:r>
      <w:proofErr w:type="gramStart"/>
      <w:r w:rsidRPr="00653BF6">
        <w:rPr>
          <w:color w:val="000000"/>
          <w:szCs w:val="22"/>
          <w:lang w:val="fr-FR"/>
        </w:rPr>
        <w:t>ont</w:t>
      </w:r>
      <w:proofErr w:type="gramEnd"/>
      <w:r w:rsidRPr="00653BF6">
        <w:rPr>
          <w:color w:val="000000"/>
          <w:szCs w:val="22"/>
          <w:lang w:val="fr-FR"/>
        </w:rPr>
        <w:t xml:space="preserve"> respectivement été augmentées de 26% et 40%) a été observée chez des volontaires sains lors de l’administration d’une dose unique de </w:t>
      </w:r>
      <w:proofErr w:type="spellStart"/>
      <w:r w:rsidRPr="00653BF6">
        <w:rPr>
          <w:color w:val="000000"/>
          <w:szCs w:val="22"/>
          <w:lang w:val="fr-FR"/>
        </w:rPr>
        <w:t>kétoconazole</w:t>
      </w:r>
      <w:proofErr w:type="spellEnd"/>
      <w:r w:rsidRPr="00653BF6">
        <w:rPr>
          <w:color w:val="000000"/>
          <w:szCs w:val="22"/>
          <w:lang w:val="fr-FR"/>
        </w:rPr>
        <w:t xml:space="preserve"> (un inhibiteur du CYP3A4). La prudence est requise lorsque Glivec est administré avec des inhibiteurs du CYP3A4.</w:t>
      </w:r>
    </w:p>
    <w:p w14:paraId="4164C2FE" w14:textId="77777777" w:rsidR="00EF4CB3" w:rsidRPr="00653BF6" w:rsidRDefault="00EF4CB3" w:rsidP="007F23EE">
      <w:pPr>
        <w:pStyle w:val="EndnoteText"/>
        <w:tabs>
          <w:tab w:val="clear" w:pos="567"/>
        </w:tabs>
        <w:rPr>
          <w:color w:val="000000"/>
          <w:szCs w:val="22"/>
          <w:lang w:val="fr-FR"/>
        </w:rPr>
      </w:pPr>
    </w:p>
    <w:p w14:paraId="51996B3B" w14:textId="155544F7" w:rsidR="00EF4CB3" w:rsidRPr="00653BF6" w:rsidRDefault="00EF4CB3" w:rsidP="007F23EE">
      <w:pPr>
        <w:pStyle w:val="EndnoteText"/>
        <w:keepNext/>
        <w:tabs>
          <w:tab w:val="clear" w:pos="567"/>
        </w:tabs>
        <w:rPr>
          <w:color w:val="000000"/>
          <w:szCs w:val="22"/>
          <w:u w:val="single"/>
          <w:lang w:val="fr-FR"/>
        </w:rPr>
      </w:pPr>
      <w:r w:rsidRPr="00653BF6">
        <w:rPr>
          <w:color w:val="000000"/>
          <w:szCs w:val="22"/>
          <w:u w:val="single"/>
          <w:lang w:val="fr-FR"/>
        </w:rPr>
        <w:t xml:space="preserve">Substances actives pouvant </w:t>
      </w:r>
      <w:r w:rsidRPr="00653BF6">
        <w:rPr>
          <w:b/>
          <w:color w:val="000000"/>
          <w:szCs w:val="22"/>
          <w:u w:val="single"/>
          <w:lang w:val="fr-FR"/>
        </w:rPr>
        <w:t>diminuer</w:t>
      </w:r>
      <w:r w:rsidRPr="00653BF6">
        <w:rPr>
          <w:color w:val="000000"/>
          <w:szCs w:val="22"/>
          <w:u w:val="single"/>
          <w:lang w:val="fr-FR"/>
        </w:rPr>
        <w:t xml:space="preserve"> les concentrations plasmatiques d’imatinib</w:t>
      </w:r>
    </w:p>
    <w:p w14:paraId="03437CE5" w14:textId="77777777" w:rsidR="00A010F3" w:rsidRPr="00653BF6" w:rsidRDefault="00A010F3" w:rsidP="007F23EE">
      <w:pPr>
        <w:pStyle w:val="EndnoteText"/>
        <w:keepNext/>
        <w:tabs>
          <w:tab w:val="clear" w:pos="567"/>
        </w:tabs>
        <w:rPr>
          <w:color w:val="000000"/>
          <w:szCs w:val="22"/>
          <w:u w:val="single"/>
          <w:lang w:val="fr-FR"/>
        </w:rPr>
      </w:pPr>
    </w:p>
    <w:p w14:paraId="05B391ED" w14:textId="02E15335" w:rsidR="00EF4CB3" w:rsidRPr="00653BF6" w:rsidRDefault="00EF4CB3" w:rsidP="007F23EE">
      <w:pPr>
        <w:pStyle w:val="EndnoteText"/>
        <w:tabs>
          <w:tab w:val="clear" w:pos="567"/>
        </w:tabs>
        <w:rPr>
          <w:color w:val="000000"/>
          <w:szCs w:val="22"/>
          <w:lang w:val="fr-FR"/>
        </w:rPr>
      </w:pPr>
      <w:r w:rsidRPr="00653BF6">
        <w:rPr>
          <w:color w:val="000000"/>
          <w:szCs w:val="22"/>
          <w:lang w:val="fr-FR"/>
        </w:rPr>
        <w:t xml:space="preserve">Les substances agissant comme inducteurs de l’activité du CYP3A4 (par exemple : dexaméthasone, phénytoïne, carbamazépine, rifampicine, phénobarbital, </w:t>
      </w:r>
      <w:proofErr w:type="spellStart"/>
      <w:r w:rsidRPr="00653BF6">
        <w:rPr>
          <w:color w:val="000000"/>
          <w:szCs w:val="22"/>
          <w:lang w:val="fr-FR"/>
        </w:rPr>
        <w:t>fosphénytoïne</w:t>
      </w:r>
      <w:proofErr w:type="spellEnd"/>
      <w:r w:rsidRPr="00653BF6">
        <w:rPr>
          <w:color w:val="000000"/>
          <w:szCs w:val="22"/>
          <w:lang w:val="fr-FR"/>
        </w:rPr>
        <w:t xml:space="preserve">, primidone, </w:t>
      </w:r>
      <w:proofErr w:type="spellStart"/>
      <w:r w:rsidRPr="00653BF6">
        <w:rPr>
          <w:i/>
          <w:color w:val="000000"/>
          <w:szCs w:val="22"/>
          <w:lang w:val="fr-FR"/>
        </w:rPr>
        <w:t>Hypericum</w:t>
      </w:r>
      <w:proofErr w:type="spellEnd"/>
      <w:r w:rsidRPr="00653BF6">
        <w:rPr>
          <w:i/>
          <w:color w:val="000000"/>
          <w:szCs w:val="22"/>
          <w:lang w:val="fr-FR"/>
        </w:rPr>
        <w:t xml:space="preserve"> </w:t>
      </w:r>
      <w:proofErr w:type="spellStart"/>
      <w:r w:rsidRPr="00653BF6">
        <w:rPr>
          <w:i/>
          <w:color w:val="000000"/>
          <w:szCs w:val="22"/>
          <w:lang w:val="fr-FR"/>
        </w:rPr>
        <w:t>perforatum</w:t>
      </w:r>
      <w:proofErr w:type="spellEnd"/>
      <w:r w:rsidRPr="00653BF6">
        <w:rPr>
          <w:color w:val="000000"/>
          <w:szCs w:val="22"/>
          <w:lang w:val="fr-FR"/>
        </w:rPr>
        <w:t xml:space="preserve"> (millepertuis)) pourraient réduire significativement l’exposition systémique au Glivec, et potentiellement augmenter le risque d’échec thérapeutique. Un traitement préalable par 600 mg de rifampicine à doses multiples suivies d'une dose unique de 400 mg de Glivec, a entraîné une diminution de C</w:t>
      </w:r>
      <w:r w:rsidRPr="00653BF6">
        <w:rPr>
          <w:color w:val="000000"/>
          <w:szCs w:val="22"/>
          <w:vertAlign w:val="subscript"/>
          <w:lang w:val="fr-FR"/>
        </w:rPr>
        <w:t>max</w:t>
      </w:r>
      <w:r w:rsidRPr="00653BF6">
        <w:rPr>
          <w:color w:val="000000"/>
          <w:szCs w:val="22"/>
          <w:lang w:val="fr-FR"/>
        </w:rPr>
        <w:t xml:space="preserve"> et de l’ASC</w:t>
      </w:r>
      <w:r w:rsidRPr="00653BF6">
        <w:rPr>
          <w:color w:val="000000"/>
          <w:szCs w:val="22"/>
          <w:vertAlign w:val="subscript"/>
          <w:lang w:val="fr-FR"/>
        </w:rPr>
        <w:t>(0-</w:t>
      </w:r>
      <w:r w:rsidR="00D747B9" w:rsidRPr="00653BF6">
        <w:rPr>
          <w:color w:val="000000"/>
          <w:szCs w:val="22"/>
          <w:vertAlign w:val="subscript"/>
          <w:lang w:val="fr-FR"/>
        </w:rPr>
        <w:t>infini</w:t>
      </w:r>
      <w:r w:rsidRPr="00653BF6">
        <w:rPr>
          <w:color w:val="000000"/>
          <w:szCs w:val="22"/>
          <w:vertAlign w:val="subscript"/>
          <w:lang w:val="fr-FR"/>
        </w:rPr>
        <w:t>)</w:t>
      </w:r>
      <w:r w:rsidRPr="00653BF6">
        <w:rPr>
          <w:color w:val="000000"/>
          <w:szCs w:val="22"/>
          <w:lang w:val="fr-FR"/>
        </w:rPr>
        <w:t xml:space="preserve"> d’au moins 54% et 74%, par rapport à leurs valeurs respectives sans traitement par rifampicine. Des résultats similaires ont été observés chez des patients atteints de gliomes malins traités par Glivec et avec des antiépileptiques inducteurs enzymatiques tels que la carbamazépine, l’</w:t>
      </w:r>
      <w:proofErr w:type="spellStart"/>
      <w:r w:rsidRPr="00653BF6">
        <w:rPr>
          <w:color w:val="000000"/>
          <w:szCs w:val="22"/>
          <w:lang w:val="fr-FR"/>
        </w:rPr>
        <w:t>oxcarbazépine</w:t>
      </w:r>
      <w:proofErr w:type="spellEnd"/>
      <w:r w:rsidRPr="00653BF6">
        <w:rPr>
          <w:color w:val="000000"/>
          <w:szCs w:val="22"/>
          <w:lang w:val="fr-FR"/>
        </w:rPr>
        <w:t xml:space="preserve"> et la phénytoïne. L’ASC plasmatique de l’imatinib a diminué de 73% par rapport à celle des patients non traités par antiépileptiques inducteurs enzymatiques. L’utilisation concomitante d’imatinib avec des inducteurs puissants du CYP3A4 devra être évitée.</w:t>
      </w:r>
    </w:p>
    <w:p w14:paraId="54F1DC41" w14:textId="77777777" w:rsidR="00EF4CB3" w:rsidRPr="00653BF6" w:rsidRDefault="00EF4CB3" w:rsidP="007F23EE">
      <w:pPr>
        <w:pStyle w:val="EndnoteText"/>
        <w:tabs>
          <w:tab w:val="clear" w:pos="567"/>
        </w:tabs>
        <w:rPr>
          <w:color w:val="000000"/>
          <w:szCs w:val="22"/>
          <w:lang w:val="fr-FR"/>
        </w:rPr>
      </w:pPr>
    </w:p>
    <w:p w14:paraId="5D9B9B6E" w14:textId="212509AF" w:rsidR="00EF4CB3" w:rsidRPr="00653BF6" w:rsidRDefault="00EF4CB3" w:rsidP="007F23EE">
      <w:pPr>
        <w:pStyle w:val="EndnoteText"/>
        <w:keepNext/>
        <w:tabs>
          <w:tab w:val="clear" w:pos="567"/>
        </w:tabs>
        <w:rPr>
          <w:bCs/>
          <w:color w:val="000000"/>
          <w:szCs w:val="22"/>
          <w:u w:val="single"/>
          <w:lang w:val="fr-FR"/>
        </w:rPr>
      </w:pPr>
      <w:r w:rsidRPr="00653BF6">
        <w:rPr>
          <w:bCs/>
          <w:color w:val="000000"/>
          <w:szCs w:val="22"/>
          <w:u w:val="single"/>
          <w:lang w:val="fr-FR"/>
        </w:rPr>
        <w:t>Substances actives dont la concentration plasmatique peut être modifiée par Glivec</w:t>
      </w:r>
    </w:p>
    <w:p w14:paraId="1EB7A2DE" w14:textId="77777777" w:rsidR="00A010F3" w:rsidRPr="00653BF6" w:rsidRDefault="00A010F3" w:rsidP="007F23EE">
      <w:pPr>
        <w:pStyle w:val="EndnoteText"/>
        <w:keepNext/>
        <w:tabs>
          <w:tab w:val="clear" w:pos="567"/>
        </w:tabs>
        <w:rPr>
          <w:bCs/>
          <w:color w:val="000000"/>
          <w:szCs w:val="22"/>
          <w:u w:val="single"/>
          <w:lang w:val="fr-FR"/>
        </w:rPr>
      </w:pPr>
    </w:p>
    <w:p w14:paraId="35A6A16E" w14:textId="77777777" w:rsidR="00EF4CB3" w:rsidRPr="00653BF6" w:rsidRDefault="00EF4CB3" w:rsidP="007F23EE">
      <w:pPr>
        <w:pStyle w:val="EndnoteText"/>
        <w:tabs>
          <w:tab w:val="clear" w:pos="567"/>
        </w:tabs>
        <w:rPr>
          <w:color w:val="000000"/>
          <w:szCs w:val="22"/>
          <w:lang w:val="fr-FR"/>
        </w:rPr>
      </w:pPr>
      <w:r w:rsidRPr="00653BF6">
        <w:rPr>
          <w:color w:val="000000"/>
          <w:szCs w:val="22"/>
          <w:lang w:val="fr-FR"/>
        </w:rPr>
        <w:t>L’imatinib augmente la valeur moyenne de la C</w:t>
      </w:r>
      <w:r w:rsidRPr="005205FF">
        <w:rPr>
          <w:color w:val="000000"/>
          <w:szCs w:val="22"/>
          <w:vertAlign w:val="subscript"/>
          <w:lang w:val="fr-FR"/>
          <w:rPrChange w:id="113" w:author="Author">
            <w:rPr>
              <w:color w:val="000000"/>
              <w:szCs w:val="22"/>
              <w:lang w:val="fr-FR"/>
            </w:rPr>
          </w:rPrChange>
        </w:rPr>
        <w:t>max</w:t>
      </w:r>
      <w:r w:rsidRPr="00653BF6">
        <w:rPr>
          <w:color w:val="000000"/>
          <w:szCs w:val="22"/>
          <w:lang w:val="fr-FR"/>
        </w:rPr>
        <w:t xml:space="preserve"> et l’ASC de la simvastatine (substrat du CYP3A4), respectivement 2 fois et 3,5 fois, indiquant ainsi une inhibition du CYP3A4 par l’imatinib. Glivec doit donc être associé avec prudence à des substrats du CYP3A4 dont l’index thérapeutique est étroit (par exemple : ciclosporine, </w:t>
      </w:r>
      <w:proofErr w:type="spellStart"/>
      <w:r w:rsidRPr="00653BF6">
        <w:rPr>
          <w:color w:val="000000"/>
          <w:szCs w:val="22"/>
          <w:lang w:val="fr-FR"/>
        </w:rPr>
        <w:t>pimozide</w:t>
      </w:r>
      <w:proofErr w:type="spellEnd"/>
      <w:r w:rsidRPr="00653BF6">
        <w:rPr>
          <w:color w:val="000000"/>
          <w:szCs w:val="22"/>
          <w:lang w:val="fr-FR"/>
        </w:rPr>
        <w:t xml:space="preserve">, tacrolimus, </w:t>
      </w:r>
      <w:proofErr w:type="spellStart"/>
      <w:r w:rsidRPr="00653BF6">
        <w:rPr>
          <w:color w:val="000000"/>
          <w:szCs w:val="22"/>
          <w:lang w:val="fr-FR"/>
        </w:rPr>
        <w:t>sirolimus</w:t>
      </w:r>
      <w:proofErr w:type="spellEnd"/>
      <w:r w:rsidRPr="00653BF6">
        <w:rPr>
          <w:color w:val="000000"/>
          <w:szCs w:val="22"/>
          <w:lang w:val="fr-FR"/>
        </w:rPr>
        <w:t xml:space="preserve">, ergotamine, </w:t>
      </w:r>
      <w:proofErr w:type="spellStart"/>
      <w:r w:rsidRPr="00653BF6">
        <w:rPr>
          <w:color w:val="000000"/>
          <w:szCs w:val="22"/>
          <w:lang w:val="fr-FR"/>
        </w:rPr>
        <w:t>diergotamine</w:t>
      </w:r>
      <w:proofErr w:type="spellEnd"/>
      <w:r w:rsidRPr="00653BF6">
        <w:rPr>
          <w:color w:val="000000"/>
          <w:szCs w:val="22"/>
          <w:lang w:val="fr-FR"/>
        </w:rPr>
        <w:t xml:space="preserve">, fentanyl, </w:t>
      </w:r>
      <w:proofErr w:type="spellStart"/>
      <w:r w:rsidRPr="00653BF6">
        <w:rPr>
          <w:color w:val="000000"/>
          <w:szCs w:val="22"/>
          <w:lang w:val="fr-FR"/>
        </w:rPr>
        <w:t>alfentanil</w:t>
      </w:r>
      <w:proofErr w:type="spellEnd"/>
      <w:r w:rsidRPr="00653BF6">
        <w:rPr>
          <w:color w:val="000000"/>
          <w:szCs w:val="22"/>
          <w:lang w:val="fr-FR"/>
        </w:rPr>
        <w:t xml:space="preserve">, </w:t>
      </w:r>
      <w:proofErr w:type="spellStart"/>
      <w:r w:rsidRPr="00653BF6">
        <w:rPr>
          <w:color w:val="000000"/>
          <w:szCs w:val="22"/>
          <w:lang w:val="fr-FR"/>
        </w:rPr>
        <w:t>terfénadine</w:t>
      </w:r>
      <w:proofErr w:type="spellEnd"/>
      <w:r w:rsidRPr="00653BF6">
        <w:rPr>
          <w:color w:val="000000"/>
          <w:szCs w:val="22"/>
          <w:lang w:val="fr-FR"/>
        </w:rPr>
        <w:t xml:space="preserve">, </w:t>
      </w:r>
      <w:proofErr w:type="spellStart"/>
      <w:r w:rsidRPr="00653BF6">
        <w:rPr>
          <w:color w:val="000000"/>
          <w:szCs w:val="22"/>
          <w:lang w:val="fr-FR"/>
        </w:rPr>
        <w:t>bortézomib</w:t>
      </w:r>
      <w:proofErr w:type="spellEnd"/>
      <w:r w:rsidRPr="00653BF6">
        <w:rPr>
          <w:color w:val="000000"/>
          <w:szCs w:val="22"/>
          <w:lang w:val="fr-FR"/>
        </w:rPr>
        <w:t xml:space="preserve">, </w:t>
      </w:r>
      <w:proofErr w:type="spellStart"/>
      <w:r w:rsidRPr="00653BF6">
        <w:rPr>
          <w:color w:val="000000"/>
          <w:szCs w:val="22"/>
          <w:lang w:val="fr-FR"/>
        </w:rPr>
        <w:t>docétaxel</w:t>
      </w:r>
      <w:proofErr w:type="spellEnd"/>
      <w:r w:rsidRPr="00653BF6">
        <w:rPr>
          <w:color w:val="000000"/>
          <w:szCs w:val="22"/>
          <w:lang w:val="fr-FR"/>
        </w:rPr>
        <w:t xml:space="preserve"> et quinidine). Par ailleurs, Glivec peut augmenter la concentration plasmatique d’autres médicaments métabolisés par le CYP3A4 (par exemple </w:t>
      </w:r>
      <w:proofErr w:type="spellStart"/>
      <w:r w:rsidRPr="00653BF6">
        <w:rPr>
          <w:color w:val="000000"/>
          <w:szCs w:val="22"/>
          <w:lang w:val="fr-FR"/>
        </w:rPr>
        <w:t>triazolo</w:t>
      </w:r>
      <w:proofErr w:type="spellEnd"/>
      <w:r w:rsidRPr="00653BF6">
        <w:rPr>
          <w:color w:val="000000"/>
          <w:szCs w:val="22"/>
          <w:lang w:val="fr-FR"/>
        </w:rPr>
        <w:t>-benzodiazépines, inhibiteurs calciques de type dihydropyridine, certains inhibiteurs de l’</w:t>
      </w:r>
      <w:smartTag w:uri="urn:schemas-microsoft-com:office:smarttags" w:element="stockticker">
        <w:r w:rsidRPr="00653BF6">
          <w:rPr>
            <w:color w:val="000000"/>
            <w:szCs w:val="22"/>
            <w:lang w:val="fr-FR"/>
          </w:rPr>
          <w:t>HMG</w:t>
        </w:r>
      </w:smartTag>
      <w:r w:rsidRPr="00653BF6">
        <w:rPr>
          <w:color w:val="000000"/>
          <w:szCs w:val="22"/>
          <w:lang w:val="fr-FR"/>
        </w:rPr>
        <w:t>-CoA réductase, c’est à dire les statines, etc.).</w:t>
      </w:r>
    </w:p>
    <w:p w14:paraId="548BC3F7" w14:textId="77777777" w:rsidR="00EF4CB3" w:rsidRPr="00653BF6" w:rsidRDefault="00EF4CB3" w:rsidP="007F23EE">
      <w:pPr>
        <w:pStyle w:val="EndnoteText"/>
        <w:tabs>
          <w:tab w:val="clear" w:pos="567"/>
        </w:tabs>
        <w:rPr>
          <w:color w:val="000000"/>
          <w:szCs w:val="22"/>
          <w:lang w:val="fr-FR"/>
        </w:rPr>
      </w:pPr>
    </w:p>
    <w:p w14:paraId="10E9ADC1" w14:textId="77777777" w:rsidR="00EF4CB3" w:rsidRPr="00653BF6" w:rsidRDefault="00EF4CB3" w:rsidP="007F23EE">
      <w:pPr>
        <w:pStyle w:val="EndnoteText"/>
        <w:tabs>
          <w:tab w:val="clear" w:pos="567"/>
        </w:tabs>
        <w:rPr>
          <w:color w:val="000000"/>
          <w:szCs w:val="22"/>
          <w:lang w:val="fr-FR"/>
        </w:rPr>
      </w:pPr>
      <w:r w:rsidRPr="00653BF6">
        <w:rPr>
          <w:color w:val="000000"/>
          <w:szCs w:val="22"/>
          <w:lang w:val="fr-FR"/>
        </w:rPr>
        <w:t>En raison des risques connus d’augmentation des saignements associés à l’utilisation de l’imatinib (par exemple hémorragie), les patients nécessitant un traitement anticoagulant devront recevoir de l’héparine standard ou de bas poids moléculaire au lieu de dérivés de la coumarine tels que la warfarine.</w:t>
      </w:r>
    </w:p>
    <w:p w14:paraId="6FBB827A" w14:textId="77777777" w:rsidR="00EF4CB3" w:rsidRPr="00653BF6" w:rsidRDefault="00EF4CB3" w:rsidP="007F23EE">
      <w:pPr>
        <w:pStyle w:val="EndnoteText"/>
        <w:tabs>
          <w:tab w:val="clear" w:pos="567"/>
        </w:tabs>
        <w:rPr>
          <w:color w:val="000000"/>
          <w:szCs w:val="22"/>
          <w:lang w:val="fr-FR"/>
        </w:rPr>
      </w:pPr>
    </w:p>
    <w:p w14:paraId="07897976" w14:textId="775E0FCD" w:rsidR="00EF4CB3" w:rsidRPr="00653BF6" w:rsidRDefault="00EF4CB3" w:rsidP="007F23EE">
      <w:pPr>
        <w:pStyle w:val="EndnoteText"/>
        <w:tabs>
          <w:tab w:val="clear" w:pos="567"/>
        </w:tabs>
        <w:rPr>
          <w:color w:val="000000"/>
          <w:szCs w:val="22"/>
          <w:lang w:val="fr-FR"/>
        </w:rPr>
      </w:pPr>
      <w:r w:rsidRPr="00653BF6">
        <w:rPr>
          <w:i/>
          <w:color w:val="000000"/>
          <w:szCs w:val="22"/>
          <w:lang w:val="fr-FR"/>
        </w:rPr>
        <w:t>In vitro</w:t>
      </w:r>
      <w:r w:rsidRPr="00653BF6">
        <w:rPr>
          <w:color w:val="000000"/>
          <w:szCs w:val="22"/>
          <w:lang w:val="fr-FR"/>
        </w:rPr>
        <w:t xml:space="preserve">, Glivec inhibe l’activité de l’isoenzyme CYP2D6 du cytochrome P450 à des concentrations similaires à celles affectant l’activité du CYP3A4. L’imatinib à 400 mg deux fois par jour avait un effet inhibiteur sur le métabolisme de </w:t>
      </w:r>
      <w:proofErr w:type="spellStart"/>
      <w:r w:rsidRPr="00653BF6">
        <w:rPr>
          <w:color w:val="000000"/>
          <w:szCs w:val="22"/>
          <w:lang w:val="fr-FR"/>
        </w:rPr>
        <w:t>métoprolol</w:t>
      </w:r>
      <w:proofErr w:type="spellEnd"/>
      <w:r w:rsidRPr="00653BF6">
        <w:rPr>
          <w:color w:val="000000"/>
          <w:szCs w:val="22"/>
          <w:lang w:val="fr-FR"/>
        </w:rPr>
        <w:t xml:space="preserve"> via le CYP2D6, avec une augmentation approximativement de 23% du C</w:t>
      </w:r>
      <w:r w:rsidRPr="00653BF6">
        <w:rPr>
          <w:color w:val="000000"/>
          <w:szCs w:val="22"/>
          <w:vertAlign w:val="subscript"/>
          <w:lang w:val="fr-FR"/>
        </w:rPr>
        <w:t>max</w:t>
      </w:r>
      <w:r w:rsidRPr="00653BF6">
        <w:rPr>
          <w:color w:val="000000"/>
          <w:szCs w:val="22"/>
          <w:lang w:val="fr-FR"/>
        </w:rPr>
        <w:t xml:space="preserve"> et de l’ASC</w:t>
      </w:r>
      <w:r w:rsidRPr="00653BF6">
        <w:rPr>
          <w:color w:val="000000"/>
          <w:szCs w:val="22"/>
          <w:vertAlign w:val="subscript"/>
          <w:lang w:val="fr-FR"/>
        </w:rPr>
        <w:t xml:space="preserve"> </w:t>
      </w:r>
      <w:r w:rsidRPr="00653BF6">
        <w:rPr>
          <w:color w:val="000000"/>
          <w:szCs w:val="22"/>
          <w:lang w:val="fr-FR"/>
        </w:rPr>
        <w:t xml:space="preserve">du </w:t>
      </w:r>
      <w:proofErr w:type="spellStart"/>
      <w:r w:rsidRPr="00653BF6">
        <w:rPr>
          <w:color w:val="000000"/>
          <w:szCs w:val="22"/>
          <w:lang w:val="fr-FR"/>
        </w:rPr>
        <w:t>métoprolol</w:t>
      </w:r>
      <w:proofErr w:type="spellEnd"/>
      <w:r w:rsidRPr="00653BF6">
        <w:rPr>
          <w:color w:val="000000"/>
          <w:szCs w:val="22"/>
          <w:lang w:val="fr-FR"/>
        </w:rPr>
        <w:t xml:space="preserve"> (IC 90%</w:t>
      </w:r>
      <w:ins w:id="114" w:author="Author">
        <w:r w:rsidR="00503B83" w:rsidRPr="00653BF6">
          <w:rPr>
            <w:color w:val="000000"/>
            <w:szCs w:val="22"/>
            <w:lang w:val="fr-FR"/>
          </w:rPr>
          <w:t xml:space="preserve"> </w:t>
        </w:r>
      </w:ins>
      <w:r w:rsidRPr="00653BF6">
        <w:rPr>
          <w:color w:val="000000"/>
          <w:szCs w:val="22"/>
          <w:lang w:val="fr-FR"/>
        </w:rPr>
        <w:t>[1,16</w:t>
      </w:r>
      <w:r w:rsidRPr="00653BF6">
        <w:rPr>
          <w:color w:val="000000"/>
          <w:szCs w:val="22"/>
          <w:lang w:val="fr-FR"/>
        </w:rPr>
        <w:noBreakHyphen/>
        <w:t>1,30]</w:t>
      </w:r>
      <w:ins w:id="115" w:author="Author">
        <w:r w:rsidR="00503B83" w:rsidRPr="00653BF6">
          <w:rPr>
            <w:color w:val="000000"/>
            <w:szCs w:val="22"/>
            <w:lang w:val="fr-FR"/>
          </w:rPr>
          <w:t>)</w:t>
        </w:r>
      </w:ins>
      <w:r w:rsidRPr="00653BF6">
        <w:rPr>
          <w:color w:val="000000"/>
          <w:szCs w:val="22"/>
          <w:lang w:val="fr-FR"/>
        </w:rPr>
        <w:t xml:space="preserve">. Il ne semble pas nécessaire d’adapter les doses lorsque l’imatinib est administré avec des substrats du CYP2D6, toutefois la prudence est recommandée avec les substrats du CYP2D6 présentant une fenêtre thérapeutique étroite telle que le </w:t>
      </w:r>
      <w:proofErr w:type="spellStart"/>
      <w:r w:rsidRPr="00653BF6">
        <w:rPr>
          <w:color w:val="000000"/>
          <w:szCs w:val="22"/>
          <w:lang w:val="fr-FR"/>
        </w:rPr>
        <w:t>métoprolol</w:t>
      </w:r>
      <w:proofErr w:type="spellEnd"/>
      <w:r w:rsidRPr="00653BF6">
        <w:rPr>
          <w:color w:val="000000"/>
          <w:szCs w:val="22"/>
          <w:lang w:val="fr-FR"/>
        </w:rPr>
        <w:t xml:space="preserve">. Chez les patients traités par </w:t>
      </w:r>
      <w:proofErr w:type="spellStart"/>
      <w:r w:rsidRPr="00653BF6">
        <w:rPr>
          <w:color w:val="000000"/>
          <w:szCs w:val="22"/>
          <w:lang w:val="fr-FR"/>
        </w:rPr>
        <w:t>métoprolol</w:t>
      </w:r>
      <w:proofErr w:type="spellEnd"/>
      <w:r w:rsidRPr="00653BF6">
        <w:rPr>
          <w:color w:val="000000"/>
          <w:szCs w:val="22"/>
          <w:lang w:val="fr-FR"/>
        </w:rPr>
        <w:t>, la surveillance clinique devra être envisagée.</w:t>
      </w:r>
    </w:p>
    <w:p w14:paraId="40055026" w14:textId="77777777" w:rsidR="00EF4CB3" w:rsidRPr="00653BF6" w:rsidRDefault="00EF4CB3" w:rsidP="007F23EE">
      <w:pPr>
        <w:pStyle w:val="EndnoteText"/>
        <w:tabs>
          <w:tab w:val="clear" w:pos="567"/>
        </w:tabs>
        <w:rPr>
          <w:color w:val="000000"/>
          <w:szCs w:val="22"/>
          <w:lang w:val="fr-FR"/>
        </w:rPr>
      </w:pPr>
    </w:p>
    <w:p w14:paraId="26E0A90F" w14:textId="69CC5699" w:rsidR="00EF4CB3" w:rsidRPr="00653BF6" w:rsidRDefault="00EF4CB3" w:rsidP="007F23EE">
      <w:pPr>
        <w:pStyle w:val="EndnoteText"/>
        <w:tabs>
          <w:tab w:val="clear" w:pos="567"/>
        </w:tabs>
        <w:rPr>
          <w:color w:val="000000"/>
          <w:szCs w:val="22"/>
          <w:lang w:val="fr-FR"/>
        </w:rPr>
      </w:pPr>
      <w:r w:rsidRPr="00653BF6">
        <w:rPr>
          <w:i/>
          <w:color w:val="000000"/>
          <w:szCs w:val="22"/>
          <w:lang w:val="fr-FR"/>
        </w:rPr>
        <w:t>In vitro</w:t>
      </w:r>
      <w:r w:rsidRPr="00653BF6">
        <w:rPr>
          <w:color w:val="000000"/>
          <w:szCs w:val="22"/>
          <w:lang w:val="fr-FR"/>
        </w:rPr>
        <w:t>, Glivec inhibe l’O-</w:t>
      </w:r>
      <w:proofErr w:type="spellStart"/>
      <w:r w:rsidRPr="00653BF6">
        <w:rPr>
          <w:color w:val="000000"/>
          <w:szCs w:val="22"/>
          <w:lang w:val="fr-FR"/>
        </w:rPr>
        <w:t>glucuronidation</w:t>
      </w:r>
      <w:proofErr w:type="spellEnd"/>
      <w:r w:rsidRPr="00653BF6">
        <w:rPr>
          <w:color w:val="000000"/>
          <w:szCs w:val="22"/>
          <w:lang w:val="fr-FR"/>
        </w:rPr>
        <w:t xml:space="preserve"> du paracétamol avec un Ki de 58,5 µmol/</w:t>
      </w:r>
      <w:ins w:id="116" w:author="Author">
        <w:r w:rsidR="00503B83" w:rsidRPr="00653BF6">
          <w:rPr>
            <w:color w:val="000000"/>
            <w:szCs w:val="22"/>
            <w:lang w:val="fr-FR"/>
          </w:rPr>
          <w:t>L</w:t>
        </w:r>
      </w:ins>
      <w:del w:id="117" w:author="Author">
        <w:r w:rsidRPr="00653BF6" w:rsidDel="00303A31">
          <w:rPr>
            <w:color w:val="000000"/>
            <w:szCs w:val="22"/>
            <w:lang w:val="fr-FR"/>
          </w:rPr>
          <w:delText>l</w:delText>
        </w:r>
      </w:del>
      <w:r w:rsidRPr="00653BF6">
        <w:rPr>
          <w:color w:val="000000"/>
          <w:szCs w:val="22"/>
          <w:lang w:val="fr-FR"/>
        </w:rPr>
        <w:t xml:space="preserve">. Cette inhibition n’a pas été observée </w:t>
      </w:r>
      <w:r w:rsidRPr="00653BF6">
        <w:rPr>
          <w:i/>
          <w:color w:val="000000"/>
          <w:szCs w:val="22"/>
          <w:lang w:val="fr-FR"/>
        </w:rPr>
        <w:t>in vivo</w:t>
      </w:r>
      <w:r w:rsidRPr="00653BF6">
        <w:rPr>
          <w:color w:val="000000"/>
          <w:szCs w:val="22"/>
          <w:lang w:val="fr-FR"/>
        </w:rPr>
        <w:t xml:space="preserve"> après l’administration de 400 mg de Glivec et 1</w:t>
      </w:r>
      <w:ins w:id="118" w:author="Author">
        <w:r w:rsidR="00503B83" w:rsidRPr="00653BF6">
          <w:rPr>
            <w:color w:val="000000"/>
            <w:szCs w:val="22"/>
            <w:lang w:val="fr-FR"/>
          </w:rPr>
          <w:t> </w:t>
        </w:r>
      </w:ins>
      <w:r w:rsidRPr="00653BF6">
        <w:rPr>
          <w:color w:val="000000"/>
          <w:szCs w:val="22"/>
          <w:lang w:val="fr-FR"/>
        </w:rPr>
        <w:t>000 mg de paracétamol. Des doses plus élevées de Glivec et de paracétamol n’ont pas été étudiées.</w:t>
      </w:r>
    </w:p>
    <w:p w14:paraId="13C26378" w14:textId="77777777" w:rsidR="00EF4CB3" w:rsidRPr="00653BF6" w:rsidRDefault="00EF4CB3" w:rsidP="007F23EE">
      <w:pPr>
        <w:pStyle w:val="EndnoteText"/>
        <w:tabs>
          <w:tab w:val="clear" w:pos="567"/>
        </w:tabs>
        <w:rPr>
          <w:color w:val="000000"/>
          <w:szCs w:val="22"/>
          <w:lang w:val="fr-FR"/>
        </w:rPr>
      </w:pPr>
    </w:p>
    <w:p w14:paraId="236E9CDB" w14:textId="77777777" w:rsidR="00EF4CB3" w:rsidRPr="00653BF6" w:rsidRDefault="00EF4CB3" w:rsidP="007F23EE">
      <w:pPr>
        <w:pStyle w:val="EndnoteText"/>
        <w:tabs>
          <w:tab w:val="clear" w:pos="567"/>
        </w:tabs>
        <w:rPr>
          <w:color w:val="000000"/>
          <w:szCs w:val="22"/>
          <w:lang w:val="fr-FR"/>
        </w:rPr>
      </w:pPr>
      <w:r w:rsidRPr="00653BF6">
        <w:rPr>
          <w:color w:val="000000"/>
          <w:szCs w:val="22"/>
          <w:lang w:val="fr-FR"/>
        </w:rPr>
        <w:t>La prudence est donc requise lors de l’utilisation concomitante de fortes doses de Glivec et de paracétamol.</w:t>
      </w:r>
    </w:p>
    <w:p w14:paraId="6584421E" w14:textId="77777777" w:rsidR="00EF4CB3" w:rsidRPr="00653BF6" w:rsidRDefault="00EF4CB3" w:rsidP="007F23EE">
      <w:pPr>
        <w:pStyle w:val="EndnoteText"/>
        <w:tabs>
          <w:tab w:val="clear" w:pos="567"/>
        </w:tabs>
        <w:rPr>
          <w:color w:val="000000"/>
          <w:szCs w:val="22"/>
          <w:lang w:val="fr-FR"/>
        </w:rPr>
      </w:pPr>
    </w:p>
    <w:p w14:paraId="1DE95A75" w14:textId="2783DA4D" w:rsidR="00EF4CB3" w:rsidRPr="00653BF6" w:rsidRDefault="00EF4CB3" w:rsidP="007F23EE">
      <w:pPr>
        <w:pStyle w:val="EndnoteText"/>
        <w:tabs>
          <w:tab w:val="clear" w:pos="567"/>
        </w:tabs>
        <w:rPr>
          <w:color w:val="000000"/>
          <w:szCs w:val="22"/>
          <w:lang w:val="fr-FR"/>
        </w:rPr>
      </w:pPr>
      <w:r w:rsidRPr="00653BF6">
        <w:rPr>
          <w:color w:val="000000"/>
          <w:szCs w:val="22"/>
          <w:lang w:val="fr-FR"/>
        </w:rPr>
        <w:t>Des cas cliniques d’h</w:t>
      </w:r>
      <w:r w:rsidR="003A71E7" w:rsidRPr="00653BF6">
        <w:rPr>
          <w:color w:val="000000"/>
          <w:szCs w:val="22"/>
          <w:lang w:val="fr-FR"/>
        </w:rPr>
        <w:t>y</w:t>
      </w:r>
      <w:r w:rsidRPr="00653BF6">
        <w:rPr>
          <w:color w:val="000000"/>
          <w:szCs w:val="22"/>
          <w:lang w:val="fr-FR"/>
        </w:rPr>
        <w:t xml:space="preserve">pothyroïdie ont été rapportés chez des patients traités par Glivec, ayant subi une thyroïdectomie et recevant un traitement par lévothyroxine (voir rubrique 4.4). Toutefois, le mécanisme de cette interaction observée est à ce jour inconnu. La prudence est donc recommandée. Les taux de </w:t>
      </w:r>
      <w:smartTag w:uri="urn:schemas-microsoft-com:office:smarttags" w:element="stockticker">
        <w:r w:rsidRPr="00653BF6">
          <w:rPr>
            <w:color w:val="000000"/>
            <w:szCs w:val="22"/>
            <w:lang w:val="fr-FR"/>
          </w:rPr>
          <w:t>TSH</w:t>
        </w:r>
      </w:smartTag>
      <w:r w:rsidRPr="00653BF6">
        <w:rPr>
          <w:color w:val="000000"/>
          <w:szCs w:val="22"/>
          <w:lang w:val="fr-FR"/>
        </w:rPr>
        <w:t xml:space="preserve"> devront être étroitement surveillés chez ces patients.</w:t>
      </w:r>
    </w:p>
    <w:p w14:paraId="1C400104" w14:textId="77777777" w:rsidR="00EF4CB3" w:rsidRPr="00653BF6" w:rsidRDefault="00EF4CB3" w:rsidP="007F23EE">
      <w:pPr>
        <w:pStyle w:val="EndnoteText"/>
        <w:tabs>
          <w:tab w:val="clear" w:pos="567"/>
        </w:tabs>
        <w:rPr>
          <w:color w:val="000000"/>
          <w:szCs w:val="22"/>
          <w:lang w:val="fr-FR"/>
        </w:rPr>
      </w:pPr>
    </w:p>
    <w:p w14:paraId="5E73A701" w14:textId="78B83BF3" w:rsidR="00EF4CB3" w:rsidRPr="00653BF6" w:rsidRDefault="00EF4CB3" w:rsidP="007F23EE">
      <w:pPr>
        <w:pStyle w:val="EndnoteText"/>
        <w:tabs>
          <w:tab w:val="clear" w:pos="567"/>
        </w:tabs>
        <w:rPr>
          <w:ins w:id="119" w:author="Author"/>
          <w:color w:val="000000"/>
          <w:szCs w:val="22"/>
          <w:lang w:val="fr-FR"/>
        </w:rPr>
      </w:pPr>
      <w:r w:rsidRPr="00653BF6">
        <w:rPr>
          <w:color w:val="000000"/>
          <w:szCs w:val="22"/>
          <w:lang w:val="fr-FR"/>
        </w:rPr>
        <w:t xml:space="preserve">Chez les patients atteints de LAL Ph+, on dispose d’une expérience clinique de l’administration concomitante de Glivec avec une chimiothérapie (voir rubrique 5.1), cependant les interactions médicamenteuses entre l’imatinib et les schémas thérapeutiques de chimiothérapie n’ont pas été clairement identifiés. Les effets indésirables de l’imatinib tels qu’une hépatotoxicité, une </w:t>
      </w:r>
      <w:proofErr w:type="spellStart"/>
      <w:r w:rsidRPr="00653BF6">
        <w:rPr>
          <w:color w:val="000000"/>
          <w:szCs w:val="22"/>
          <w:lang w:val="fr-FR"/>
        </w:rPr>
        <w:t>myélosuppression</w:t>
      </w:r>
      <w:proofErr w:type="spellEnd"/>
      <w:r w:rsidRPr="00653BF6">
        <w:rPr>
          <w:color w:val="000000"/>
          <w:szCs w:val="22"/>
          <w:lang w:val="fr-FR"/>
        </w:rPr>
        <w:t xml:space="preserve"> ou d’autres effets, peuvent augmenter et il a été rapporté q</w:t>
      </w:r>
      <w:r w:rsidR="003A71E7" w:rsidRPr="00653BF6">
        <w:rPr>
          <w:color w:val="000000"/>
          <w:szCs w:val="22"/>
          <w:lang w:val="fr-FR"/>
        </w:rPr>
        <w:t>u</w:t>
      </w:r>
      <w:r w:rsidRPr="00653BF6">
        <w:rPr>
          <w:color w:val="000000"/>
          <w:szCs w:val="22"/>
          <w:lang w:val="fr-FR"/>
        </w:rPr>
        <w:t xml:space="preserve">’une utilisation concomitante de la </w:t>
      </w:r>
      <w:proofErr w:type="spellStart"/>
      <w:r w:rsidRPr="00653BF6">
        <w:rPr>
          <w:color w:val="000000"/>
          <w:szCs w:val="22"/>
          <w:lang w:val="fr-FR"/>
        </w:rPr>
        <w:t>L-asparaginase</w:t>
      </w:r>
      <w:proofErr w:type="spellEnd"/>
      <w:r w:rsidRPr="00653BF6">
        <w:rPr>
          <w:color w:val="000000"/>
          <w:szCs w:val="22"/>
          <w:lang w:val="fr-FR"/>
        </w:rPr>
        <w:t xml:space="preserve"> pourrait être associée à une hépatotoxicité augmentée (voir rubrique 4.8). Ainsi, l’administration de Glivec en association nécessite des précautions particulières.</w:t>
      </w:r>
    </w:p>
    <w:p w14:paraId="3A1A88AE" w14:textId="77777777" w:rsidR="00F541D2" w:rsidRPr="00653BF6" w:rsidRDefault="00F541D2" w:rsidP="007F23EE">
      <w:pPr>
        <w:pStyle w:val="EndnoteText"/>
        <w:tabs>
          <w:tab w:val="clear" w:pos="567"/>
        </w:tabs>
        <w:rPr>
          <w:ins w:id="120" w:author="Author"/>
          <w:color w:val="000000"/>
          <w:szCs w:val="22"/>
          <w:lang w:val="fr-FR"/>
        </w:rPr>
      </w:pPr>
    </w:p>
    <w:p w14:paraId="6E522E8A" w14:textId="5CA81537" w:rsidR="00F541D2" w:rsidRPr="00653BF6" w:rsidRDefault="00F541D2" w:rsidP="007F23EE">
      <w:pPr>
        <w:pStyle w:val="EndnoteText"/>
        <w:tabs>
          <w:tab w:val="clear" w:pos="567"/>
        </w:tabs>
        <w:rPr>
          <w:color w:val="000000"/>
          <w:szCs w:val="22"/>
          <w:lang w:val="fr-FR"/>
        </w:rPr>
      </w:pPr>
      <w:ins w:id="121" w:author="Author">
        <w:r w:rsidRPr="00653BF6">
          <w:rPr>
            <w:color w:val="000000"/>
            <w:szCs w:val="22"/>
            <w:lang w:val="fr-FR"/>
          </w:rPr>
          <w:t>L</w:t>
        </w:r>
        <w:r w:rsidR="002F003A" w:rsidRPr="00653BF6">
          <w:rPr>
            <w:color w:val="000000"/>
            <w:szCs w:val="22"/>
            <w:lang w:val="fr-FR"/>
          </w:rPr>
          <w:t>’</w:t>
        </w:r>
        <w:r w:rsidRPr="00653BF6">
          <w:rPr>
            <w:color w:val="000000"/>
            <w:szCs w:val="22"/>
            <w:lang w:val="fr-FR"/>
          </w:rPr>
          <w:t xml:space="preserve">imatinib peut retarder la clairance du méthotrexate, en particulier lorsque le méthotrexate est utilisé à </w:t>
        </w:r>
        <w:r w:rsidR="00D4582E" w:rsidRPr="00653BF6">
          <w:rPr>
            <w:color w:val="000000"/>
            <w:szCs w:val="22"/>
            <w:lang w:val="fr-FR"/>
          </w:rPr>
          <w:t>fortes</w:t>
        </w:r>
        <w:r w:rsidRPr="00653BF6">
          <w:rPr>
            <w:color w:val="000000"/>
            <w:szCs w:val="22"/>
            <w:lang w:val="fr-FR"/>
          </w:rPr>
          <w:t xml:space="preserve"> doses (&gt; 500</w:t>
        </w:r>
        <w:r w:rsidR="002F003A" w:rsidRPr="00653BF6">
          <w:rPr>
            <w:color w:val="000000"/>
            <w:szCs w:val="22"/>
            <w:lang w:val="fr-FR"/>
          </w:rPr>
          <w:t> </w:t>
        </w:r>
        <w:r w:rsidRPr="00653BF6">
          <w:rPr>
            <w:color w:val="000000"/>
            <w:szCs w:val="22"/>
            <w:lang w:val="fr-FR"/>
          </w:rPr>
          <w:t xml:space="preserve">mg/m²). La prudence est recommandée lorsque Glivec est administré </w:t>
        </w:r>
        <w:r w:rsidR="00D4582E" w:rsidRPr="00653BF6">
          <w:rPr>
            <w:color w:val="000000"/>
            <w:szCs w:val="22"/>
            <w:lang w:val="fr-FR"/>
          </w:rPr>
          <w:t xml:space="preserve">concomitamment avec </w:t>
        </w:r>
        <w:r w:rsidRPr="00653BF6">
          <w:rPr>
            <w:color w:val="000000"/>
            <w:szCs w:val="22"/>
            <w:lang w:val="fr-FR"/>
          </w:rPr>
          <w:t>le méthotrexate.</w:t>
        </w:r>
      </w:ins>
    </w:p>
    <w:p w14:paraId="15DAC62E" w14:textId="77777777" w:rsidR="00EF4CB3" w:rsidRPr="00653BF6" w:rsidRDefault="00EF4CB3" w:rsidP="007F23EE">
      <w:pPr>
        <w:pStyle w:val="EndnoteText"/>
        <w:tabs>
          <w:tab w:val="clear" w:pos="567"/>
        </w:tabs>
        <w:rPr>
          <w:color w:val="000000"/>
          <w:szCs w:val="22"/>
          <w:lang w:val="fr-FR"/>
        </w:rPr>
      </w:pPr>
    </w:p>
    <w:p w14:paraId="04F18D02" w14:textId="77777777" w:rsidR="00EF4CB3" w:rsidRPr="00653BF6" w:rsidRDefault="00EF4CB3" w:rsidP="007F23EE">
      <w:pPr>
        <w:keepNext/>
        <w:ind w:left="567" w:hanging="567"/>
        <w:rPr>
          <w:rFonts w:ascii="Times New Roman" w:hAnsi="Times New Roman"/>
          <w:color w:val="000000"/>
          <w:szCs w:val="22"/>
        </w:rPr>
      </w:pPr>
      <w:r w:rsidRPr="00653BF6">
        <w:rPr>
          <w:rFonts w:ascii="Times New Roman" w:hAnsi="Times New Roman"/>
          <w:b/>
          <w:color w:val="000000"/>
          <w:szCs w:val="22"/>
        </w:rPr>
        <w:t>4.6</w:t>
      </w:r>
      <w:r w:rsidRPr="00653BF6">
        <w:rPr>
          <w:rFonts w:ascii="Times New Roman" w:hAnsi="Times New Roman"/>
          <w:b/>
          <w:color w:val="000000"/>
          <w:szCs w:val="22"/>
        </w:rPr>
        <w:tab/>
        <w:t>Fertilité, grossesse et allaitement</w:t>
      </w:r>
    </w:p>
    <w:p w14:paraId="41BB4557" w14:textId="77777777" w:rsidR="00EF4CB3" w:rsidRPr="00653BF6" w:rsidRDefault="00EF4CB3" w:rsidP="007F23EE">
      <w:pPr>
        <w:pStyle w:val="EndnoteText"/>
        <w:keepNext/>
        <w:tabs>
          <w:tab w:val="clear" w:pos="567"/>
        </w:tabs>
        <w:rPr>
          <w:color w:val="000000"/>
          <w:szCs w:val="22"/>
          <w:lang w:val="fr-FR"/>
        </w:rPr>
      </w:pPr>
    </w:p>
    <w:p w14:paraId="485FFC9D" w14:textId="05EFD7AC" w:rsidR="00EF4CB3" w:rsidRPr="00653BF6" w:rsidRDefault="00EF4CB3" w:rsidP="007F23EE">
      <w:pPr>
        <w:pStyle w:val="EndnoteText"/>
        <w:keepNext/>
        <w:tabs>
          <w:tab w:val="clear" w:pos="567"/>
        </w:tabs>
        <w:rPr>
          <w:color w:val="000000"/>
          <w:szCs w:val="22"/>
          <w:u w:val="single"/>
          <w:lang w:val="fr-FR"/>
        </w:rPr>
      </w:pPr>
      <w:r w:rsidRPr="00653BF6">
        <w:rPr>
          <w:color w:val="000000"/>
          <w:szCs w:val="22"/>
          <w:u w:val="single"/>
          <w:lang w:val="fr-FR"/>
        </w:rPr>
        <w:t>Femmes en âge de procréer</w:t>
      </w:r>
    </w:p>
    <w:p w14:paraId="5D319DBA" w14:textId="77777777" w:rsidR="00A010F3" w:rsidRPr="00653BF6" w:rsidRDefault="00A010F3" w:rsidP="007F23EE">
      <w:pPr>
        <w:pStyle w:val="EndnoteText"/>
        <w:keepNext/>
        <w:tabs>
          <w:tab w:val="clear" w:pos="567"/>
        </w:tabs>
        <w:rPr>
          <w:color w:val="000000"/>
          <w:szCs w:val="22"/>
          <w:u w:val="single"/>
          <w:lang w:val="fr-FR"/>
        </w:rPr>
      </w:pPr>
    </w:p>
    <w:p w14:paraId="256ADCFE" w14:textId="1941D180" w:rsidR="00EF4CB3" w:rsidRPr="00653BF6" w:rsidRDefault="00EF4CB3" w:rsidP="007F23EE">
      <w:pPr>
        <w:pStyle w:val="EndnoteText"/>
        <w:tabs>
          <w:tab w:val="clear" w:pos="567"/>
        </w:tabs>
        <w:rPr>
          <w:color w:val="000000"/>
          <w:szCs w:val="22"/>
          <w:lang w:val="fr-FR"/>
        </w:rPr>
      </w:pPr>
      <w:r w:rsidRPr="00653BF6">
        <w:rPr>
          <w:color w:val="000000"/>
          <w:szCs w:val="22"/>
          <w:lang w:val="fr-FR"/>
        </w:rPr>
        <w:t>Les femmes en âge de procréer doivent être informées qu’elles doivent utiliser une contraception efficace pendant le traitement</w:t>
      </w:r>
      <w:r w:rsidR="00BD0478" w:rsidRPr="00653BF6">
        <w:rPr>
          <w:color w:val="000000"/>
          <w:szCs w:val="22"/>
          <w:lang w:val="fr-FR"/>
        </w:rPr>
        <w:t xml:space="preserve"> et pendant au moins 15 jours après l’arrêt du traitement par Glivec.</w:t>
      </w:r>
    </w:p>
    <w:p w14:paraId="0FACBA78" w14:textId="77777777" w:rsidR="00EF4CB3" w:rsidRPr="00653BF6" w:rsidRDefault="00EF4CB3" w:rsidP="007F23EE">
      <w:pPr>
        <w:pStyle w:val="EndnoteText"/>
        <w:tabs>
          <w:tab w:val="clear" w:pos="567"/>
        </w:tabs>
        <w:rPr>
          <w:color w:val="000000"/>
          <w:szCs w:val="22"/>
          <w:u w:val="single"/>
          <w:lang w:val="fr-FR"/>
        </w:rPr>
      </w:pPr>
    </w:p>
    <w:p w14:paraId="707A37ED" w14:textId="537CC3E8" w:rsidR="00EF4CB3" w:rsidRPr="00653BF6" w:rsidRDefault="00EF4CB3" w:rsidP="007F23EE">
      <w:pPr>
        <w:pStyle w:val="EndnoteText"/>
        <w:keepNext/>
        <w:tabs>
          <w:tab w:val="clear" w:pos="567"/>
        </w:tabs>
        <w:rPr>
          <w:color w:val="000000"/>
          <w:szCs w:val="22"/>
          <w:u w:val="single"/>
          <w:lang w:val="fr-FR"/>
        </w:rPr>
      </w:pPr>
      <w:r w:rsidRPr="00653BF6">
        <w:rPr>
          <w:color w:val="000000"/>
          <w:szCs w:val="22"/>
          <w:u w:val="single"/>
          <w:lang w:val="fr-FR"/>
        </w:rPr>
        <w:t>Grossesse</w:t>
      </w:r>
    </w:p>
    <w:p w14:paraId="7474853A" w14:textId="77777777" w:rsidR="00A010F3" w:rsidRPr="00653BF6" w:rsidRDefault="00A010F3" w:rsidP="007F23EE">
      <w:pPr>
        <w:pStyle w:val="EndnoteText"/>
        <w:keepNext/>
        <w:tabs>
          <w:tab w:val="clear" w:pos="567"/>
        </w:tabs>
        <w:rPr>
          <w:color w:val="000000"/>
          <w:szCs w:val="22"/>
          <w:u w:val="single"/>
          <w:lang w:val="fr-FR"/>
        </w:rPr>
      </w:pPr>
    </w:p>
    <w:p w14:paraId="1BC070FE" w14:textId="5033EFE2" w:rsidR="00EF4CB3" w:rsidRPr="00653BF6" w:rsidRDefault="00CD55B2" w:rsidP="007F23EE">
      <w:pPr>
        <w:pStyle w:val="EndnoteText"/>
        <w:tabs>
          <w:tab w:val="clear" w:pos="567"/>
        </w:tabs>
        <w:rPr>
          <w:color w:val="000000"/>
          <w:szCs w:val="22"/>
          <w:lang w:val="fr-FR"/>
        </w:rPr>
      </w:pPr>
      <w:ins w:id="122" w:author="Author">
        <w:r w:rsidRPr="00653BF6">
          <w:rPr>
            <w:color w:val="000000"/>
            <w:szCs w:val="22"/>
            <w:lang w:val="fr-FR"/>
          </w:rPr>
          <w:t>Il existe des données limitées sur</w:t>
        </w:r>
      </w:ins>
      <w:del w:id="123" w:author="Author">
        <w:r w:rsidR="00EF4CB3" w:rsidRPr="00653BF6" w:rsidDel="00CD55B2">
          <w:rPr>
            <w:color w:val="000000"/>
            <w:szCs w:val="22"/>
            <w:lang w:val="fr-FR"/>
          </w:rPr>
          <w:delText>Les données concernant</w:delText>
        </w:r>
      </w:del>
      <w:r w:rsidR="00EF4CB3" w:rsidRPr="00653BF6">
        <w:rPr>
          <w:color w:val="000000"/>
          <w:szCs w:val="22"/>
          <w:lang w:val="fr-FR"/>
        </w:rPr>
        <w:t xml:space="preserve"> l</w:t>
      </w:r>
      <w:ins w:id="124" w:author="Author">
        <w:r w:rsidR="002F003A" w:rsidRPr="00653BF6">
          <w:rPr>
            <w:color w:val="000000"/>
            <w:szCs w:val="22"/>
            <w:lang w:val="fr-FR"/>
          </w:rPr>
          <w:t>’</w:t>
        </w:r>
      </w:ins>
      <w:del w:id="125" w:author="Author">
        <w:r w:rsidR="00EF4CB3" w:rsidRPr="00653BF6" w:rsidDel="002F003A">
          <w:rPr>
            <w:color w:val="000000"/>
            <w:szCs w:val="22"/>
            <w:lang w:val="fr-FR"/>
          </w:rPr>
          <w:delText>'</w:delText>
        </w:r>
      </w:del>
      <w:r w:rsidR="00EF4CB3" w:rsidRPr="00653BF6">
        <w:rPr>
          <w:color w:val="000000"/>
          <w:szCs w:val="22"/>
          <w:lang w:val="fr-FR"/>
        </w:rPr>
        <w:t>utilisation de l</w:t>
      </w:r>
      <w:ins w:id="126" w:author="Author">
        <w:r w:rsidR="002F003A" w:rsidRPr="00653BF6">
          <w:rPr>
            <w:color w:val="000000"/>
            <w:szCs w:val="22"/>
            <w:lang w:val="fr-FR"/>
          </w:rPr>
          <w:t>’</w:t>
        </w:r>
      </w:ins>
      <w:del w:id="127" w:author="Author">
        <w:r w:rsidR="00EF4CB3" w:rsidRPr="00653BF6" w:rsidDel="002F003A">
          <w:rPr>
            <w:color w:val="000000"/>
            <w:szCs w:val="22"/>
            <w:lang w:val="fr-FR"/>
          </w:rPr>
          <w:delText>'</w:delText>
        </w:r>
      </w:del>
      <w:r w:rsidR="00EF4CB3" w:rsidRPr="00653BF6">
        <w:rPr>
          <w:color w:val="000000"/>
          <w:szCs w:val="22"/>
          <w:lang w:val="fr-FR"/>
        </w:rPr>
        <w:t>imatinib chez la femme enceinte</w:t>
      </w:r>
      <w:del w:id="128" w:author="Author">
        <w:r w:rsidR="00EF4CB3" w:rsidRPr="00653BF6" w:rsidDel="00CD55B2">
          <w:rPr>
            <w:color w:val="000000"/>
            <w:szCs w:val="22"/>
            <w:lang w:val="fr-FR"/>
          </w:rPr>
          <w:delText xml:space="preserve"> sont limitées</w:delText>
        </w:r>
      </w:del>
      <w:r w:rsidR="00EF4CB3" w:rsidRPr="00653BF6">
        <w:rPr>
          <w:color w:val="000000"/>
          <w:szCs w:val="22"/>
          <w:lang w:val="fr-FR"/>
        </w:rPr>
        <w:t xml:space="preserve">. </w:t>
      </w:r>
      <w:del w:id="129" w:author="Author">
        <w:r w:rsidR="00516A9E" w:rsidRPr="00653BF6" w:rsidDel="00CD55B2">
          <w:rPr>
            <w:color w:val="000000"/>
            <w:szCs w:val="22"/>
            <w:lang w:val="fr-FR"/>
          </w:rPr>
          <w:delText>Depuis la mise sur le marché, d</w:delText>
        </w:r>
      </w:del>
      <w:ins w:id="130" w:author="Author">
        <w:r w:rsidRPr="00653BF6">
          <w:rPr>
            <w:color w:val="000000"/>
            <w:szCs w:val="22"/>
            <w:lang w:val="fr-FR"/>
          </w:rPr>
          <w:t>D</w:t>
        </w:r>
      </w:ins>
      <w:r w:rsidR="00516A9E" w:rsidRPr="00653BF6">
        <w:rPr>
          <w:color w:val="000000"/>
          <w:szCs w:val="22"/>
          <w:lang w:val="fr-FR"/>
        </w:rPr>
        <w:t>es cas d’avortement spontanés et d’anomalies congénitales ont été rapportés</w:t>
      </w:r>
      <w:ins w:id="131" w:author="Author">
        <w:r w:rsidRPr="00653BF6">
          <w:rPr>
            <w:rFonts w:ascii="Sabon" w:hAnsi="Sabon"/>
            <w:lang w:val="fr-FR"/>
          </w:rPr>
          <w:t xml:space="preserve"> </w:t>
        </w:r>
        <w:r w:rsidRPr="00653BF6">
          <w:rPr>
            <w:color w:val="000000"/>
            <w:szCs w:val="22"/>
            <w:lang w:val="fr-FR"/>
          </w:rPr>
          <w:t>post-commercialisation</w:t>
        </w:r>
      </w:ins>
      <w:r w:rsidR="00516A9E" w:rsidRPr="00653BF6">
        <w:rPr>
          <w:color w:val="000000"/>
          <w:szCs w:val="22"/>
          <w:lang w:val="fr-FR"/>
        </w:rPr>
        <w:t xml:space="preserve"> chez des femmes ayant été traitées par Glivec. </w:t>
      </w:r>
      <w:r w:rsidR="00EF4CB3" w:rsidRPr="00653BF6">
        <w:rPr>
          <w:color w:val="000000"/>
          <w:szCs w:val="22"/>
          <w:lang w:val="fr-FR"/>
        </w:rPr>
        <w:t>Les études effectuées chez l</w:t>
      </w:r>
      <w:ins w:id="132" w:author="Author">
        <w:r w:rsidR="002F003A" w:rsidRPr="00653BF6">
          <w:rPr>
            <w:color w:val="000000"/>
            <w:szCs w:val="22"/>
            <w:lang w:val="fr-FR"/>
          </w:rPr>
          <w:t>’</w:t>
        </w:r>
      </w:ins>
      <w:del w:id="133" w:author="Author">
        <w:r w:rsidR="00EF4CB3" w:rsidRPr="00653BF6" w:rsidDel="002F003A">
          <w:rPr>
            <w:color w:val="000000"/>
            <w:szCs w:val="22"/>
            <w:lang w:val="fr-FR"/>
          </w:rPr>
          <w:delText>'</w:delText>
        </w:r>
      </w:del>
      <w:r w:rsidR="00EF4CB3" w:rsidRPr="00653BF6">
        <w:rPr>
          <w:color w:val="000000"/>
          <w:szCs w:val="22"/>
          <w:lang w:val="fr-FR"/>
        </w:rPr>
        <w:t>animal ont toutefois mis en évidence une toxicité sur la reproduction (voir rubrique</w:t>
      </w:r>
      <w:r w:rsidR="002F003A" w:rsidRPr="00653BF6">
        <w:rPr>
          <w:color w:val="000000"/>
          <w:szCs w:val="22"/>
          <w:lang w:val="fr-FR"/>
        </w:rPr>
        <w:t> </w:t>
      </w:r>
      <w:r w:rsidR="00EF4CB3" w:rsidRPr="00653BF6">
        <w:rPr>
          <w:color w:val="000000"/>
          <w:szCs w:val="22"/>
          <w:lang w:val="fr-FR"/>
        </w:rPr>
        <w:t xml:space="preserve">5.3) et le </w:t>
      </w:r>
      <w:proofErr w:type="gramStart"/>
      <w:r w:rsidR="00EF4CB3" w:rsidRPr="00653BF6">
        <w:rPr>
          <w:color w:val="000000"/>
          <w:szCs w:val="22"/>
          <w:lang w:val="fr-FR"/>
        </w:rPr>
        <w:t>risque potentiel</w:t>
      </w:r>
      <w:proofErr w:type="gramEnd"/>
      <w:r w:rsidR="00EF4CB3" w:rsidRPr="00653BF6">
        <w:rPr>
          <w:color w:val="000000"/>
          <w:szCs w:val="22"/>
          <w:lang w:val="fr-FR"/>
        </w:rPr>
        <w:t xml:space="preserve"> sur le fœtus </w:t>
      </w:r>
      <w:del w:id="134" w:author="Author">
        <w:r w:rsidR="00EF4CB3" w:rsidRPr="00653BF6" w:rsidDel="002027CF">
          <w:rPr>
            <w:color w:val="000000"/>
            <w:szCs w:val="22"/>
            <w:lang w:val="fr-FR"/>
          </w:rPr>
          <w:delText xml:space="preserve">en clinique </w:delText>
        </w:r>
      </w:del>
      <w:r w:rsidR="00EF4CB3" w:rsidRPr="00653BF6">
        <w:rPr>
          <w:color w:val="000000"/>
          <w:szCs w:val="22"/>
          <w:lang w:val="fr-FR"/>
        </w:rPr>
        <w:t xml:space="preserve">n’est pas connu. Glivec ne doit pas être utilisé pendant la grossesse à moins d’une nécessité absolue. S’il est utilisé au cours de la grossesse, la patiente doit être prévenue du </w:t>
      </w:r>
      <w:proofErr w:type="gramStart"/>
      <w:r w:rsidR="00EF4CB3" w:rsidRPr="00653BF6">
        <w:rPr>
          <w:color w:val="000000"/>
          <w:szCs w:val="22"/>
          <w:lang w:val="fr-FR"/>
        </w:rPr>
        <w:t>risque potentiel</w:t>
      </w:r>
      <w:proofErr w:type="gramEnd"/>
      <w:r w:rsidR="00EF4CB3" w:rsidRPr="00653BF6">
        <w:rPr>
          <w:color w:val="000000"/>
          <w:szCs w:val="22"/>
          <w:lang w:val="fr-FR"/>
        </w:rPr>
        <w:t xml:space="preserve"> pour le fœtus.</w:t>
      </w:r>
    </w:p>
    <w:p w14:paraId="40BB7759" w14:textId="77777777" w:rsidR="00EF4CB3" w:rsidRPr="00653BF6" w:rsidRDefault="00EF4CB3" w:rsidP="007F23EE">
      <w:pPr>
        <w:pStyle w:val="EndnoteText"/>
        <w:tabs>
          <w:tab w:val="clear" w:pos="567"/>
        </w:tabs>
        <w:rPr>
          <w:color w:val="000000"/>
          <w:szCs w:val="22"/>
          <w:lang w:val="fr-FR"/>
        </w:rPr>
      </w:pPr>
    </w:p>
    <w:p w14:paraId="72DE5836" w14:textId="3527FC21" w:rsidR="00EF4CB3" w:rsidRPr="00653BF6" w:rsidRDefault="00EF4CB3" w:rsidP="007F23EE">
      <w:pPr>
        <w:pStyle w:val="EndnoteText"/>
        <w:keepNext/>
        <w:tabs>
          <w:tab w:val="clear" w:pos="567"/>
        </w:tabs>
        <w:rPr>
          <w:color w:val="000000"/>
          <w:szCs w:val="22"/>
          <w:u w:val="single"/>
          <w:lang w:val="fr-FR"/>
        </w:rPr>
      </w:pPr>
      <w:r w:rsidRPr="00653BF6">
        <w:rPr>
          <w:color w:val="000000"/>
          <w:szCs w:val="22"/>
          <w:u w:val="single"/>
          <w:lang w:val="fr-FR"/>
        </w:rPr>
        <w:t>Allaitement</w:t>
      </w:r>
    </w:p>
    <w:p w14:paraId="5A0053C8" w14:textId="77777777" w:rsidR="00A010F3" w:rsidRPr="00653BF6" w:rsidRDefault="00A010F3" w:rsidP="007F23EE">
      <w:pPr>
        <w:pStyle w:val="EndnoteText"/>
        <w:keepNext/>
        <w:tabs>
          <w:tab w:val="clear" w:pos="567"/>
        </w:tabs>
        <w:rPr>
          <w:color w:val="000000"/>
          <w:szCs w:val="22"/>
          <w:lang w:val="fr-FR"/>
        </w:rPr>
      </w:pPr>
    </w:p>
    <w:p w14:paraId="56EB0960" w14:textId="0D0EECA7" w:rsidR="00EF4CB3" w:rsidRPr="00653BF6" w:rsidRDefault="00EF4CB3" w:rsidP="007F23EE">
      <w:pPr>
        <w:pStyle w:val="EndnoteText"/>
        <w:tabs>
          <w:tab w:val="clear" w:pos="567"/>
        </w:tabs>
        <w:rPr>
          <w:color w:val="000000"/>
          <w:szCs w:val="22"/>
          <w:lang w:val="fr-FR"/>
        </w:rPr>
      </w:pPr>
      <w:r w:rsidRPr="00653BF6">
        <w:rPr>
          <w:color w:val="000000"/>
          <w:szCs w:val="22"/>
          <w:lang w:val="fr-FR"/>
        </w:rPr>
        <w:t>Les informations concernant la distribution de l’imatinib dans le lait maternel sont limitées. Les études chez deux patientes qui allaitaient ont montré que l’imatinib et son métabolite actif peuvent être distribués dans le lait maternel. Le rapport lait/plasma des concentrations d’imatinib mesuré chez une patiente était de 0,5 et celui du métabolite était de 0,9, suggérant une distribution plus élevée du métabolite dans le lait. En considérant la concentration de l’imatinib associée à celle de son métabolite et la quantité de lait journalière ingérée par les nourrissons, l’exposition totale attendue devrait être faible (environ 10% de la dose thérapeutique). Cependant, les effets d’une exposition</w:t>
      </w:r>
      <w:r w:rsidR="00BD0478" w:rsidRPr="00653BF6">
        <w:rPr>
          <w:color w:val="000000"/>
          <w:szCs w:val="22"/>
          <w:lang w:val="fr-FR"/>
        </w:rPr>
        <w:t xml:space="preserve"> à l’imatinib</w:t>
      </w:r>
      <w:r w:rsidRPr="00653BF6">
        <w:rPr>
          <w:color w:val="000000"/>
          <w:szCs w:val="22"/>
          <w:lang w:val="fr-FR"/>
        </w:rPr>
        <w:t xml:space="preserve"> de faible dose chez le nourrisson n’étant pas connus, les femmes ne doivent pas allaiter</w:t>
      </w:r>
      <w:r w:rsidR="00BD0478" w:rsidRPr="00653BF6">
        <w:rPr>
          <w:color w:val="000000"/>
          <w:szCs w:val="22"/>
          <w:lang w:val="fr-FR"/>
        </w:rPr>
        <w:t xml:space="preserve"> pendant le traitement et pendant au moins 15 jours après l’arrêt du traitement par Glivec</w:t>
      </w:r>
      <w:r w:rsidRPr="00653BF6">
        <w:rPr>
          <w:color w:val="000000"/>
          <w:szCs w:val="22"/>
          <w:lang w:val="fr-FR"/>
        </w:rPr>
        <w:t>.</w:t>
      </w:r>
    </w:p>
    <w:p w14:paraId="11D38829" w14:textId="77777777" w:rsidR="00EF4CB3" w:rsidRPr="00653BF6" w:rsidRDefault="00EF4CB3" w:rsidP="007F23EE">
      <w:pPr>
        <w:pStyle w:val="EndnoteText"/>
        <w:tabs>
          <w:tab w:val="clear" w:pos="567"/>
        </w:tabs>
        <w:rPr>
          <w:color w:val="000000"/>
          <w:szCs w:val="22"/>
          <w:u w:val="single"/>
          <w:lang w:val="fr-FR"/>
        </w:rPr>
      </w:pPr>
    </w:p>
    <w:p w14:paraId="7B1B5007" w14:textId="599AF8AB" w:rsidR="00EF4CB3" w:rsidRPr="00653BF6" w:rsidRDefault="00EF4CB3" w:rsidP="007F23EE">
      <w:pPr>
        <w:pStyle w:val="EndnoteText"/>
        <w:keepNext/>
        <w:tabs>
          <w:tab w:val="clear" w:pos="567"/>
        </w:tabs>
        <w:rPr>
          <w:color w:val="000000"/>
          <w:szCs w:val="22"/>
          <w:u w:val="single"/>
          <w:lang w:val="fr-FR"/>
        </w:rPr>
      </w:pPr>
      <w:r w:rsidRPr="00653BF6">
        <w:rPr>
          <w:color w:val="000000"/>
          <w:szCs w:val="22"/>
          <w:u w:val="single"/>
          <w:lang w:val="fr-FR"/>
        </w:rPr>
        <w:t>Fertilité</w:t>
      </w:r>
    </w:p>
    <w:p w14:paraId="2942B03C" w14:textId="77777777" w:rsidR="00A010F3" w:rsidRPr="00653BF6" w:rsidRDefault="00A010F3" w:rsidP="007F23EE">
      <w:pPr>
        <w:pStyle w:val="EndnoteText"/>
        <w:keepNext/>
        <w:tabs>
          <w:tab w:val="clear" w:pos="567"/>
        </w:tabs>
        <w:rPr>
          <w:color w:val="000000"/>
          <w:szCs w:val="22"/>
          <w:u w:val="single"/>
          <w:lang w:val="fr-FR"/>
        </w:rPr>
      </w:pPr>
    </w:p>
    <w:p w14:paraId="61DA1327" w14:textId="3A3A7393" w:rsidR="00EF4CB3" w:rsidRPr="00653BF6" w:rsidRDefault="00EF4CB3" w:rsidP="007F23EE">
      <w:pPr>
        <w:pStyle w:val="EndnoteText"/>
        <w:tabs>
          <w:tab w:val="clear" w:pos="567"/>
        </w:tabs>
        <w:rPr>
          <w:color w:val="000000"/>
          <w:szCs w:val="22"/>
          <w:lang w:val="fr-FR"/>
        </w:rPr>
      </w:pPr>
      <w:r w:rsidRPr="00653BF6">
        <w:rPr>
          <w:color w:val="000000"/>
          <w:szCs w:val="22"/>
          <w:lang w:val="fr-FR"/>
        </w:rPr>
        <w:t>La fertilité des rats mâles et femelles n’a pas été affectée dans les études précliniques</w:t>
      </w:r>
      <w:r w:rsidR="00BD0478" w:rsidRPr="00653BF6">
        <w:rPr>
          <w:color w:val="000000"/>
          <w:szCs w:val="22"/>
          <w:lang w:val="fr-FR"/>
        </w:rPr>
        <w:t>, bien que des effets sur les paramètres de la reproduction aient été observés</w:t>
      </w:r>
      <w:r w:rsidRPr="00653BF6">
        <w:rPr>
          <w:color w:val="000000"/>
          <w:szCs w:val="22"/>
          <w:lang w:val="fr-FR"/>
        </w:rPr>
        <w:t xml:space="preserve"> (voir rubrique 5.3). Aucune étude n'a été effectuée sur des patients recevant Glivec et sur son effet sur la fécondité et la gamétogenèse. Les patients préoccupés par leur fécondité sous traitement par Glivec doivent consulter leur médecin.</w:t>
      </w:r>
    </w:p>
    <w:p w14:paraId="061DADB1" w14:textId="77777777" w:rsidR="00EF4CB3" w:rsidRPr="00653BF6" w:rsidRDefault="00EF4CB3" w:rsidP="007F23EE">
      <w:pPr>
        <w:pStyle w:val="EndnoteText"/>
        <w:tabs>
          <w:tab w:val="clear" w:pos="567"/>
        </w:tabs>
        <w:rPr>
          <w:color w:val="000000"/>
          <w:szCs w:val="22"/>
          <w:lang w:val="fr-FR"/>
        </w:rPr>
      </w:pPr>
    </w:p>
    <w:p w14:paraId="3B9D0FB4" w14:textId="3F49F39F" w:rsidR="00EF4CB3" w:rsidRPr="00653BF6" w:rsidRDefault="00EF4CB3" w:rsidP="007F23EE">
      <w:pPr>
        <w:keepNext/>
        <w:ind w:left="567" w:hanging="567"/>
        <w:rPr>
          <w:rFonts w:ascii="Times New Roman" w:hAnsi="Times New Roman"/>
          <w:color w:val="000000"/>
          <w:szCs w:val="22"/>
        </w:rPr>
      </w:pPr>
      <w:r w:rsidRPr="00653BF6">
        <w:rPr>
          <w:rFonts w:ascii="Times New Roman" w:hAnsi="Times New Roman"/>
          <w:b/>
          <w:color w:val="000000"/>
          <w:szCs w:val="22"/>
        </w:rPr>
        <w:lastRenderedPageBreak/>
        <w:t>4.7</w:t>
      </w:r>
      <w:r w:rsidRPr="00653BF6">
        <w:rPr>
          <w:rFonts w:ascii="Times New Roman" w:hAnsi="Times New Roman"/>
          <w:b/>
          <w:color w:val="000000"/>
          <w:szCs w:val="22"/>
        </w:rPr>
        <w:tab/>
        <w:t>Effets sur l</w:t>
      </w:r>
      <w:ins w:id="135" w:author="Author">
        <w:r w:rsidR="002F003A" w:rsidRPr="00653BF6">
          <w:rPr>
            <w:rFonts w:ascii="Times New Roman" w:hAnsi="Times New Roman"/>
            <w:b/>
            <w:color w:val="000000"/>
            <w:szCs w:val="22"/>
          </w:rPr>
          <w:t>’</w:t>
        </w:r>
      </w:ins>
      <w:del w:id="136" w:author="Author">
        <w:r w:rsidRPr="00653BF6" w:rsidDel="002F003A">
          <w:rPr>
            <w:rFonts w:ascii="Times New Roman" w:hAnsi="Times New Roman"/>
            <w:b/>
            <w:color w:val="000000"/>
            <w:szCs w:val="22"/>
          </w:rPr>
          <w:delText>'</w:delText>
        </w:r>
      </w:del>
      <w:r w:rsidRPr="00653BF6">
        <w:rPr>
          <w:rFonts w:ascii="Times New Roman" w:hAnsi="Times New Roman"/>
          <w:b/>
          <w:color w:val="000000"/>
          <w:szCs w:val="22"/>
        </w:rPr>
        <w:t>aptitude à conduire des véhicules et à utiliser des machines</w:t>
      </w:r>
    </w:p>
    <w:p w14:paraId="13705345" w14:textId="77777777" w:rsidR="00EF4CB3" w:rsidRPr="00653BF6" w:rsidRDefault="00EF4CB3" w:rsidP="007F23EE">
      <w:pPr>
        <w:pStyle w:val="EndnoteText"/>
        <w:keepNext/>
        <w:tabs>
          <w:tab w:val="clear" w:pos="567"/>
        </w:tabs>
        <w:rPr>
          <w:color w:val="000000"/>
          <w:szCs w:val="22"/>
          <w:lang w:val="fr-FR"/>
        </w:rPr>
      </w:pPr>
    </w:p>
    <w:p w14:paraId="5737409A" w14:textId="77777777" w:rsidR="00EF4CB3" w:rsidRPr="00653BF6" w:rsidRDefault="00EF4CB3" w:rsidP="007F23EE">
      <w:pPr>
        <w:suppressAutoHyphens/>
        <w:rPr>
          <w:rFonts w:ascii="Times New Roman" w:hAnsi="Times New Roman"/>
          <w:snapToGrid w:val="0"/>
          <w:color w:val="000000"/>
          <w:szCs w:val="22"/>
        </w:rPr>
      </w:pPr>
      <w:r w:rsidRPr="00653BF6">
        <w:rPr>
          <w:rFonts w:ascii="Times New Roman" w:hAnsi="Times New Roman"/>
          <w:snapToGrid w:val="0"/>
          <w:color w:val="000000"/>
          <w:szCs w:val="22"/>
        </w:rPr>
        <w:t>Les patients devront être informés qu’ils peuvent voir survenir des effets indésirables tels que sensations vertigineuses, troubles visuels ou somnolence au cours du traitement par l’imatinib. La prudence est donc recommandée pour les utilisateurs de véhicules ou de machines.</w:t>
      </w:r>
    </w:p>
    <w:p w14:paraId="7DB6392C" w14:textId="77777777" w:rsidR="00EF4CB3" w:rsidRPr="00653BF6" w:rsidRDefault="00EF4CB3" w:rsidP="007F23EE">
      <w:pPr>
        <w:suppressAutoHyphens/>
        <w:rPr>
          <w:rFonts w:ascii="Times New Roman" w:hAnsi="Times New Roman"/>
          <w:snapToGrid w:val="0"/>
          <w:color w:val="000000"/>
          <w:szCs w:val="22"/>
        </w:rPr>
      </w:pPr>
    </w:p>
    <w:p w14:paraId="52BC3608" w14:textId="77777777" w:rsidR="00EF4CB3" w:rsidRPr="00653BF6" w:rsidRDefault="00EF4CB3" w:rsidP="007F23EE">
      <w:pPr>
        <w:keepNext/>
        <w:ind w:left="567" w:hanging="567"/>
        <w:rPr>
          <w:rFonts w:ascii="Times New Roman" w:hAnsi="Times New Roman"/>
          <w:b/>
          <w:color w:val="000000"/>
          <w:szCs w:val="22"/>
        </w:rPr>
      </w:pPr>
      <w:r w:rsidRPr="00653BF6">
        <w:rPr>
          <w:rFonts w:ascii="Times New Roman" w:hAnsi="Times New Roman"/>
          <w:b/>
          <w:color w:val="000000"/>
          <w:szCs w:val="22"/>
        </w:rPr>
        <w:t>4.8</w:t>
      </w:r>
      <w:r w:rsidRPr="00653BF6">
        <w:rPr>
          <w:rFonts w:ascii="Times New Roman" w:hAnsi="Times New Roman"/>
          <w:b/>
          <w:color w:val="000000"/>
          <w:szCs w:val="22"/>
        </w:rPr>
        <w:tab/>
        <w:t>Effets indésirables</w:t>
      </w:r>
    </w:p>
    <w:p w14:paraId="1971C439" w14:textId="77777777" w:rsidR="00EF4CB3" w:rsidRPr="00653BF6" w:rsidRDefault="00EF4CB3" w:rsidP="007F23EE">
      <w:pPr>
        <w:keepNext/>
        <w:rPr>
          <w:rFonts w:ascii="Times New Roman" w:hAnsi="Times New Roman"/>
          <w:color w:val="000000"/>
          <w:szCs w:val="22"/>
        </w:rPr>
      </w:pPr>
    </w:p>
    <w:p w14:paraId="3C818717" w14:textId="77777777" w:rsidR="00EF4CB3" w:rsidRPr="00653BF6" w:rsidRDefault="00EF4CB3" w:rsidP="007F23EE">
      <w:pPr>
        <w:rPr>
          <w:rFonts w:ascii="Times New Roman" w:hAnsi="Times New Roman"/>
          <w:color w:val="000000"/>
          <w:szCs w:val="22"/>
        </w:rPr>
      </w:pPr>
      <w:r w:rsidRPr="00653BF6">
        <w:rPr>
          <w:rFonts w:ascii="Times New Roman" w:hAnsi="Times New Roman"/>
          <w:color w:val="000000"/>
          <w:szCs w:val="22"/>
        </w:rPr>
        <w:t xml:space="preserve">Les patients atteints de pathologies malignes à un stade avancé peuvent présenter des affections intercurrentes. Ces affections peuvent rendre difficile l’évaluation du lien entre l’administration de Glivec et la survenue d’événements indésirables en raison de la variété des symptômes liés à la maladie sous-jacente, à sa progression ou à la </w:t>
      </w:r>
      <w:proofErr w:type="spellStart"/>
      <w:r w:rsidRPr="00653BF6">
        <w:rPr>
          <w:rFonts w:ascii="Times New Roman" w:hAnsi="Times New Roman"/>
          <w:color w:val="000000"/>
          <w:szCs w:val="22"/>
        </w:rPr>
        <w:t>co</w:t>
      </w:r>
      <w:proofErr w:type="spellEnd"/>
      <w:r w:rsidRPr="00653BF6">
        <w:rPr>
          <w:rFonts w:ascii="Times New Roman" w:hAnsi="Times New Roman"/>
          <w:color w:val="000000"/>
          <w:szCs w:val="22"/>
        </w:rPr>
        <w:t>-administration de nombreux médicaments.</w:t>
      </w:r>
    </w:p>
    <w:p w14:paraId="502842AA" w14:textId="77777777" w:rsidR="00EF4CB3" w:rsidRPr="00653BF6" w:rsidRDefault="00EF4CB3" w:rsidP="007F23EE">
      <w:pPr>
        <w:pStyle w:val="paragraphSIF"/>
        <w:tabs>
          <w:tab w:val="clear" w:pos="-720"/>
        </w:tabs>
        <w:jc w:val="left"/>
        <w:rPr>
          <w:color w:val="000000"/>
          <w:szCs w:val="22"/>
          <w:lang w:val="fr-FR"/>
        </w:rPr>
      </w:pPr>
    </w:p>
    <w:p w14:paraId="33924E46" w14:textId="6FBF5BAE" w:rsidR="00EF4CB3" w:rsidRPr="00653BF6" w:rsidRDefault="00EF4CB3" w:rsidP="007F23EE">
      <w:pPr>
        <w:rPr>
          <w:rFonts w:ascii="Times New Roman" w:hAnsi="Times New Roman"/>
          <w:color w:val="000000"/>
          <w:szCs w:val="22"/>
        </w:rPr>
      </w:pPr>
      <w:r w:rsidRPr="00653BF6">
        <w:rPr>
          <w:rFonts w:ascii="Times New Roman" w:hAnsi="Times New Roman"/>
          <w:color w:val="000000"/>
          <w:szCs w:val="22"/>
        </w:rPr>
        <w:t>Au cours des études cliniques menées dans la LMC, un arrêt du traitement motivé par des effets indésirables imputables au médicament a été observé chez 2,4% des patients nouvellement diagnostiqués, 4% des patients en phase chronique tardive après échec du traitement par l’interféron, 4% des patients en phase accélérée après échec du traitement par l’interféron et 5% des patients en crise blastique après échec du traitement par l’interféron. Dans les GIST, le produit étudié a été arrêté en raison d</w:t>
      </w:r>
      <w:r w:rsidR="00813A7A">
        <w:rPr>
          <w:rFonts w:ascii="Times New Roman" w:hAnsi="Times New Roman"/>
          <w:color w:val="000000"/>
          <w:szCs w:val="22"/>
        </w:rPr>
        <w:t>’</w:t>
      </w:r>
      <w:r w:rsidRPr="00653BF6">
        <w:rPr>
          <w:rFonts w:ascii="Times New Roman" w:hAnsi="Times New Roman"/>
          <w:color w:val="000000"/>
          <w:szCs w:val="22"/>
        </w:rPr>
        <w:t>effets indésirables imputables au médicament chez 4% des patients.</w:t>
      </w:r>
    </w:p>
    <w:p w14:paraId="0ED19718" w14:textId="77777777" w:rsidR="00EF4CB3" w:rsidRPr="00653BF6" w:rsidRDefault="00EF4CB3" w:rsidP="007F23EE">
      <w:pPr>
        <w:rPr>
          <w:rFonts w:ascii="Times New Roman" w:hAnsi="Times New Roman"/>
          <w:color w:val="000000"/>
          <w:szCs w:val="22"/>
        </w:rPr>
      </w:pPr>
    </w:p>
    <w:p w14:paraId="199E2805" w14:textId="6FEDE2EE" w:rsidR="00EF4CB3" w:rsidRPr="00653BF6" w:rsidRDefault="00EF4CB3" w:rsidP="007F23EE">
      <w:pPr>
        <w:pStyle w:val="paragraphSIF"/>
        <w:tabs>
          <w:tab w:val="clear" w:pos="-720"/>
        </w:tabs>
        <w:jc w:val="left"/>
        <w:rPr>
          <w:color w:val="000000"/>
          <w:szCs w:val="22"/>
          <w:lang w:val="fr-FR"/>
        </w:rPr>
      </w:pPr>
      <w:r w:rsidRPr="00653BF6">
        <w:rPr>
          <w:color w:val="000000"/>
          <w:szCs w:val="22"/>
          <w:lang w:val="fr-FR"/>
        </w:rPr>
        <w:t xml:space="preserve">Les effets indésirables ont été comparables dans toutes les indications, à deux exceptions près. Il y a eu plus de </w:t>
      </w:r>
      <w:proofErr w:type="spellStart"/>
      <w:r w:rsidRPr="00653BF6">
        <w:rPr>
          <w:color w:val="000000"/>
          <w:szCs w:val="22"/>
          <w:lang w:val="fr-FR"/>
        </w:rPr>
        <w:t>myélosuppressions</w:t>
      </w:r>
      <w:proofErr w:type="spellEnd"/>
      <w:r w:rsidRPr="00653BF6">
        <w:rPr>
          <w:color w:val="000000"/>
          <w:szCs w:val="22"/>
          <w:lang w:val="fr-FR"/>
        </w:rPr>
        <w:t xml:space="preserve"> observées chez les patients atteints de LMC que chez ceux atteints de GIST, ce qui est probablement dû à la maladie sous-jacente. Dans l’étude clinique menée chez des patients atteints de GIST non r</w:t>
      </w:r>
      <w:r w:rsidR="003A71E7" w:rsidRPr="00653BF6">
        <w:rPr>
          <w:color w:val="000000"/>
          <w:szCs w:val="22"/>
          <w:lang w:val="fr-FR"/>
        </w:rPr>
        <w:t>é</w:t>
      </w:r>
      <w:r w:rsidRPr="00653BF6">
        <w:rPr>
          <w:color w:val="000000"/>
          <w:szCs w:val="22"/>
          <w:lang w:val="fr-FR"/>
        </w:rPr>
        <w:t xml:space="preserve">sécables et/ou métastatiques, 7 (5%) patients ont présenté des saignements de grade 3 / 4 selon la classification </w:t>
      </w:r>
      <w:smartTag w:uri="urn:schemas-microsoft-com:office:smarttags" w:element="stockticker">
        <w:r w:rsidRPr="00653BF6">
          <w:rPr>
            <w:color w:val="000000"/>
            <w:szCs w:val="22"/>
            <w:lang w:val="fr-FR"/>
          </w:rPr>
          <w:t>CTC</w:t>
        </w:r>
      </w:smartTag>
      <w:r w:rsidRPr="00653BF6">
        <w:rPr>
          <w:color w:val="000000"/>
          <w:szCs w:val="22"/>
          <w:lang w:val="fr-FR"/>
        </w:rPr>
        <w:t xml:space="preserve"> (Common </w:t>
      </w:r>
      <w:proofErr w:type="spellStart"/>
      <w:r w:rsidRPr="00653BF6">
        <w:rPr>
          <w:color w:val="000000"/>
          <w:szCs w:val="22"/>
          <w:lang w:val="fr-FR"/>
        </w:rPr>
        <w:t>Toxicity</w:t>
      </w:r>
      <w:proofErr w:type="spellEnd"/>
      <w:r w:rsidRPr="00653BF6">
        <w:rPr>
          <w:color w:val="000000"/>
          <w:szCs w:val="22"/>
          <w:lang w:val="fr-FR"/>
        </w:rPr>
        <w:t xml:space="preserve"> </w:t>
      </w:r>
      <w:proofErr w:type="spellStart"/>
      <w:r w:rsidRPr="00653BF6">
        <w:rPr>
          <w:color w:val="000000"/>
          <w:szCs w:val="22"/>
          <w:lang w:val="fr-FR"/>
        </w:rPr>
        <w:t>Criteria</w:t>
      </w:r>
      <w:proofErr w:type="spellEnd"/>
      <w:r w:rsidRPr="00653BF6">
        <w:rPr>
          <w:color w:val="000000"/>
          <w:szCs w:val="22"/>
          <w:lang w:val="fr-FR"/>
        </w:rPr>
        <w:t>) : saignements gastrointestinaux (3 patients), saignements intra-tumoraux (3 patients), les deux types (1 patient). La localisation de la tumeur gastrointestinale peut avoir été à l’origine des saignements gastro-intestinaux (voir rubrique</w:t>
      </w:r>
      <w:r w:rsidR="002F003A" w:rsidRPr="00653BF6">
        <w:rPr>
          <w:color w:val="000000"/>
          <w:szCs w:val="22"/>
          <w:lang w:val="fr-FR"/>
        </w:rPr>
        <w:t> </w:t>
      </w:r>
      <w:r w:rsidRPr="00653BF6">
        <w:rPr>
          <w:color w:val="000000"/>
          <w:szCs w:val="22"/>
          <w:lang w:val="fr-FR"/>
        </w:rPr>
        <w:t>4.4). Les saignements gastro-intestinaux et intra-tumoraux peuvent être sérieux et dans certains cas fatals. Les effets indésirables les plus fréquemment rapportés (</w:t>
      </w:r>
      <w:r w:rsidRPr="00653BF6">
        <w:rPr>
          <w:color w:val="000000"/>
          <w:szCs w:val="22"/>
          <w:lang w:val="fr-FR"/>
        </w:rPr>
        <w:sym w:font="Symbol" w:char="F0B3"/>
      </w:r>
      <w:r w:rsidRPr="00653BF6">
        <w:rPr>
          <w:color w:val="000000"/>
          <w:szCs w:val="22"/>
          <w:lang w:val="fr-FR"/>
        </w:rPr>
        <w:t xml:space="preserve"> 10%) pouvant être imputables au traitement par Glivec dans les deux indications ont été des nausées modérées, vomissements, diarrhée, douleur abdominale, fatigue, myalgies, crampes musculaires et rash. Des œdèmes superficiels ont été très fréquemment observés dans toutes les études cliniques et décrits principalement comme des œdèmes </w:t>
      </w:r>
      <w:proofErr w:type="spellStart"/>
      <w:r w:rsidRPr="00653BF6">
        <w:rPr>
          <w:color w:val="000000"/>
          <w:szCs w:val="22"/>
          <w:lang w:val="fr-FR"/>
        </w:rPr>
        <w:t>périorbitaux</w:t>
      </w:r>
      <w:proofErr w:type="spellEnd"/>
      <w:r w:rsidRPr="00653BF6">
        <w:rPr>
          <w:color w:val="000000"/>
          <w:szCs w:val="22"/>
          <w:lang w:val="fr-FR"/>
        </w:rPr>
        <w:t xml:space="preserve"> ou des membres inférieurs. Toutefois, ces œdèmes ont été rarement sévères et ont pu être contrôlés par des diurétiques, d’autres mesures symptomatiques ou en réduisant la dose de Glivec.</w:t>
      </w:r>
    </w:p>
    <w:p w14:paraId="63721969" w14:textId="77777777" w:rsidR="00EF4CB3" w:rsidRPr="00653BF6" w:rsidRDefault="00EF4CB3" w:rsidP="007F23EE">
      <w:pPr>
        <w:pStyle w:val="paragraphSIF"/>
        <w:tabs>
          <w:tab w:val="clear" w:pos="-720"/>
        </w:tabs>
        <w:jc w:val="left"/>
        <w:rPr>
          <w:color w:val="000000"/>
          <w:szCs w:val="22"/>
          <w:lang w:val="fr-FR"/>
        </w:rPr>
      </w:pPr>
    </w:p>
    <w:p w14:paraId="2B45C9EE" w14:textId="77777777" w:rsidR="00EF4CB3" w:rsidRPr="00653BF6" w:rsidRDefault="00EF4CB3" w:rsidP="007F23EE">
      <w:pPr>
        <w:pStyle w:val="paragraphSIF"/>
        <w:tabs>
          <w:tab w:val="clear" w:pos="-720"/>
        </w:tabs>
        <w:jc w:val="left"/>
        <w:rPr>
          <w:color w:val="000000"/>
          <w:szCs w:val="22"/>
          <w:lang w:val="fr-FR"/>
        </w:rPr>
      </w:pPr>
      <w:r w:rsidRPr="00653BF6">
        <w:rPr>
          <w:color w:val="000000"/>
          <w:szCs w:val="22"/>
          <w:lang w:val="fr-FR"/>
        </w:rPr>
        <w:t>Lorsque l’imatinib était associé à des doses élevées de chimiothérapie chez des patients atteints de LAL Ph+, une toxicité hépatique transitoire se traduisant par une élévation des transaminases et une hyperbilirubinémie a été observée. Au vu des données limitées de tolérance, les effets indésirables rapportés ci-après chez l’enfant sont cohérents avec le profil de tolérance observé chez l’adulte atteint de LAL Ph+. Les données de tolérance chez l’enfant atteint de LAL Ph+ sont très limitées bien qu’aucun nouveau problème de sécurité n’ait été identifié.</w:t>
      </w:r>
    </w:p>
    <w:p w14:paraId="2F6081CF" w14:textId="77777777" w:rsidR="00EF4CB3" w:rsidRPr="00653BF6" w:rsidRDefault="00EF4CB3" w:rsidP="007F23EE">
      <w:pPr>
        <w:rPr>
          <w:rFonts w:ascii="Times New Roman" w:hAnsi="Times New Roman"/>
          <w:color w:val="000000"/>
          <w:szCs w:val="22"/>
        </w:rPr>
      </w:pPr>
    </w:p>
    <w:p w14:paraId="2460AD94" w14:textId="77777777" w:rsidR="00EF4CB3" w:rsidRPr="00653BF6" w:rsidRDefault="00EF4CB3" w:rsidP="007F23EE">
      <w:pPr>
        <w:rPr>
          <w:rFonts w:ascii="Times New Roman" w:hAnsi="Times New Roman"/>
          <w:color w:val="000000"/>
          <w:szCs w:val="22"/>
        </w:rPr>
      </w:pPr>
      <w:r w:rsidRPr="00653BF6">
        <w:rPr>
          <w:rFonts w:ascii="Times New Roman" w:hAnsi="Times New Roman"/>
          <w:color w:val="000000"/>
          <w:szCs w:val="22"/>
        </w:rPr>
        <w:t>Divers effets indésirables tels qu’épanchement pleural, ascite, œdème pulmonaire, prise de poids rapide avec ou sans œdème superficiel ont été décrits dans le cadre de rétention hydrique. Ces effets peuvent habituellement être contrôlés par l’interruption temporaire du Glivec et par l’utilisation de diurétiques et d’autres traitements symptomatiques appropriés. Cependant, certains de ces effets peuvent être graves voire mettre en jeu le pronostic vital : plusieurs patients en crise blastique sont décédés, avec un tableau clinique complexe associant un épanchement pleural, une insuffisance cardiaque congestive et une insuffisance rénale. Les études cliniques menées chez l’enfant n’ont pas révélé de données de tolérance particulière à cette population.</w:t>
      </w:r>
    </w:p>
    <w:p w14:paraId="2BEFD644" w14:textId="77777777" w:rsidR="00EF4CB3" w:rsidRPr="00653BF6" w:rsidRDefault="00EF4CB3" w:rsidP="007F23EE">
      <w:pPr>
        <w:rPr>
          <w:rFonts w:ascii="Times New Roman" w:hAnsi="Times New Roman"/>
          <w:color w:val="000000"/>
          <w:szCs w:val="22"/>
        </w:rPr>
      </w:pPr>
    </w:p>
    <w:p w14:paraId="2AFBBDD4" w14:textId="25A5CE24" w:rsidR="00EF4CB3" w:rsidRPr="00653BF6" w:rsidRDefault="00EF4CB3" w:rsidP="007F23EE">
      <w:pPr>
        <w:pStyle w:val="paragraphSIF"/>
        <w:keepNext/>
        <w:tabs>
          <w:tab w:val="clear" w:pos="-720"/>
        </w:tabs>
        <w:jc w:val="left"/>
        <w:rPr>
          <w:bCs/>
          <w:color w:val="000000"/>
          <w:szCs w:val="22"/>
          <w:u w:val="single"/>
          <w:lang w:val="fr-FR"/>
        </w:rPr>
      </w:pPr>
      <w:r w:rsidRPr="00653BF6">
        <w:rPr>
          <w:bCs/>
          <w:color w:val="000000"/>
          <w:szCs w:val="22"/>
          <w:u w:val="single"/>
          <w:lang w:val="fr-FR"/>
        </w:rPr>
        <w:t>Les effets indésirables</w:t>
      </w:r>
    </w:p>
    <w:p w14:paraId="64E20807" w14:textId="77777777" w:rsidR="00A010F3" w:rsidRPr="00653BF6" w:rsidRDefault="00A010F3" w:rsidP="007F23EE">
      <w:pPr>
        <w:pStyle w:val="paragraphSIF"/>
        <w:keepNext/>
        <w:tabs>
          <w:tab w:val="clear" w:pos="-720"/>
        </w:tabs>
        <w:jc w:val="left"/>
        <w:rPr>
          <w:bCs/>
          <w:color w:val="000000"/>
          <w:szCs w:val="22"/>
          <w:u w:val="single"/>
          <w:lang w:val="fr-FR"/>
        </w:rPr>
      </w:pPr>
    </w:p>
    <w:p w14:paraId="16AE40AA" w14:textId="2A6D41F1" w:rsidR="00EF4CB3" w:rsidRPr="00653BF6" w:rsidRDefault="00EF4CB3" w:rsidP="007F23EE">
      <w:pPr>
        <w:rPr>
          <w:rFonts w:ascii="Times New Roman" w:hAnsi="Times New Roman"/>
          <w:color w:val="000000"/>
          <w:szCs w:val="22"/>
        </w:rPr>
      </w:pPr>
      <w:r w:rsidRPr="00653BF6">
        <w:rPr>
          <w:rFonts w:ascii="Times New Roman" w:hAnsi="Times New Roman"/>
          <w:color w:val="000000"/>
          <w:szCs w:val="22"/>
        </w:rPr>
        <w:t>Les effets indésirables, en dehors des cas isolés, sont repris ci-dessous par organe et par ordre de fréquence</w:t>
      </w:r>
      <w:r w:rsidR="007F56F8" w:rsidRPr="00653BF6">
        <w:rPr>
          <w:rFonts w:ascii="Times New Roman" w:hAnsi="Times New Roman"/>
          <w:color w:val="000000"/>
          <w:szCs w:val="22"/>
        </w:rPr>
        <w:t>.</w:t>
      </w:r>
      <w:r w:rsidRPr="00653BF6">
        <w:rPr>
          <w:color w:val="000000"/>
          <w:szCs w:val="22"/>
        </w:rPr>
        <w:t xml:space="preserve"> </w:t>
      </w:r>
      <w:r w:rsidRPr="00653BF6">
        <w:rPr>
          <w:rFonts w:ascii="Times New Roman" w:hAnsi="Times New Roman"/>
          <w:color w:val="000000"/>
          <w:szCs w:val="22"/>
        </w:rPr>
        <w:t>Les catégories de fréquence</w:t>
      </w:r>
      <w:r w:rsidRPr="00653BF6">
        <w:rPr>
          <w:color w:val="000000"/>
          <w:szCs w:val="22"/>
        </w:rPr>
        <w:t xml:space="preserve"> </w:t>
      </w:r>
      <w:r w:rsidRPr="00653BF6">
        <w:rPr>
          <w:rFonts w:ascii="Times New Roman" w:hAnsi="Times New Roman"/>
          <w:color w:val="000000"/>
          <w:szCs w:val="22"/>
        </w:rPr>
        <w:t>sont définies selon la convention suivante : très fréquent (≥</w:t>
      </w:r>
      <w:ins w:id="137" w:author="Author">
        <w:r w:rsidR="008D0E3F" w:rsidRPr="00653BF6">
          <w:rPr>
            <w:rFonts w:ascii="Times New Roman" w:hAnsi="Times New Roman"/>
            <w:color w:val="000000"/>
            <w:szCs w:val="22"/>
          </w:rPr>
          <w:t> </w:t>
        </w:r>
      </w:ins>
      <w:r w:rsidRPr="00653BF6">
        <w:rPr>
          <w:rFonts w:ascii="Times New Roman" w:hAnsi="Times New Roman"/>
          <w:color w:val="000000"/>
          <w:szCs w:val="22"/>
        </w:rPr>
        <w:t>1/10), fréquent (≥</w:t>
      </w:r>
      <w:ins w:id="138" w:author="Author">
        <w:r w:rsidR="008D0E3F" w:rsidRPr="00653BF6">
          <w:rPr>
            <w:rFonts w:ascii="Times New Roman" w:hAnsi="Times New Roman"/>
            <w:color w:val="000000"/>
            <w:szCs w:val="22"/>
          </w:rPr>
          <w:t> </w:t>
        </w:r>
      </w:ins>
      <w:r w:rsidRPr="00653BF6">
        <w:rPr>
          <w:rFonts w:ascii="Times New Roman" w:hAnsi="Times New Roman"/>
          <w:color w:val="000000"/>
          <w:szCs w:val="22"/>
        </w:rPr>
        <w:t>1/100, &lt;</w:t>
      </w:r>
      <w:ins w:id="139" w:author="Author">
        <w:r w:rsidR="008D0E3F" w:rsidRPr="00653BF6">
          <w:rPr>
            <w:rFonts w:ascii="Times New Roman" w:hAnsi="Times New Roman"/>
            <w:color w:val="000000"/>
            <w:szCs w:val="22"/>
          </w:rPr>
          <w:t> </w:t>
        </w:r>
      </w:ins>
      <w:r w:rsidRPr="00653BF6">
        <w:rPr>
          <w:rFonts w:ascii="Times New Roman" w:hAnsi="Times New Roman"/>
          <w:color w:val="000000"/>
          <w:szCs w:val="22"/>
        </w:rPr>
        <w:t>1/10), peu fréquent (≥</w:t>
      </w:r>
      <w:ins w:id="140" w:author="Author">
        <w:r w:rsidR="008D0E3F" w:rsidRPr="00653BF6">
          <w:rPr>
            <w:rFonts w:ascii="Times New Roman" w:hAnsi="Times New Roman"/>
            <w:color w:val="000000"/>
            <w:szCs w:val="22"/>
          </w:rPr>
          <w:t> </w:t>
        </w:r>
      </w:ins>
      <w:r w:rsidRPr="00653BF6">
        <w:rPr>
          <w:rFonts w:ascii="Times New Roman" w:hAnsi="Times New Roman"/>
          <w:color w:val="000000"/>
          <w:szCs w:val="22"/>
        </w:rPr>
        <w:t xml:space="preserve">1/1 000, </w:t>
      </w:r>
      <w:r w:rsidRPr="00653BF6">
        <w:rPr>
          <w:rFonts w:ascii="Times New Roman" w:hAnsi="Times New Roman"/>
          <w:b/>
          <w:noProof/>
          <w:color w:val="000000"/>
        </w:rPr>
        <w:t>&lt;</w:t>
      </w:r>
      <w:ins w:id="141" w:author="Author">
        <w:r w:rsidR="008D0E3F" w:rsidRPr="00653BF6">
          <w:rPr>
            <w:rFonts w:ascii="Times New Roman" w:hAnsi="Times New Roman"/>
            <w:color w:val="000000"/>
            <w:szCs w:val="22"/>
          </w:rPr>
          <w:t> </w:t>
        </w:r>
      </w:ins>
      <w:r w:rsidRPr="00653BF6">
        <w:rPr>
          <w:rFonts w:ascii="Times New Roman" w:hAnsi="Times New Roman"/>
          <w:color w:val="000000"/>
          <w:szCs w:val="22"/>
        </w:rPr>
        <w:t>1/100), rare (</w:t>
      </w:r>
      <w:r w:rsidRPr="00653BF6">
        <w:rPr>
          <w:rFonts w:ascii="Times New Roman" w:hAnsi="Times New Roman"/>
          <w:noProof/>
          <w:color w:val="000000"/>
        </w:rPr>
        <w:sym w:font="Symbol" w:char="F0B3"/>
      </w:r>
      <w:ins w:id="142" w:author="Author">
        <w:r w:rsidR="008D0E3F" w:rsidRPr="00653BF6">
          <w:rPr>
            <w:rFonts w:ascii="Times New Roman" w:hAnsi="Times New Roman"/>
            <w:color w:val="000000"/>
            <w:szCs w:val="22"/>
          </w:rPr>
          <w:t> </w:t>
        </w:r>
      </w:ins>
      <w:r w:rsidRPr="00653BF6">
        <w:rPr>
          <w:rFonts w:ascii="Times New Roman" w:hAnsi="Times New Roman"/>
          <w:noProof/>
          <w:color w:val="000000"/>
        </w:rPr>
        <w:t>1/10 000, &lt;</w:t>
      </w:r>
      <w:ins w:id="143" w:author="Author">
        <w:r w:rsidR="008D0E3F" w:rsidRPr="00653BF6">
          <w:rPr>
            <w:rFonts w:ascii="Times New Roman" w:hAnsi="Times New Roman"/>
            <w:color w:val="000000"/>
            <w:szCs w:val="22"/>
          </w:rPr>
          <w:t> </w:t>
        </w:r>
      </w:ins>
      <w:r w:rsidRPr="00653BF6">
        <w:rPr>
          <w:rFonts w:ascii="Times New Roman" w:hAnsi="Times New Roman"/>
          <w:color w:val="000000"/>
          <w:szCs w:val="22"/>
        </w:rPr>
        <w:t>1/1 000),</w:t>
      </w:r>
      <w:r w:rsidRPr="00653BF6">
        <w:rPr>
          <w:rFonts w:ascii="Times New Roman" w:hAnsi="Times New Roman"/>
          <w:bCs/>
          <w:color w:val="000000"/>
          <w:szCs w:val="22"/>
        </w:rPr>
        <w:t xml:space="preserve"> </w:t>
      </w:r>
      <w:r w:rsidRPr="00653BF6">
        <w:rPr>
          <w:rFonts w:ascii="Times New Roman" w:hAnsi="Times New Roman"/>
          <w:bCs/>
          <w:noProof/>
          <w:color w:val="000000"/>
          <w:szCs w:val="22"/>
        </w:rPr>
        <w:lastRenderedPageBreak/>
        <w:t>très rare (&lt;</w:t>
      </w:r>
      <w:ins w:id="144" w:author="Author">
        <w:r w:rsidR="008D0E3F" w:rsidRPr="00653BF6">
          <w:rPr>
            <w:rFonts w:ascii="Times New Roman" w:hAnsi="Times New Roman"/>
            <w:color w:val="000000"/>
            <w:szCs w:val="22"/>
          </w:rPr>
          <w:t> </w:t>
        </w:r>
      </w:ins>
      <w:r w:rsidRPr="00653BF6">
        <w:rPr>
          <w:rFonts w:ascii="Times New Roman" w:hAnsi="Times New Roman"/>
          <w:bCs/>
          <w:noProof/>
          <w:color w:val="000000"/>
          <w:szCs w:val="22"/>
        </w:rPr>
        <w:t xml:space="preserve">1/10 000), </w:t>
      </w:r>
      <w:r w:rsidRPr="00653BF6">
        <w:rPr>
          <w:rFonts w:ascii="Times New Roman" w:hAnsi="Times New Roman"/>
          <w:noProof/>
          <w:color w:val="000000"/>
          <w:szCs w:val="22"/>
        </w:rPr>
        <w:t>fréquence indéterminée (ne peut être estimée sur la base des données disponibles)</w:t>
      </w:r>
      <w:r w:rsidRPr="00653BF6">
        <w:rPr>
          <w:rFonts w:ascii="Times New Roman" w:hAnsi="Times New Roman"/>
          <w:color w:val="000000"/>
          <w:szCs w:val="22"/>
        </w:rPr>
        <w:t>.</w:t>
      </w:r>
    </w:p>
    <w:p w14:paraId="35F37AA6" w14:textId="77777777" w:rsidR="00EF4CB3" w:rsidRPr="00653BF6" w:rsidRDefault="00EF4CB3" w:rsidP="007F23EE">
      <w:pPr>
        <w:rPr>
          <w:rFonts w:ascii="Times New Roman" w:hAnsi="Times New Roman"/>
          <w:color w:val="000000"/>
          <w:szCs w:val="22"/>
        </w:rPr>
      </w:pPr>
    </w:p>
    <w:p w14:paraId="58B4F151" w14:textId="77777777" w:rsidR="00EF4CB3" w:rsidRPr="00653BF6" w:rsidRDefault="00EF4CB3" w:rsidP="007F23EE">
      <w:pPr>
        <w:rPr>
          <w:rFonts w:ascii="Times New Roman" w:hAnsi="Times New Roman"/>
          <w:color w:val="000000"/>
          <w:szCs w:val="22"/>
        </w:rPr>
      </w:pPr>
      <w:r w:rsidRPr="00653BF6">
        <w:rPr>
          <w:rFonts w:ascii="Times New Roman" w:hAnsi="Times New Roman"/>
          <w:color w:val="000000"/>
          <w:szCs w:val="22"/>
        </w:rPr>
        <w:t>Au sein de chaque groupe de fréquence, les effets indésirables doivent être présentés suivant un ordre de fréquence, le plus fréquent en premier.</w:t>
      </w:r>
    </w:p>
    <w:p w14:paraId="309AA76A" w14:textId="77777777" w:rsidR="00EF4CB3" w:rsidRPr="00653BF6" w:rsidRDefault="00EF4CB3" w:rsidP="007F23EE">
      <w:pPr>
        <w:rPr>
          <w:rFonts w:ascii="Times New Roman" w:hAnsi="Times New Roman"/>
          <w:color w:val="000000"/>
          <w:szCs w:val="22"/>
        </w:rPr>
      </w:pPr>
    </w:p>
    <w:p w14:paraId="38155211" w14:textId="77777777" w:rsidR="00EF4CB3" w:rsidRPr="00653BF6" w:rsidRDefault="00EF4CB3" w:rsidP="007F23EE">
      <w:pPr>
        <w:rPr>
          <w:rFonts w:ascii="Times New Roman" w:hAnsi="Times New Roman"/>
          <w:color w:val="000000"/>
          <w:szCs w:val="22"/>
        </w:rPr>
      </w:pPr>
      <w:r w:rsidRPr="00653BF6">
        <w:rPr>
          <w:rFonts w:ascii="Times New Roman" w:hAnsi="Times New Roman"/>
          <w:color w:val="000000"/>
          <w:szCs w:val="22"/>
        </w:rPr>
        <w:t xml:space="preserve">Les effets indésirables et leurs fréquences </w:t>
      </w:r>
      <w:r w:rsidR="00A36CDB" w:rsidRPr="00653BF6">
        <w:rPr>
          <w:rFonts w:ascii="Times New Roman" w:hAnsi="Times New Roman"/>
          <w:color w:val="000000"/>
          <w:szCs w:val="22"/>
        </w:rPr>
        <w:t xml:space="preserve">sont </w:t>
      </w:r>
      <w:r w:rsidRPr="00653BF6">
        <w:rPr>
          <w:rFonts w:ascii="Times New Roman" w:hAnsi="Times New Roman"/>
          <w:color w:val="000000"/>
          <w:szCs w:val="22"/>
        </w:rPr>
        <w:t>présentés dans le Tableau 1.</w:t>
      </w:r>
    </w:p>
    <w:p w14:paraId="24FA37BC" w14:textId="77777777" w:rsidR="00EF4CB3" w:rsidRPr="00653BF6" w:rsidRDefault="00EF4CB3" w:rsidP="007F23EE">
      <w:pPr>
        <w:rPr>
          <w:rFonts w:ascii="Times New Roman" w:hAnsi="Times New Roman"/>
          <w:color w:val="000000"/>
          <w:szCs w:val="22"/>
        </w:rPr>
      </w:pPr>
    </w:p>
    <w:p w14:paraId="2E38EDCE" w14:textId="77777777" w:rsidR="00EF4CB3" w:rsidRPr="00653BF6" w:rsidRDefault="00EF4CB3" w:rsidP="007F23EE">
      <w:pPr>
        <w:keepNext/>
        <w:tabs>
          <w:tab w:val="left" w:pos="1134"/>
        </w:tabs>
        <w:rPr>
          <w:rFonts w:ascii="Times New Roman" w:hAnsi="Times New Roman"/>
          <w:b/>
          <w:color w:val="000000"/>
          <w:szCs w:val="22"/>
        </w:rPr>
      </w:pPr>
      <w:r w:rsidRPr="00653BF6">
        <w:rPr>
          <w:rFonts w:ascii="Times New Roman" w:hAnsi="Times New Roman"/>
          <w:b/>
          <w:color w:val="000000"/>
          <w:szCs w:val="22"/>
        </w:rPr>
        <w:t>Tableau 1</w:t>
      </w:r>
      <w:r w:rsidRPr="00653BF6">
        <w:rPr>
          <w:rFonts w:ascii="Times New Roman" w:hAnsi="Times New Roman"/>
          <w:b/>
          <w:color w:val="000000"/>
          <w:szCs w:val="22"/>
        </w:rPr>
        <w:tab/>
      </w:r>
      <w:r w:rsidR="00A36CDB" w:rsidRPr="00653BF6">
        <w:rPr>
          <w:rFonts w:ascii="Times New Roman" w:hAnsi="Times New Roman"/>
          <w:b/>
          <w:color w:val="000000"/>
          <w:szCs w:val="22"/>
        </w:rPr>
        <w:t>Tableau de synthèse des e</w:t>
      </w:r>
      <w:r w:rsidRPr="00653BF6">
        <w:rPr>
          <w:rFonts w:ascii="Times New Roman" w:hAnsi="Times New Roman"/>
          <w:b/>
          <w:color w:val="000000"/>
          <w:szCs w:val="22"/>
        </w:rPr>
        <w:t>ffets indésirables</w:t>
      </w:r>
    </w:p>
    <w:p w14:paraId="5907CEC0" w14:textId="77777777" w:rsidR="00EF4CB3" w:rsidRPr="00653BF6" w:rsidRDefault="00EF4CB3" w:rsidP="007F23EE">
      <w:pPr>
        <w:keepNext/>
        <w:rPr>
          <w:rFonts w:ascii="Times New Roman" w:hAnsi="Times New Roman"/>
          <w:color w:val="000000"/>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7"/>
      </w:tblGrid>
      <w:tr w:rsidR="00EF4CB3" w:rsidRPr="00653BF6" w14:paraId="071DC4F9" w14:textId="77777777" w:rsidTr="004B2956">
        <w:trPr>
          <w:cantSplit/>
        </w:trPr>
        <w:tc>
          <w:tcPr>
            <w:tcW w:w="9322" w:type="dxa"/>
            <w:gridSpan w:val="2"/>
          </w:tcPr>
          <w:p w14:paraId="1B939091"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b/>
                <w:color w:val="000000"/>
                <w:szCs w:val="22"/>
              </w:rPr>
              <w:t>Infections et infestations</w:t>
            </w:r>
          </w:p>
        </w:tc>
      </w:tr>
      <w:tr w:rsidR="00EF4CB3" w:rsidRPr="00653BF6" w14:paraId="7095ECD0" w14:textId="77777777" w:rsidTr="004B2956">
        <w:trPr>
          <w:cantSplit/>
        </w:trPr>
        <w:tc>
          <w:tcPr>
            <w:tcW w:w="2235" w:type="dxa"/>
          </w:tcPr>
          <w:p w14:paraId="1C1A4413" w14:textId="77777777" w:rsidR="00EF4CB3" w:rsidRPr="00653BF6" w:rsidRDefault="00EF4CB3" w:rsidP="007F23EE">
            <w:pPr>
              <w:keepNext/>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Peu fréquent :</w:t>
            </w:r>
          </w:p>
        </w:tc>
        <w:tc>
          <w:tcPr>
            <w:tcW w:w="7087" w:type="dxa"/>
          </w:tcPr>
          <w:p w14:paraId="36B2488C" w14:textId="11F685FF"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Zona, herpès simplex, inflammation nasopharyngée, pneumonie</w:t>
            </w:r>
            <w:r w:rsidRPr="00653BF6">
              <w:rPr>
                <w:rFonts w:ascii="Times New Roman" w:hAnsi="Times New Roman"/>
                <w:color w:val="000000"/>
                <w:szCs w:val="22"/>
                <w:vertAlign w:val="superscript"/>
              </w:rPr>
              <w:t>1</w:t>
            </w:r>
            <w:r w:rsidRPr="00653BF6">
              <w:rPr>
                <w:rFonts w:ascii="Times New Roman" w:hAnsi="Times New Roman"/>
                <w:color w:val="000000"/>
                <w:szCs w:val="22"/>
              </w:rPr>
              <w:t>, sinusite, cellulites, infection des voies respiratoires hautes, grippe, infection des voies urinaires, gastro</w:t>
            </w:r>
            <w:r w:rsidR="003A71E7" w:rsidRPr="00653BF6">
              <w:rPr>
                <w:rFonts w:ascii="Times New Roman" w:hAnsi="Times New Roman"/>
                <w:color w:val="000000"/>
                <w:szCs w:val="22"/>
              </w:rPr>
              <w:t>-</w:t>
            </w:r>
            <w:r w:rsidRPr="00653BF6">
              <w:rPr>
                <w:rFonts w:ascii="Times New Roman" w:hAnsi="Times New Roman"/>
                <w:color w:val="000000"/>
                <w:szCs w:val="22"/>
              </w:rPr>
              <w:t>ent</w:t>
            </w:r>
            <w:r w:rsidR="003A71E7" w:rsidRPr="00653BF6">
              <w:rPr>
                <w:rFonts w:ascii="Times New Roman" w:hAnsi="Times New Roman"/>
                <w:color w:val="000000"/>
                <w:szCs w:val="22"/>
              </w:rPr>
              <w:t>é</w:t>
            </w:r>
            <w:r w:rsidRPr="00653BF6">
              <w:rPr>
                <w:rFonts w:ascii="Times New Roman" w:hAnsi="Times New Roman"/>
                <w:color w:val="000000"/>
                <w:szCs w:val="22"/>
              </w:rPr>
              <w:t>rite, septicémie</w:t>
            </w:r>
          </w:p>
        </w:tc>
      </w:tr>
      <w:tr w:rsidR="00EF4CB3" w:rsidRPr="00653BF6" w14:paraId="26E357DA" w14:textId="77777777" w:rsidTr="004B2956">
        <w:trPr>
          <w:cantSplit/>
        </w:trPr>
        <w:tc>
          <w:tcPr>
            <w:tcW w:w="2235" w:type="dxa"/>
          </w:tcPr>
          <w:p w14:paraId="42AACC1E" w14:textId="77777777" w:rsidR="00EF4CB3" w:rsidRPr="00653BF6" w:rsidRDefault="00EF4CB3" w:rsidP="007F23EE">
            <w:pPr>
              <w:keepNext/>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Rare :</w:t>
            </w:r>
          </w:p>
        </w:tc>
        <w:tc>
          <w:tcPr>
            <w:tcW w:w="7087" w:type="dxa"/>
          </w:tcPr>
          <w:p w14:paraId="2D656BBF"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Infection fongique</w:t>
            </w:r>
          </w:p>
        </w:tc>
      </w:tr>
      <w:tr w:rsidR="00A802CA" w:rsidRPr="00653BF6" w14:paraId="14DBB3B9" w14:textId="77777777" w:rsidTr="004B2956">
        <w:trPr>
          <w:cantSplit/>
        </w:trPr>
        <w:tc>
          <w:tcPr>
            <w:tcW w:w="2235" w:type="dxa"/>
          </w:tcPr>
          <w:p w14:paraId="7AAE1B63" w14:textId="77777777" w:rsidR="00A802CA" w:rsidRPr="00653BF6" w:rsidRDefault="00A802CA" w:rsidP="007F23EE">
            <w:pPr>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Fréquence indéterminée :</w:t>
            </w:r>
          </w:p>
        </w:tc>
        <w:tc>
          <w:tcPr>
            <w:tcW w:w="7087" w:type="dxa"/>
          </w:tcPr>
          <w:p w14:paraId="045D92F7" w14:textId="77777777" w:rsidR="00A802CA" w:rsidRPr="00653BF6" w:rsidRDefault="00A802CA" w:rsidP="007F23EE">
            <w:pPr>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Réactivation de l’hépatite B*</w:t>
            </w:r>
          </w:p>
        </w:tc>
      </w:tr>
      <w:tr w:rsidR="00EF4CB3" w:rsidRPr="00653BF6" w14:paraId="1A0BEC2C" w14:textId="77777777" w:rsidTr="004B2956">
        <w:trPr>
          <w:cantSplit/>
        </w:trPr>
        <w:tc>
          <w:tcPr>
            <w:tcW w:w="9322" w:type="dxa"/>
            <w:gridSpan w:val="2"/>
          </w:tcPr>
          <w:p w14:paraId="4B8A7734" w14:textId="10EE2FE9" w:rsidR="00EF4CB3" w:rsidRPr="00653BF6" w:rsidRDefault="00EF4CB3" w:rsidP="007F23EE">
            <w:pPr>
              <w:keepNext/>
              <w:autoSpaceDE w:val="0"/>
              <w:autoSpaceDN w:val="0"/>
              <w:adjustRightInd w:val="0"/>
              <w:rPr>
                <w:rFonts w:ascii="Times New Roman" w:hAnsi="Times New Roman"/>
                <w:b/>
                <w:color w:val="000000"/>
                <w:szCs w:val="22"/>
              </w:rPr>
            </w:pPr>
            <w:r w:rsidRPr="00653BF6">
              <w:rPr>
                <w:rFonts w:ascii="Times New Roman" w:hAnsi="Times New Roman"/>
                <w:b/>
                <w:color w:val="000000"/>
                <w:szCs w:val="22"/>
              </w:rPr>
              <w:t>Tumeurs bénignes, malignes et non précisées (</w:t>
            </w:r>
            <w:proofErr w:type="spellStart"/>
            <w:r w:rsidRPr="00653BF6">
              <w:rPr>
                <w:rFonts w:ascii="Times New Roman" w:hAnsi="Times New Roman"/>
                <w:b/>
                <w:color w:val="000000"/>
                <w:szCs w:val="22"/>
              </w:rPr>
              <w:t>incl</w:t>
            </w:r>
            <w:proofErr w:type="spellEnd"/>
            <w:del w:id="145" w:author="Author">
              <w:r w:rsidRPr="00653BF6" w:rsidDel="008D0E3F">
                <w:rPr>
                  <w:rFonts w:ascii="Times New Roman" w:hAnsi="Times New Roman"/>
                  <w:b/>
                  <w:color w:val="000000"/>
                  <w:szCs w:val="22"/>
                </w:rPr>
                <w:delText>uant</w:delText>
              </w:r>
            </w:del>
            <w:r w:rsidRPr="00653BF6">
              <w:rPr>
                <w:rFonts w:ascii="Times New Roman" w:hAnsi="Times New Roman"/>
                <w:b/>
                <w:color w:val="000000"/>
                <w:szCs w:val="22"/>
              </w:rPr>
              <w:t xml:space="preserve"> kystes et polypes)</w:t>
            </w:r>
          </w:p>
        </w:tc>
      </w:tr>
      <w:tr w:rsidR="00EF4CB3" w:rsidRPr="00653BF6" w14:paraId="6DCFB3E9" w14:textId="77777777" w:rsidTr="004B2956">
        <w:trPr>
          <w:cantSplit/>
        </w:trPr>
        <w:tc>
          <w:tcPr>
            <w:tcW w:w="2235" w:type="dxa"/>
          </w:tcPr>
          <w:p w14:paraId="56700523" w14:textId="77777777" w:rsidR="00EF4CB3" w:rsidRPr="00653BF6" w:rsidRDefault="00EF4CB3" w:rsidP="007F23EE">
            <w:pPr>
              <w:keepNext/>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Rare :</w:t>
            </w:r>
          </w:p>
        </w:tc>
        <w:tc>
          <w:tcPr>
            <w:tcW w:w="7087" w:type="dxa"/>
          </w:tcPr>
          <w:p w14:paraId="2281EF8D"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Syndrome de lyse tumorale</w:t>
            </w:r>
          </w:p>
        </w:tc>
      </w:tr>
      <w:tr w:rsidR="00A36CDB" w:rsidRPr="00653BF6" w14:paraId="6C624B04" w14:textId="77777777" w:rsidTr="004B2956">
        <w:trPr>
          <w:cantSplit/>
        </w:trPr>
        <w:tc>
          <w:tcPr>
            <w:tcW w:w="2235" w:type="dxa"/>
          </w:tcPr>
          <w:p w14:paraId="5435DA9E" w14:textId="77777777" w:rsidR="00A36CDB" w:rsidRPr="00653BF6" w:rsidRDefault="00A36CDB" w:rsidP="007F23EE">
            <w:pPr>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Fréquence indéterminée :</w:t>
            </w:r>
          </w:p>
        </w:tc>
        <w:tc>
          <w:tcPr>
            <w:tcW w:w="7087" w:type="dxa"/>
          </w:tcPr>
          <w:p w14:paraId="3110CBAC" w14:textId="77777777" w:rsidR="00A36CDB" w:rsidRPr="00653BF6" w:rsidRDefault="00A36CDB" w:rsidP="007F23EE">
            <w:pPr>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Hémorragie tumorale/nécrose tumorale*</w:t>
            </w:r>
          </w:p>
        </w:tc>
      </w:tr>
      <w:tr w:rsidR="00A36CDB" w:rsidRPr="00653BF6" w14:paraId="10D493C0" w14:textId="77777777" w:rsidTr="004B2956">
        <w:trPr>
          <w:cantSplit/>
        </w:trPr>
        <w:tc>
          <w:tcPr>
            <w:tcW w:w="9322" w:type="dxa"/>
            <w:gridSpan w:val="2"/>
          </w:tcPr>
          <w:p w14:paraId="11E4C7E0" w14:textId="77777777" w:rsidR="00A36CDB" w:rsidRPr="00653BF6" w:rsidRDefault="00A36CDB" w:rsidP="007F23EE">
            <w:pPr>
              <w:keepNext/>
              <w:tabs>
                <w:tab w:val="left" w:pos="567"/>
              </w:tabs>
              <w:spacing w:line="260" w:lineRule="exact"/>
              <w:rPr>
                <w:rFonts w:ascii="Times New Roman" w:hAnsi="Times New Roman"/>
                <w:color w:val="000000"/>
                <w:szCs w:val="22"/>
              </w:rPr>
            </w:pPr>
            <w:r w:rsidRPr="00653BF6">
              <w:rPr>
                <w:rFonts w:ascii="Times New Roman" w:hAnsi="Times New Roman"/>
                <w:b/>
                <w:color w:val="000000"/>
                <w:szCs w:val="22"/>
              </w:rPr>
              <w:t>Affections du système immunitaire</w:t>
            </w:r>
          </w:p>
        </w:tc>
      </w:tr>
      <w:tr w:rsidR="00A36CDB" w:rsidRPr="00653BF6" w14:paraId="2EE4A567" w14:textId="77777777" w:rsidTr="004B2956">
        <w:trPr>
          <w:cantSplit/>
        </w:trPr>
        <w:tc>
          <w:tcPr>
            <w:tcW w:w="2235" w:type="dxa"/>
          </w:tcPr>
          <w:p w14:paraId="4634E924" w14:textId="77777777" w:rsidR="00A36CDB" w:rsidRPr="00653BF6" w:rsidRDefault="00A36CDB" w:rsidP="007F23EE">
            <w:pPr>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Fréquence indéterminée :</w:t>
            </w:r>
          </w:p>
        </w:tc>
        <w:tc>
          <w:tcPr>
            <w:tcW w:w="7087" w:type="dxa"/>
          </w:tcPr>
          <w:p w14:paraId="76E0F359" w14:textId="77777777" w:rsidR="00A36CDB" w:rsidRPr="00653BF6" w:rsidRDefault="00A36CDB" w:rsidP="007F23EE">
            <w:pPr>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Choc anaphylactique*</w:t>
            </w:r>
          </w:p>
        </w:tc>
      </w:tr>
      <w:tr w:rsidR="00EF4CB3" w:rsidRPr="00653BF6" w14:paraId="60BAD0F5" w14:textId="77777777" w:rsidTr="004B2956">
        <w:trPr>
          <w:cantSplit/>
        </w:trPr>
        <w:tc>
          <w:tcPr>
            <w:tcW w:w="9322" w:type="dxa"/>
            <w:gridSpan w:val="2"/>
          </w:tcPr>
          <w:p w14:paraId="14AA34DD"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b/>
                <w:color w:val="000000"/>
                <w:szCs w:val="22"/>
              </w:rPr>
              <w:t>Affections hématologiques et du système lymphatique</w:t>
            </w:r>
          </w:p>
        </w:tc>
      </w:tr>
      <w:tr w:rsidR="00EF4CB3" w:rsidRPr="00653BF6" w14:paraId="38C1DA04" w14:textId="77777777" w:rsidTr="004B2956">
        <w:trPr>
          <w:cantSplit/>
        </w:trPr>
        <w:tc>
          <w:tcPr>
            <w:tcW w:w="2235" w:type="dxa"/>
          </w:tcPr>
          <w:p w14:paraId="79EF3C90"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Très fréquent :</w:t>
            </w:r>
          </w:p>
        </w:tc>
        <w:tc>
          <w:tcPr>
            <w:tcW w:w="7087" w:type="dxa"/>
          </w:tcPr>
          <w:p w14:paraId="69F3604A"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Neutropénie, thrombopénie, anémie</w:t>
            </w:r>
          </w:p>
        </w:tc>
      </w:tr>
      <w:tr w:rsidR="00EF4CB3" w:rsidRPr="00653BF6" w14:paraId="2A78B06F" w14:textId="77777777" w:rsidTr="004B2956">
        <w:trPr>
          <w:cantSplit/>
        </w:trPr>
        <w:tc>
          <w:tcPr>
            <w:tcW w:w="2235" w:type="dxa"/>
          </w:tcPr>
          <w:p w14:paraId="7FD58AD7"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Fréquent :</w:t>
            </w:r>
          </w:p>
        </w:tc>
        <w:tc>
          <w:tcPr>
            <w:tcW w:w="7087" w:type="dxa"/>
          </w:tcPr>
          <w:p w14:paraId="3E3C4D92"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Pancytopénie, neutropénie fébrile</w:t>
            </w:r>
          </w:p>
        </w:tc>
      </w:tr>
      <w:tr w:rsidR="00EF4CB3" w:rsidRPr="00653BF6" w14:paraId="2DCD1DBE" w14:textId="77777777" w:rsidTr="004B2956">
        <w:trPr>
          <w:cantSplit/>
        </w:trPr>
        <w:tc>
          <w:tcPr>
            <w:tcW w:w="2235" w:type="dxa"/>
          </w:tcPr>
          <w:p w14:paraId="7315565B"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Peu fréquent :</w:t>
            </w:r>
          </w:p>
        </w:tc>
        <w:tc>
          <w:tcPr>
            <w:tcW w:w="7087" w:type="dxa"/>
          </w:tcPr>
          <w:p w14:paraId="149EDE91" w14:textId="627B88A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 xml:space="preserve">Thrombocytémie, lymphopénie, aplasie médullaire, </w:t>
            </w:r>
            <w:r w:rsidR="003A71E7" w:rsidRPr="00653BF6">
              <w:rPr>
                <w:rFonts w:ascii="Times New Roman" w:hAnsi="Times New Roman"/>
                <w:color w:val="000000"/>
                <w:szCs w:val="22"/>
              </w:rPr>
              <w:t>é</w:t>
            </w:r>
            <w:r w:rsidRPr="00653BF6">
              <w:rPr>
                <w:rFonts w:ascii="Times New Roman" w:hAnsi="Times New Roman"/>
                <w:color w:val="000000"/>
                <w:szCs w:val="22"/>
              </w:rPr>
              <w:t xml:space="preserve">osinophilie, </w:t>
            </w:r>
            <w:proofErr w:type="spellStart"/>
            <w:r w:rsidRPr="00653BF6">
              <w:rPr>
                <w:rFonts w:ascii="Times New Roman" w:hAnsi="Times New Roman"/>
                <w:color w:val="000000"/>
                <w:szCs w:val="22"/>
              </w:rPr>
              <w:t>lymphadénopathie</w:t>
            </w:r>
            <w:proofErr w:type="spellEnd"/>
          </w:p>
        </w:tc>
      </w:tr>
      <w:tr w:rsidR="00EF4CB3" w:rsidRPr="00653BF6" w14:paraId="093A3252" w14:textId="77777777" w:rsidTr="004B2956">
        <w:trPr>
          <w:cantSplit/>
        </w:trPr>
        <w:tc>
          <w:tcPr>
            <w:tcW w:w="2235" w:type="dxa"/>
          </w:tcPr>
          <w:p w14:paraId="30FADD4A" w14:textId="77777777" w:rsidR="00EF4CB3" w:rsidRPr="00653BF6" w:rsidRDefault="00EF4CB3" w:rsidP="007F23EE">
            <w:pPr>
              <w:tabs>
                <w:tab w:val="left" w:pos="567"/>
              </w:tabs>
              <w:spacing w:line="260" w:lineRule="exact"/>
              <w:rPr>
                <w:rFonts w:ascii="Times New Roman" w:hAnsi="Times New Roman"/>
                <w:i/>
                <w:color w:val="000000"/>
              </w:rPr>
            </w:pPr>
            <w:r w:rsidRPr="00653BF6">
              <w:rPr>
                <w:rFonts w:ascii="Times New Roman" w:hAnsi="Times New Roman"/>
                <w:i/>
                <w:color w:val="000000"/>
              </w:rPr>
              <w:t>Rare :</w:t>
            </w:r>
          </w:p>
        </w:tc>
        <w:tc>
          <w:tcPr>
            <w:tcW w:w="7087" w:type="dxa"/>
          </w:tcPr>
          <w:p w14:paraId="23081C80" w14:textId="77777777" w:rsidR="00EF4CB3" w:rsidRPr="00653BF6" w:rsidRDefault="00EF4CB3" w:rsidP="007F23EE">
            <w:pPr>
              <w:tabs>
                <w:tab w:val="left" w:pos="567"/>
              </w:tabs>
              <w:spacing w:line="260" w:lineRule="exact"/>
              <w:rPr>
                <w:rFonts w:ascii="Times New Roman" w:hAnsi="Times New Roman"/>
                <w:color w:val="000000"/>
              </w:rPr>
            </w:pPr>
            <w:r w:rsidRPr="00653BF6">
              <w:rPr>
                <w:rFonts w:ascii="Times New Roman" w:hAnsi="Times New Roman"/>
                <w:color w:val="000000"/>
              </w:rPr>
              <w:t>Anémie hémolytique</w:t>
            </w:r>
            <w:r w:rsidR="00F279C2" w:rsidRPr="00653BF6">
              <w:rPr>
                <w:rFonts w:ascii="Times New Roman" w:hAnsi="Times New Roman"/>
                <w:color w:val="000000"/>
              </w:rPr>
              <w:t>, microangiopathie thrombotique</w:t>
            </w:r>
          </w:p>
        </w:tc>
      </w:tr>
      <w:tr w:rsidR="00EF4CB3" w:rsidRPr="00653BF6" w14:paraId="2BA7B523" w14:textId="77777777" w:rsidTr="004B2956">
        <w:trPr>
          <w:cantSplit/>
        </w:trPr>
        <w:tc>
          <w:tcPr>
            <w:tcW w:w="9322" w:type="dxa"/>
            <w:gridSpan w:val="2"/>
          </w:tcPr>
          <w:p w14:paraId="18A922C6"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b/>
                <w:color w:val="000000"/>
                <w:szCs w:val="22"/>
              </w:rPr>
              <w:t>Troubles du métabolisme et de la nutrition</w:t>
            </w:r>
          </w:p>
        </w:tc>
      </w:tr>
      <w:tr w:rsidR="00EF4CB3" w:rsidRPr="00653BF6" w14:paraId="2E073F13" w14:textId="77777777" w:rsidTr="004B2956">
        <w:trPr>
          <w:cantSplit/>
        </w:trPr>
        <w:tc>
          <w:tcPr>
            <w:tcW w:w="2235" w:type="dxa"/>
          </w:tcPr>
          <w:p w14:paraId="5BDCC3D3" w14:textId="77777777" w:rsidR="00EF4CB3" w:rsidRPr="00653BF6" w:rsidRDefault="00EF4CB3" w:rsidP="007F23EE">
            <w:pPr>
              <w:keepNext/>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Fréquent :</w:t>
            </w:r>
          </w:p>
        </w:tc>
        <w:tc>
          <w:tcPr>
            <w:tcW w:w="7087" w:type="dxa"/>
          </w:tcPr>
          <w:p w14:paraId="3F5153C3"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Anorexie</w:t>
            </w:r>
          </w:p>
        </w:tc>
      </w:tr>
      <w:tr w:rsidR="00EF4CB3" w:rsidRPr="00653BF6" w14:paraId="0141DA9A" w14:textId="77777777" w:rsidTr="004B2956">
        <w:trPr>
          <w:cantSplit/>
        </w:trPr>
        <w:tc>
          <w:tcPr>
            <w:tcW w:w="2235" w:type="dxa"/>
          </w:tcPr>
          <w:p w14:paraId="670B9092" w14:textId="77777777" w:rsidR="00EF4CB3" w:rsidRPr="00653BF6" w:rsidRDefault="00EF4CB3" w:rsidP="007F23EE">
            <w:pPr>
              <w:keepNext/>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Peu fréquent :</w:t>
            </w:r>
          </w:p>
        </w:tc>
        <w:tc>
          <w:tcPr>
            <w:tcW w:w="7087" w:type="dxa"/>
          </w:tcPr>
          <w:p w14:paraId="41B6149E"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Hypokaliémie, augmentation de l’appétit, hypophosphatémie, diminution de l’appétit, déshydratation, goutte, hyperuricémie, hypercalcémie, hyperglycémie, hyponatrémie</w:t>
            </w:r>
          </w:p>
        </w:tc>
      </w:tr>
      <w:tr w:rsidR="00EF4CB3" w:rsidRPr="00653BF6" w14:paraId="46A120D3" w14:textId="77777777" w:rsidTr="004B2956">
        <w:trPr>
          <w:cantSplit/>
        </w:trPr>
        <w:tc>
          <w:tcPr>
            <w:tcW w:w="2235" w:type="dxa"/>
          </w:tcPr>
          <w:p w14:paraId="566BFA52" w14:textId="77777777" w:rsidR="00EF4CB3" w:rsidRPr="00653BF6" w:rsidRDefault="00EF4CB3" w:rsidP="007F23EE">
            <w:pPr>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Rare :</w:t>
            </w:r>
          </w:p>
        </w:tc>
        <w:tc>
          <w:tcPr>
            <w:tcW w:w="7087" w:type="dxa"/>
          </w:tcPr>
          <w:p w14:paraId="076EF45C" w14:textId="77777777" w:rsidR="00EF4CB3" w:rsidRPr="00653BF6" w:rsidRDefault="00EF4CB3" w:rsidP="007F23EE">
            <w:pPr>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Hyperkaliémie, hypomagnésémie</w:t>
            </w:r>
          </w:p>
        </w:tc>
      </w:tr>
      <w:tr w:rsidR="00EF4CB3" w:rsidRPr="00653BF6" w14:paraId="5AF4C591" w14:textId="77777777" w:rsidTr="004B2956">
        <w:trPr>
          <w:cantSplit/>
        </w:trPr>
        <w:tc>
          <w:tcPr>
            <w:tcW w:w="9322" w:type="dxa"/>
            <w:gridSpan w:val="2"/>
          </w:tcPr>
          <w:p w14:paraId="2E75095B"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b/>
                <w:color w:val="000000"/>
                <w:szCs w:val="22"/>
              </w:rPr>
              <w:t>Affections psychiatriques</w:t>
            </w:r>
          </w:p>
        </w:tc>
      </w:tr>
      <w:tr w:rsidR="00EF4CB3" w:rsidRPr="00653BF6" w14:paraId="0E9E0F2E" w14:textId="77777777" w:rsidTr="004B2956">
        <w:trPr>
          <w:cantSplit/>
        </w:trPr>
        <w:tc>
          <w:tcPr>
            <w:tcW w:w="2235" w:type="dxa"/>
          </w:tcPr>
          <w:p w14:paraId="7B4C3FE3" w14:textId="77777777" w:rsidR="00EF4CB3" w:rsidRPr="00653BF6" w:rsidRDefault="00EF4CB3" w:rsidP="007F23EE">
            <w:pPr>
              <w:keepNext/>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Fréquent :</w:t>
            </w:r>
          </w:p>
        </w:tc>
        <w:tc>
          <w:tcPr>
            <w:tcW w:w="7087" w:type="dxa"/>
          </w:tcPr>
          <w:p w14:paraId="373BDD1A"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Insomnie</w:t>
            </w:r>
          </w:p>
        </w:tc>
      </w:tr>
      <w:tr w:rsidR="00EF4CB3" w:rsidRPr="00653BF6" w14:paraId="05543FAF" w14:textId="77777777" w:rsidTr="004B2956">
        <w:trPr>
          <w:cantSplit/>
        </w:trPr>
        <w:tc>
          <w:tcPr>
            <w:tcW w:w="2235" w:type="dxa"/>
          </w:tcPr>
          <w:p w14:paraId="60B91E4B" w14:textId="77777777" w:rsidR="00EF4CB3" w:rsidRPr="00653BF6" w:rsidRDefault="00EF4CB3" w:rsidP="007F23EE">
            <w:pPr>
              <w:keepNext/>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Peu fréquent :</w:t>
            </w:r>
          </w:p>
        </w:tc>
        <w:tc>
          <w:tcPr>
            <w:tcW w:w="7087" w:type="dxa"/>
          </w:tcPr>
          <w:p w14:paraId="38CC0122"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Dépression, diminution de libido, anxiété</w:t>
            </w:r>
          </w:p>
        </w:tc>
      </w:tr>
      <w:tr w:rsidR="00EF4CB3" w:rsidRPr="00653BF6" w14:paraId="355F3596" w14:textId="77777777" w:rsidTr="004B2956">
        <w:trPr>
          <w:cantSplit/>
        </w:trPr>
        <w:tc>
          <w:tcPr>
            <w:tcW w:w="2235" w:type="dxa"/>
          </w:tcPr>
          <w:p w14:paraId="0C1BD73F" w14:textId="77777777" w:rsidR="00EF4CB3" w:rsidRPr="00653BF6" w:rsidRDefault="00EF4CB3" w:rsidP="007F23EE">
            <w:pPr>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Rare :</w:t>
            </w:r>
          </w:p>
        </w:tc>
        <w:tc>
          <w:tcPr>
            <w:tcW w:w="7087" w:type="dxa"/>
          </w:tcPr>
          <w:p w14:paraId="231D47FB" w14:textId="77777777" w:rsidR="00EF4CB3" w:rsidRPr="00653BF6" w:rsidRDefault="00EF4CB3" w:rsidP="007F23EE">
            <w:pPr>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Confusion</w:t>
            </w:r>
          </w:p>
        </w:tc>
      </w:tr>
      <w:tr w:rsidR="00EF4CB3" w:rsidRPr="00653BF6" w14:paraId="702F27BB" w14:textId="77777777" w:rsidTr="004B2956">
        <w:trPr>
          <w:cantSplit/>
        </w:trPr>
        <w:tc>
          <w:tcPr>
            <w:tcW w:w="9322" w:type="dxa"/>
            <w:gridSpan w:val="2"/>
          </w:tcPr>
          <w:p w14:paraId="20978752"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b/>
                <w:color w:val="000000"/>
                <w:szCs w:val="22"/>
              </w:rPr>
              <w:t>Affections du système nerveux</w:t>
            </w:r>
          </w:p>
        </w:tc>
      </w:tr>
      <w:tr w:rsidR="00EF4CB3" w:rsidRPr="00653BF6" w14:paraId="2ED2D9D5" w14:textId="77777777" w:rsidTr="004B2956">
        <w:trPr>
          <w:cantSplit/>
        </w:trPr>
        <w:tc>
          <w:tcPr>
            <w:tcW w:w="2235" w:type="dxa"/>
          </w:tcPr>
          <w:p w14:paraId="5C14340F"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Très fréquent :</w:t>
            </w:r>
          </w:p>
        </w:tc>
        <w:tc>
          <w:tcPr>
            <w:tcW w:w="7087" w:type="dxa"/>
          </w:tcPr>
          <w:p w14:paraId="0E1DF87F"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Céphalées</w:t>
            </w:r>
            <w:r w:rsidRPr="00653BF6">
              <w:rPr>
                <w:rFonts w:ascii="Times New Roman" w:hAnsi="Times New Roman"/>
                <w:color w:val="000000"/>
                <w:szCs w:val="22"/>
                <w:vertAlign w:val="superscript"/>
              </w:rPr>
              <w:t>2</w:t>
            </w:r>
          </w:p>
        </w:tc>
      </w:tr>
      <w:tr w:rsidR="00EF4CB3" w:rsidRPr="00653BF6" w14:paraId="4DC3067F" w14:textId="77777777" w:rsidTr="004B2956">
        <w:trPr>
          <w:cantSplit/>
        </w:trPr>
        <w:tc>
          <w:tcPr>
            <w:tcW w:w="2235" w:type="dxa"/>
          </w:tcPr>
          <w:p w14:paraId="69FB94F9"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Fréquent :</w:t>
            </w:r>
          </w:p>
        </w:tc>
        <w:tc>
          <w:tcPr>
            <w:tcW w:w="7087" w:type="dxa"/>
          </w:tcPr>
          <w:p w14:paraId="738EF111"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Sensations vertigineuses, paresthésies, troubles du goût, hypoesthésie</w:t>
            </w:r>
          </w:p>
        </w:tc>
      </w:tr>
      <w:tr w:rsidR="00EF4CB3" w:rsidRPr="00653BF6" w14:paraId="6CEAF949" w14:textId="77777777" w:rsidTr="004B2956">
        <w:trPr>
          <w:cantSplit/>
        </w:trPr>
        <w:tc>
          <w:tcPr>
            <w:tcW w:w="2235" w:type="dxa"/>
          </w:tcPr>
          <w:p w14:paraId="4DDD1093"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Peu fréquent :</w:t>
            </w:r>
          </w:p>
        </w:tc>
        <w:tc>
          <w:tcPr>
            <w:tcW w:w="7087" w:type="dxa"/>
          </w:tcPr>
          <w:p w14:paraId="34D1BA75"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Migraine, somnolence, syncope, neuropathie périphérique, troubles de la mémoire, sciatique, syndrome des jambes sans repos, tremblement, hémorragie cérébrale</w:t>
            </w:r>
          </w:p>
        </w:tc>
      </w:tr>
      <w:tr w:rsidR="00EF4CB3" w:rsidRPr="00653BF6" w14:paraId="63DD6EB3" w14:textId="77777777" w:rsidTr="004B2956">
        <w:trPr>
          <w:cantSplit/>
        </w:trPr>
        <w:tc>
          <w:tcPr>
            <w:tcW w:w="2235" w:type="dxa"/>
          </w:tcPr>
          <w:p w14:paraId="0D6A5D1C"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Rare :</w:t>
            </w:r>
          </w:p>
        </w:tc>
        <w:tc>
          <w:tcPr>
            <w:tcW w:w="7087" w:type="dxa"/>
          </w:tcPr>
          <w:p w14:paraId="4482AAC0"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Hypertension intracrânienne, convulsions, névrite optique</w:t>
            </w:r>
          </w:p>
        </w:tc>
      </w:tr>
      <w:tr w:rsidR="00A36CDB" w:rsidRPr="00653BF6" w14:paraId="025DEF0A" w14:textId="77777777" w:rsidTr="004B2956">
        <w:trPr>
          <w:cantSplit/>
        </w:trPr>
        <w:tc>
          <w:tcPr>
            <w:tcW w:w="2235" w:type="dxa"/>
          </w:tcPr>
          <w:p w14:paraId="40ECB8E5" w14:textId="77777777" w:rsidR="00A36CDB" w:rsidRPr="00653BF6" w:rsidRDefault="00A36CDB" w:rsidP="007F23EE">
            <w:pPr>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Fréquence indéterminée :</w:t>
            </w:r>
          </w:p>
        </w:tc>
        <w:tc>
          <w:tcPr>
            <w:tcW w:w="7087" w:type="dxa"/>
          </w:tcPr>
          <w:p w14:paraId="547E0A4C" w14:textId="383651A6" w:rsidR="00A36CDB" w:rsidRPr="00653BF6" w:rsidRDefault="009A7FB9" w:rsidP="007F23EE">
            <w:pPr>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Œ</w:t>
            </w:r>
            <w:r w:rsidR="00A36CDB" w:rsidRPr="00653BF6">
              <w:rPr>
                <w:rFonts w:ascii="Times New Roman" w:hAnsi="Times New Roman"/>
                <w:color w:val="000000"/>
                <w:szCs w:val="22"/>
              </w:rPr>
              <w:t>dème cérébral*</w:t>
            </w:r>
          </w:p>
        </w:tc>
      </w:tr>
      <w:tr w:rsidR="00EF4CB3" w:rsidRPr="00653BF6" w14:paraId="0E83EE6E" w14:textId="77777777" w:rsidTr="004B2956">
        <w:trPr>
          <w:cantSplit/>
        </w:trPr>
        <w:tc>
          <w:tcPr>
            <w:tcW w:w="9322" w:type="dxa"/>
            <w:gridSpan w:val="2"/>
          </w:tcPr>
          <w:p w14:paraId="68A7F58C"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b/>
                <w:color w:val="000000"/>
                <w:szCs w:val="22"/>
              </w:rPr>
              <w:lastRenderedPageBreak/>
              <w:t>Affections oculaires</w:t>
            </w:r>
          </w:p>
        </w:tc>
      </w:tr>
      <w:tr w:rsidR="00EF4CB3" w:rsidRPr="00653BF6" w14:paraId="230D9F98" w14:textId="77777777" w:rsidTr="004B2956">
        <w:trPr>
          <w:cantSplit/>
        </w:trPr>
        <w:tc>
          <w:tcPr>
            <w:tcW w:w="2235" w:type="dxa"/>
          </w:tcPr>
          <w:p w14:paraId="765EB206"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Fréquent :</w:t>
            </w:r>
          </w:p>
        </w:tc>
        <w:tc>
          <w:tcPr>
            <w:tcW w:w="7087" w:type="dxa"/>
          </w:tcPr>
          <w:p w14:paraId="29E075A2" w14:textId="3C87EB9B" w:rsidR="00EF4CB3" w:rsidRPr="00653BF6" w:rsidRDefault="009A7FB9"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Œ</w:t>
            </w:r>
            <w:r w:rsidR="00EF4CB3" w:rsidRPr="00653BF6">
              <w:rPr>
                <w:rFonts w:ascii="Times New Roman" w:hAnsi="Times New Roman"/>
                <w:color w:val="000000"/>
                <w:szCs w:val="22"/>
              </w:rPr>
              <w:t xml:space="preserve">dème des paupières, </w:t>
            </w:r>
            <w:r w:rsidR="003A71E7" w:rsidRPr="00653BF6">
              <w:rPr>
                <w:rFonts w:ascii="Times New Roman" w:hAnsi="Times New Roman"/>
                <w:color w:val="000000"/>
                <w:szCs w:val="22"/>
              </w:rPr>
              <w:t>sécrétions</w:t>
            </w:r>
            <w:r w:rsidR="00EF4CB3" w:rsidRPr="00653BF6">
              <w:rPr>
                <w:rFonts w:ascii="Times New Roman" w:hAnsi="Times New Roman"/>
                <w:color w:val="000000"/>
                <w:szCs w:val="22"/>
              </w:rPr>
              <w:t xml:space="preserve"> lacrymales augmentées, hémorrhagie conjonctivale, conjonctivite, yeux secs, vision trouble</w:t>
            </w:r>
          </w:p>
        </w:tc>
      </w:tr>
      <w:tr w:rsidR="00EF4CB3" w:rsidRPr="00653BF6" w14:paraId="604DE661" w14:textId="77777777" w:rsidTr="004B2956">
        <w:trPr>
          <w:cantSplit/>
        </w:trPr>
        <w:tc>
          <w:tcPr>
            <w:tcW w:w="2235" w:type="dxa"/>
          </w:tcPr>
          <w:p w14:paraId="5CB05898"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Peu fréquent :</w:t>
            </w:r>
          </w:p>
        </w:tc>
        <w:tc>
          <w:tcPr>
            <w:tcW w:w="7087" w:type="dxa"/>
          </w:tcPr>
          <w:p w14:paraId="744398E8"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Irritation oculaire, douleur oculaire, œdème orbitaire, hémorrhagie sclérale, hémorrhagie rétinienne, blépharite, œdème maculaire</w:t>
            </w:r>
          </w:p>
        </w:tc>
      </w:tr>
      <w:tr w:rsidR="00EF4CB3" w:rsidRPr="00653BF6" w14:paraId="42379E35" w14:textId="77777777" w:rsidTr="004B2956">
        <w:trPr>
          <w:cantSplit/>
        </w:trPr>
        <w:tc>
          <w:tcPr>
            <w:tcW w:w="2235" w:type="dxa"/>
          </w:tcPr>
          <w:p w14:paraId="278BF8DF"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Rare :</w:t>
            </w:r>
          </w:p>
        </w:tc>
        <w:tc>
          <w:tcPr>
            <w:tcW w:w="7087" w:type="dxa"/>
          </w:tcPr>
          <w:p w14:paraId="3FD7507D"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Cataracte, glaucome, œdème papillaire</w:t>
            </w:r>
          </w:p>
        </w:tc>
      </w:tr>
      <w:tr w:rsidR="00A36CDB" w:rsidRPr="00653BF6" w14:paraId="181802CB" w14:textId="77777777" w:rsidTr="004B2956">
        <w:trPr>
          <w:cantSplit/>
        </w:trPr>
        <w:tc>
          <w:tcPr>
            <w:tcW w:w="2235" w:type="dxa"/>
          </w:tcPr>
          <w:p w14:paraId="6ABD2614" w14:textId="77777777" w:rsidR="00A36CDB" w:rsidRPr="00653BF6" w:rsidRDefault="00A36CDB" w:rsidP="007F23EE">
            <w:pPr>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Fréquence indéterminée :</w:t>
            </w:r>
          </w:p>
        </w:tc>
        <w:tc>
          <w:tcPr>
            <w:tcW w:w="7087" w:type="dxa"/>
          </w:tcPr>
          <w:p w14:paraId="756AAA66" w14:textId="77777777" w:rsidR="00A36CDB" w:rsidRPr="00653BF6" w:rsidRDefault="00A36CDB" w:rsidP="007F23EE">
            <w:pPr>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Hémorragie du corps vitré*</w:t>
            </w:r>
          </w:p>
        </w:tc>
      </w:tr>
      <w:tr w:rsidR="00EF4CB3" w:rsidRPr="00653BF6" w14:paraId="04341FCB" w14:textId="77777777" w:rsidTr="004B2956">
        <w:trPr>
          <w:cantSplit/>
        </w:trPr>
        <w:tc>
          <w:tcPr>
            <w:tcW w:w="9322" w:type="dxa"/>
            <w:gridSpan w:val="2"/>
          </w:tcPr>
          <w:p w14:paraId="6C2FE369"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b/>
                <w:color w:val="000000"/>
                <w:szCs w:val="22"/>
              </w:rPr>
              <w:t>Affections de l’oreille et du labyrinthe</w:t>
            </w:r>
          </w:p>
        </w:tc>
      </w:tr>
      <w:tr w:rsidR="00EF4CB3" w:rsidRPr="00653BF6" w14:paraId="3169D333" w14:textId="77777777" w:rsidTr="004B2956">
        <w:trPr>
          <w:cantSplit/>
        </w:trPr>
        <w:tc>
          <w:tcPr>
            <w:tcW w:w="2235" w:type="dxa"/>
          </w:tcPr>
          <w:p w14:paraId="5EB470E8" w14:textId="77777777" w:rsidR="00EF4CB3" w:rsidRPr="00653BF6" w:rsidRDefault="00EF4CB3" w:rsidP="007F23EE">
            <w:pPr>
              <w:tabs>
                <w:tab w:val="left" w:pos="567"/>
              </w:tabs>
              <w:spacing w:line="260" w:lineRule="exact"/>
              <w:rPr>
                <w:rFonts w:ascii="Times New Roman" w:hAnsi="Times New Roman"/>
                <w:color w:val="000000"/>
              </w:rPr>
            </w:pPr>
            <w:r w:rsidRPr="00653BF6">
              <w:rPr>
                <w:rFonts w:ascii="Times New Roman" w:hAnsi="Times New Roman"/>
                <w:i/>
                <w:color w:val="000000"/>
                <w:szCs w:val="22"/>
              </w:rPr>
              <w:t>Peu fréquent :</w:t>
            </w:r>
          </w:p>
        </w:tc>
        <w:tc>
          <w:tcPr>
            <w:tcW w:w="7087" w:type="dxa"/>
          </w:tcPr>
          <w:p w14:paraId="4B5C5D08" w14:textId="77777777" w:rsidR="00EF4CB3" w:rsidRPr="00653BF6" w:rsidRDefault="00EF4CB3" w:rsidP="007F23EE">
            <w:pPr>
              <w:tabs>
                <w:tab w:val="left" w:pos="567"/>
              </w:tabs>
              <w:spacing w:line="260" w:lineRule="exact"/>
              <w:rPr>
                <w:rFonts w:ascii="Times New Roman" w:hAnsi="Times New Roman"/>
                <w:color w:val="000000"/>
              </w:rPr>
            </w:pPr>
            <w:r w:rsidRPr="00653BF6">
              <w:rPr>
                <w:rFonts w:ascii="Times New Roman" w:hAnsi="Times New Roman"/>
                <w:color w:val="000000"/>
                <w:szCs w:val="22"/>
              </w:rPr>
              <w:t>Vertiges, acouphènes, perte auditive</w:t>
            </w:r>
          </w:p>
        </w:tc>
      </w:tr>
      <w:tr w:rsidR="00EF4CB3" w:rsidRPr="00653BF6" w14:paraId="53E2528E" w14:textId="77777777" w:rsidTr="004B2956">
        <w:trPr>
          <w:cantSplit/>
        </w:trPr>
        <w:tc>
          <w:tcPr>
            <w:tcW w:w="9322" w:type="dxa"/>
            <w:gridSpan w:val="2"/>
          </w:tcPr>
          <w:p w14:paraId="43D81675"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b/>
                <w:color w:val="000000"/>
                <w:szCs w:val="22"/>
              </w:rPr>
              <w:t>Affections cardiaques</w:t>
            </w:r>
          </w:p>
        </w:tc>
      </w:tr>
      <w:tr w:rsidR="00EF4CB3" w:rsidRPr="00653BF6" w14:paraId="7E8C3802" w14:textId="77777777" w:rsidTr="004B2956">
        <w:trPr>
          <w:cantSplit/>
        </w:trPr>
        <w:tc>
          <w:tcPr>
            <w:tcW w:w="2235" w:type="dxa"/>
          </w:tcPr>
          <w:p w14:paraId="2C85F970"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Peu fréquent :</w:t>
            </w:r>
          </w:p>
        </w:tc>
        <w:tc>
          <w:tcPr>
            <w:tcW w:w="7087" w:type="dxa"/>
          </w:tcPr>
          <w:p w14:paraId="2ABF0E16" w14:textId="45666EE0"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Palpitations, tachycardie, insuffisance cardiaque congestive</w:t>
            </w:r>
            <w:r w:rsidRPr="00653BF6">
              <w:rPr>
                <w:rFonts w:ascii="Times New Roman" w:hAnsi="Times New Roman"/>
                <w:color w:val="000000"/>
                <w:szCs w:val="22"/>
                <w:vertAlign w:val="superscript"/>
              </w:rPr>
              <w:t>3</w:t>
            </w:r>
            <w:r w:rsidRPr="00653BF6">
              <w:rPr>
                <w:rFonts w:ascii="Times New Roman" w:hAnsi="Times New Roman"/>
                <w:color w:val="000000"/>
                <w:szCs w:val="22"/>
              </w:rPr>
              <w:t xml:space="preserve">, </w:t>
            </w:r>
            <w:r w:rsidR="009A7FB9" w:rsidRPr="00653BF6">
              <w:rPr>
                <w:rFonts w:ascii="Times New Roman" w:hAnsi="Times New Roman"/>
                <w:color w:val="000000"/>
                <w:szCs w:val="22"/>
              </w:rPr>
              <w:t>œ</w:t>
            </w:r>
            <w:r w:rsidRPr="00653BF6">
              <w:rPr>
                <w:rFonts w:ascii="Times New Roman" w:hAnsi="Times New Roman"/>
                <w:color w:val="000000"/>
                <w:szCs w:val="22"/>
              </w:rPr>
              <w:t>dème pulmonaire</w:t>
            </w:r>
          </w:p>
        </w:tc>
      </w:tr>
      <w:tr w:rsidR="00EF4CB3" w:rsidRPr="00653BF6" w14:paraId="0206B44B" w14:textId="77777777" w:rsidTr="004B2956">
        <w:trPr>
          <w:cantSplit/>
        </w:trPr>
        <w:tc>
          <w:tcPr>
            <w:tcW w:w="2235" w:type="dxa"/>
          </w:tcPr>
          <w:p w14:paraId="644D92A5"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Rare :</w:t>
            </w:r>
          </w:p>
        </w:tc>
        <w:tc>
          <w:tcPr>
            <w:tcW w:w="7087" w:type="dxa"/>
          </w:tcPr>
          <w:p w14:paraId="0EFFAFC4"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Arythmie, fibrillation auriculaire, arrêt cardiaque, infarctus du myocarde, angine de poitrine, épanchement péricardique</w:t>
            </w:r>
          </w:p>
        </w:tc>
      </w:tr>
      <w:tr w:rsidR="00A36CDB" w:rsidRPr="00653BF6" w14:paraId="4B49968A" w14:textId="77777777" w:rsidTr="004B2956">
        <w:trPr>
          <w:cantSplit/>
        </w:trPr>
        <w:tc>
          <w:tcPr>
            <w:tcW w:w="2235" w:type="dxa"/>
          </w:tcPr>
          <w:p w14:paraId="563F5CAA" w14:textId="77777777" w:rsidR="00A36CDB" w:rsidRPr="00653BF6" w:rsidRDefault="00A36CDB" w:rsidP="007F23EE">
            <w:pPr>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Fréquence indéterminée :</w:t>
            </w:r>
          </w:p>
        </w:tc>
        <w:tc>
          <w:tcPr>
            <w:tcW w:w="7087" w:type="dxa"/>
          </w:tcPr>
          <w:p w14:paraId="57D2C12C" w14:textId="77777777" w:rsidR="00A36CDB" w:rsidRPr="00653BF6" w:rsidRDefault="00A36CDB" w:rsidP="007F23EE">
            <w:pPr>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Péricardite*, tamponnade*</w:t>
            </w:r>
          </w:p>
        </w:tc>
      </w:tr>
      <w:tr w:rsidR="00EF4CB3" w:rsidRPr="00653BF6" w14:paraId="4DC91248" w14:textId="77777777" w:rsidTr="004B2956">
        <w:trPr>
          <w:cantSplit/>
        </w:trPr>
        <w:tc>
          <w:tcPr>
            <w:tcW w:w="9322" w:type="dxa"/>
            <w:gridSpan w:val="2"/>
          </w:tcPr>
          <w:p w14:paraId="61211900"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b/>
                <w:color w:val="000000"/>
                <w:szCs w:val="22"/>
              </w:rPr>
              <w:t>Affections vasculaires</w:t>
            </w:r>
            <w:r w:rsidRPr="00653BF6">
              <w:rPr>
                <w:rFonts w:ascii="Times New Roman" w:hAnsi="Times New Roman"/>
                <w:color w:val="000000"/>
                <w:szCs w:val="22"/>
                <w:vertAlign w:val="superscript"/>
              </w:rPr>
              <w:t>4</w:t>
            </w:r>
          </w:p>
        </w:tc>
      </w:tr>
      <w:tr w:rsidR="00EF4CB3" w:rsidRPr="00653BF6" w14:paraId="5CE70DB5" w14:textId="77777777" w:rsidTr="004B2956">
        <w:trPr>
          <w:cantSplit/>
        </w:trPr>
        <w:tc>
          <w:tcPr>
            <w:tcW w:w="2235" w:type="dxa"/>
          </w:tcPr>
          <w:p w14:paraId="35CF229B" w14:textId="77777777" w:rsidR="00EF4CB3" w:rsidRPr="00653BF6" w:rsidRDefault="00EF4CB3" w:rsidP="007F23EE">
            <w:pPr>
              <w:keepNext/>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Fréquent :</w:t>
            </w:r>
          </w:p>
        </w:tc>
        <w:tc>
          <w:tcPr>
            <w:tcW w:w="7087" w:type="dxa"/>
          </w:tcPr>
          <w:p w14:paraId="666F74F7"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Bouffées vasomotrices, hémorragie</w:t>
            </w:r>
          </w:p>
        </w:tc>
      </w:tr>
      <w:tr w:rsidR="00EF4CB3" w:rsidRPr="00653BF6" w14:paraId="598B144C" w14:textId="77777777" w:rsidTr="004B2956">
        <w:trPr>
          <w:cantSplit/>
        </w:trPr>
        <w:tc>
          <w:tcPr>
            <w:tcW w:w="2235" w:type="dxa"/>
          </w:tcPr>
          <w:p w14:paraId="2705BAC3" w14:textId="77777777" w:rsidR="00EF4CB3" w:rsidRPr="00653BF6" w:rsidRDefault="00EF4CB3" w:rsidP="007F23EE">
            <w:pPr>
              <w:keepNext/>
              <w:tabs>
                <w:tab w:val="left" w:pos="567"/>
              </w:tabs>
              <w:spacing w:line="260" w:lineRule="exact"/>
              <w:rPr>
                <w:rFonts w:ascii="Times New Roman" w:hAnsi="Times New Roman"/>
                <w:i/>
                <w:color w:val="000000"/>
                <w:szCs w:val="22"/>
                <w:u w:val="single"/>
              </w:rPr>
            </w:pPr>
            <w:r w:rsidRPr="00653BF6">
              <w:rPr>
                <w:rFonts w:ascii="Times New Roman" w:hAnsi="Times New Roman"/>
                <w:i/>
                <w:color w:val="000000"/>
                <w:szCs w:val="22"/>
              </w:rPr>
              <w:t>Peu fréquent :</w:t>
            </w:r>
          </w:p>
        </w:tc>
        <w:tc>
          <w:tcPr>
            <w:tcW w:w="7087" w:type="dxa"/>
          </w:tcPr>
          <w:p w14:paraId="21DA94CC"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Hypertension, hématome, hématome sous-dural, extrémités froides, hypotension, syndrome de Raynaud</w:t>
            </w:r>
          </w:p>
        </w:tc>
      </w:tr>
      <w:tr w:rsidR="00A36CDB" w:rsidRPr="00653BF6" w14:paraId="7BA46886" w14:textId="77777777" w:rsidTr="004B2956">
        <w:trPr>
          <w:cantSplit/>
        </w:trPr>
        <w:tc>
          <w:tcPr>
            <w:tcW w:w="2235" w:type="dxa"/>
          </w:tcPr>
          <w:p w14:paraId="47969EAC" w14:textId="77777777" w:rsidR="00A36CDB" w:rsidRPr="00653BF6" w:rsidRDefault="00A36CDB" w:rsidP="007F23EE">
            <w:pPr>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Fréquence indéterminée :</w:t>
            </w:r>
          </w:p>
        </w:tc>
        <w:tc>
          <w:tcPr>
            <w:tcW w:w="7087" w:type="dxa"/>
          </w:tcPr>
          <w:p w14:paraId="7851F802" w14:textId="77777777" w:rsidR="00A36CDB" w:rsidRPr="00653BF6" w:rsidRDefault="00A36CDB" w:rsidP="007F23EE">
            <w:pPr>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Thrombose/embolie*</w:t>
            </w:r>
          </w:p>
        </w:tc>
      </w:tr>
      <w:tr w:rsidR="00EF4CB3" w:rsidRPr="00653BF6" w14:paraId="69343C70" w14:textId="77777777" w:rsidTr="004B2956">
        <w:trPr>
          <w:cantSplit/>
        </w:trPr>
        <w:tc>
          <w:tcPr>
            <w:tcW w:w="9322" w:type="dxa"/>
            <w:gridSpan w:val="2"/>
          </w:tcPr>
          <w:p w14:paraId="6D4AC9FF" w14:textId="05B871DA"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b/>
                <w:color w:val="000000"/>
                <w:szCs w:val="22"/>
              </w:rPr>
              <w:t xml:space="preserve">Affections respiratoires, thoraciques et </w:t>
            </w:r>
            <w:r w:rsidR="003A71E7" w:rsidRPr="00653BF6">
              <w:rPr>
                <w:rFonts w:ascii="Times New Roman" w:hAnsi="Times New Roman"/>
                <w:b/>
                <w:color w:val="000000"/>
                <w:szCs w:val="22"/>
              </w:rPr>
              <w:t>médiastinales</w:t>
            </w:r>
          </w:p>
        </w:tc>
      </w:tr>
      <w:tr w:rsidR="00EF4CB3" w:rsidRPr="00653BF6" w14:paraId="21D04A50" w14:textId="77777777" w:rsidTr="004B2956">
        <w:trPr>
          <w:cantSplit/>
        </w:trPr>
        <w:tc>
          <w:tcPr>
            <w:tcW w:w="2235" w:type="dxa"/>
          </w:tcPr>
          <w:p w14:paraId="13FF77D2"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Fréquent :</w:t>
            </w:r>
          </w:p>
        </w:tc>
        <w:tc>
          <w:tcPr>
            <w:tcW w:w="7087" w:type="dxa"/>
          </w:tcPr>
          <w:p w14:paraId="4AA472AE" w14:textId="0FF46FF2"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 xml:space="preserve">Dyspnée, </w:t>
            </w:r>
            <w:r w:rsidR="003A71E7" w:rsidRPr="00653BF6">
              <w:rPr>
                <w:rFonts w:ascii="Times New Roman" w:hAnsi="Times New Roman"/>
                <w:color w:val="000000"/>
                <w:szCs w:val="22"/>
              </w:rPr>
              <w:t>é</w:t>
            </w:r>
            <w:r w:rsidRPr="00653BF6">
              <w:rPr>
                <w:rFonts w:ascii="Times New Roman" w:hAnsi="Times New Roman"/>
                <w:color w:val="000000"/>
                <w:szCs w:val="22"/>
              </w:rPr>
              <w:t>pistaxis, toux</w:t>
            </w:r>
          </w:p>
        </w:tc>
      </w:tr>
      <w:tr w:rsidR="00EF4CB3" w:rsidRPr="00653BF6" w14:paraId="6E4AD462" w14:textId="77777777" w:rsidTr="004B2956">
        <w:trPr>
          <w:cantSplit/>
        </w:trPr>
        <w:tc>
          <w:tcPr>
            <w:tcW w:w="2235" w:type="dxa"/>
          </w:tcPr>
          <w:p w14:paraId="4EBFB561"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Peu fréquent :</w:t>
            </w:r>
          </w:p>
        </w:tc>
        <w:tc>
          <w:tcPr>
            <w:tcW w:w="7087" w:type="dxa"/>
          </w:tcPr>
          <w:p w14:paraId="2B9E2DAB"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Epanchement pleural</w:t>
            </w:r>
            <w:r w:rsidRPr="00653BF6">
              <w:rPr>
                <w:rFonts w:ascii="Times New Roman" w:hAnsi="Times New Roman"/>
                <w:color w:val="000000"/>
                <w:szCs w:val="22"/>
                <w:vertAlign w:val="superscript"/>
              </w:rPr>
              <w:t>5</w:t>
            </w:r>
            <w:r w:rsidRPr="00653BF6">
              <w:rPr>
                <w:rFonts w:ascii="Times New Roman" w:hAnsi="Times New Roman"/>
                <w:color w:val="000000"/>
                <w:szCs w:val="22"/>
              </w:rPr>
              <w:t>, douleur pharyngolaryngée, pharyngite</w:t>
            </w:r>
          </w:p>
        </w:tc>
      </w:tr>
      <w:tr w:rsidR="00EF4CB3" w:rsidRPr="00653BF6" w14:paraId="19E25E21" w14:textId="77777777" w:rsidTr="004B2956">
        <w:trPr>
          <w:cantSplit/>
        </w:trPr>
        <w:tc>
          <w:tcPr>
            <w:tcW w:w="2235" w:type="dxa"/>
          </w:tcPr>
          <w:p w14:paraId="47C29695"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Rare :</w:t>
            </w:r>
          </w:p>
        </w:tc>
        <w:tc>
          <w:tcPr>
            <w:tcW w:w="7087" w:type="dxa"/>
          </w:tcPr>
          <w:p w14:paraId="0F17AA06"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Douleur pleurale, fibrose pulmonaire, hypertension pulmonaire, hémorrhagie pulmonaire</w:t>
            </w:r>
          </w:p>
        </w:tc>
      </w:tr>
      <w:tr w:rsidR="00A36CDB" w:rsidRPr="00653BF6" w14:paraId="07829C94" w14:textId="77777777" w:rsidTr="004B2956">
        <w:trPr>
          <w:cantSplit/>
        </w:trPr>
        <w:tc>
          <w:tcPr>
            <w:tcW w:w="2235" w:type="dxa"/>
          </w:tcPr>
          <w:p w14:paraId="1C41E970" w14:textId="77777777" w:rsidR="00A36CDB" w:rsidRPr="00653BF6" w:rsidRDefault="00A36CDB" w:rsidP="007F23EE">
            <w:pPr>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Fréquence indéterminée :</w:t>
            </w:r>
          </w:p>
        </w:tc>
        <w:tc>
          <w:tcPr>
            <w:tcW w:w="7087" w:type="dxa"/>
          </w:tcPr>
          <w:p w14:paraId="27A5322C" w14:textId="77777777" w:rsidR="00A36CDB" w:rsidRPr="00653BF6" w:rsidRDefault="00A36CDB" w:rsidP="007F23EE">
            <w:pPr>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 xml:space="preserve">Insuffisance respiratoire </w:t>
            </w:r>
            <w:r w:rsidR="00D10578" w:rsidRPr="00653BF6">
              <w:rPr>
                <w:rFonts w:ascii="Times New Roman" w:hAnsi="Times New Roman"/>
                <w:color w:val="000000"/>
                <w:szCs w:val="22"/>
              </w:rPr>
              <w:t>aiguë</w:t>
            </w:r>
            <w:r w:rsidR="00D10578" w:rsidRPr="00653BF6">
              <w:rPr>
                <w:rFonts w:ascii="Times New Roman" w:hAnsi="Times New Roman"/>
                <w:color w:val="000000"/>
                <w:szCs w:val="22"/>
                <w:vertAlign w:val="superscript"/>
              </w:rPr>
              <w:t>11</w:t>
            </w:r>
            <w:r w:rsidRPr="00653BF6">
              <w:rPr>
                <w:rFonts w:ascii="Times New Roman" w:hAnsi="Times New Roman"/>
                <w:color w:val="000000"/>
                <w:szCs w:val="22"/>
              </w:rPr>
              <w:t>*, pneumopathie interstitielle*</w:t>
            </w:r>
          </w:p>
        </w:tc>
      </w:tr>
      <w:tr w:rsidR="00EF4CB3" w:rsidRPr="00653BF6" w14:paraId="5898CF72" w14:textId="77777777" w:rsidTr="004B2956">
        <w:trPr>
          <w:cantSplit/>
        </w:trPr>
        <w:tc>
          <w:tcPr>
            <w:tcW w:w="9322" w:type="dxa"/>
            <w:gridSpan w:val="2"/>
          </w:tcPr>
          <w:p w14:paraId="38BD7E08"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b/>
                <w:color w:val="000000"/>
                <w:szCs w:val="22"/>
              </w:rPr>
              <w:t>Affections gastro-intestinales</w:t>
            </w:r>
          </w:p>
        </w:tc>
      </w:tr>
      <w:tr w:rsidR="00EF4CB3" w:rsidRPr="00653BF6" w14:paraId="0C1DC87D" w14:textId="77777777" w:rsidTr="004B2956">
        <w:trPr>
          <w:cantSplit/>
        </w:trPr>
        <w:tc>
          <w:tcPr>
            <w:tcW w:w="2235" w:type="dxa"/>
          </w:tcPr>
          <w:p w14:paraId="795B40BF"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Très fréquent :</w:t>
            </w:r>
          </w:p>
        </w:tc>
        <w:tc>
          <w:tcPr>
            <w:tcW w:w="7087" w:type="dxa"/>
          </w:tcPr>
          <w:p w14:paraId="3CCFD4A6"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Nausées, diarrhée, vomissements, dyspepsie, douleur abdominale</w:t>
            </w:r>
            <w:r w:rsidRPr="00653BF6">
              <w:rPr>
                <w:rFonts w:ascii="Times New Roman" w:hAnsi="Times New Roman"/>
                <w:color w:val="000000"/>
                <w:szCs w:val="22"/>
                <w:vertAlign w:val="superscript"/>
              </w:rPr>
              <w:t>6</w:t>
            </w:r>
          </w:p>
        </w:tc>
      </w:tr>
      <w:tr w:rsidR="00EF4CB3" w:rsidRPr="00653BF6" w14:paraId="0AF11662" w14:textId="77777777" w:rsidTr="004B2956">
        <w:trPr>
          <w:cantSplit/>
        </w:trPr>
        <w:tc>
          <w:tcPr>
            <w:tcW w:w="2235" w:type="dxa"/>
          </w:tcPr>
          <w:p w14:paraId="6DA11144"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Fréquent :</w:t>
            </w:r>
          </w:p>
        </w:tc>
        <w:tc>
          <w:tcPr>
            <w:tcW w:w="7087" w:type="dxa"/>
          </w:tcPr>
          <w:p w14:paraId="57203DD6" w14:textId="2F774FC9"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Flatulence, ballonnements, reflux gastro-</w:t>
            </w:r>
            <w:r w:rsidR="003A71E7" w:rsidRPr="00653BF6">
              <w:rPr>
                <w:rFonts w:ascii="Times New Roman" w:hAnsi="Times New Roman"/>
                <w:color w:val="000000"/>
                <w:szCs w:val="22"/>
              </w:rPr>
              <w:t>œ</w:t>
            </w:r>
            <w:r w:rsidRPr="00653BF6">
              <w:rPr>
                <w:rFonts w:ascii="Times New Roman" w:hAnsi="Times New Roman"/>
                <w:color w:val="000000"/>
                <w:szCs w:val="22"/>
              </w:rPr>
              <w:t>sophagien, constipation, sécheresse de la bouche, gastrite</w:t>
            </w:r>
          </w:p>
        </w:tc>
      </w:tr>
      <w:tr w:rsidR="00EF4CB3" w:rsidRPr="00653BF6" w14:paraId="26ED8F61" w14:textId="77777777" w:rsidTr="004B2956">
        <w:trPr>
          <w:cantSplit/>
        </w:trPr>
        <w:tc>
          <w:tcPr>
            <w:tcW w:w="2235" w:type="dxa"/>
          </w:tcPr>
          <w:p w14:paraId="5DF466B2"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Peu fréquent :</w:t>
            </w:r>
          </w:p>
        </w:tc>
        <w:tc>
          <w:tcPr>
            <w:tcW w:w="7087" w:type="dxa"/>
          </w:tcPr>
          <w:p w14:paraId="0414A43E" w14:textId="24D39185"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Stomatite, mucite, hémorrhagie gastro-intestinale</w:t>
            </w:r>
            <w:r w:rsidRPr="00653BF6">
              <w:rPr>
                <w:rFonts w:ascii="Times New Roman" w:hAnsi="Times New Roman"/>
                <w:color w:val="000000"/>
                <w:szCs w:val="22"/>
                <w:vertAlign w:val="superscript"/>
              </w:rPr>
              <w:t>7</w:t>
            </w:r>
            <w:r w:rsidRPr="00653BF6">
              <w:rPr>
                <w:rFonts w:ascii="Times New Roman" w:hAnsi="Times New Roman"/>
                <w:color w:val="000000"/>
                <w:szCs w:val="22"/>
              </w:rPr>
              <w:t xml:space="preserve">, </w:t>
            </w:r>
            <w:r w:rsidR="003A71E7" w:rsidRPr="00653BF6">
              <w:rPr>
                <w:rFonts w:ascii="Times New Roman" w:hAnsi="Times New Roman"/>
                <w:color w:val="000000"/>
                <w:szCs w:val="22"/>
              </w:rPr>
              <w:t>é</w:t>
            </w:r>
            <w:r w:rsidRPr="00653BF6">
              <w:rPr>
                <w:rFonts w:ascii="Times New Roman" w:hAnsi="Times New Roman"/>
                <w:color w:val="000000"/>
                <w:szCs w:val="22"/>
              </w:rPr>
              <w:t xml:space="preserve">ructation, méléna, </w:t>
            </w:r>
            <w:r w:rsidR="003A71E7" w:rsidRPr="00653BF6">
              <w:rPr>
                <w:rFonts w:ascii="Times New Roman" w:hAnsi="Times New Roman"/>
                <w:color w:val="000000"/>
                <w:szCs w:val="22"/>
              </w:rPr>
              <w:t>œ</w:t>
            </w:r>
            <w:r w:rsidRPr="00653BF6">
              <w:rPr>
                <w:rFonts w:ascii="Times New Roman" w:hAnsi="Times New Roman"/>
                <w:color w:val="000000"/>
                <w:szCs w:val="22"/>
              </w:rPr>
              <w:t>sophagite, ascite, ulcère gastrique, hématémèse, chéilite, dysphagie, pancréatite</w:t>
            </w:r>
          </w:p>
        </w:tc>
      </w:tr>
      <w:tr w:rsidR="00EF4CB3" w:rsidRPr="00653BF6" w14:paraId="15721E82" w14:textId="77777777" w:rsidTr="004B2956">
        <w:trPr>
          <w:cantSplit/>
        </w:trPr>
        <w:tc>
          <w:tcPr>
            <w:tcW w:w="2235" w:type="dxa"/>
          </w:tcPr>
          <w:p w14:paraId="02A24034"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Rare :</w:t>
            </w:r>
          </w:p>
        </w:tc>
        <w:tc>
          <w:tcPr>
            <w:tcW w:w="7087" w:type="dxa"/>
          </w:tcPr>
          <w:p w14:paraId="2585B4B4" w14:textId="63825E27" w:rsidR="00EF4CB3" w:rsidRPr="00653BF6" w:rsidRDefault="00EF4CB3" w:rsidP="007F23EE">
            <w:pPr>
              <w:keepNext/>
              <w:tabs>
                <w:tab w:val="left" w:pos="567"/>
              </w:tabs>
              <w:spacing w:line="260" w:lineRule="exact"/>
              <w:rPr>
                <w:rFonts w:ascii="Times New Roman" w:hAnsi="Times New Roman"/>
                <w:snapToGrid w:val="0"/>
                <w:color w:val="000000"/>
                <w:szCs w:val="22"/>
              </w:rPr>
            </w:pPr>
            <w:r w:rsidRPr="00653BF6">
              <w:rPr>
                <w:rFonts w:ascii="Times New Roman" w:hAnsi="Times New Roman"/>
                <w:color w:val="000000"/>
                <w:szCs w:val="22"/>
              </w:rPr>
              <w:t xml:space="preserve">Colite, </w:t>
            </w:r>
            <w:r w:rsidRPr="00653BF6">
              <w:rPr>
                <w:rFonts w:ascii="Times New Roman" w:hAnsi="Times New Roman"/>
                <w:snapToGrid w:val="0"/>
                <w:color w:val="000000"/>
                <w:szCs w:val="22"/>
              </w:rPr>
              <w:t>il</w:t>
            </w:r>
            <w:r w:rsidR="003A71E7" w:rsidRPr="00653BF6">
              <w:rPr>
                <w:rFonts w:ascii="Times New Roman" w:hAnsi="Times New Roman"/>
                <w:snapToGrid w:val="0"/>
                <w:color w:val="000000"/>
                <w:szCs w:val="22"/>
              </w:rPr>
              <w:t>é</w:t>
            </w:r>
            <w:r w:rsidRPr="00653BF6">
              <w:rPr>
                <w:rFonts w:ascii="Times New Roman" w:hAnsi="Times New Roman"/>
                <w:snapToGrid w:val="0"/>
                <w:color w:val="000000"/>
                <w:szCs w:val="22"/>
              </w:rPr>
              <w:t>us, affection abdominale inflammatoire</w:t>
            </w:r>
          </w:p>
        </w:tc>
      </w:tr>
      <w:tr w:rsidR="00A36CDB" w:rsidRPr="00653BF6" w14:paraId="44410146" w14:textId="77777777" w:rsidTr="004B2956">
        <w:trPr>
          <w:cantSplit/>
        </w:trPr>
        <w:tc>
          <w:tcPr>
            <w:tcW w:w="2235" w:type="dxa"/>
          </w:tcPr>
          <w:p w14:paraId="560925C9" w14:textId="77777777" w:rsidR="00A36CDB" w:rsidRPr="00653BF6" w:rsidRDefault="00A36CDB" w:rsidP="007F23EE">
            <w:pPr>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Fréquence indéterminée :</w:t>
            </w:r>
          </w:p>
        </w:tc>
        <w:tc>
          <w:tcPr>
            <w:tcW w:w="7087" w:type="dxa"/>
          </w:tcPr>
          <w:p w14:paraId="37FB7194" w14:textId="1B62D8E9" w:rsidR="00A36CDB" w:rsidRPr="00653BF6" w:rsidRDefault="00A36CDB" w:rsidP="007F23EE">
            <w:pPr>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Il</w:t>
            </w:r>
            <w:r w:rsidR="003A71E7" w:rsidRPr="00653BF6">
              <w:rPr>
                <w:rFonts w:ascii="Times New Roman" w:hAnsi="Times New Roman"/>
                <w:color w:val="000000"/>
                <w:szCs w:val="22"/>
              </w:rPr>
              <w:t>é</w:t>
            </w:r>
            <w:r w:rsidRPr="00653BF6">
              <w:rPr>
                <w:rFonts w:ascii="Times New Roman" w:hAnsi="Times New Roman"/>
                <w:color w:val="000000"/>
                <w:szCs w:val="22"/>
              </w:rPr>
              <w:t>us/occlusion intestinale*, perforation gastro-intestinale*, diverticulite*, ectasie vasculaire de l’antre gastrique (EVAG)*</w:t>
            </w:r>
          </w:p>
        </w:tc>
      </w:tr>
      <w:tr w:rsidR="00EF4CB3" w:rsidRPr="00653BF6" w14:paraId="3CD271C8" w14:textId="77777777" w:rsidTr="004B2956">
        <w:trPr>
          <w:cantSplit/>
        </w:trPr>
        <w:tc>
          <w:tcPr>
            <w:tcW w:w="9322" w:type="dxa"/>
            <w:gridSpan w:val="2"/>
          </w:tcPr>
          <w:p w14:paraId="0CDAB15A" w14:textId="77777777" w:rsidR="00EF4CB3" w:rsidRPr="00653BF6" w:rsidRDefault="00EF4CB3" w:rsidP="007F23EE">
            <w:pPr>
              <w:keepNext/>
              <w:tabs>
                <w:tab w:val="left" w:pos="567"/>
              </w:tabs>
              <w:spacing w:line="260" w:lineRule="exact"/>
              <w:rPr>
                <w:rFonts w:ascii="Times New Roman" w:hAnsi="Times New Roman"/>
                <w:snapToGrid w:val="0"/>
                <w:color w:val="000000"/>
                <w:szCs w:val="22"/>
              </w:rPr>
            </w:pPr>
            <w:r w:rsidRPr="00653BF6">
              <w:rPr>
                <w:rFonts w:ascii="Times New Roman" w:hAnsi="Times New Roman"/>
                <w:b/>
                <w:color w:val="000000"/>
                <w:szCs w:val="22"/>
              </w:rPr>
              <w:t>Affections hépatobiliaires</w:t>
            </w:r>
          </w:p>
        </w:tc>
      </w:tr>
      <w:tr w:rsidR="00EF4CB3" w:rsidRPr="00653BF6" w14:paraId="3E086EB7" w14:textId="77777777" w:rsidTr="004B2956">
        <w:trPr>
          <w:cantSplit/>
        </w:trPr>
        <w:tc>
          <w:tcPr>
            <w:tcW w:w="2235" w:type="dxa"/>
          </w:tcPr>
          <w:p w14:paraId="7063E650" w14:textId="77777777" w:rsidR="00EF4CB3" w:rsidRPr="00653BF6" w:rsidRDefault="00EF4CB3" w:rsidP="007F23EE">
            <w:pPr>
              <w:keepNext/>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Fréquent :</w:t>
            </w:r>
          </w:p>
        </w:tc>
        <w:tc>
          <w:tcPr>
            <w:tcW w:w="7087" w:type="dxa"/>
          </w:tcPr>
          <w:p w14:paraId="4387710A"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Elévation des enzymes hépatiques</w:t>
            </w:r>
          </w:p>
        </w:tc>
      </w:tr>
      <w:tr w:rsidR="00EF4CB3" w:rsidRPr="00653BF6" w14:paraId="28EB3A45" w14:textId="77777777" w:rsidTr="004B2956">
        <w:trPr>
          <w:cantSplit/>
        </w:trPr>
        <w:tc>
          <w:tcPr>
            <w:tcW w:w="2235" w:type="dxa"/>
          </w:tcPr>
          <w:p w14:paraId="648C3367" w14:textId="77777777" w:rsidR="00EF4CB3" w:rsidRPr="00653BF6" w:rsidRDefault="00EF4CB3" w:rsidP="007F23EE">
            <w:pPr>
              <w:keepNext/>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Peu fréquent :</w:t>
            </w:r>
          </w:p>
        </w:tc>
        <w:tc>
          <w:tcPr>
            <w:tcW w:w="7087" w:type="dxa"/>
          </w:tcPr>
          <w:p w14:paraId="719CD6D9"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Hyperbilirubinémie, hépatite, ictère</w:t>
            </w:r>
          </w:p>
        </w:tc>
      </w:tr>
      <w:tr w:rsidR="00EF4CB3" w:rsidRPr="00653BF6" w14:paraId="763BBED5" w14:textId="77777777" w:rsidTr="004B2956">
        <w:trPr>
          <w:cantSplit/>
        </w:trPr>
        <w:tc>
          <w:tcPr>
            <w:tcW w:w="2235" w:type="dxa"/>
          </w:tcPr>
          <w:p w14:paraId="63273138" w14:textId="77777777" w:rsidR="00EF4CB3" w:rsidRPr="00653BF6" w:rsidRDefault="00EF4CB3" w:rsidP="007F23EE">
            <w:pPr>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Rare :</w:t>
            </w:r>
          </w:p>
        </w:tc>
        <w:tc>
          <w:tcPr>
            <w:tcW w:w="7087" w:type="dxa"/>
          </w:tcPr>
          <w:p w14:paraId="71982E79" w14:textId="77777777" w:rsidR="00EF4CB3" w:rsidRPr="00653BF6" w:rsidRDefault="00EF4CB3" w:rsidP="007F23EE">
            <w:pPr>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Insuffisance hépatique</w:t>
            </w:r>
            <w:r w:rsidRPr="00653BF6">
              <w:rPr>
                <w:rFonts w:ascii="Times New Roman" w:hAnsi="Times New Roman"/>
                <w:color w:val="000000"/>
                <w:szCs w:val="22"/>
                <w:vertAlign w:val="superscript"/>
              </w:rPr>
              <w:t>8</w:t>
            </w:r>
            <w:r w:rsidRPr="00653BF6">
              <w:rPr>
                <w:rFonts w:ascii="Times New Roman" w:hAnsi="Times New Roman"/>
                <w:color w:val="000000"/>
                <w:szCs w:val="22"/>
              </w:rPr>
              <w:t>, nécrose hépatique</w:t>
            </w:r>
          </w:p>
        </w:tc>
      </w:tr>
      <w:tr w:rsidR="00EF4CB3" w:rsidRPr="00653BF6" w14:paraId="54099AF7" w14:textId="77777777" w:rsidTr="004B2956">
        <w:trPr>
          <w:cantSplit/>
        </w:trPr>
        <w:tc>
          <w:tcPr>
            <w:tcW w:w="9322" w:type="dxa"/>
            <w:gridSpan w:val="2"/>
          </w:tcPr>
          <w:p w14:paraId="6D14DA5A"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b/>
                <w:color w:val="000000"/>
                <w:szCs w:val="22"/>
              </w:rPr>
              <w:lastRenderedPageBreak/>
              <w:t>Affections de la peau et du tissu sous-cutané</w:t>
            </w:r>
          </w:p>
        </w:tc>
      </w:tr>
      <w:tr w:rsidR="00EF4CB3" w:rsidRPr="00653BF6" w14:paraId="7B8E6A0B" w14:textId="77777777" w:rsidTr="004B2956">
        <w:trPr>
          <w:cantSplit/>
        </w:trPr>
        <w:tc>
          <w:tcPr>
            <w:tcW w:w="2235" w:type="dxa"/>
          </w:tcPr>
          <w:p w14:paraId="0F8AE1B5"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Très fréquent :</w:t>
            </w:r>
          </w:p>
        </w:tc>
        <w:tc>
          <w:tcPr>
            <w:tcW w:w="7087" w:type="dxa"/>
          </w:tcPr>
          <w:p w14:paraId="5E01866A" w14:textId="3A2814D9" w:rsidR="00EF4CB3" w:rsidRPr="00653BF6" w:rsidRDefault="009A7FB9"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Œ</w:t>
            </w:r>
            <w:r w:rsidR="00EF4CB3" w:rsidRPr="00653BF6">
              <w:rPr>
                <w:rFonts w:ascii="Times New Roman" w:hAnsi="Times New Roman"/>
                <w:color w:val="000000"/>
                <w:szCs w:val="22"/>
              </w:rPr>
              <w:t>dème périorbitaire, dermatite/eczéma/rash</w:t>
            </w:r>
          </w:p>
        </w:tc>
      </w:tr>
      <w:tr w:rsidR="00EF4CB3" w:rsidRPr="00653BF6" w14:paraId="493A5645" w14:textId="77777777" w:rsidTr="004B2956">
        <w:trPr>
          <w:cantSplit/>
        </w:trPr>
        <w:tc>
          <w:tcPr>
            <w:tcW w:w="2235" w:type="dxa"/>
          </w:tcPr>
          <w:p w14:paraId="21872A86"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Fréquent :</w:t>
            </w:r>
          </w:p>
        </w:tc>
        <w:tc>
          <w:tcPr>
            <w:tcW w:w="7087" w:type="dxa"/>
          </w:tcPr>
          <w:p w14:paraId="59771A57" w14:textId="6116C612"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 xml:space="preserve">Prurit, </w:t>
            </w:r>
            <w:r w:rsidR="009A7FB9" w:rsidRPr="00653BF6">
              <w:rPr>
                <w:rFonts w:ascii="Times New Roman" w:hAnsi="Times New Roman"/>
                <w:color w:val="000000"/>
                <w:szCs w:val="22"/>
              </w:rPr>
              <w:t>œ</w:t>
            </w:r>
            <w:r w:rsidRPr="00653BF6">
              <w:rPr>
                <w:rFonts w:ascii="Times New Roman" w:hAnsi="Times New Roman"/>
                <w:color w:val="000000"/>
                <w:szCs w:val="22"/>
              </w:rPr>
              <w:t xml:space="preserve">dème de la face, peau sèche, </w:t>
            </w:r>
            <w:r w:rsidR="009A7FB9" w:rsidRPr="00653BF6">
              <w:rPr>
                <w:rFonts w:ascii="Times New Roman" w:hAnsi="Times New Roman"/>
                <w:color w:val="000000"/>
                <w:szCs w:val="22"/>
              </w:rPr>
              <w:t>é</w:t>
            </w:r>
            <w:r w:rsidRPr="00653BF6">
              <w:rPr>
                <w:rFonts w:ascii="Times New Roman" w:hAnsi="Times New Roman"/>
                <w:color w:val="000000"/>
                <w:szCs w:val="22"/>
              </w:rPr>
              <w:t>rythème, alopécie, sueurs nocturnes, réaction de photosensibilité</w:t>
            </w:r>
          </w:p>
        </w:tc>
      </w:tr>
      <w:tr w:rsidR="00EF4CB3" w:rsidRPr="00653BF6" w14:paraId="404F690F" w14:textId="77777777" w:rsidTr="004B2956">
        <w:trPr>
          <w:cantSplit/>
        </w:trPr>
        <w:tc>
          <w:tcPr>
            <w:tcW w:w="2235" w:type="dxa"/>
          </w:tcPr>
          <w:p w14:paraId="5E0C66A9"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Peu fréquent :</w:t>
            </w:r>
          </w:p>
        </w:tc>
        <w:tc>
          <w:tcPr>
            <w:tcW w:w="7087" w:type="dxa"/>
          </w:tcPr>
          <w:p w14:paraId="1CCB5A2E" w14:textId="41B98EC2"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 xml:space="preserve">Rash pustuleux, contusion, hypersudation, urticaire, ecchymose, tendance augmentée aux ecchymoses, </w:t>
            </w:r>
            <w:proofErr w:type="spellStart"/>
            <w:r w:rsidRPr="00653BF6">
              <w:rPr>
                <w:rFonts w:ascii="Times New Roman" w:hAnsi="Times New Roman"/>
                <w:color w:val="000000"/>
                <w:szCs w:val="22"/>
              </w:rPr>
              <w:t>hypotrichose</w:t>
            </w:r>
            <w:proofErr w:type="spellEnd"/>
            <w:r w:rsidRPr="00653BF6">
              <w:rPr>
                <w:rFonts w:ascii="Times New Roman" w:hAnsi="Times New Roman"/>
                <w:color w:val="000000"/>
                <w:szCs w:val="22"/>
              </w:rPr>
              <w:t xml:space="preserve">, hypopigmentation cutanée, dermatite exfoliative, ongles cassants, folliculite, pétéchies, psoriasis, purpura, hyperpigmentation cutanée, </w:t>
            </w:r>
            <w:r w:rsidR="009A7FB9" w:rsidRPr="00653BF6">
              <w:rPr>
                <w:rFonts w:ascii="Times New Roman" w:hAnsi="Times New Roman"/>
                <w:color w:val="000000"/>
                <w:szCs w:val="22"/>
              </w:rPr>
              <w:t>é</w:t>
            </w:r>
            <w:r w:rsidRPr="00653BF6">
              <w:rPr>
                <w:rFonts w:ascii="Times New Roman" w:hAnsi="Times New Roman"/>
                <w:color w:val="000000"/>
                <w:szCs w:val="22"/>
              </w:rPr>
              <w:t>ruption bulleuse</w:t>
            </w:r>
            <w:r w:rsidR="00AF1BED" w:rsidRPr="00653BF6">
              <w:rPr>
                <w:rFonts w:ascii="Times New Roman" w:hAnsi="Times New Roman"/>
                <w:color w:val="000000"/>
                <w:szCs w:val="22"/>
              </w:rPr>
              <w:t>, panniculite</w:t>
            </w:r>
            <w:r w:rsidR="00AF1BED" w:rsidRPr="00653BF6">
              <w:rPr>
                <w:rFonts w:ascii="Times New Roman" w:hAnsi="Times New Roman"/>
                <w:color w:val="000000"/>
                <w:szCs w:val="22"/>
                <w:vertAlign w:val="superscript"/>
              </w:rPr>
              <w:t>12</w:t>
            </w:r>
          </w:p>
        </w:tc>
      </w:tr>
      <w:tr w:rsidR="00EF4CB3" w:rsidRPr="00653BF6" w14:paraId="3E104214" w14:textId="77777777" w:rsidTr="004B2956">
        <w:trPr>
          <w:cantSplit/>
        </w:trPr>
        <w:tc>
          <w:tcPr>
            <w:tcW w:w="2235" w:type="dxa"/>
          </w:tcPr>
          <w:p w14:paraId="417E2FD4"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Rare :</w:t>
            </w:r>
          </w:p>
        </w:tc>
        <w:tc>
          <w:tcPr>
            <w:tcW w:w="7087" w:type="dxa"/>
          </w:tcPr>
          <w:p w14:paraId="20FDA784" w14:textId="06A689BD"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 xml:space="preserve">Dermatose aiguë fébrile neutrophilique (syndrome de Sweet), décoloration des ongles, œdème de Quincke, rash vésiculaire, érythème polymorphe, vascularite </w:t>
            </w:r>
            <w:proofErr w:type="spellStart"/>
            <w:r w:rsidRPr="00653BF6">
              <w:rPr>
                <w:rFonts w:ascii="Times New Roman" w:hAnsi="Times New Roman"/>
                <w:color w:val="000000"/>
                <w:szCs w:val="22"/>
              </w:rPr>
              <w:t>leucocyclasique</w:t>
            </w:r>
            <w:proofErr w:type="spellEnd"/>
            <w:r w:rsidRPr="00653BF6">
              <w:rPr>
                <w:rFonts w:ascii="Times New Roman" w:hAnsi="Times New Roman"/>
                <w:color w:val="000000"/>
                <w:szCs w:val="22"/>
              </w:rPr>
              <w:t xml:space="preserve">, syndrome de Stevens-Johnson, </w:t>
            </w:r>
            <w:proofErr w:type="spellStart"/>
            <w:r w:rsidRPr="00653BF6">
              <w:rPr>
                <w:rFonts w:ascii="Times New Roman" w:hAnsi="Times New Roman"/>
                <w:color w:val="000000"/>
                <w:szCs w:val="22"/>
              </w:rPr>
              <w:t>pustulose</w:t>
            </w:r>
            <w:proofErr w:type="spellEnd"/>
            <w:r w:rsidRPr="00653BF6">
              <w:rPr>
                <w:rFonts w:ascii="Times New Roman" w:hAnsi="Times New Roman"/>
                <w:color w:val="000000"/>
                <w:szCs w:val="22"/>
              </w:rPr>
              <w:t xml:space="preserve"> exanth</w:t>
            </w:r>
            <w:r w:rsidR="009A7FB9" w:rsidRPr="00653BF6">
              <w:rPr>
                <w:rFonts w:ascii="Times New Roman" w:hAnsi="Times New Roman"/>
                <w:color w:val="000000"/>
                <w:szCs w:val="22"/>
              </w:rPr>
              <w:t>é</w:t>
            </w:r>
            <w:r w:rsidRPr="00653BF6">
              <w:rPr>
                <w:rFonts w:ascii="Times New Roman" w:hAnsi="Times New Roman"/>
                <w:color w:val="000000"/>
                <w:szCs w:val="22"/>
              </w:rPr>
              <w:t>mateuse aiguë généralisée</w:t>
            </w:r>
            <w:r w:rsidR="00374BFD" w:rsidRPr="00653BF6">
              <w:rPr>
                <w:rFonts w:ascii="Times New Roman" w:hAnsi="Times New Roman"/>
                <w:color w:val="000000"/>
                <w:szCs w:val="22"/>
              </w:rPr>
              <w:t>, pemphigus*</w:t>
            </w:r>
          </w:p>
        </w:tc>
      </w:tr>
      <w:tr w:rsidR="00A36CDB" w:rsidRPr="00653BF6" w14:paraId="402D8692" w14:textId="77777777" w:rsidTr="004B2956">
        <w:trPr>
          <w:cantSplit/>
        </w:trPr>
        <w:tc>
          <w:tcPr>
            <w:tcW w:w="2235" w:type="dxa"/>
          </w:tcPr>
          <w:p w14:paraId="10C3CBEA" w14:textId="77777777" w:rsidR="00A36CDB" w:rsidRPr="00653BF6" w:rsidRDefault="00A36CDB" w:rsidP="007F23EE">
            <w:pPr>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Fréquence indéterminée :</w:t>
            </w:r>
          </w:p>
        </w:tc>
        <w:tc>
          <w:tcPr>
            <w:tcW w:w="7087" w:type="dxa"/>
          </w:tcPr>
          <w:p w14:paraId="427290E5" w14:textId="3DFEC24B" w:rsidR="00A36CDB" w:rsidRPr="00653BF6" w:rsidRDefault="00A36CDB" w:rsidP="007F23EE">
            <w:pPr>
              <w:tabs>
                <w:tab w:val="left" w:pos="567"/>
              </w:tabs>
              <w:spacing w:line="260" w:lineRule="exact"/>
              <w:rPr>
                <w:rFonts w:ascii="Times New Roman" w:hAnsi="Times New Roman"/>
                <w:color w:val="000000"/>
                <w:szCs w:val="22"/>
              </w:rPr>
            </w:pPr>
            <w:proofErr w:type="spellStart"/>
            <w:r w:rsidRPr="00653BF6">
              <w:rPr>
                <w:rFonts w:ascii="Times New Roman" w:hAnsi="Times New Roman"/>
                <w:bCs/>
                <w:color w:val="000000"/>
                <w:szCs w:val="22"/>
              </w:rPr>
              <w:t>Erythrodysesthésie</w:t>
            </w:r>
            <w:proofErr w:type="spellEnd"/>
            <w:r w:rsidRPr="00653BF6">
              <w:rPr>
                <w:rFonts w:ascii="Times New Roman" w:hAnsi="Times New Roman"/>
                <w:bCs/>
                <w:color w:val="000000"/>
                <w:szCs w:val="22"/>
              </w:rPr>
              <w:t xml:space="preserve"> </w:t>
            </w:r>
            <w:proofErr w:type="spellStart"/>
            <w:r w:rsidRPr="00653BF6">
              <w:rPr>
                <w:rFonts w:ascii="Times New Roman" w:hAnsi="Times New Roman"/>
                <w:bCs/>
                <w:color w:val="000000"/>
                <w:szCs w:val="22"/>
              </w:rPr>
              <w:t>palmo-plantaire</w:t>
            </w:r>
            <w:proofErr w:type="spellEnd"/>
            <w:r w:rsidRPr="00653BF6">
              <w:rPr>
                <w:rFonts w:ascii="Times New Roman" w:hAnsi="Times New Roman"/>
                <w:bCs/>
                <w:color w:val="000000"/>
                <w:szCs w:val="22"/>
              </w:rPr>
              <w:t>*, kératose lich</w:t>
            </w:r>
            <w:r w:rsidR="009A7FB9" w:rsidRPr="00653BF6">
              <w:rPr>
                <w:rFonts w:ascii="Times New Roman" w:hAnsi="Times New Roman"/>
                <w:bCs/>
                <w:color w:val="000000"/>
                <w:szCs w:val="22"/>
              </w:rPr>
              <w:t>é</w:t>
            </w:r>
            <w:r w:rsidRPr="00653BF6">
              <w:rPr>
                <w:rFonts w:ascii="Times New Roman" w:hAnsi="Times New Roman"/>
                <w:bCs/>
                <w:color w:val="000000"/>
                <w:szCs w:val="22"/>
              </w:rPr>
              <w:t xml:space="preserve">noïde*, lichen plan*, nécrolyse épidermique toxique*, syndrome d’hypersensibilité médicamenteuse avec éosinophilie et symptômes systémiques (syndrome </w:t>
            </w:r>
            <w:proofErr w:type="gramStart"/>
            <w:r w:rsidRPr="00653BF6">
              <w:rPr>
                <w:rFonts w:ascii="Times New Roman" w:hAnsi="Times New Roman"/>
                <w:bCs/>
                <w:color w:val="000000"/>
                <w:szCs w:val="22"/>
              </w:rPr>
              <w:t>DRESS)*</w:t>
            </w:r>
            <w:proofErr w:type="gramEnd"/>
            <w:r w:rsidR="005861BE" w:rsidRPr="00653BF6">
              <w:rPr>
                <w:rFonts w:ascii="Times New Roman" w:hAnsi="Times New Roman"/>
                <w:bCs/>
                <w:color w:val="000000"/>
                <w:szCs w:val="22"/>
              </w:rPr>
              <w:t xml:space="preserve">, </w:t>
            </w:r>
            <w:proofErr w:type="spellStart"/>
            <w:r w:rsidR="005861BE" w:rsidRPr="00653BF6">
              <w:rPr>
                <w:rFonts w:ascii="Times New Roman" w:hAnsi="Times New Roman"/>
                <w:bCs/>
                <w:color w:val="000000"/>
                <w:szCs w:val="22"/>
              </w:rPr>
              <w:t>pseudoporphyrie</w:t>
            </w:r>
            <w:proofErr w:type="spellEnd"/>
            <w:r w:rsidR="005861BE" w:rsidRPr="00653BF6">
              <w:rPr>
                <w:rFonts w:ascii="Times New Roman" w:hAnsi="Times New Roman"/>
                <w:bCs/>
                <w:color w:val="000000"/>
                <w:szCs w:val="22"/>
              </w:rPr>
              <w:t>*</w:t>
            </w:r>
          </w:p>
        </w:tc>
      </w:tr>
      <w:tr w:rsidR="00EF4CB3" w:rsidRPr="00653BF6" w14:paraId="16B2C152" w14:textId="77777777" w:rsidTr="004B2956">
        <w:trPr>
          <w:cantSplit/>
        </w:trPr>
        <w:tc>
          <w:tcPr>
            <w:tcW w:w="9322" w:type="dxa"/>
            <w:gridSpan w:val="2"/>
          </w:tcPr>
          <w:p w14:paraId="2D905FAA" w14:textId="77FA3ACF"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b/>
                <w:color w:val="000000"/>
                <w:szCs w:val="22"/>
              </w:rPr>
              <w:t xml:space="preserve">Affections </w:t>
            </w:r>
            <w:ins w:id="146" w:author="Author">
              <w:r w:rsidR="008D0E3F" w:rsidRPr="00653BF6">
                <w:rPr>
                  <w:rFonts w:ascii="Times New Roman" w:hAnsi="Times New Roman"/>
                  <w:b/>
                  <w:color w:val="000000"/>
                  <w:szCs w:val="22"/>
                </w:rPr>
                <w:t>musculosquelettiques et du tissu conjonctif</w:t>
              </w:r>
            </w:ins>
            <w:del w:id="147" w:author="Author">
              <w:r w:rsidRPr="00653BF6" w:rsidDel="008D0E3F">
                <w:rPr>
                  <w:rFonts w:ascii="Times New Roman" w:hAnsi="Times New Roman"/>
                  <w:b/>
                  <w:color w:val="000000"/>
                  <w:szCs w:val="22"/>
                </w:rPr>
                <w:delText>musculo-sq</w:delText>
              </w:r>
              <w:r w:rsidR="009A7FB9" w:rsidRPr="00653BF6" w:rsidDel="008D0E3F">
                <w:rPr>
                  <w:rFonts w:ascii="Times New Roman" w:hAnsi="Times New Roman"/>
                  <w:b/>
                  <w:color w:val="000000"/>
                  <w:szCs w:val="22"/>
                </w:rPr>
                <w:delText>u</w:delText>
              </w:r>
              <w:r w:rsidRPr="00653BF6" w:rsidDel="008D0E3F">
                <w:rPr>
                  <w:rFonts w:ascii="Times New Roman" w:hAnsi="Times New Roman"/>
                  <w:b/>
                  <w:color w:val="000000"/>
                  <w:szCs w:val="22"/>
                </w:rPr>
                <w:delText>elettiques et systémiques</w:delText>
              </w:r>
            </w:del>
          </w:p>
        </w:tc>
      </w:tr>
      <w:tr w:rsidR="00EF4CB3" w:rsidRPr="00653BF6" w14:paraId="62C4FB00" w14:textId="77777777" w:rsidTr="004B2956">
        <w:trPr>
          <w:cantSplit/>
        </w:trPr>
        <w:tc>
          <w:tcPr>
            <w:tcW w:w="2235" w:type="dxa"/>
          </w:tcPr>
          <w:p w14:paraId="62AF21FB" w14:textId="77777777" w:rsidR="00EF4CB3" w:rsidRPr="00653BF6" w:rsidRDefault="00EF4CB3" w:rsidP="007F23EE">
            <w:pPr>
              <w:keepNext/>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Très fréquent :</w:t>
            </w:r>
          </w:p>
        </w:tc>
        <w:tc>
          <w:tcPr>
            <w:tcW w:w="7087" w:type="dxa"/>
          </w:tcPr>
          <w:p w14:paraId="73B7870D"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Crampes et spasmes musculaires, douleurs musculosquelettiques incluant les myalgies</w:t>
            </w:r>
            <w:r w:rsidR="00D10578" w:rsidRPr="00653BF6">
              <w:rPr>
                <w:rFonts w:ascii="Times New Roman" w:hAnsi="Times New Roman"/>
                <w:color w:val="000000"/>
                <w:szCs w:val="22"/>
                <w:vertAlign w:val="superscript"/>
              </w:rPr>
              <w:t>9</w:t>
            </w:r>
            <w:r w:rsidRPr="00653BF6">
              <w:rPr>
                <w:rFonts w:ascii="Times New Roman" w:hAnsi="Times New Roman"/>
                <w:color w:val="000000"/>
                <w:szCs w:val="22"/>
              </w:rPr>
              <w:t xml:space="preserve">, arthralgies, douleurs </w:t>
            </w:r>
            <w:r w:rsidR="00D10578" w:rsidRPr="00653BF6">
              <w:rPr>
                <w:rFonts w:ascii="Times New Roman" w:hAnsi="Times New Roman"/>
                <w:color w:val="000000"/>
                <w:szCs w:val="22"/>
              </w:rPr>
              <w:t>osseuses</w:t>
            </w:r>
            <w:r w:rsidR="00D10578" w:rsidRPr="00653BF6">
              <w:rPr>
                <w:rFonts w:ascii="Times New Roman" w:hAnsi="Times New Roman"/>
                <w:color w:val="000000"/>
                <w:szCs w:val="22"/>
                <w:vertAlign w:val="superscript"/>
              </w:rPr>
              <w:t>10</w:t>
            </w:r>
          </w:p>
        </w:tc>
      </w:tr>
      <w:tr w:rsidR="00EF4CB3" w:rsidRPr="00653BF6" w14:paraId="101E2153" w14:textId="77777777" w:rsidTr="004B2956">
        <w:trPr>
          <w:cantSplit/>
        </w:trPr>
        <w:tc>
          <w:tcPr>
            <w:tcW w:w="2235" w:type="dxa"/>
          </w:tcPr>
          <w:p w14:paraId="39DE23D0" w14:textId="77777777" w:rsidR="00EF4CB3" w:rsidRPr="00653BF6" w:rsidRDefault="00EF4CB3" w:rsidP="007F23EE">
            <w:pPr>
              <w:keepNext/>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Fréquent :</w:t>
            </w:r>
          </w:p>
        </w:tc>
        <w:tc>
          <w:tcPr>
            <w:tcW w:w="7087" w:type="dxa"/>
          </w:tcPr>
          <w:p w14:paraId="1A10C339"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Gonflement des articulations</w:t>
            </w:r>
          </w:p>
        </w:tc>
      </w:tr>
      <w:tr w:rsidR="00EF4CB3" w:rsidRPr="00653BF6" w14:paraId="67581E70" w14:textId="77777777" w:rsidTr="004B2956">
        <w:trPr>
          <w:cantSplit/>
        </w:trPr>
        <w:tc>
          <w:tcPr>
            <w:tcW w:w="2235" w:type="dxa"/>
          </w:tcPr>
          <w:p w14:paraId="6EF128CB" w14:textId="10998249" w:rsidR="00EF4CB3" w:rsidRPr="00653BF6" w:rsidRDefault="00A56477" w:rsidP="007F23EE">
            <w:pPr>
              <w:keepNext/>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Peu f</w:t>
            </w:r>
            <w:r w:rsidR="00EF4CB3" w:rsidRPr="00653BF6">
              <w:rPr>
                <w:rFonts w:ascii="Times New Roman" w:hAnsi="Times New Roman"/>
                <w:i/>
                <w:color w:val="000000"/>
                <w:szCs w:val="22"/>
              </w:rPr>
              <w:t>réquent :</w:t>
            </w:r>
          </w:p>
        </w:tc>
        <w:tc>
          <w:tcPr>
            <w:tcW w:w="7087" w:type="dxa"/>
          </w:tcPr>
          <w:p w14:paraId="34B6E411" w14:textId="470E44C3"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Raideur articulaire et musculaire</w:t>
            </w:r>
            <w:r w:rsidR="00374BFD" w:rsidRPr="00653BF6">
              <w:rPr>
                <w:rFonts w:ascii="Times New Roman" w:hAnsi="Times New Roman"/>
                <w:color w:val="000000"/>
                <w:szCs w:val="22"/>
              </w:rPr>
              <w:t>, ostéonécrose*</w:t>
            </w:r>
          </w:p>
        </w:tc>
      </w:tr>
      <w:tr w:rsidR="00EF4CB3" w:rsidRPr="00653BF6" w14:paraId="0BD23310" w14:textId="77777777" w:rsidTr="004B2956">
        <w:trPr>
          <w:cantSplit/>
        </w:trPr>
        <w:tc>
          <w:tcPr>
            <w:tcW w:w="2235" w:type="dxa"/>
          </w:tcPr>
          <w:p w14:paraId="3A94ACB8" w14:textId="77777777" w:rsidR="00EF4CB3" w:rsidRPr="00653BF6" w:rsidRDefault="00EF4CB3" w:rsidP="007F23EE">
            <w:pPr>
              <w:keepNext/>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Rare :</w:t>
            </w:r>
          </w:p>
        </w:tc>
        <w:tc>
          <w:tcPr>
            <w:tcW w:w="7087" w:type="dxa"/>
          </w:tcPr>
          <w:p w14:paraId="74B2D63F"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bCs/>
                <w:color w:val="000000"/>
                <w:szCs w:val="22"/>
              </w:rPr>
              <w:t>Faiblesse musculaire, arthrite, rhabdomyolyse/myopathie</w:t>
            </w:r>
          </w:p>
        </w:tc>
      </w:tr>
      <w:tr w:rsidR="00A36CDB" w:rsidRPr="00653BF6" w14:paraId="58D3B9CB" w14:textId="77777777" w:rsidTr="004B2956">
        <w:trPr>
          <w:cantSplit/>
        </w:trPr>
        <w:tc>
          <w:tcPr>
            <w:tcW w:w="2235" w:type="dxa"/>
          </w:tcPr>
          <w:p w14:paraId="19FDB02D" w14:textId="77777777" w:rsidR="00A36CDB" w:rsidRPr="00653BF6" w:rsidRDefault="00A36CDB" w:rsidP="007F23EE">
            <w:pPr>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Fréquence indéterminée :</w:t>
            </w:r>
          </w:p>
        </w:tc>
        <w:tc>
          <w:tcPr>
            <w:tcW w:w="7087" w:type="dxa"/>
          </w:tcPr>
          <w:p w14:paraId="345C6D23" w14:textId="71709EA5" w:rsidR="00A36CDB" w:rsidRPr="00653BF6" w:rsidRDefault="00374BFD" w:rsidP="007F23EE">
            <w:pPr>
              <w:tabs>
                <w:tab w:val="left" w:pos="567"/>
              </w:tabs>
              <w:spacing w:line="260" w:lineRule="exact"/>
              <w:rPr>
                <w:rFonts w:ascii="Times New Roman" w:hAnsi="Times New Roman"/>
                <w:bCs/>
                <w:color w:val="000000"/>
                <w:szCs w:val="22"/>
              </w:rPr>
            </w:pPr>
            <w:r w:rsidRPr="00653BF6">
              <w:rPr>
                <w:rFonts w:ascii="Times New Roman" w:hAnsi="Times New Roman"/>
                <w:color w:val="000000"/>
                <w:szCs w:val="22"/>
              </w:rPr>
              <w:t>R</w:t>
            </w:r>
            <w:r w:rsidR="00A36CDB" w:rsidRPr="00653BF6">
              <w:rPr>
                <w:rFonts w:ascii="Times New Roman" w:hAnsi="Times New Roman"/>
                <w:color w:val="000000"/>
                <w:szCs w:val="22"/>
              </w:rPr>
              <w:t>etard de croissance chez l’enfant*</w:t>
            </w:r>
          </w:p>
        </w:tc>
      </w:tr>
      <w:tr w:rsidR="00EF4CB3" w:rsidRPr="00653BF6" w14:paraId="7F544B56" w14:textId="77777777" w:rsidTr="004B2956">
        <w:trPr>
          <w:cantSplit/>
        </w:trPr>
        <w:tc>
          <w:tcPr>
            <w:tcW w:w="9322" w:type="dxa"/>
            <w:gridSpan w:val="2"/>
          </w:tcPr>
          <w:p w14:paraId="4D8B9808" w14:textId="77777777" w:rsidR="00EF4CB3" w:rsidRPr="00653BF6" w:rsidRDefault="00EF4CB3" w:rsidP="007F23EE">
            <w:pPr>
              <w:keepNext/>
              <w:tabs>
                <w:tab w:val="left" w:pos="567"/>
              </w:tabs>
              <w:spacing w:line="260" w:lineRule="exact"/>
              <w:rPr>
                <w:rFonts w:ascii="Times New Roman" w:hAnsi="Times New Roman"/>
                <w:b/>
                <w:color w:val="000000"/>
                <w:szCs w:val="22"/>
              </w:rPr>
            </w:pPr>
            <w:r w:rsidRPr="00653BF6">
              <w:rPr>
                <w:rFonts w:ascii="Times New Roman" w:hAnsi="Times New Roman"/>
                <w:b/>
                <w:color w:val="000000"/>
                <w:szCs w:val="22"/>
              </w:rPr>
              <w:t>Affections du rein et des voies urinaires</w:t>
            </w:r>
          </w:p>
        </w:tc>
      </w:tr>
      <w:tr w:rsidR="00EF4CB3" w:rsidRPr="00653BF6" w14:paraId="68361CEA" w14:textId="77777777" w:rsidTr="004B2956">
        <w:trPr>
          <w:cantSplit/>
        </w:trPr>
        <w:tc>
          <w:tcPr>
            <w:tcW w:w="2235" w:type="dxa"/>
          </w:tcPr>
          <w:p w14:paraId="5FDB19AD"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Peu fréquent :</w:t>
            </w:r>
          </w:p>
        </w:tc>
        <w:tc>
          <w:tcPr>
            <w:tcW w:w="7087" w:type="dxa"/>
          </w:tcPr>
          <w:p w14:paraId="7374F05D"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Douleur rénale, hématurie, insuffisance rénale aiguë, pollakiurie</w:t>
            </w:r>
          </w:p>
        </w:tc>
      </w:tr>
      <w:tr w:rsidR="00A17E1E" w:rsidRPr="00653BF6" w14:paraId="37147F29" w14:textId="77777777" w:rsidTr="004B2956">
        <w:trPr>
          <w:cantSplit/>
        </w:trPr>
        <w:tc>
          <w:tcPr>
            <w:tcW w:w="2235" w:type="dxa"/>
          </w:tcPr>
          <w:p w14:paraId="7F002408" w14:textId="77777777" w:rsidR="00A17E1E" w:rsidRPr="00653BF6" w:rsidRDefault="00A17E1E" w:rsidP="007F23EE">
            <w:pPr>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Fréquence indéterminée :</w:t>
            </w:r>
          </w:p>
        </w:tc>
        <w:tc>
          <w:tcPr>
            <w:tcW w:w="7087" w:type="dxa"/>
          </w:tcPr>
          <w:p w14:paraId="43733DBE" w14:textId="77777777" w:rsidR="00A17E1E" w:rsidRPr="00653BF6" w:rsidRDefault="00A17E1E" w:rsidP="007F23EE">
            <w:pPr>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Insuffisance rénale chronique</w:t>
            </w:r>
          </w:p>
        </w:tc>
      </w:tr>
      <w:tr w:rsidR="00EF4CB3" w:rsidRPr="00653BF6" w14:paraId="63592995" w14:textId="77777777" w:rsidTr="004B2956">
        <w:trPr>
          <w:cantSplit/>
        </w:trPr>
        <w:tc>
          <w:tcPr>
            <w:tcW w:w="9322" w:type="dxa"/>
            <w:gridSpan w:val="2"/>
          </w:tcPr>
          <w:p w14:paraId="285F1945"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b/>
                <w:color w:val="000000"/>
                <w:szCs w:val="22"/>
              </w:rPr>
              <w:t>Affections des organes de reproduction et du sein</w:t>
            </w:r>
          </w:p>
        </w:tc>
      </w:tr>
      <w:tr w:rsidR="00EF4CB3" w:rsidRPr="00653BF6" w14:paraId="25126C90" w14:textId="77777777" w:rsidTr="004B2956">
        <w:trPr>
          <w:cantSplit/>
        </w:trPr>
        <w:tc>
          <w:tcPr>
            <w:tcW w:w="2235" w:type="dxa"/>
          </w:tcPr>
          <w:p w14:paraId="6E9D17D6" w14:textId="77777777" w:rsidR="00EF4CB3" w:rsidRPr="00653BF6" w:rsidRDefault="00EF4CB3" w:rsidP="007F23EE">
            <w:pPr>
              <w:keepNext/>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Peu fréquent :</w:t>
            </w:r>
          </w:p>
        </w:tc>
        <w:tc>
          <w:tcPr>
            <w:tcW w:w="7087" w:type="dxa"/>
          </w:tcPr>
          <w:p w14:paraId="1BA85D5D" w14:textId="70D2D599"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 xml:space="preserve">Gynécomastie, dysfonction érectile, ménorragie, menstruation irrégulière, troubles sexuels, douleur des mamelons, </w:t>
            </w:r>
            <w:r w:rsidR="008911E8" w:rsidRPr="00653BF6">
              <w:rPr>
                <w:rFonts w:ascii="Times New Roman" w:hAnsi="Times New Roman"/>
                <w:color w:val="000000"/>
                <w:szCs w:val="22"/>
              </w:rPr>
              <w:t xml:space="preserve">grossissement </w:t>
            </w:r>
            <w:r w:rsidRPr="00653BF6">
              <w:rPr>
                <w:rFonts w:ascii="Times New Roman" w:hAnsi="Times New Roman"/>
                <w:color w:val="000000"/>
                <w:szCs w:val="22"/>
              </w:rPr>
              <w:t>des seins, œdème du scrotum</w:t>
            </w:r>
          </w:p>
        </w:tc>
      </w:tr>
      <w:tr w:rsidR="00EF4CB3" w:rsidRPr="00653BF6" w14:paraId="6087F1B8" w14:textId="77777777" w:rsidTr="004B2956">
        <w:trPr>
          <w:cantSplit/>
        </w:trPr>
        <w:tc>
          <w:tcPr>
            <w:tcW w:w="2235" w:type="dxa"/>
          </w:tcPr>
          <w:p w14:paraId="4EDB977E" w14:textId="77777777" w:rsidR="00EF4CB3" w:rsidRPr="00653BF6" w:rsidRDefault="00EF4CB3" w:rsidP="007F23EE">
            <w:pPr>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Rare :</w:t>
            </w:r>
          </w:p>
        </w:tc>
        <w:tc>
          <w:tcPr>
            <w:tcW w:w="7087" w:type="dxa"/>
          </w:tcPr>
          <w:p w14:paraId="594FAC0A" w14:textId="77777777" w:rsidR="00EF4CB3" w:rsidRPr="00653BF6" w:rsidRDefault="00EF4CB3" w:rsidP="007F23EE">
            <w:pPr>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Corps jaune hémorragique, kyste ovarien hémorragique</w:t>
            </w:r>
          </w:p>
        </w:tc>
      </w:tr>
      <w:tr w:rsidR="00EF4CB3" w:rsidRPr="00653BF6" w14:paraId="710E6EA8" w14:textId="77777777" w:rsidTr="004B2956">
        <w:trPr>
          <w:cantSplit/>
        </w:trPr>
        <w:tc>
          <w:tcPr>
            <w:tcW w:w="9322" w:type="dxa"/>
            <w:gridSpan w:val="2"/>
          </w:tcPr>
          <w:p w14:paraId="5A5103DF"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b/>
                <w:color w:val="000000"/>
                <w:szCs w:val="22"/>
              </w:rPr>
              <w:t>Troubles généraux et anomalies au site d’administration</w:t>
            </w:r>
          </w:p>
        </w:tc>
      </w:tr>
      <w:tr w:rsidR="00EF4CB3" w:rsidRPr="00653BF6" w14:paraId="6BBAD99F" w14:textId="77777777" w:rsidTr="004B2956">
        <w:trPr>
          <w:cantSplit/>
        </w:trPr>
        <w:tc>
          <w:tcPr>
            <w:tcW w:w="2235" w:type="dxa"/>
          </w:tcPr>
          <w:p w14:paraId="51B80B68" w14:textId="77777777" w:rsidR="00EF4CB3" w:rsidRPr="00653BF6" w:rsidRDefault="00EF4CB3" w:rsidP="007F23EE">
            <w:pPr>
              <w:keepNext/>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Très fréquent :</w:t>
            </w:r>
          </w:p>
        </w:tc>
        <w:tc>
          <w:tcPr>
            <w:tcW w:w="7087" w:type="dxa"/>
          </w:tcPr>
          <w:p w14:paraId="1C9A6FAC" w14:textId="63594B56"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 xml:space="preserve">Rétention hydrique et </w:t>
            </w:r>
            <w:r w:rsidR="009A7FB9" w:rsidRPr="00653BF6">
              <w:rPr>
                <w:rFonts w:ascii="Times New Roman" w:hAnsi="Times New Roman"/>
                <w:color w:val="000000"/>
                <w:szCs w:val="22"/>
              </w:rPr>
              <w:t>œ</w:t>
            </w:r>
            <w:r w:rsidRPr="00653BF6">
              <w:rPr>
                <w:rFonts w:ascii="Times New Roman" w:hAnsi="Times New Roman"/>
                <w:color w:val="000000"/>
                <w:szCs w:val="22"/>
              </w:rPr>
              <w:t>dème, fatigue</w:t>
            </w:r>
          </w:p>
        </w:tc>
      </w:tr>
      <w:tr w:rsidR="00EF4CB3" w:rsidRPr="00653BF6" w14:paraId="05193E9F" w14:textId="77777777" w:rsidTr="004B2956">
        <w:trPr>
          <w:cantSplit/>
        </w:trPr>
        <w:tc>
          <w:tcPr>
            <w:tcW w:w="2235" w:type="dxa"/>
          </w:tcPr>
          <w:p w14:paraId="7A3B952E" w14:textId="77777777" w:rsidR="00EF4CB3" w:rsidRPr="00653BF6" w:rsidRDefault="00EF4CB3" w:rsidP="007F23EE">
            <w:pPr>
              <w:keepNext/>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Fréquent :</w:t>
            </w:r>
          </w:p>
        </w:tc>
        <w:tc>
          <w:tcPr>
            <w:tcW w:w="7087" w:type="dxa"/>
          </w:tcPr>
          <w:p w14:paraId="5AD6FF9E"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Faiblesse, pyrexie, anasarque, frissons, rigidité</w:t>
            </w:r>
          </w:p>
        </w:tc>
      </w:tr>
      <w:tr w:rsidR="00EF4CB3" w:rsidRPr="00653BF6" w14:paraId="4606EDF2" w14:textId="77777777" w:rsidTr="004B2956">
        <w:trPr>
          <w:cantSplit/>
        </w:trPr>
        <w:tc>
          <w:tcPr>
            <w:tcW w:w="2235" w:type="dxa"/>
          </w:tcPr>
          <w:p w14:paraId="348414A8" w14:textId="77777777" w:rsidR="00EF4CB3" w:rsidRPr="00653BF6" w:rsidRDefault="00EF4CB3" w:rsidP="007F23EE">
            <w:pPr>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Peu fréquent :</w:t>
            </w:r>
          </w:p>
        </w:tc>
        <w:tc>
          <w:tcPr>
            <w:tcW w:w="7087" w:type="dxa"/>
          </w:tcPr>
          <w:p w14:paraId="4A194207" w14:textId="77777777" w:rsidR="00EF4CB3" w:rsidRPr="00653BF6" w:rsidRDefault="00EF4CB3" w:rsidP="007F23EE">
            <w:pPr>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Douleur thoracique, malaise</w:t>
            </w:r>
          </w:p>
        </w:tc>
      </w:tr>
      <w:tr w:rsidR="00EF4CB3" w:rsidRPr="00653BF6" w14:paraId="2FC9F208" w14:textId="77777777" w:rsidTr="004B2956">
        <w:trPr>
          <w:cantSplit/>
        </w:trPr>
        <w:tc>
          <w:tcPr>
            <w:tcW w:w="9322" w:type="dxa"/>
            <w:gridSpan w:val="2"/>
          </w:tcPr>
          <w:p w14:paraId="12E329DE"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b/>
                <w:color w:val="000000"/>
                <w:szCs w:val="22"/>
              </w:rPr>
              <w:lastRenderedPageBreak/>
              <w:t>Investigations</w:t>
            </w:r>
          </w:p>
        </w:tc>
      </w:tr>
      <w:tr w:rsidR="00EF4CB3" w:rsidRPr="00653BF6" w14:paraId="536AF5CC" w14:textId="77777777" w:rsidTr="004B2956">
        <w:trPr>
          <w:cantSplit/>
        </w:trPr>
        <w:tc>
          <w:tcPr>
            <w:tcW w:w="2235" w:type="dxa"/>
          </w:tcPr>
          <w:p w14:paraId="7156E236"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Très fréquent :</w:t>
            </w:r>
          </w:p>
        </w:tc>
        <w:tc>
          <w:tcPr>
            <w:tcW w:w="7087" w:type="dxa"/>
          </w:tcPr>
          <w:p w14:paraId="2D31327F"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Prise de poids</w:t>
            </w:r>
          </w:p>
        </w:tc>
      </w:tr>
      <w:tr w:rsidR="00EF4CB3" w:rsidRPr="00653BF6" w14:paraId="5F710B76" w14:textId="77777777" w:rsidTr="004B2956">
        <w:trPr>
          <w:cantSplit/>
        </w:trPr>
        <w:tc>
          <w:tcPr>
            <w:tcW w:w="2235" w:type="dxa"/>
          </w:tcPr>
          <w:p w14:paraId="49646DC6"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Fréquent </w:t>
            </w:r>
            <w:r w:rsidRPr="00653BF6">
              <w:rPr>
                <w:rFonts w:ascii="Times New Roman" w:hAnsi="Times New Roman"/>
                <w:color w:val="000000"/>
                <w:szCs w:val="22"/>
              </w:rPr>
              <w:t>:</w:t>
            </w:r>
          </w:p>
        </w:tc>
        <w:tc>
          <w:tcPr>
            <w:tcW w:w="7087" w:type="dxa"/>
          </w:tcPr>
          <w:p w14:paraId="2CD41687"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Perte de poids</w:t>
            </w:r>
          </w:p>
        </w:tc>
      </w:tr>
      <w:tr w:rsidR="00EF4CB3" w:rsidRPr="00653BF6" w14:paraId="6BE625F0" w14:textId="77777777" w:rsidTr="004B2956">
        <w:trPr>
          <w:cantSplit/>
        </w:trPr>
        <w:tc>
          <w:tcPr>
            <w:tcW w:w="2235" w:type="dxa"/>
          </w:tcPr>
          <w:p w14:paraId="0ED1A694" w14:textId="77777777"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i/>
                <w:color w:val="000000"/>
                <w:szCs w:val="22"/>
              </w:rPr>
              <w:t>Peu fréquent </w:t>
            </w:r>
            <w:r w:rsidRPr="00653BF6">
              <w:rPr>
                <w:rFonts w:ascii="Times New Roman" w:hAnsi="Times New Roman"/>
                <w:color w:val="000000"/>
                <w:szCs w:val="22"/>
              </w:rPr>
              <w:t>:</w:t>
            </w:r>
          </w:p>
        </w:tc>
        <w:tc>
          <w:tcPr>
            <w:tcW w:w="7087" w:type="dxa"/>
          </w:tcPr>
          <w:p w14:paraId="1BF04725" w14:textId="73AC0CB6" w:rsidR="00EF4CB3" w:rsidRPr="00653BF6" w:rsidRDefault="00EF4CB3" w:rsidP="007F23EE">
            <w:pPr>
              <w:keepNext/>
              <w:tabs>
                <w:tab w:val="left" w:pos="567"/>
              </w:tabs>
              <w:spacing w:line="260" w:lineRule="exact"/>
              <w:rPr>
                <w:rFonts w:ascii="Times New Roman" w:hAnsi="Times New Roman"/>
                <w:color w:val="000000"/>
              </w:rPr>
            </w:pPr>
            <w:r w:rsidRPr="00653BF6">
              <w:rPr>
                <w:rFonts w:ascii="Times New Roman" w:hAnsi="Times New Roman"/>
                <w:color w:val="000000"/>
                <w:szCs w:val="22"/>
              </w:rPr>
              <w:t xml:space="preserve">Augmentation de la créatininémie, augmentation de la créatine phosphokinase, augmentation de la </w:t>
            </w:r>
            <w:proofErr w:type="spellStart"/>
            <w:r w:rsidRPr="00653BF6">
              <w:rPr>
                <w:rFonts w:ascii="Times New Roman" w:hAnsi="Times New Roman"/>
                <w:color w:val="000000"/>
                <w:szCs w:val="22"/>
              </w:rPr>
              <w:t>lacticod</w:t>
            </w:r>
            <w:r w:rsidR="009A7FB9" w:rsidRPr="00653BF6">
              <w:rPr>
                <w:rFonts w:ascii="Times New Roman" w:hAnsi="Times New Roman"/>
                <w:color w:val="000000"/>
                <w:szCs w:val="22"/>
              </w:rPr>
              <w:t>é</w:t>
            </w:r>
            <w:r w:rsidRPr="00653BF6">
              <w:rPr>
                <w:rFonts w:ascii="Times New Roman" w:hAnsi="Times New Roman"/>
                <w:color w:val="000000"/>
                <w:szCs w:val="22"/>
              </w:rPr>
              <w:t>shydrogénase</w:t>
            </w:r>
            <w:proofErr w:type="spellEnd"/>
            <w:r w:rsidRPr="00653BF6">
              <w:rPr>
                <w:rFonts w:ascii="Times New Roman" w:hAnsi="Times New Roman"/>
                <w:color w:val="000000"/>
                <w:szCs w:val="22"/>
              </w:rPr>
              <w:t>, augmentation des phosphatases alcalines</w:t>
            </w:r>
          </w:p>
        </w:tc>
      </w:tr>
      <w:tr w:rsidR="00EF4CB3" w:rsidRPr="00653BF6" w14:paraId="2B99311A" w14:textId="77777777" w:rsidTr="004B2956">
        <w:trPr>
          <w:cantSplit/>
        </w:trPr>
        <w:tc>
          <w:tcPr>
            <w:tcW w:w="2235" w:type="dxa"/>
          </w:tcPr>
          <w:p w14:paraId="774A5DAC" w14:textId="77777777" w:rsidR="00EF4CB3" w:rsidRPr="00653BF6" w:rsidRDefault="00EF4CB3" w:rsidP="007F23EE">
            <w:pPr>
              <w:keepNext/>
              <w:tabs>
                <w:tab w:val="left" w:pos="567"/>
              </w:tabs>
              <w:spacing w:line="260" w:lineRule="exact"/>
              <w:rPr>
                <w:rFonts w:ascii="Times New Roman" w:hAnsi="Times New Roman"/>
                <w:i/>
                <w:color w:val="000000"/>
                <w:szCs w:val="22"/>
              </w:rPr>
            </w:pPr>
            <w:r w:rsidRPr="00653BF6">
              <w:rPr>
                <w:rFonts w:ascii="Times New Roman" w:hAnsi="Times New Roman"/>
                <w:i/>
                <w:color w:val="000000"/>
                <w:szCs w:val="22"/>
              </w:rPr>
              <w:t>Rare :</w:t>
            </w:r>
          </w:p>
        </w:tc>
        <w:tc>
          <w:tcPr>
            <w:tcW w:w="7087" w:type="dxa"/>
          </w:tcPr>
          <w:p w14:paraId="7AF8887E" w14:textId="77777777" w:rsidR="00EF4CB3" w:rsidRPr="00653BF6" w:rsidRDefault="00EF4CB3" w:rsidP="007F23EE">
            <w:pPr>
              <w:keepNext/>
              <w:tabs>
                <w:tab w:val="left" w:pos="567"/>
              </w:tabs>
              <w:spacing w:line="260" w:lineRule="exact"/>
              <w:rPr>
                <w:rFonts w:ascii="Times New Roman" w:hAnsi="Times New Roman"/>
                <w:color w:val="000000"/>
                <w:szCs w:val="22"/>
              </w:rPr>
            </w:pPr>
            <w:r w:rsidRPr="00653BF6">
              <w:rPr>
                <w:rFonts w:ascii="Times New Roman" w:hAnsi="Times New Roman"/>
                <w:color w:val="000000"/>
                <w:szCs w:val="22"/>
              </w:rPr>
              <w:t>Augmentation de l’</w:t>
            </w:r>
            <w:proofErr w:type="spellStart"/>
            <w:r w:rsidRPr="00653BF6">
              <w:rPr>
                <w:rFonts w:ascii="Times New Roman" w:hAnsi="Times New Roman"/>
                <w:color w:val="000000"/>
                <w:szCs w:val="22"/>
              </w:rPr>
              <w:t>amylasémie</w:t>
            </w:r>
            <w:proofErr w:type="spellEnd"/>
          </w:p>
        </w:tc>
      </w:tr>
      <w:tr w:rsidR="00A66FF1" w:rsidRPr="00653BF6" w14:paraId="669243B6" w14:textId="77777777" w:rsidTr="008107BC">
        <w:trPr>
          <w:cantSplit/>
          <w:ins w:id="148" w:author="Author"/>
        </w:trPr>
        <w:tc>
          <w:tcPr>
            <w:tcW w:w="9322" w:type="dxa"/>
            <w:gridSpan w:val="2"/>
          </w:tcPr>
          <w:p w14:paraId="33A9D86E" w14:textId="77777777" w:rsidR="00A66FF1" w:rsidRPr="00653BF6" w:rsidRDefault="00A66FF1" w:rsidP="007F23EE">
            <w:pPr>
              <w:pStyle w:val="Text"/>
              <w:keepNext/>
              <w:keepLines/>
              <w:spacing w:before="0"/>
              <w:ind w:left="567" w:hanging="567"/>
              <w:jc w:val="left"/>
              <w:rPr>
                <w:ins w:id="149" w:author="Author"/>
                <w:color w:val="000000"/>
                <w:sz w:val="22"/>
                <w:lang w:val="fr-FR"/>
              </w:rPr>
            </w:pPr>
            <w:ins w:id="150" w:author="Author">
              <w:r w:rsidRPr="00653BF6">
                <w:rPr>
                  <w:color w:val="000000"/>
                  <w:sz w:val="20"/>
                  <w:lang w:val="fr-FR"/>
                </w:rPr>
                <w:t>*</w:t>
              </w:r>
              <w:r w:rsidRPr="00653BF6">
                <w:rPr>
                  <w:color w:val="000000"/>
                  <w:sz w:val="22"/>
                  <w:lang w:val="fr-FR"/>
                </w:rPr>
                <w:tab/>
              </w:r>
              <w:r w:rsidRPr="00653BF6">
                <w:rPr>
                  <w:color w:val="000000"/>
                  <w:sz w:val="20"/>
                  <w:lang w:val="fr-FR" w:eastAsia="ja-JP"/>
                </w:rPr>
                <w:t>Ces effets indésirables ont été principalement rapportés après la mise sur le marché de Glivec. Ceci inclut les cas issus de la notification spontanée ainsi que les événements indésirables graves des études cliniques en cours, des programmes d’accès élargi, des études de pharmacologie clinique et des études exploratoires menées dans le cadre d’indications thérapeutiques non approuvées. Etant donné que ces événements sont issus d’une population dont la taille n’est pas déterminée, il n’est pas toujours possible d’estimer de manière fiable leur fréquence ou d’établir la relation de causalité avec l’exposition à l’imatinib.</w:t>
              </w:r>
            </w:ins>
          </w:p>
          <w:p w14:paraId="15E0B201" w14:textId="77777777" w:rsidR="00A66FF1" w:rsidRPr="00653BF6" w:rsidRDefault="00A66FF1" w:rsidP="007F23EE">
            <w:pPr>
              <w:keepNext/>
              <w:keepLines/>
              <w:ind w:left="567" w:hanging="567"/>
              <w:rPr>
                <w:ins w:id="151" w:author="Author"/>
                <w:rFonts w:ascii="Times New Roman" w:hAnsi="Times New Roman"/>
                <w:color w:val="000000"/>
                <w:sz w:val="20"/>
              </w:rPr>
            </w:pPr>
            <w:ins w:id="152" w:author="Author">
              <w:r w:rsidRPr="00653BF6">
                <w:rPr>
                  <w:rFonts w:ascii="Times New Roman" w:hAnsi="Times New Roman"/>
                  <w:color w:val="000000"/>
                  <w:sz w:val="20"/>
                  <w:vertAlign w:val="superscript"/>
                </w:rPr>
                <w:t>1</w:t>
              </w:r>
              <w:r w:rsidRPr="00653BF6">
                <w:rPr>
                  <w:rFonts w:ascii="Times New Roman" w:hAnsi="Times New Roman"/>
                  <w:color w:val="000000"/>
                  <w:sz w:val="20"/>
                </w:rPr>
                <w:tab/>
                <w:t>La pneumonie a été le plus fréquemment observée chez les patients atteints de LMC en transformation et les patients atteints de GIST.</w:t>
              </w:r>
            </w:ins>
          </w:p>
          <w:p w14:paraId="6819931F" w14:textId="77777777" w:rsidR="00A66FF1" w:rsidRPr="00653BF6" w:rsidRDefault="00A66FF1" w:rsidP="007F23EE">
            <w:pPr>
              <w:keepNext/>
              <w:keepLines/>
              <w:ind w:left="567" w:hanging="567"/>
              <w:rPr>
                <w:ins w:id="153" w:author="Author"/>
                <w:rFonts w:ascii="Times New Roman" w:hAnsi="Times New Roman"/>
                <w:color w:val="000000"/>
                <w:sz w:val="20"/>
              </w:rPr>
            </w:pPr>
            <w:ins w:id="154" w:author="Author">
              <w:r w:rsidRPr="00653BF6">
                <w:rPr>
                  <w:rFonts w:ascii="Times New Roman" w:hAnsi="Times New Roman"/>
                  <w:color w:val="000000"/>
                  <w:sz w:val="20"/>
                  <w:vertAlign w:val="superscript"/>
                </w:rPr>
                <w:t>2</w:t>
              </w:r>
              <w:r w:rsidRPr="00653BF6">
                <w:rPr>
                  <w:rFonts w:ascii="Times New Roman" w:hAnsi="Times New Roman"/>
                  <w:color w:val="000000"/>
                  <w:sz w:val="20"/>
                </w:rPr>
                <w:tab/>
                <w:t>Les céphalées ont été le plus fréquemment observées chez les patients atteints de GIST.</w:t>
              </w:r>
            </w:ins>
          </w:p>
          <w:p w14:paraId="382E0665" w14:textId="77777777" w:rsidR="00A66FF1" w:rsidRPr="00653BF6" w:rsidRDefault="00A66FF1" w:rsidP="007F23EE">
            <w:pPr>
              <w:keepNext/>
              <w:keepLines/>
              <w:ind w:left="567" w:hanging="567"/>
              <w:rPr>
                <w:ins w:id="155" w:author="Author"/>
                <w:rFonts w:ascii="Times New Roman" w:hAnsi="Times New Roman"/>
                <w:color w:val="000000"/>
                <w:sz w:val="20"/>
              </w:rPr>
            </w:pPr>
            <w:ins w:id="156" w:author="Author">
              <w:r w:rsidRPr="00653BF6">
                <w:rPr>
                  <w:rFonts w:ascii="Times New Roman" w:hAnsi="Times New Roman"/>
                  <w:color w:val="000000"/>
                  <w:sz w:val="20"/>
                  <w:vertAlign w:val="superscript"/>
                </w:rPr>
                <w:t>3</w:t>
              </w:r>
              <w:r w:rsidRPr="00653BF6">
                <w:rPr>
                  <w:rFonts w:ascii="Times New Roman" w:hAnsi="Times New Roman"/>
                  <w:color w:val="000000"/>
                  <w:sz w:val="20"/>
                </w:rPr>
                <w:tab/>
                <w:t>Selon l’unité de mesure « patient-année », les effets cardiaques incluant l’insuffisance cardiaque congestive ont été plus fréquemment observés chez les patients ayant une LMC en transformation que chez ceux ayant une LMC en phase chronique.</w:t>
              </w:r>
            </w:ins>
          </w:p>
          <w:p w14:paraId="58B82D60" w14:textId="77777777" w:rsidR="00A66FF1" w:rsidRPr="00653BF6" w:rsidRDefault="00A66FF1" w:rsidP="007F23EE">
            <w:pPr>
              <w:keepNext/>
              <w:keepLines/>
              <w:ind w:left="567" w:hanging="567"/>
              <w:rPr>
                <w:ins w:id="157" w:author="Author"/>
                <w:rFonts w:ascii="Times New Roman" w:hAnsi="Times New Roman"/>
                <w:color w:val="000000"/>
                <w:sz w:val="20"/>
              </w:rPr>
            </w:pPr>
            <w:ins w:id="158" w:author="Author">
              <w:r w:rsidRPr="00653BF6">
                <w:rPr>
                  <w:rFonts w:ascii="Times New Roman" w:hAnsi="Times New Roman"/>
                  <w:color w:val="000000"/>
                  <w:sz w:val="20"/>
                  <w:vertAlign w:val="superscript"/>
                </w:rPr>
                <w:t>4</w:t>
              </w:r>
              <w:r w:rsidRPr="00653BF6">
                <w:rPr>
                  <w:rFonts w:ascii="Times New Roman" w:hAnsi="Times New Roman"/>
                  <w:color w:val="000000"/>
                  <w:sz w:val="20"/>
                </w:rPr>
                <w:tab/>
                <w:t>Les bouffées vasomotrices ont été le plus fréquemment observées chez les patients atteints de GIST et les saignements (hématomes et hémorragies) ont été le plus fréquemment observés chez les patients atteints de GIST et les patients atteints de LMC en transformation (LMC en phase accélérée et LMC en crise blastique).</w:t>
              </w:r>
            </w:ins>
          </w:p>
          <w:p w14:paraId="2CB1B02A" w14:textId="77777777" w:rsidR="00A66FF1" w:rsidRPr="00653BF6" w:rsidRDefault="00A66FF1" w:rsidP="007F23EE">
            <w:pPr>
              <w:keepNext/>
              <w:keepLines/>
              <w:ind w:left="567" w:hanging="567"/>
              <w:rPr>
                <w:ins w:id="159" w:author="Author"/>
                <w:rFonts w:ascii="Times New Roman" w:hAnsi="Times New Roman"/>
                <w:color w:val="000000"/>
                <w:sz w:val="20"/>
              </w:rPr>
            </w:pPr>
            <w:ins w:id="160" w:author="Author">
              <w:r w:rsidRPr="00653BF6">
                <w:rPr>
                  <w:rFonts w:ascii="Times New Roman" w:hAnsi="Times New Roman"/>
                  <w:color w:val="000000"/>
                  <w:sz w:val="20"/>
                  <w:vertAlign w:val="superscript"/>
                </w:rPr>
                <w:t>5</w:t>
              </w:r>
              <w:r w:rsidRPr="00653BF6">
                <w:rPr>
                  <w:rFonts w:ascii="Times New Roman" w:hAnsi="Times New Roman"/>
                  <w:color w:val="000000"/>
                  <w:sz w:val="20"/>
                </w:rPr>
                <w:tab/>
                <w:t>L’épanchement pleural a été rapporté plus fréquemment chez les patients atteints de GIST et les patients ayant une LMC en transformation (LMC en phase accélérée et LMC en crise blastique) que chez les patients en phase chronique.</w:t>
              </w:r>
            </w:ins>
          </w:p>
          <w:p w14:paraId="37C01180" w14:textId="77777777" w:rsidR="00A66FF1" w:rsidRPr="00653BF6" w:rsidRDefault="00A66FF1" w:rsidP="007F23EE">
            <w:pPr>
              <w:keepNext/>
              <w:keepLines/>
              <w:ind w:left="567" w:hanging="567"/>
              <w:rPr>
                <w:ins w:id="161" w:author="Author"/>
                <w:rFonts w:ascii="Times New Roman" w:hAnsi="Times New Roman"/>
                <w:color w:val="000000"/>
                <w:sz w:val="20"/>
              </w:rPr>
            </w:pPr>
            <w:ins w:id="162" w:author="Author">
              <w:r w:rsidRPr="00653BF6">
                <w:rPr>
                  <w:rFonts w:ascii="Times New Roman" w:hAnsi="Times New Roman"/>
                  <w:color w:val="000000"/>
                  <w:sz w:val="20"/>
                  <w:vertAlign w:val="superscript"/>
                </w:rPr>
                <w:t>6+7</w:t>
              </w:r>
              <w:r w:rsidRPr="00653BF6">
                <w:rPr>
                  <w:rFonts w:ascii="Times New Roman" w:hAnsi="Times New Roman"/>
                  <w:color w:val="000000"/>
                  <w:sz w:val="20"/>
                </w:rPr>
                <w:tab/>
                <w:t>Les douleurs abdominales et les hémorragies gastro-intestinales ont été le plus fréquemment observées chez les patients atteints de GIST.</w:t>
              </w:r>
            </w:ins>
          </w:p>
          <w:p w14:paraId="5E6C37F6" w14:textId="77777777" w:rsidR="00A66FF1" w:rsidRPr="00653BF6" w:rsidRDefault="00A66FF1" w:rsidP="007F23EE">
            <w:pPr>
              <w:keepNext/>
              <w:keepLines/>
              <w:ind w:left="567" w:hanging="567"/>
              <w:rPr>
                <w:ins w:id="163" w:author="Author"/>
                <w:rFonts w:ascii="Times New Roman" w:hAnsi="Times New Roman"/>
                <w:color w:val="000000"/>
                <w:sz w:val="20"/>
              </w:rPr>
            </w:pPr>
            <w:ins w:id="164" w:author="Author">
              <w:r w:rsidRPr="00653BF6">
                <w:rPr>
                  <w:rFonts w:ascii="Times New Roman" w:hAnsi="Times New Roman"/>
                  <w:color w:val="000000"/>
                  <w:sz w:val="20"/>
                  <w:vertAlign w:val="superscript"/>
                </w:rPr>
                <w:t>8</w:t>
              </w:r>
              <w:r w:rsidRPr="00653BF6">
                <w:rPr>
                  <w:rFonts w:ascii="Times New Roman" w:hAnsi="Times New Roman"/>
                  <w:color w:val="000000"/>
                  <w:sz w:val="20"/>
                </w:rPr>
                <w:tab/>
                <w:t>Des cas mortels d’insuffisance hépatique et de nécrose hépatique ont été rapportés.</w:t>
              </w:r>
            </w:ins>
          </w:p>
          <w:p w14:paraId="78ABB7BF" w14:textId="77777777" w:rsidR="00A66FF1" w:rsidRPr="00653BF6" w:rsidRDefault="00A66FF1" w:rsidP="007F23EE">
            <w:pPr>
              <w:keepNext/>
              <w:keepLines/>
              <w:ind w:left="567" w:hanging="567"/>
              <w:rPr>
                <w:ins w:id="165" w:author="Author"/>
                <w:rFonts w:ascii="Times New Roman" w:hAnsi="Times New Roman"/>
                <w:color w:val="000000"/>
                <w:sz w:val="20"/>
              </w:rPr>
            </w:pPr>
            <w:ins w:id="166" w:author="Author">
              <w:r w:rsidRPr="00653BF6">
                <w:rPr>
                  <w:rFonts w:ascii="Times New Roman" w:hAnsi="Times New Roman"/>
                  <w:color w:val="000000"/>
                  <w:sz w:val="20"/>
                  <w:vertAlign w:val="superscript"/>
                </w:rPr>
                <w:t>9</w:t>
              </w:r>
              <w:r w:rsidRPr="00653BF6">
                <w:rPr>
                  <w:rFonts w:ascii="Times New Roman" w:hAnsi="Times New Roman"/>
                  <w:color w:val="000000"/>
                  <w:sz w:val="20"/>
                </w:rPr>
                <w:tab/>
                <w:t>Des douleurs musculosquelettiques pendant le traitement par imatinib ou après arrêt du traitement ont été observées après la commercialisation.</w:t>
              </w:r>
            </w:ins>
          </w:p>
          <w:p w14:paraId="6EB5235A" w14:textId="77777777" w:rsidR="00A66FF1" w:rsidRPr="00653BF6" w:rsidRDefault="00A66FF1" w:rsidP="007F23EE">
            <w:pPr>
              <w:keepNext/>
              <w:keepLines/>
              <w:ind w:left="567" w:hanging="567"/>
              <w:rPr>
                <w:ins w:id="167" w:author="Author"/>
                <w:rFonts w:ascii="Times New Roman" w:hAnsi="Times New Roman"/>
                <w:color w:val="000000"/>
                <w:sz w:val="20"/>
              </w:rPr>
            </w:pPr>
            <w:ins w:id="168" w:author="Author">
              <w:r w:rsidRPr="00653BF6">
                <w:rPr>
                  <w:rFonts w:ascii="Times New Roman" w:hAnsi="Times New Roman"/>
                  <w:color w:val="000000"/>
                  <w:sz w:val="20"/>
                  <w:vertAlign w:val="superscript"/>
                </w:rPr>
                <w:t>10</w:t>
              </w:r>
              <w:r w:rsidRPr="00653BF6">
                <w:rPr>
                  <w:rFonts w:ascii="Times New Roman" w:hAnsi="Times New Roman"/>
                  <w:color w:val="000000"/>
                  <w:sz w:val="20"/>
                </w:rPr>
                <w:tab/>
                <w:t>Les douleurs musculosquelettiques et les effets reliés à ces douleurs ont été plus fréquemment observés chez les patients atteints de LMC que chez les patients atteints de GIST.</w:t>
              </w:r>
            </w:ins>
          </w:p>
          <w:p w14:paraId="361A3566" w14:textId="77777777" w:rsidR="00A66FF1" w:rsidRPr="00653BF6" w:rsidRDefault="00A66FF1" w:rsidP="007F23EE">
            <w:pPr>
              <w:keepNext/>
              <w:ind w:left="567" w:hanging="567"/>
              <w:rPr>
                <w:ins w:id="169" w:author="Author"/>
                <w:rFonts w:ascii="Times New Roman" w:hAnsi="Times New Roman"/>
                <w:color w:val="000000"/>
                <w:sz w:val="20"/>
              </w:rPr>
            </w:pPr>
            <w:ins w:id="170" w:author="Author">
              <w:r w:rsidRPr="00653BF6">
                <w:rPr>
                  <w:rFonts w:ascii="Times New Roman" w:hAnsi="Times New Roman"/>
                  <w:color w:val="000000"/>
                  <w:sz w:val="20"/>
                  <w:vertAlign w:val="superscript"/>
                </w:rPr>
                <w:t>11</w:t>
              </w:r>
              <w:r w:rsidRPr="00653BF6">
                <w:rPr>
                  <w:rFonts w:ascii="Times New Roman" w:hAnsi="Times New Roman"/>
                  <w:color w:val="000000"/>
                  <w:sz w:val="20"/>
                </w:rPr>
                <w:tab/>
                <w:t>Des cas d’évolution fatale ont été rapportés chez des patients à un stade avancé de la maladie, présentant des infections sévères, des neutropénies sévères et d’autres troubles cliniques concomitants sévères.</w:t>
              </w:r>
            </w:ins>
          </w:p>
          <w:p w14:paraId="7B5AD45F" w14:textId="73678BEB" w:rsidR="00A66FF1" w:rsidRPr="00653BF6" w:rsidRDefault="00A66FF1" w:rsidP="007F23EE">
            <w:pPr>
              <w:ind w:left="567" w:hanging="567"/>
              <w:rPr>
                <w:ins w:id="171" w:author="Author"/>
                <w:rFonts w:ascii="Times New Roman" w:hAnsi="Times New Roman"/>
                <w:color w:val="000000"/>
                <w:szCs w:val="22"/>
              </w:rPr>
            </w:pPr>
            <w:ins w:id="172" w:author="Author">
              <w:r w:rsidRPr="00653BF6">
                <w:rPr>
                  <w:rFonts w:ascii="Times New Roman" w:hAnsi="Times New Roman"/>
                  <w:color w:val="000000"/>
                  <w:sz w:val="20"/>
                  <w:vertAlign w:val="superscript"/>
                </w:rPr>
                <w:t>12</w:t>
              </w:r>
              <w:r w:rsidRPr="00653BF6">
                <w:rPr>
                  <w:rFonts w:ascii="Times New Roman" w:hAnsi="Times New Roman"/>
                  <w:color w:val="000000"/>
                  <w:sz w:val="20"/>
                </w:rPr>
                <w:tab/>
                <w:t>Y compris l’érythème noueux.</w:t>
              </w:r>
            </w:ins>
          </w:p>
        </w:tc>
      </w:tr>
    </w:tbl>
    <w:p w14:paraId="4D04C055" w14:textId="0B440BB2" w:rsidR="003F5EC3" w:rsidRPr="00653BF6" w:rsidDel="00A66FF1" w:rsidRDefault="003F5EC3" w:rsidP="007F23EE">
      <w:pPr>
        <w:pStyle w:val="Text"/>
        <w:keepNext/>
        <w:keepLines/>
        <w:spacing w:before="0"/>
        <w:ind w:left="567" w:hanging="567"/>
        <w:jc w:val="left"/>
        <w:rPr>
          <w:del w:id="173" w:author="Author"/>
          <w:color w:val="000000"/>
          <w:szCs w:val="22"/>
          <w:lang w:val="fr-FR"/>
        </w:rPr>
      </w:pPr>
      <w:del w:id="174" w:author="Author">
        <w:r w:rsidRPr="00653BF6" w:rsidDel="00A66FF1">
          <w:rPr>
            <w:color w:val="000000"/>
            <w:sz w:val="22"/>
            <w:szCs w:val="22"/>
            <w:lang w:val="fr-FR"/>
          </w:rPr>
          <w:delText>*</w:delText>
        </w:r>
        <w:r w:rsidRPr="00653BF6" w:rsidDel="00A66FF1">
          <w:rPr>
            <w:color w:val="000000"/>
            <w:szCs w:val="22"/>
            <w:lang w:val="fr-FR"/>
          </w:rPr>
          <w:tab/>
        </w:r>
        <w:r w:rsidRPr="00653BF6" w:rsidDel="00A66FF1">
          <w:rPr>
            <w:color w:val="000000"/>
            <w:sz w:val="22"/>
            <w:szCs w:val="22"/>
            <w:lang w:val="fr-FR" w:eastAsia="ja-JP"/>
          </w:rPr>
          <w:delText>Ces effets indésirables ont été principalement rapportés après la mise sur le marché de Glivec. Ceci inclut les cas issus de la notification spontanée ainsi que les événements indésirables graves des études cliniques en cours, des programmes d’accès élargi, des études de pharmacologie clinique et des études exploratoires menées dans le cadre d’indications thérapeutiques non approuvées. Etant donné que ces év</w:delText>
        </w:r>
        <w:r w:rsidR="009A7FB9" w:rsidRPr="00653BF6" w:rsidDel="00A66FF1">
          <w:rPr>
            <w:color w:val="000000"/>
            <w:sz w:val="22"/>
            <w:szCs w:val="22"/>
            <w:lang w:val="fr-FR" w:eastAsia="ja-JP"/>
          </w:rPr>
          <w:delText>é</w:delText>
        </w:r>
        <w:r w:rsidRPr="00653BF6" w:rsidDel="00A66FF1">
          <w:rPr>
            <w:color w:val="000000"/>
            <w:sz w:val="22"/>
            <w:szCs w:val="22"/>
            <w:lang w:val="fr-FR" w:eastAsia="ja-JP"/>
          </w:rPr>
          <w:delText>nements sont issus d’une population dont la taille n’est pas déterminée, il n’est pas toujours possible d’estimer de manière fiable leur fréquence ou d’établir la relation de causalité avec l’exposition à l’imatinib.</w:delText>
        </w:r>
      </w:del>
    </w:p>
    <w:p w14:paraId="4A53640E" w14:textId="1AB5B38C" w:rsidR="00EF4CB3" w:rsidRPr="00653BF6" w:rsidDel="00A66FF1" w:rsidRDefault="00EF4CB3" w:rsidP="007F23EE">
      <w:pPr>
        <w:keepNext/>
        <w:keepLines/>
        <w:ind w:left="567" w:hanging="567"/>
        <w:rPr>
          <w:del w:id="175" w:author="Author"/>
          <w:rFonts w:ascii="Times New Roman" w:hAnsi="Times New Roman"/>
          <w:color w:val="000000"/>
          <w:szCs w:val="22"/>
        </w:rPr>
      </w:pPr>
      <w:del w:id="176" w:author="Author">
        <w:r w:rsidRPr="00653BF6" w:rsidDel="00A66FF1">
          <w:rPr>
            <w:rFonts w:ascii="Times New Roman" w:hAnsi="Times New Roman"/>
            <w:color w:val="000000"/>
            <w:szCs w:val="22"/>
          </w:rPr>
          <w:delText>1</w:delText>
        </w:r>
        <w:r w:rsidRPr="00653BF6" w:rsidDel="00A66FF1">
          <w:rPr>
            <w:rFonts w:ascii="Times New Roman" w:hAnsi="Times New Roman"/>
            <w:color w:val="000000"/>
            <w:szCs w:val="22"/>
          </w:rPr>
          <w:tab/>
          <w:delText>La pneumonie a été le plus fréquemment observée chez les patients atteints de LMC en transformation et les patients atteints de GIST.</w:delText>
        </w:r>
      </w:del>
    </w:p>
    <w:p w14:paraId="7C324B7E" w14:textId="2003410A" w:rsidR="00EF4CB3" w:rsidRPr="00653BF6" w:rsidDel="00A66FF1" w:rsidRDefault="00EF4CB3" w:rsidP="007F23EE">
      <w:pPr>
        <w:keepNext/>
        <w:keepLines/>
        <w:ind w:left="567" w:hanging="567"/>
        <w:rPr>
          <w:del w:id="177" w:author="Author"/>
          <w:rFonts w:ascii="Times New Roman" w:hAnsi="Times New Roman"/>
          <w:color w:val="000000"/>
          <w:szCs w:val="22"/>
        </w:rPr>
      </w:pPr>
      <w:del w:id="178" w:author="Author">
        <w:r w:rsidRPr="00653BF6" w:rsidDel="00A66FF1">
          <w:rPr>
            <w:rFonts w:ascii="Times New Roman" w:hAnsi="Times New Roman"/>
            <w:color w:val="000000"/>
            <w:szCs w:val="22"/>
          </w:rPr>
          <w:delText>2</w:delText>
        </w:r>
        <w:r w:rsidRPr="00653BF6" w:rsidDel="00A66FF1">
          <w:rPr>
            <w:rFonts w:ascii="Times New Roman" w:hAnsi="Times New Roman"/>
            <w:color w:val="000000"/>
            <w:szCs w:val="22"/>
          </w:rPr>
          <w:tab/>
          <w:delText>Les céphalées ont été le plus fréquemment observées chez les patients atteints de GIST.</w:delText>
        </w:r>
      </w:del>
    </w:p>
    <w:p w14:paraId="30871BE2" w14:textId="14A404D8" w:rsidR="00EF4CB3" w:rsidRPr="00653BF6" w:rsidDel="00A66FF1" w:rsidRDefault="00EF4CB3" w:rsidP="007F23EE">
      <w:pPr>
        <w:keepNext/>
        <w:keepLines/>
        <w:ind w:left="567" w:hanging="567"/>
        <w:rPr>
          <w:del w:id="179" w:author="Author"/>
          <w:rFonts w:ascii="Times New Roman" w:hAnsi="Times New Roman"/>
          <w:color w:val="000000"/>
          <w:szCs w:val="22"/>
        </w:rPr>
      </w:pPr>
      <w:del w:id="180" w:author="Author">
        <w:r w:rsidRPr="00653BF6" w:rsidDel="00A66FF1">
          <w:rPr>
            <w:rFonts w:ascii="Times New Roman" w:hAnsi="Times New Roman"/>
            <w:color w:val="000000"/>
            <w:szCs w:val="22"/>
          </w:rPr>
          <w:delText>3</w:delText>
        </w:r>
        <w:r w:rsidRPr="00653BF6" w:rsidDel="00A66FF1">
          <w:rPr>
            <w:rFonts w:ascii="Times New Roman" w:hAnsi="Times New Roman"/>
            <w:color w:val="000000"/>
            <w:szCs w:val="22"/>
          </w:rPr>
          <w:tab/>
          <w:delText>Selon l’unité de mesure « patient-année », les effets cardiaques incluant l’insuffisance cardiaque congestive ont été plus fréquemment observés chez les patients ayant une LMC en transformation que chez ceux ayant une LMC en phase chronique.</w:delText>
        </w:r>
      </w:del>
    </w:p>
    <w:p w14:paraId="4A45715C" w14:textId="08898027" w:rsidR="00EF4CB3" w:rsidRPr="00653BF6" w:rsidDel="00A66FF1" w:rsidRDefault="00EF4CB3" w:rsidP="007F23EE">
      <w:pPr>
        <w:keepNext/>
        <w:keepLines/>
        <w:ind w:left="567" w:hanging="567"/>
        <w:rPr>
          <w:del w:id="181" w:author="Author"/>
          <w:rFonts w:ascii="Times New Roman" w:hAnsi="Times New Roman"/>
          <w:color w:val="000000"/>
          <w:szCs w:val="22"/>
        </w:rPr>
      </w:pPr>
      <w:del w:id="182" w:author="Author">
        <w:r w:rsidRPr="00653BF6" w:rsidDel="00A66FF1">
          <w:rPr>
            <w:rFonts w:ascii="Times New Roman" w:hAnsi="Times New Roman"/>
            <w:color w:val="000000"/>
            <w:szCs w:val="22"/>
          </w:rPr>
          <w:delText>4</w:delText>
        </w:r>
        <w:r w:rsidRPr="00653BF6" w:rsidDel="00A66FF1">
          <w:rPr>
            <w:rFonts w:ascii="Times New Roman" w:hAnsi="Times New Roman"/>
            <w:color w:val="000000"/>
            <w:szCs w:val="22"/>
          </w:rPr>
          <w:tab/>
          <w:delText>Les bouffées vasomotrices ont été le plus fréquemment observées chez les patients atteints de GIST et les saignements (hématomes et hémorragies) ont été le plus fréquemment observés chez les patients atteints de GIST et les pat</w:delText>
        </w:r>
        <w:r w:rsidR="003A71E7" w:rsidRPr="00653BF6" w:rsidDel="00A66FF1">
          <w:rPr>
            <w:rFonts w:ascii="Times New Roman" w:hAnsi="Times New Roman"/>
            <w:color w:val="000000"/>
            <w:szCs w:val="22"/>
          </w:rPr>
          <w:delText>ients</w:delText>
        </w:r>
        <w:r w:rsidRPr="00653BF6" w:rsidDel="00A66FF1">
          <w:rPr>
            <w:rFonts w:ascii="Times New Roman" w:hAnsi="Times New Roman"/>
            <w:color w:val="000000"/>
            <w:szCs w:val="22"/>
          </w:rPr>
          <w:delText xml:space="preserve"> atteints de LMC en transformation (LMC en phase accélérée et LMC en crise blastique).</w:delText>
        </w:r>
      </w:del>
    </w:p>
    <w:p w14:paraId="651AC277" w14:textId="6924A8AC" w:rsidR="00EF4CB3" w:rsidRPr="00653BF6" w:rsidDel="00A66FF1" w:rsidRDefault="00EF4CB3" w:rsidP="007F23EE">
      <w:pPr>
        <w:keepNext/>
        <w:keepLines/>
        <w:ind w:left="567" w:hanging="567"/>
        <w:rPr>
          <w:del w:id="183" w:author="Author"/>
          <w:rFonts w:ascii="Times New Roman" w:hAnsi="Times New Roman"/>
          <w:color w:val="000000"/>
          <w:szCs w:val="22"/>
        </w:rPr>
      </w:pPr>
      <w:del w:id="184" w:author="Author">
        <w:r w:rsidRPr="00653BF6" w:rsidDel="00A66FF1">
          <w:rPr>
            <w:rFonts w:ascii="Times New Roman" w:hAnsi="Times New Roman"/>
            <w:color w:val="000000"/>
            <w:szCs w:val="22"/>
          </w:rPr>
          <w:delText>5</w:delText>
        </w:r>
        <w:r w:rsidRPr="00653BF6" w:rsidDel="00A66FF1">
          <w:rPr>
            <w:rFonts w:ascii="Times New Roman" w:hAnsi="Times New Roman"/>
            <w:color w:val="000000"/>
            <w:szCs w:val="22"/>
          </w:rPr>
          <w:tab/>
          <w:delText>L’épanchement pleural a été rapporté plus fréquemment chez les patients atteints de GIST et les patients ayant une LMC en transformation (LMC en phase accélérée et LMC en crise blastique) que chez les patients en phase chronique.</w:delText>
        </w:r>
      </w:del>
    </w:p>
    <w:p w14:paraId="4EA34C96" w14:textId="26A5D45B" w:rsidR="00EF4CB3" w:rsidRPr="00653BF6" w:rsidDel="00A66FF1" w:rsidRDefault="00EF4CB3" w:rsidP="007F23EE">
      <w:pPr>
        <w:keepNext/>
        <w:keepLines/>
        <w:ind w:left="567" w:hanging="567"/>
        <w:rPr>
          <w:del w:id="185" w:author="Author"/>
          <w:rFonts w:ascii="Times New Roman" w:hAnsi="Times New Roman"/>
          <w:color w:val="000000"/>
          <w:szCs w:val="22"/>
        </w:rPr>
      </w:pPr>
      <w:del w:id="186" w:author="Author">
        <w:r w:rsidRPr="00653BF6" w:rsidDel="00A66FF1">
          <w:rPr>
            <w:rFonts w:ascii="Times New Roman" w:hAnsi="Times New Roman"/>
            <w:color w:val="000000"/>
            <w:szCs w:val="22"/>
          </w:rPr>
          <w:delText>6+7</w:delText>
        </w:r>
        <w:r w:rsidRPr="00653BF6" w:rsidDel="00A66FF1">
          <w:rPr>
            <w:rFonts w:ascii="Times New Roman" w:hAnsi="Times New Roman"/>
            <w:color w:val="000000"/>
            <w:szCs w:val="22"/>
          </w:rPr>
          <w:tab/>
          <w:delText>Les douleurs abdominales et les hémorragies gastro-intestinales ont été le plus fréque</w:delText>
        </w:r>
        <w:r w:rsidR="009A7FB9" w:rsidRPr="00653BF6" w:rsidDel="00A66FF1">
          <w:rPr>
            <w:rFonts w:ascii="Times New Roman" w:hAnsi="Times New Roman"/>
            <w:color w:val="000000"/>
            <w:szCs w:val="22"/>
          </w:rPr>
          <w:delText>m</w:delText>
        </w:r>
        <w:r w:rsidRPr="00653BF6" w:rsidDel="00A66FF1">
          <w:rPr>
            <w:rFonts w:ascii="Times New Roman" w:hAnsi="Times New Roman"/>
            <w:color w:val="000000"/>
            <w:szCs w:val="22"/>
          </w:rPr>
          <w:delText>ment observées chez les patients atteints de GIST.</w:delText>
        </w:r>
      </w:del>
    </w:p>
    <w:p w14:paraId="69BDEBE9" w14:textId="53722EC9" w:rsidR="00EF4CB3" w:rsidRPr="00653BF6" w:rsidDel="00A66FF1" w:rsidRDefault="00EF4CB3" w:rsidP="007F23EE">
      <w:pPr>
        <w:keepNext/>
        <w:keepLines/>
        <w:ind w:left="567" w:hanging="567"/>
        <w:rPr>
          <w:del w:id="187" w:author="Author"/>
          <w:rFonts w:ascii="Times New Roman" w:hAnsi="Times New Roman"/>
          <w:color w:val="000000"/>
          <w:szCs w:val="22"/>
        </w:rPr>
      </w:pPr>
      <w:del w:id="188" w:author="Author">
        <w:r w:rsidRPr="00653BF6" w:rsidDel="00A66FF1">
          <w:rPr>
            <w:rFonts w:ascii="Times New Roman" w:hAnsi="Times New Roman"/>
            <w:color w:val="000000"/>
            <w:szCs w:val="22"/>
          </w:rPr>
          <w:delText>8</w:delText>
        </w:r>
        <w:r w:rsidRPr="00653BF6" w:rsidDel="00A66FF1">
          <w:rPr>
            <w:rFonts w:ascii="Times New Roman" w:hAnsi="Times New Roman"/>
            <w:color w:val="000000"/>
            <w:szCs w:val="22"/>
          </w:rPr>
          <w:tab/>
          <w:delText>Des cas mortels d’insuffisance hépatique et de nécrose hépatique ont été rapportés.</w:delText>
        </w:r>
      </w:del>
    </w:p>
    <w:p w14:paraId="3610262F" w14:textId="1181C9FC" w:rsidR="009A531A" w:rsidRPr="00653BF6" w:rsidDel="00A66FF1" w:rsidRDefault="009A531A" w:rsidP="007F23EE">
      <w:pPr>
        <w:keepNext/>
        <w:keepLines/>
        <w:ind w:left="567" w:hanging="567"/>
        <w:rPr>
          <w:del w:id="189" w:author="Author"/>
          <w:rFonts w:ascii="Times New Roman" w:hAnsi="Times New Roman"/>
          <w:color w:val="000000"/>
          <w:szCs w:val="22"/>
        </w:rPr>
      </w:pPr>
      <w:del w:id="190" w:author="Author">
        <w:r w:rsidRPr="00653BF6" w:rsidDel="00A66FF1">
          <w:rPr>
            <w:rFonts w:ascii="Times New Roman" w:hAnsi="Times New Roman"/>
            <w:color w:val="000000"/>
            <w:szCs w:val="22"/>
          </w:rPr>
          <w:delText>9</w:delText>
        </w:r>
        <w:r w:rsidRPr="00653BF6" w:rsidDel="00A66FF1">
          <w:rPr>
            <w:rFonts w:ascii="Times New Roman" w:hAnsi="Times New Roman"/>
            <w:color w:val="000000"/>
            <w:szCs w:val="22"/>
          </w:rPr>
          <w:tab/>
          <w:delText xml:space="preserve">Des douleurs musculosquelettiques pendant le traitement par imatinib ou après arrêt </w:delText>
        </w:r>
        <w:r w:rsidR="00D10578" w:rsidRPr="00653BF6" w:rsidDel="00A66FF1">
          <w:rPr>
            <w:rFonts w:ascii="Times New Roman" w:hAnsi="Times New Roman"/>
            <w:color w:val="000000"/>
            <w:szCs w:val="22"/>
          </w:rPr>
          <w:delText xml:space="preserve">du traitement </w:delText>
        </w:r>
        <w:r w:rsidRPr="00653BF6" w:rsidDel="00A66FF1">
          <w:rPr>
            <w:rFonts w:ascii="Times New Roman" w:hAnsi="Times New Roman"/>
            <w:color w:val="000000"/>
            <w:szCs w:val="22"/>
          </w:rPr>
          <w:delText xml:space="preserve">ont été observées après </w:delText>
        </w:r>
        <w:r w:rsidR="00D10578" w:rsidRPr="00653BF6" w:rsidDel="00A66FF1">
          <w:rPr>
            <w:rFonts w:ascii="Times New Roman" w:hAnsi="Times New Roman"/>
            <w:color w:val="000000"/>
            <w:szCs w:val="22"/>
          </w:rPr>
          <w:delText xml:space="preserve">la </w:delText>
        </w:r>
        <w:r w:rsidRPr="00653BF6" w:rsidDel="00A66FF1">
          <w:rPr>
            <w:rFonts w:ascii="Times New Roman" w:hAnsi="Times New Roman"/>
            <w:color w:val="000000"/>
            <w:szCs w:val="22"/>
          </w:rPr>
          <w:delText>commercialisation</w:delText>
        </w:r>
        <w:r w:rsidR="00777258" w:rsidRPr="00653BF6" w:rsidDel="00A66FF1">
          <w:rPr>
            <w:rFonts w:ascii="Times New Roman" w:hAnsi="Times New Roman"/>
            <w:color w:val="000000"/>
            <w:szCs w:val="22"/>
          </w:rPr>
          <w:delText>.</w:delText>
        </w:r>
      </w:del>
    </w:p>
    <w:p w14:paraId="24959911" w14:textId="7602A724" w:rsidR="00EF4CB3" w:rsidRPr="00653BF6" w:rsidDel="00A66FF1" w:rsidRDefault="00D10578" w:rsidP="007F23EE">
      <w:pPr>
        <w:keepNext/>
        <w:keepLines/>
        <w:ind w:left="567" w:hanging="567"/>
        <w:rPr>
          <w:del w:id="191" w:author="Author"/>
          <w:rFonts w:ascii="Times New Roman" w:hAnsi="Times New Roman"/>
          <w:color w:val="000000"/>
          <w:szCs w:val="22"/>
        </w:rPr>
      </w:pPr>
      <w:del w:id="192" w:author="Author">
        <w:r w:rsidRPr="00653BF6" w:rsidDel="00A66FF1">
          <w:rPr>
            <w:rFonts w:ascii="Times New Roman" w:hAnsi="Times New Roman"/>
            <w:color w:val="000000"/>
            <w:szCs w:val="22"/>
          </w:rPr>
          <w:delText>10</w:delText>
        </w:r>
        <w:r w:rsidR="00EF4CB3" w:rsidRPr="00653BF6" w:rsidDel="00A66FF1">
          <w:rPr>
            <w:rFonts w:ascii="Times New Roman" w:hAnsi="Times New Roman"/>
            <w:color w:val="000000"/>
            <w:szCs w:val="22"/>
          </w:rPr>
          <w:tab/>
          <w:delText>Les douleurs musculosquelettiques et les effets reliés à ces douleurs ont été plus fréquemment observés chez les patients atteints de LMC que chez les patients atteints de GIST.</w:delText>
        </w:r>
      </w:del>
    </w:p>
    <w:p w14:paraId="1A1DD94D" w14:textId="500EDF60" w:rsidR="00A239AE" w:rsidRPr="00653BF6" w:rsidDel="00A66FF1" w:rsidRDefault="00D10578" w:rsidP="007F23EE">
      <w:pPr>
        <w:keepNext/>
        <w:ind w:left="567" w:hanging="567"/>
        <w:rPr>
          <w:del w:id="193" w:author="Author"/>
          <w:rFonts w:ascii="Times New Roman" w:hAnsi="Times New Roman"/>
          <w:color w:val="000000"/>
          <w:szCs w:val="22"/>
        </w:rPr>
      </w:pPr>
      <w:del w:id="194" w:author="Author">
        <w:r w:rsidRPr="00653BF6" w:rsidDel="00A66FF1">
          <w:rPr>
            <w:rFonts w:ascii="Times New Roman" w:hAnsi="Times New Roman"/>
            <w:color w:val="000000"/>
            <w:szCs w:val="22"/>
          </w:rPr>
          <w:delText>11</w:delText>
        </w:r>
        <w:r w:rsidR="00A239AE" w:rsidRPr="00653BF6" w:rsidDel="00A66FF1">
          <w:rPr>
            <w:rFonts w:ascii="Times New Roman" w:hAnsi="Times New Roman"/>
            <w:color w:val="000000"/>
            <w:szCs w:val="22"/>
          </w:rPr>
          <w:tab/>
          <w:delText>Des cas d’évolution fatale ont été rapportés chez des patients à un stade avancé de la maladie, présentant des infections sévères, des neutropénies sévères et d’autres troubles cliniques concomitants sévères.</w:delText>
        </w:r>
      </w:del>
    </w:p>
    <w:p w14:paraId="0BDC0DCE" w14:textId="37F16DE2" w:rsidR="00AF1BED" w:rsidRPr="00653BF6" w:rsidDel="00A66FF1" w:rsidRDefault="00AF1BED" w:rsidP="007F23EE">
      <w:pPr>
        <w:ind w:left="567" w:hanging="567"/>
        <w:rPr>
          <w:del w:id="195" w:author="Author"/>
          <w:rFonts w:ascii="Times New Roman" w:hAnsi="Times New Roman"/>
          <w:color w:val="000000"/>
          <w:szCs w:val="22"/>
        </w:rPr>
      </w:pPr>
      <w:del w:id="196" w:author="Author">
        <w:r w:rsidRPr="00653BF6" w:rsidDel="00A66FF1">
          <w:rPr>
            <w:rFonts w:ascii="Times New Roman" w:hAnsi="Times New Roman"/>
            <w:color w:val="000000"/>
            <w:szCs w:val="22"/>
          </w:rPr>
          <w:delText>12</w:delText>
        </w:r>
        <w:r w:rsidRPr="00653BF6" w:rsidDel="00A66FF1">
          <w:rPr>
            <w:rFonts w:ascii="Times New Roman" w:hAnsi="Times New Roman"/>
            <w:color w:val="000000"/>
            <w:szCs w:val="22"/>
          </w:rPr>
          <w:tab/>
          <w:delText>Y compris l’érythème noueux.</w:delText>
        </w:r>
      </w:del>
    </w:p>
    <w:p w14:paraId="06261453" w14:textId="77777777" w:rsidR="00EF4CB3" w:rsidRPr="00653BF6" w:rsidRDefault="00EF4CB3" w:rsidP="007F23EE">
      <w:pPr>
        <w:ind w:left="567" w:hanging="567"/>
        <w:rPr>
          <w:rFonts w:ascii="Times New Roman" w:hAnsi="Times New Roman"/>
          <w:color w:val="000000"/>
          <w:szCs w:val="22"/>
          <w:u w:val="single"/>
        </w:rPr>
      </w:pPr>
    </w:p>
    <w:p w14:paraId="7DE67436" w14:textId="24F130EE" w:rsidR="00EF4CB3" w:rsidRPr="00653BF6" w:rsidRDefault="00EF4CB3" w:rsidP="007F23EE">
      <w:pPr>
        <w:keepNext/>
        <w:rPr>
          <w:rFonts w:ascii="Times New Roman" w:hAnsi="Times New Roman"/>
          <w:color w:val="000000"/>
          <w:szCs w:val="22"/>
          <w:u w:val="single"/>
        </w:rPr>
      </w:pPr>
      <w:r w:rsidRPr="00653BF6">
        <w:rPr>
          <w:rFonts w:ascii="Times New Roman" w:hAnsi="Times New Roman"/>
          <w:color w:val="000000"/>
          <w:szCs w:val="22"/>
          <w:u w:val="single"/>
        </w:rPr>
        <w:t>Anomalies biologiques</w:t>
      </w:r>
    </w:p>
    <w:p w14:paraId="0FCE5332" w14:textId="77777777" w:rsidR="00A010F3" w:rsidRPr="00653BF6" w:rsidRDefault="00A010F3" w:rsidP="007F23EE">
      <w:pPr>
        <w:keepNext/>
        <w:rPr>
          <w:rFonts w:ascii="Times New Roman" w:hAnsi="Times New Roman"/>
          <w:color w:val="000000"/>
          <w:szCs w:val="22"/>
          <w:u w:val="single"/>
        </w:rPr>
      </w:pPr>
    </w:p>
    <w:p w14:paraId="0D054770" w14:textId="77777777" w:rsidR="00EF4CB3" w:rsidRPr="00653BF6" w:rsidRDefault="00EF4CB3" w:rsidP="007F23EE">
      <w:pPr>
        <w:keepNext/>
        <w:rPr>
          <w:rFonts w:ascii="Times New Roman" w:hAnsi="Times New Roman"/>
          <w:i/>
          <w:color w:val="000000"/>
          <w:szCs w:val="22"/>
          <w:u w:val="single"/>
        </w:rPr>
      </w:pPr>
      <w:r w:rsidRPr="00653BF6">
        <w:rPr>
          <w:rFonts w:ascii="Times New Roman" w:hAnsi="Times New Roman"/>
          <w:i/>
          <w:color w:val="000000"/>
          <w:szCs w:val="22"/>
          <w:u w:val="single"/>
        </w:rPr>
        <w:t>Paramètres hématologiques</w:t>
      </w:r>
    </w:p>
    <w:p w14:paraId="1E924511" w14:textId="63C46105" w:rsidR="00EF4CB3" w:rsidRPr="00653BF6" w:rsidRDefault="00EF4CB3" w:rsidP="007F23EE">
      <w:pPr>
        <w:rPr>
          <w:rFonts w:ascii="Times New Roman" w:hAnsi="Times New Roman"/>
          <w:color w:val="000000"/>
          <w:szCs w:val="22"/>
        </w:rPr>
      </w:pPr>
      <w:r w:rsidRPr="00653BF6">
        <w:rPr>
          <w:rFonts w:ascii="Times New Roman" w:hAnsi="Times New Roman"/>
          <w:color w:val="000000"/>
          <w:szCs w:val="22"/>
        </w:rPr>
        <w:t xml:space="preserve">Dans les LMC, des cytopénies, en particulier des neutropénies et des thrombopénies, ont été régulièrement rapportées dans toutes les études cliniques avec une fréquence plus élevée aux fortes doses </w:t>
      </w:r>
      <w:r w:rsidRPr="00653BF6">
        <w:rPr>
          <w:rFonts w:ascii="Times New Roman" w:hAnsi="Times New Roman"/>
          <w:color w:val="000000"/>
          <w:szCs w:val="22"/>
        </w:rPr>
        <w:sym w:font="Symbol" w:char="F0B3"/>
      </w:r>
      <w:r w:rsidRPr="00653BF6">
        <w:rPr>
          <w:rFonts w:ascii="Times New Roman" w:hAnsi="Times New Roman"/>
          <w:color w:val="000000"/>
          <w:szCs w:val="22"/>
        </w:rPr>
        <w:t> 750 mg (étude de phase I). Cependant, la survenue des cytopénies dépendait aussi nettement du stade de la maladie : la fréquence des neutropénies et des thrombopénies de grade 3 ou 4 (PN &lt; 1,0 x 10</w:t>
      </w:r>
      <w:r w:rsidRPr="00653BF6">
        <w:rPr>
          <w:rFonts w:ascii="Times New Roman" w:hAnsi="Times New Roman"/>
          <w:color w:val="000000"/>
          <w:szCs w:val="22"/>
          <w:vertAlign w:val="superscript"/>
        </w:rPr>
        <w:t>9</w:t>
      </w:r>
      <w:r w:rsidRPr="00653BF6">
        <w:rPr>
          <w:rFonts w:ascii="Times New Roman" w:hAnsi="Times New Roman"/>
          <w:color w:val="000000"/>
          <w:szCs w:val="22"/>
        </w:rPr>
        <w:t>/</w:t>
      </w:r>
      <w:ins w:id="197" w:author="Author">
        <w:r w:rsidR="00503B83" w:rsidRPr="00653BF6">
          <w:rPr>
            <w:rFonts w:ascii="Times New Roman" w:hAnsi="Times New Roman"/>
            <w:color w:val="000000"/>
            <w:szCs w:val="22"/>
          </w:rPr>
          <w:t>L</w:t>
        </w:r>
      </w:ins>
      <w:del w:id="198" w:author="Author">
        <w:r w:rsidRPr="00653BF6" w:rsidDel="00503B83">
          <w:rPr>
            <w:rFonts w:ascii="Times New Roman" w:hAnsi="Times New Roman"/>
            <w:color w:val="000000"/>
            <w:szCs w:val="22"/>
          </w:rPr>
          <w:delText>l</w:delText>
        </w:r>
      </w:del>
      <w:r w:rsidRPr="00653BF6">
        <w:rPr>
          <w:rFonts w:ascii="Times New Roman" w:hAnsi="Times New Roman"/>
          <w:color w:val="000000"/>
          <w:szCs w:val="22"/>
        </w:rPr>
        <w:t> ; taux de plaquettes &lt; 50 x 10</w:t>
      </w:r>
      <w:r w:rsidRPr="00653BF6">
        <w:rPr>
          <w:rFonts w:ascii="Times New Roman" w:hAnsi="Times New Roman"/>
          <w:color w:val="000000"/>
          <w:szCs w:val="22"/>
          <w:vertAlign w:val="superscript"/>
        </w:rPr>
        <w:t>9</w:t>
      </w:r>
      <w:r w:rsidRPr="00653BF6">
        <w:rPr>
          <w:rFonts w:ascii="Times New Roman" w:hAnsi="Times New Roman"/>
          <w:color w:val="000000"/>
          <w:szCs w:val="22"/>
        </w:rPr>
        <w:t>/</w:t>
      </w:r>
      <w:ins w:id="199" w:author="Author">
        <w:r w:rsidR="00503B83" w:rsidRPr="00653BF6">
          <w:rPr>
            <w:rFonts w:ascii="Times New Roman" w:hAnsi="Times New Roman"/>
            <w:color w:val="000000"/>
            <w:szCs w:val="22"/>
          </w:rPr>
          <w:t>L</w:t>
        </w:r>
      </w:ins>
      <w:del w:id="200" w:author="Author">
        <w:r w:rsidRPr="00653BF6" w:rsidDel="00503B83">
          <w:rPr>
            <w:rFonts w:ascii="Times New Roman" w:hAnsi="Times New Roman"/>
            <w:color w:val="000000"/>
            <w:szCs w:val="22"/>
          </w:rPr>
          <w:delText>l</w:delText>
        </w:r>
      </w:del>
      <w:r w:rsidRPr="00653BF6">
        <w:rPr>
          <w:rFonts w:ascii="Times New Roman" w:hAnsi="Times New Roman"/>
          <w:color w:val="000000"/>
          <w:szCs w:val="22"/>
        </w:rPr>
        <w:t>) étant 4 à 6 fois plus élevée dans les LMC en crise blastique ou en phase accélérée (respectivement 59–64% pour les neutropénies et 44–63% pour les thrombopénies) que dans les LMC en phase chronique nouvellement diagnostiquées (16,7% de neutropénie et 8,9% de thrombopénie). Dans les LMC en phase chronique nouvellement diagnostiquées, les neutropénies et les thrombopénies de grade 4 (PN&lt; 0,5 x 10</w:t>
      </w:r>
      <w:r w:rsidRPr="00653BF6">
        <w:rPr>
          <w:rFonts w:ascii="Times New Roman" w:hAnsi="Times New Roman"/>
          <w:color w:val="000000"/>
          <w:szCs w:val="22"/>
          <w:vertAlign w:val="superscript"/>
        </w:rPr>
        <w:t>9</w:t>
      </w:r>
      <w:r w:rsidRPr="00653BF6">
        <w:rPr>
          <w:rFonts w:ascii="Times New Roman" w:hAnsi="Times New Roman"/>
          <w:color w:val="000000"/>
          <w:szCs w:val="22"/>
        </w:rPr>
        <w:t>/</w:t>
      </w:r>
      <w:ins w:id="201" w:author="Author">
        <w:r w:rsidR="00503B83" w:rsidRPr="00653BF6">
          <w:rPr>
            <w:rFonts w:ascii="Times New Roman" w:hAnsi="Times New Roman"/>
            <w:color w:val="000000"/>
            <w:szCs w:val="22"/>
          </w:rPr>
          <w:t>L</w:t>
        </w:r>
      </w:ins>
      <w:del w:id="202" w:author="Author">
        <w:r w:rsidRPr="00653BF6" w:rsidDel="00503B83">
          <w:rPr>
            <w:rFonts w:ascii="Times New Roman" w:hAnsi="Times New Roman"/>
            <w:color w:val="000000"/>
            <w:szCs w:val="22"/>
          </w:rPr>
          <w:delText>l</w:delText>
        </w:r>
      </w:del>
      <w:r w:rsidRPr="00653BF6">
        <w:rPr>
          <w:rFonts w:ascii="Times New Roman" w:hAnsi="Times New Roman"/>
          <w:color w:val="000000"/>
          <w:szCs w:val="22"/>
        </w:rPr>
        <w:t> ; plaquettes &lt; 10 x 10</w:t>
      </w:r>
      <w:r w:rsidRPr="00653BF6">
        <w:rPr>
          <w:rFonts w:ascii="Times New Roman" w:hAnsi="Times New Roman"/>
          <w:color w:val="000000"/>
          <w:szCs w:val="22"/>
          <w:vertAlign w:val="superscript"/>
        </w:rPr>
        <w:t>9</w:t>
      </w:r>
      <w:r w:rsidRPr="00653BF6">
        <w:rPr>
          <w:rFonts w:ascii="Times New Roman" w:hAnsi="Times New Roman"/>
          <w:color w:val="000000"/>
          <w:szCs w:val="22"/>
        </w:rPr>
        <w:t>/</w:t>
      </w:r>
      <w:ins w:id="203" w:author="Author">
        <w:r w:rsidR="00503B83" w:rsidRPr="00653BF6">
          <w:rPr>
            <w:rFonts w:ascii="Times New Roman" w:hAnsi="Times New Roman"/>
            <w:color w:val="000000"/>
            <w:szCs w:val="22"/>
          </w:rPr>
          <w:t>L</w:t>
        </w:r>
      </w:ins>
      <w:del w:id="204" w:author="Author">
        <w:r w:rsidRPr="00653BF6" w:rsidDel="00503B83">
          <w:rPr>
            <w:rFonts w:ascii="Times New Roman" w:hAnsi="Times New Roman"/>
            <w:color w:val="000000"/>
            <w:szCs w:val="22"/>
          </w:rPr>
          <w:delText>l</w:delText>
        </w:r>
      </w:del>
      <w:r w:rsidRPr="00653BF6">
        <w:rPr>
          <w:rFonts w:ascii="Times New Roman" w:hAnsi="Times New Roman"/>
          <w:color w:val="000000"/>
          <w:szCs w:val="22"/>
        </w:rPr>
        <w:t>) ont été observées chez 3,6% et &lt; 1% des patients respectivement. La durée médiane des épisodes de neutropénie est habituellement de l’ordre de 2 à 3 semaines, et de 3 à 4 semaines pour les épisodes de thrombopénie. Ces événements peuvent être habituellement contrôlés soit par une réduction de la dose soit par une interruption du traitement par Glivec, mais peuvent dans de rares cas conduire à une interruption définitive du traitement. En pédiatrie, chez les enfants atteints de LMC, les toxicités les plus fréquemment observées étaient des cytopénies de grade 3 ou 4 incluant des neutropénies, des thrombocytopénies et des anémies. Elles surviennent principalement dans les premiers mois de traitement.</w:t>
      </w:r>
    </w:p>
    <w:p w14:paraId="6C706B8C" w14:textId="77777777" w:rsidR="00EF4CB3" w:rsidRPr="00653BF6" w:rsidRDefault="00EF4CB3" w:rsidP="007F23EE">
      <w:pPr>
        <w:rPr>
          <w:rFonts w:ascii="Times New Roman" w:hAnsi="Times New Roman"/>
          <w:color w:val="000000"/>
          <w:szCs w:val="22"/>
        </w:rPr>
      </w:pPr>
    </w:p>
    <w:p w14:paraId="2FDAD9EA" w14:textId="33E8DCD0" w:rsidR="00EF4CB3" w:rsidRPr="00653BF6" w:rsidRDefault="00EF4CB3" w:rsidP="007F23EE">
      <w:pPr>
        <w:pStyle w:val="paragraphSIF"/>
        <w:tabs>
          <w:tab w:val="clear" w:pos="-720"/>
        </w:tabs>
        <w:jc w:val="left"/>
        <w:rPr>
          <w:color w:val="000000"/>
          <w:szCs w:val="22"/>
          <w:lang w:val="fr-FR"/>
        </w:rPr>
      </w:pPr>
      <w:r w:rsidRPr="00653BF6">
        <w:rPr>
          <w:color w:val="000000"/>
          <w:szCs w:val="22"/>
          <w:lang w:val="fr-FR"/>
        </w:rPr>
        <w:lastRenderedPageBreak/>
        <w:t>Dans l’étude menée chez des patients atteints de GIST non r</w:t>
      </w:r>
      <w:r w:rsidR="009A7FB9" w:rsidRPr="00653BF6">
        <w:rPr>
          <w:color w:val="000000"/>
          <w:szCs w:val="22"/>
          <w:lang w:val="fr-FR"/>
        </w:rPr>
        <w:t>é</w:t>
      </w:r>
      <w:r w:rsidRPr="00653BF6">
        <w:rPr>
          <w:color w:val="000000"/>
          <w:szCs w:val="22"/>
          <w:lang w:val="fr-FR"/>
        </w:rPr>
        <w:t xml:space="preserve">sécables et/ou métastatiques, une anémie de grade 3 ou </w:t>
      </w:r>
      <w:smartTag w:uri="urn:schemas-microsoft-com:office:smarttags" w:element="metricconverter">
        <w:smartTagPr>
          <w:attr w:name="ProductID" w:val="4 a"/>
        </w:smartTagPr>
        <w:r w:rsidRPr="00653BF6">
          <w:rPr>
            <w:color w:val="000000"/>
            <w:szCs w:val="22"/>
            <w:lang w:val="fr-FR"/>
          </w:rPr>
          <w:t>4 a</w:t>
        </w:r>
      </w:smartTag>
      <w:r w:rsidRPr="00653BF6">
        <w:rPr>
          <w:color w:val="000000"/>
          <w:szCs w:val="22"/>
          <w:lang w:val="fr-FR"/>
        </w:rPr>
        <w:t xml:space="preserve"> été rapportée respectivement chez 5,4% et 0,7% des patients. Ces cas d</w:t>
      </w:r>
      <w:r w:rsidR="00813A7A">
        <w:rPr>
          <w:color w:val="000000"/>
          <w:szCs w:val="22"/>
          <w:lang w:val="fr-FR"/>
        </w:rPr>
        <w:t>’</w:t>
      </w:r>
      <w:r w:rsidRPr="00653BF6">
        <w:rPr>
          <w:color w:val="000000"/>
          <w:szCs w:val="22"/>
          <w:lang w:val="fr-FR"/>
        </w:rPr>
        <w:t>anémies pouvaient être liés à un saignement gastro-intestinal ou intra-tumoral, au moins chez certains de ces patients. Des neutropénies de grade 3 ou 4 ont été rapportées respectivement 7,5% et 2,7% chez des patients et une thrombopénie de grade 3 chez 0,7% des patients. Aucun patient n</w:t>
      </w:r>
      <w:r w:rsidR="00813A7A">
        <w:rPr>
          <w:color w:val="000000"/>
          <w:szCs w:val="22"/>
          <w:lang w:val="fr-FR"/>
        </w:rPr>
        <w:t>’</w:t>
      </w:r>
      <w:r w:rsidRPr="00653BF6">
        <w:rPr>
          <w:color w:val="000000"/>
          <w:szCs w:val="22"/>
          <w:lang w:val="fr-FR"/>
        </w:rPr>
        <w:t>a développé de thrombopénie de grade 4. Des diminutions du nombre de leucocytes et de neutrophiles ont principalement été observées au cours des six premières semaines du traitement, les valeurs demeurant relativement stables par la suite.</w:t>
      </w:r>
    </w:p>
    <w:p w14:paraId="79E6A9D1" w14:textId="77777777" w:rsidR="00EF4CB3" w:rsidRPr="00653BF6" w:rsidRDefault="00EF4CB3" w:rsidP="007F23EE">
      <w:pPr>
        <w:rPr>
          <w:rFonts w:ascii="Times New Roman" w:hAnsi="Times New Roman"/>
          <w:color w:val="000000"/>
          <w:szCs w:val="22"/>
        </w:rPr>
      </w:pPr>
    </w:p>
    <w:p w14:paraId="210D9F87" w14:textId="77777777" w:rsidR="00EF4CB3" w:rsidRPr="00653BF6" w:rsidRDefault="00EF4CB3" w:rsidP="007F23EE">
      <w:pPr>
        <w:keepNext/>
        <w:rPr>
          <w:rFonts w:ascii="Times New Roman" w:hAnsi="Times New Roman"/>
          <w:i/>
          <w:color w:val="000000"/>
          <w:szCs w:val="22"/>
          <w:u w:val="single"/>
        </w:rPr>
      </w:pPr>
      <w:r w:rsidRPr="00653BF6">
        <w:rPr>
          <w:rFonts w:ascii="Times New Roman" w:hAnsi="Times New Roman"/>
          <w:i/>
          <w:color w:val="000000"/>
          <w:szCs w:val="22"/>
          <w:u w:val="single"/>
        </w:rPr>
        <w:t>Paramètres biochimiques</w:t>
      </w:r>
    </w:p>
    <w:p w14:paraId="22ADC766" w14:textId="77777777" w:rsidR="00EF4CB3" w:rsidRPr="00653BF6" w:rsidRDefault="00EF4CB3" w:rsidP="007F23EE">
      <w:pPr>
        <w:rPr>
          <w:rFonts w:ascii="Times New Roman" w:hAnsi="Times New Roman"/>
          <w:color w:val="000000"/>
          <w:szCs w:val="22"/>
        </w:rPr>
      </w:pPr>
      <w:r w:rsidRPr="00653BF6">
        <w:rPr>
          <w:rFonts w:ascii="Times New Roman" w:hAnsi="Times New Roman"/>
          <w:color w:val="000000"/>
          <w:szCs w:val="22"/>
        </w:rPr>
        <w:t>Des augmentations importantes des transaminases (&lt; 5%) ou de la bilirubine (&lt; 1%) ont été observées chez des patients atteints de LMC et ont été habituellement contrôlées par une réduction de la dose ou une interruption du traitement (la durée médiane de ces épisodes était d’environ une semaine). Le traitement a été interrompu définitivement en raison d’anomalies biologiques hépatiques chez moins de 1% des patients atteints de LMC. Chez les patients atteints de GIST (étude B2222), on a observé 6,8% d’augmentations de grade 3 à 4 des ALAT (alanine aminotransférase) et 4,8% d’augmentations de grade 3 à 4 des ASAT (aspartate aminotransférase). L’augmentation de la bilirubine était inférieure à 3%.</w:t>
      </w:r>
    </w:p>
    <w:p w14:paraId="7FC76739" w14:textId="77777777" w:rsidR="00EF4CB3" w:rsidRPr="00653BF6" w:rsidRDefault="00EF4CB3" w:rsidP="007F23EE">
      <w:pPr>
        <w:rPr>
          <w:rFonts w:ascii="Times New Roman" w:hAnsi="Times New Roman"/>
          <w:color w:val="000000"/>
          <w:szCs w:val="22"/>
        </w:rPr>
      </w:pPr>
    </w:p>
    <w:p w14:paraId="1FCFE760" w14:textId="77777777" w:rsidR="00EF4CB3" w:rsidRPr="00653BF6" w:rsidRDefault="00EF4CB3" w:rsidP="007F23EE">
      <w:pPr>
        <w:rPr>
          <w:rFonts w:ascii="Times New Roman" w:hAnsi="Times New Roman"/>
          <w:color w:val="000000"/>
          <w:szCs w:val="22"/>
        </w:rPr>
      </w:pPr>
      <w:r w:rsidRPr="00653BF6">
        <w:rPr>
          <w:rFonts w:ascii="Times New Roman" w:hAnsi="Times New Roman"/>
          <w:color w:val="000000"/>
          <w:szCs w:val="22"/>
        </w:rPr>
        <w:t>Il y a eu des cas d’hépatite cytolytique et cholestatique et de défaillance hépatique. Dans certains cas l’issue fut fatale, notamment pour un patient sous dose élevée de paracétamol.</w:t>
      </w:r>
    </w:p>
    <w:p w14:paraId="05EC167C" w14:textId="77777777" w:rsidR="00A802CA" w:rsidRPr="00653BF6" w:rsidRDefault="00A802CA" w:rsidP="007F23EE">
      <w:pPr>
        <w:rPr>
          <w:rFonts w:ascii="Times New Roman" w:hAnsi="Times New Roman"/>
          <w:color w:val="000000"/>
          <w:szCs w:val="22"/>
        </w:rPr>
      </w:pPr>
    </w:p>
    <w:p w14:paraId="4D2746E6" w14:textId="716BE818" w:rsidR="00A802CA" w:rsidRPr="00653BF6" w:rsidRDefault="00A802CA" w:rsidP="007F23EE">
      <w:pPr>
        <w:keepNext/>
        <w:rPr>
          <w:rFonts w:ascii="Times New Roman" w:hAnsi="Times New Roman"/>
          <w:u w:val="single"/>
        </w:rPr>
      </w:pPr>
      <w:r w:rsidRPr="00653BF6">
        <w:rPr>
          <w:rFonts w:ascii="Times New Roman" w:hAnsi="Times New Roman"/>
          <w:u w:val="single"/>
        </w:rPr>
        <w:t>Description de certains effets indésirables</w:t>
      </w:r>
    </w:p>
    <w:p w14:paraId="53B3E69D" w14:textId="77777777" w:rsidR="00A010F3" w:rsidRPr="00653BF6" w:rsidRDefault="00A010F3" w:rsidP="007F23EE">
      <w:pPr>
        <w:keepNext/>
        <w:rPr>
          <w:rFonts w:ascii="Times New Roman" w:hAnsi="Times New Roman"/>
          <w:u w:val="single"/>
        </w:rPr>
      </w:pPr>
    </w:p>
    <w:p w14:paraId="76D7B3B4" w14:textId="5BB4A924" w:rsidR="00A802CA" w:rsidRPr="00653BF6" w:rsidRDefault="00A802CA" w:rsidP="007F23EE">
      <w:pPr>
        <w:keepNext/>
        <w:rPr>
          <w:rFonts w:ascii="Times New Roman" w:hAnsi="Times New Roman"/>
          <w:i/>
          <w:u w:val="single"/>
        </w:rPr>
      </w:pPr>
      <w:r w:rsidRPr="00653BF6">
        <w:rPr>
          <w:rFonts w:ascii="Times New Roman" w:hAnsi="Times New Roman"/>
          <w:i/>
          <w:u w:val="single"/>
        </w:rPr>
        <w:t>Réactivation de l</w:t>
      </w:r>
      <w:r w:rsidR="00813A7A">
        <w:rPr>
          <w:rFonts w:ascii="Times New Roman" w:hAnsi="Times New Roman"/>
          <w:i/>
          <w:u w:val="single"/>
        </w:rPr>
        <w:t>’</w:t>
      </w:r>
      <w:r w:rsidRPr="00653BF6">
        <w:rPr>
          <w:rFonts w:ascii="Times New Roman" w:hAnsi="Times New Roman"/>
          <w:i/>
          <w:u w:val="single"/>
        </w:rPr>
        <w:t>hépatite B</w:t>
      </w:r>
    </w:p>
    <w:p w14:paraId="4C15EB8A" w14:textId="77777777" w:rsidR="00A802CA" w:rsidRPr="00653BF6" w:rsidRDefault="00A802CA" w:rsidP="007F23EE">
      <w:pPr>
        <w:rPr>
          <w:rFonts w:ascii="Times New Roman" w:hAnsi="Times New Roman"/>
          <w:color w:val="000000"/>
          <w:szCs w:val="22"/>
        </w:rPr>
      </w:pPr>
      <w:r w:rsidRPr="00653BF6">
        <w:rPr>
          <w:rFonts w:ascii="Times New Roman" w:hAnsi="Times New Roman"/>
        </w:rPr>
        <w:t>Des cas de réactivation du virus de l’hépatite B ont été rapportés chez des patients traités par des inhibiteurs de la tyrosine kinase BCR-ABL. Certains de ces cas ont évolué vers une insuffisance hépatique aiguë ou une hépatite fulminante requérant une transplantation hépatique ou dont l’issue a été fatale (voir rubrique</w:t>
      </w:r>
      <w:r w:rsidR="005964B1" w:rsidRPr="00653BF6">
        <w:rPr>
          <w:rFonts w:ascii="Times New Roman" w:hAnsi="Times New Roman"/>
        </w:rPr>
        <w:t> </w:t>
      </w:r>
      <w:r w:rsidRPr="00653BF6">
        <w:rPr>
          <w:rFonts w:ascii="Times New Roman" w:hAnsi="Times New Roman"/>
        </w:rPr>
        <w:t>4.4).</w:t>
      </w:r>
    </w:p>
    <w:p w14:paraId="7FF9DD61" w14:textId="77777777" w:rsidR="00EF4CB3" w:rsidRPr="00653BF6" w:rsidRDefault="00EF4CB3" w:rsidP="007F23EE">
      <w:pPr>
        <w:rPr>
          <w:rFonts w:ascii="Times New Roman" w:hAnsi="Times New Roman"/>
          <w:color w:val="000000"/>
          <w:szCs w:val="22"/>
        </w:rPr>
      </w:pPr>
    </w:p>
    <w:p w14:paraId="2FAEC0AF" w14:textId="37A305A7" w:rsidR="00EF4CB3" w:rsidRPr="00653BF6" w:rsidRDefault="00EF4CB3" w:rsidP="007F23EE">
      <w:pPr>
        <w:keepNext/>
        <w:autoSpaceDE w:val="0"/>
        <w:autoSpaceDN w:val="0"/>
        <w:adjustRightInd w:val="0"/>
        <w:jc w:val="both"/>
        <w:rPr>
          <w:rFonts w:ascii="Times New Roman" w:hAnsi="Times New Roman"/>
          <w:szCs w:val="22"/>
          <w:u w:val="single"/>
        </w:rPr>
      </w:pPr>
      <w:r w:rsidRPr="00653BF6">
        <w:rPr>
          <w:rFonts w:ascii="Times New Roman" w:hAnsi="Times New Roman"/>
          <w:szCs w:val="22"/>
          <w:u w:val="single"/>
        </w:rPr>
        <w:t>Déclaration des effets indésirables suspectés</w:t>
      </w:r>
    </w:p>
    <w:p w14:paraId="041CB1BC" w14:textId="77777777" w:rsidR="00A010F3" w:rsidRPr="00653BF6" w:rsidRDefault="00A010F3" w:rsidP="007F23EE">
      <w:pPr>
        <w:keepNext/>
        <w:autoSpaceDE w:val="0"/>
        <w:autoSpaceDN w:val="0"/>
        <w:adjustRightInd w:val="0"/>
        <w:jc w:val="both"/>
        <w:rPr>
          <w:rFonts w:ascii="Times New Roman" w:hAnsi="Times New Roman"/>
          <w:szCs w:val="22"/>
          <w:u w:val="single"/>
        </w:rPr>
      </w:pPr>
    </w:p>
    <w:p w14:paraId="5E22C985" w14:textId="4741919D" w:rsidR="00EF4CB3" w:rsidRPr="00653BF6" w:rsidRDefault="00EF4CB3" w:rsidP="007F23EE">
      <w:pPr>
        <w:rPr>
          <w:rFonts w:ascii="Times New Roman" w:hAnsi="Times New Roman"/>
          <w:color w:val="000000"/>
          <w:szCs w:val="22"/>
        </w:rPr>
      </w:pPr>
      <w:r w:rsidRPr="00653BF6">
        <w:rPr>
          <w:rFonts w:ascii="Times New Roman" w:hAnsi="Times New Roman"/>
          <w:szCs w:val="22"/>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w:t>
      </w:r>
      <w:r w:rsidRPr="00653BF6">
        <w:rPr>
          <w:rFonts w:ascii="Times New Roman" w:hAnsi="Times New Roman"/>
          <w:szCs w:val="22"/>
          <w:shd w:val="clear" w:color="auto" w:fill="D9D9D9" w:themeFill="background1" w:themeFillShade="D9"/>
        </w:rPr>
        <w:t xml:space="preserve">via le système national de déclaration – voir </w:t>
      </w:r>
      <w:r w:rsidRPr="00653BF6">
        <w:fldChar w:fldCharType="begin"/>
      </w:r>
      <w:ins w:id="205" w:author="Author">
        <w:r w:rsidR="00450D73" w:rsidRPr="00653BF6">
          <w:instrText>HYPERLINK "https://www.ema.europa.eu/documents/template-form/qrd-appendix-v-adverse-drug-reaction-reporting-details_en.docx"</w:instrText>
        </w:r>
      </w:ins>
      <w:del w:id="206" w:author="Author">
        <w:r w:rsidRPr="00653BF6" w:rsidDel="00450D73">
          <w:delInstrText>HYPERLINK "http://www.ema.europa.eu/docs/en_GB/document_library/Template_or_form/2013/03/WC500139752.doc"</w:delInstrText>
        </w:r>
      </w:del>
      <w:r w:rsidRPr="00653BF6">
        <w:fldChar w:fldCharType="separate"/>
      </w:r>
      <w:r w:rsidRPr="00653BF6">
        <w:rPr>
          <w:rStyle w:val="Hyperlink"/>
          <w:rFonts w:ascii="Times New Roman" w:hAnsi="Times New Roman"/>
          <w:szCs w:val="22"/>
          <w:shd w:val="clear" w:color="auto" w:fill="D9D9D9" w:themeFill="background1" w:themeFillShade="D9"/>
        </w:rPr>
        <w:t>Annexe V</w:t>
      </w:r>
      <w:r w:rsidRPr="00653BF6">
        <w:fldChar w:fldCharType="end"/>
      </w:r>
      <w:r w:rsidRPr="007F23EE">
        <w:rPr>
          <w:rFonts w:ascii="Times New Roman" w:hAnsi="Times New Roman"/>
          <w:szCs w:val="22"/>
        </w:rPr>
        <w:t>.</w:t>
      </w:r>
    </w:p>
    <w:p w14:paraId="7799EC3F" w14:textId="77777777" w:rsidR="00EF4CB3" w:rsidRPr="00653BF6" w:rsidRDefault="00EF4CB3" w:rsidP="007F23EE">
      <w:pPr>
        <w:ind w:left="567" w:hanging="567"/>
        <w:rPr>
          <w:rFonts w:ascii="Times New Roman" w:hAnsi="Times New Roman"/>
          <w:color w:val="000000"/>
          <w:szCs w:val="22"/>
        </w:rPr>
      </w:pPr>
    </w:p>
    <w:p w14:paraId="67093388" w14:textId="77777777" w:rsidR="00EF4CB3" w:rsidRPr="00653BF6" w:rsidRDefault="00EF4CB3" w:rsidP="007F23EE">
      <w:pPr>
        <w:keepNext/>
        <w:ind w:left="567" w:hanging="567"/>
        <w:rPr>
          <w:rFonts w:ascii="Times New Roman" w:hAnsi="Times New Roman"/>
          <w:color w:val="000000"/>
          <w:szCs w:val="22"/>
        </w:rPr>
      </w:pPr>
      <w:r w:rsidRPr="00653BF6">
        <w:rPr>
          <w:rFonts w:ascii="Times New Roman" w:hAnsi="Times New Roman"/>
          <w:b/>
          <w:color w:val="000000"/>
          <w:szCs w:val="22"/>
        </w:rPr>
        <w:t>4.9</w:t>
      </w:r>
      <w:r w:rsidRPr="00653BF6">
        <w:rPr>
          <w:rFonts w:ascii="Times New Roman" w:hAnsi="Times New Roman"/>
          <w:b/>
          <w:color w:val="000000"/>
          <w:szCs w:val="22"/>
        </w:rPr>
        <w:tab/>
        <w:t>Surdosage</w:t>
      </w:r>
    </w:p>
    <w:p w14:paraId="670AD1FA" w14:textId="77777777" w:rsidR="00EF4CB3" w:rsidRPr="00653BF6" w:rsidRDefault="00EF4CB3" w:rsidP="007F23EE">
      <w:pPr>
        <w:keepNext/>
        <w:rPr>
          <w:rFonts w:ascii="Times New Roman" w:hAnsi="Times New Roman"/>
          <w:color w:val="000000"/>
          <w:szCs w:val="22"/>
        </w:rPr>
      </w:pPr>
    </w:p>
    <w:p w14:paraId="25266167" w14:textId="634984F1" w:rsidR="00EF4CB3" w:rsidRPr="00653BF6" w:rsidRDefault="00EF4CB3" w:rsidP="007F23EE">
      <w:pPr>
        <w:pStyle w:val="EndnoteText"/>
        <w:keepNext/>
        <w:tabs>
          <w:tab w:val="clear" w:pos="567"/>
        </w:tabs>
        <w:rPr>
          <w:color w:val="000000"/>
          <w:szCs w:val="22"/>
          <w:lang w:val="fr-FR"/>
        </w:rPr>
      </w:pPr>
      <w:r w:rsidRPr="00653BF6">
        <w:rPr>
          <w:color w:val="000000"/>
          <w:szCs w:val="22"/>
          <w:lang w:val="fr-FR"/>
        </w:rPr>
        <w:t>L’expérience avec des doses supérieures aux doses thérapeutiques recommandées est limitée. Des cas spontanés de surdosage avec Glivec ont été rapportés et publiés dans la littérature. En cas de surdosage, le patient doit être surveillé et un traitement symptomatique approprié doit lui être administré. L’évolution rapportée de ces cas était une « amélioration » ou un « rétablissement ».</w:t>
      </w:r>
      <w:ins w:id="207" w:author="Author">
        <w:r w:rsidR="008625C6" w:rsidRPr="00653BF6">
          <w:rPr>
            <w:color w:val="000000"/>
            <w:szCs w:val="22"/>
            <w:lang w:val="fr-FR"/>
          </w:rPr>
          <w:t xml:space="preserve"> </w:t>
        </w:r>
      </w:ins>
      <w:r w:rsidRPr="00653BF6">
        <w:rPr>
          <w:color w:val="000000"/>
          <w:szCs w:val="22"/>
          <w:lang w:val="fr-FR"/>
        </w:rPr>
        <w:t>Les événements qui ont été rapportés à des doses différentes sont les suivants :</w:t>
      </w:r>
    </w:p>
    <w:p w14:paraId="4C737061" w14:textId="77777777" w:rsidR="00EF4CB3" w:rsidRPr="00653BF6" w:rsidRDefault="00EF4CB3" w:rsidP="007F23EE">
      <w:pPr>
        <w:pStyle w:val="EndnoteText"/>
        <w:keepNext/>
        <w:tabs>
          <w:tab w:val="clear" w:pos="567"/>
        </w:tabs>
        <w:rPr>
          <w:color w:val="000000"/>
          <w:szCs w:val="22"/>
          <w:lang w:val="fr-FR"/>
        </w:rPr>
      </w:pPr>
    </w:p>
    <w:p w14:paraId="03AB096A" w14:textId="5BDB3982" w:rsidR="00EF4CB3" w:rsidRPr="00653BF6" w:rsidRDefault="00EF4CB3" w:rsidP="007F23EE">
      <w:pPr>
        <w:pStyle w:val="EndnoteText"/>
        <w:keepNext/>
        <w:tabs>
          <w:tab w:val="clear" w:pos="567"/>
        </w:tabs>
        <w:rPr>
          <w:color w:val="000000"/>
          <w:szCs w:val="22"/>
          <w:u w:val="single"/>
          <w:lang w:val="fr-FR"/>
        </w:rPr>
      </w:pPr>
      <w:r w:rsidRPr="00653BF6">
        <w:rPr>
          <w:color w:val="000000"/>
          <w:szCs w:val="22"/>
          <w:u w:val="single"/>
          <w:lang w:val="fr-FR"/>
        </w:rPr>
        <w:t>Population adulte</w:t>
      </w:r>
    </w:p>
    <w:p w14:paraId="043A239F" w14:textId="77777777" w:rsidR="00A010F3" w:rsidRPr="00653BF6" w:rsidRDefault="00A010F3" w:rsidP="007F23EE">
      <w:pPr>
        <w:pStyle w:val="EndnoteText"/>
        <w:keepNext/>
        <w:tabs>
          <w:tab w:val="clear" w:pos="567"/>
        </w:tabs>
        <w:rPr>
          <w:color w:val="000000"/>
          <w:szCs w:val="22"/>
          <w:u w:val="single"/>
          <w:lang w:val="fr-FR"/>
        </w:rPr>
      </w:pPr>
    </w:p>
    <w:p w14:paraId="5394E89F" w14:textId="2DCA8D52" w:rsidR="00EF4CB3" w:rsidRPr="00653BF6" w:rsidRDefault="00EF4CB3" w:rsidP="007F23EE">
      <w:pPr>
        <w:pStyle w:val="EndnoteText"/>
        <w:tabs>
          <w:tab w:val="clear" w:pos="567"/>
        </w:tabs>
        <w:rPr>
          <w:color w:val="000000"/>
          <w:szCs w:val="22"/>
          <w:lang w:val="fr-FR"/>
        </w:rPr>
      </w:pPr>
      <w:r w:rsidRPr="00653BF6">
        <w:rPr>
          <w:color w:val="000000"/>
          <w:szCs w:val="22"/>
          <w:lang w:val="fr-FR"/>
        </w:rPr>
        <w:t>1</w:t>
      </w:r>
      <w:ins w:id="208" w:author="Author">
        <w:r w:rsidR="00A66FF1" w:rsidRPr="00653BF6">
          <w:rPr>
            <w:color w:val="000000"/>
            <w:szCs w:val="22"/>
            <w:lang w:val="fr-FR"/>
          </w:rPr>
          <w:t> </w:t>
        </w:r>
      </w:ins>
      <w:r w:rsidRPr="00653BF6">
        <w:rPr>
          <w:color w:val="000000"/>
          <w:szCs w:val="22"/>
          <w:lang w:val="fr-FR"/>
        </w:rPr>
        <w:t>200 à 1</w:t>
      </w:r>
      <w:ins w:id="209" w:author="Author">
        <w:r w:rsidR="00A66FF1" w:rsidRPr="00653BF6">
          <w:rPr>
            <w:color w:val="000000"/>
            <w:szCs w:val="22"/>
            <w:lang w:val="fr-FR"/>
          </w:rPr>
          <w:t> </w:t>
        </w:r>
      </w:ins>
      <w:r w:rsidRPr="00653BF6">
        <w:rPr>
          <w:color w:val="000000"/>
          <w:szCs w:val="22"/>
          <w:lang w:val="fr-FR"/>
        </w:rPr>
        <w:t>600 mg (sur une durée allant de 1 à 10</w:t>
      </w:r>
      <w:ins w:id="210" w:author="Author">
        <w:r w:rsidR="00A66FF1" w:rsidRPr="00653BF6">
          <w:rPr>
            <w:color w:val="000000"/>
            <w:szCs w:val="22"/>
            <w:lang w:val="fr-FR"/>
          </w:rPr>
          <w:t> </w:t>
        </w:r>
      </w:ins>
      <w:del w:id="211" w:author="Author">
        <w:r w:rsidRPr="00653BF6" w:rsidDel="00A66FF1">
          <w:rPr>
            <w:color w:val="000000"/>
            <w:szCs w:val="22"/>
            <w:lang w:val="fr-FR"/>
          </w:rPr>
          <w:delText xml:space="preserve"> </w:delText>
        </w:r>
      </w:del>
      <w:r w:rsidRPr="00653BF6">
        <w:rPr>
          <w:color w:val="000000"/>
          <w:szCs w:val="22"/>
          <w:lang w:val="fr-FR"/>
        </w:rPr>
        <w:t>jours) : nausée, vomissements, diarrhées, rash, érythème, œdème, gonflement, fatigue, crampes musculaires, thrombopénie, pancytopénie, douleurs abdominales, céphalées, diminution de l’appétit.</w:t>
      </w:r>
    </w:p>
    <w:p w14:paraId="12ACEFAF" w14:textId="0D0D101E" w:rsidR="00EF4CB3" w:rsidRPr="00653BF6" w:rsidRDefault="00EF4CB3" w:rsidP="007F23EE">
      <w:pPr>
        <w:pStyle w:val="EndnoteText"/>
        <w:tabs>
          <w:tab w:val="clear" w:pos="567"/>
        </w:tabs>
        <w:rPr>
          <w:color w:val="000000"/>
          <w:szCs w:val="22"/>
          <w:lang w:val="fr-FR"/>
        </w:rPr>
      </w:pPr>
      <w:r w:rsidRPr="00653BF6">
        <w:rPr>
          <w:color w:val="000000"/>
          <w:szCs w:val="22"/>
          <w:lang w:val="fr-FR"/>
        </w:rPr>
        <w:t>1</w:t>
      </w:r>
      <w:ins w:id="212" w:author="Author">
        <w:r w:rsidR="00A66FF1" w:rsidRPr="00653BF6">
          <w:rPr>
            <w:color w:val="000000"/>
            <w:szCs w:val="22"/>
            <w:lang w:val="fr-FR"/>
          </w:rPr>
          <w:t> </w:t>
        </w:r>
      </w:ins>
      <w:r w:rsidRPr="00653BF6">
        <w:rPr>
          <w:color w:val="000000"/>
          <w:szCs w:val="22"/>
          <w:lang w:val="fr-FR"/>
        </w:rPr>
        <w:t>800 à 3</w:t>
      </w:r>
      <w:ins w:id="213" w:author="Author">
        <w:r w:rsidR="00A66FF1" w:rsidRPr="00653BF6">
          <w:rPr>
            <w:color w:val="000000"/>
            <w:szCs w:val="22"/>
            <w:lang w:val="fr-FR"/>
          </w:rPr>
          <w:t> </w:t>
        </w:r>
      </w:ins>
      <w:r w:rsidRPr="00653BF6">
        <w:rPr>
          <w:color w:val="000000"/>
          <w:szCs w:val="22"/>
          <w:lang w:val="fr-FR"/>
        </w:rPr>
        <w:t>200 mg (jusqu’à 3</w:t>
      </w:r>
      <w:ins w:id="214" w:author="Author">
        <w:r w:rsidR="00A66FF1" w:rsidRPr="00653BF6">
          <w:rPr>
            <w:color w:val="000000"/>
            <w:szCs w:val="22"/>
            <w:lang w:val="fr-FR"/>
          </w:rPr>
          <w:t> </w:t>
        </w:r>
      </w:ins>
      <w:r w:rsidRPr="00653BF6">
        <w:rPr>
          <w:color w:val="000000"/>
          <w:szCs w:val="22"/>
          <w:lang w:val="fr-FR"/>
        </w:rPr>
        <w:t>200 mg par jour pendant 6</w:t>
      </w:r>
      <w:ins w:id="215" w:author="Author">
        <w:r w:rsidR="00A66FF1" w:rsidRPr="00653BF6">
          <w:rPr>
            <w:color w:val="000000"/>
            <w:szCs w:val="22"/>
            <w:lang w:val="fr-FR"/>
          </w:rPr>
          <w:t> </w:t>
        </w:r>
      </w:ins>
      <w:del w:id="216" w:author="Author">
        <w:r w:rsidRPr="00653BF6" w:rsidDel="00A66FF1">
          <w:rPr>
            <w:color w:val="000000"/>
            <w:szCs w:val="22"/>
            <w:lang w:val="fr-FR"/>
          </w:rPr>
          <w:delText xml:space="preserve"> </w:delText>
        </w:r>
      </w:del>
      <w:r w:rsidRPr="00653BF6">
        <w:rPr>
          <w:color w:val="000000"/>
          <w:szCs w:val="22"/>
          <w:lang w:val="fr-FR"/>
        </w:rPr>
        <w:t>jours) : faiblesse, myalgie, taux de créatine-phosphokinase augmenté, taux de bilirubine augmenté, douleur gastro-intestinale.</w:t>
      </w:r>
    </w:p>
    <w:p w14:paraId="0F73D0D6" w14:textId="381FACC7" w:rsidR="00EF4CB3" w:rsidRPr="00653BF6" w:rsidRDefault="00EF4CB3" w:rsidP="007F23EE">
      <w:pPr>
        <w:pStyle w:val="EndnoteText"/>
        <w:tabs>
          <w:tab w:val="clear" w:pos="567"/>
        </w:tabs>
        <w:rPr>
          <w:color w:val="000000"/>
          <w:szCs w:val="22"/>
          <w:lang w:val="fr-FR"/>
        </w:rPr>
      </w:pPr>
      <w:r w:rsidRPr="00653BF6">
        <w:rPr>
          <w:color w:val="000000"/>
          <w:szCs w:val="22"/>
          <w:lang w:val="fr-FR"/>
        </w:rPr>
        <w:t>6</w:t>
      </w:r>
      <w:ins w:id="217" w:author="Author">
        <w:r w:rsidR="00A66FF1" w:rsidRPr="00653BF6">
          <w:rPr>
            <w:color w:val="000000"/>
            <w:szCs w:val="22"/>
            <w:lang w:val="fr-FR"/>
          </w:rPr>
          <w:t> </w:t>
        </w:r>
      </w:ins>
      <w:r w:rsidRPr="00653BF6">
        <w:rPr>
          <w:color w:val="000000"/>
          <w:szCs w:val="22"/>
          <w:lang w:val="fr-FR"/>
        </w:rPr>
        <w:t>400 mg (dose unique) : un cas rapporté dans la littérature d’un patient qui a présenté : nausées, vomissements, douleurs abdominales, fièvre, œdème du visage, diminution du taux de neutrophiles, augmentation des transaminases.</w:t>
      </w:r>
    </w:p>
    <w:p w14:paraId="691F676C" w14:textId="77777777" w:rsidR="00EF4CB3" w:rsidRPr="00653BF6" w:rsidRDefault="00EF4CB3" w:rsidP="007F23EE">
      <w:pPr>
        <w:pStyle w:val="EndnoteText"/>
        <w:tabs>
          <w:tab w:val="clear" w:pos="567"/>
        </w:tabs>
        <w:rPr>
          <w:color w:val="000000"/>
          <w:szCs w:val="22"/>
          <w:lang w:val="fr-FR"/>
        </w:rPr>
      </w:pPr>
      <w:r w:rsidRPr="00653BF6">
        <w:rPr>
          <w:color w:val="000000"/>
          <w:szCs w:val="22"/>
          <w:lang w:val="fr-FR"/>
        </w:rPr>
        <w:t xml:space="preserve">8 à </w:t>
      </w:r>
      <w:smartTag w:uri="urn:schemas-microsoft-com:office:smarttags" w:element="metricconverter">
        <w:smartTagPr>
          <w:attr w:name="ProductID" w:val="10ﾠg"/>
        </w:smartTagPr>
        <w:r w:rsidRPr="00653BF6">
          <w:rPr>
            <w:color w:val="000000"/>
            <w:szCs w:val="22"/>
            <w:lang w:val="fr-FR"/>
          </w:rPr>
          <w:t>10 g</w:t>
        </w:r>
      </w:smartTag>
      <w:r w:rsidRPr="00653BF6">
        <w:rPr>
          <w:color w:val="000000"/>
          <w:szCs w:val="22"/>
          <w:lang w:val="fr-FR"/>
        </w:rPr>
        <w:t xml:space="preserve"> (dose unique) : vomissements et douleurs gastro-intestinales ont été rapportés.</w:t>
      </w:r>
    </w:p>
    <w:p w14:paraId="74CF9796" w14:textId="77777777" w:rsidR="00EF4CB3" w:rsidRPr="00653BF6" w:rsidRDefault="00EF4CB3" w:rsidP="007F23EE">
      <w:pPr>
        <w:pStyle w:val="EndnoteText"/>
        <w:tabs>
          <w:tab w:val="clear" w:pos="567"/>
        </w:tabs>
        <w:rPr>
          <w:color w:val="000000"/>
          <w:szCs w:val="22"/>
          <w:lang w:val="fr-FR"/>
        </w:rPr>
      </w:pPr>
    </w:p>
    <w:p w14:paraId="5AF75146" w14:textId="457533BF" w:rsidR="00EF4CB3" w:rsidRPr="00653BF6" w:rsidRDefault="00EF4CB3" w:rsidP="007F23EE">
      <w:pPr>
        <w:pStyle w:val="EndnoteText"/>
        <w:keepNext/>
        <w:tabs>
          <w:tab w:val="clear" w:pos="567"/>
        </w:tabs>
        <w:rPr>
          <w:color w:val="000000"/>
          <w:szCs w:val="22"/>
          <w:u w:val="single"/>
          <w:lang w:val="fr-FR"/>
        </w:rPr>
      </w:pPr>
      <w:r w:rsidRPr="00653BF6">
        <w:rPr>
          <w:color w:val="000000"/>
          <w:szCs w:val="22"/>
          <w:u w:val="single"/>
          <w:lang w:val="fr-FR"/>
        </w:rPr>
        <w:lastRenderedPageBreak/>
        <w:t>Population pédiatrique</w:t>
      </w:r>
    </w:p>
    <w:p w14:paraId="3C4F0DF0" w14:textId="77777777" w:rsidR="00A010F3" w:rsidRPr="00653BF6" w:rsidRDefault="00A010F3" w:rsidP="007F23EE">
      <w:pPr>
        <w:pStyle w:val="EndnoteText"/>
        <w:keepNext/>
        <w:tabs>
          <w:tab w:val="clear" w:pos="567"/>
        </w:tabs>
        <w:rPr>
          <w:color w:val="000000"/>
          <w:szCs w:val="22"/>
          <w:u w:val="single"/>
          <w:lang w:val="fr-FR"/>
        </w:rPr>
      </w:pPr>
    </w:p>
    <w:p w14:paraId="5CF5C6F7" w14:textId="77777777" w:rsidR="00EF4CB3" w:rsidRPr="00653BF6" w:rsidRDefault="00EF4CB3" w:rsidP="007F23EE">
      <w:pPr>
        <w:pStyle w:val="EndnoteText"/>
        <w:tabs>
          <w:tab w:val="clear" w:pos="567"/>
        </w:tabs>
        <w:rPr>
          <w:color w:val="000000"/>
          <w:szCs w:val="22"/>
          <w:lang w:val="fr-FR"/>
        </w:rPr>
      </w:pPr>
      <w:r w:rsidRPr="00653BF6">
        <w:rPr>
          <w:color w:val="000000"/>
          <w:szCs w:val="22"/>
          <w:lang w:val="fr-FR"/>
        </w:rPr>
        <w:t>Un garçon âgé de 3 ans ayant pris une dose unique de 400 mg a présenté des vomissements, une diarrhée et une anorexie et un autre garçon âgé de 3 ans ayant pris une dose unique de 980 mg a présenté une diminution du taux de globules blancs et une diarrhée.</w:t>
      </w:r>
    </w:p>
    <w:p w14:paraId="5BDED815" w14:textId="77777777" w:rsidR="00EF4CB3" w:rsidRPr="00653BF6" w:rsidRDefault="00EF4CB3" w:rsidP="007F23EE">
      <w:pPr>
        <w:pStyle w:val="EndnoteText"/>
        <w:tabs>
          <w:tab w:val="clear" w:pos="567"/>
        </w:tabs>
        <w:rPr>
          <w:color w:val="000000"/>
          <w:szCs w:val="22"/>
          <w:lang w:val="fr-FR"/>
        </w:rPr>
      </w:pPr>
    </w:p>
    <w:p w14:paraId="0F147C1E" w14:textId="77777777" w:rsidR="00EF4CB3" w:rsidRPr="00653BF6" w:rsidRDefault="00EF4CB3" w:rsidP="007F23EE">
      <w:pPr>
        <w:pStyle w:val="EndnoteText"/>
        <w:tabs>
          <w:tab w:val="clear" w:pos="567"/>
        </w:tabs>
        <w:rPr>
          <w:color w:val="000000"/>
          <w:szCs w:val="22"/>
          <w:lang w:val="fr-FR"/>
        </w:rPr>
      </w:pPr>
      <w:r w:rsidRPr="00653BF6">
        <w:rPr>
          <w:color w:val="000000"/>
          <w:szCs w:val="22"/>
          <w:lang w:val="fr-FR"/>
        </w:rPr>
        <w:t>En cas de surdosage, le patient devra être placé sous surveillance et recevoir un traitement symptomatique approprié.</w:t>
      </w:r>
    </w:p>
    <w:p w14:paraId="1FEA4040" w14:textId="77777777" w:rsidR="00EF4CB3" w:rsidRPr="00653BF6" w:rsidRDefault="00EF4CB3" w:rsidP="007F23EE">
      <w:pPr>
        <w:rPr>
          <w:rFonts w:ascii="Times New Roman" w:hAnsi="Times New Roman"/>
          <w:color w:val="000000"/>
          <w:szCs w:val="22"/>
        </w:rPr>
      </w:pPr>
    </w:p>
    <w:p w14:paraId="78AF9750" w14:textId="77777777" w:rsidR="00EF4CB3" w:rsidRPr="00653BF6" w:rsidRDefault="00EF4CB3" w:rsidP="007F23EE">
      <w:pPr>
        <w:rPr>
          <w:rFonts w:ascii="Times New Roman" w:hAnsi="Times New Roman"/>
          <w:color w:val="000000"/>
          <w:szCs w:val="22"/>
        </w:rPr>
      </w:pPr>
    </w:p>
    <w:p w14:paraId="034CBD85" w14:textId="77777777" w:rsidR="00EF4CB3" w:rsidRPr="00653BF6" w:rsidRDefault="00EF4CB3" w:rsidP="007F23EE">
      <w:pPr>
        <w:keepNext/>
        <w:ind w:left="567" w:hanging="567"/>
        <w:rPr>
          <w:rFonts w:ascii="Times New Roman" w:hAnsi="Times New Roman"/>
          <w:color w:val="000000"/>
          <w:szCs w:val="22"/>
        </w:rPr>
      </w:pPr>
      <w:r w:rsidRPr="00653BF6">
        <w:rPr>
          <w:rFonts w:ascii="Times New Roman" w:hAnsi="Times New Roman"/>
          <w:b/>
          <w:color w:val="000000"/>
          <w:szCs w:val="22"/>
        </w:rPr>
        <w:t>5.</w:t>
      </w:r>
      <w:r w:rsidRPr="00653BF6">
        <w:rPr>
          <w:rFonts w:ascii="Times New Roman" w:hAnsi="Times New Roman"/>
          <w:b/>
          <w:color w:val="000000"/>
          <w:szCs w:val="22"/>
        </w:rPr>
        <w:tab/>
        <w:t>PROPRIÉTÉS PHARMACOLOGIQUES</w:t>
      </w:r>
    </w:p>
    <w:p w14:paraId="320F48B2" w14:textId="77777777" w:rsidR="00EF4CB3" w:rsidRPr="00653BF6" w:rsidRDefault="00EF4CB3" w:rsidP="007F23EE">
      <w:pPr>
        <w:keepNext/>
        <w:rPr>
          <w:rFonts w:ascii="Times New Roman" w:hAnsi="Times New Roman"/>
          <w:color w:val="000000"/>
          <w:szCs w:val="22"/>
        </w:rPr>
      </w:pPr>
    </w:p>
    <w:p w14:paraId="0F64A30B" w14:textId="77777777" w:rsidR="00EF4CB3" w:rsidRPr="00653BF6" w:rsidRDefault="00EF4CB3" w:rsidP="007F23EE">
      <w:pPr>
        <w:keepNext/>
        <w:ind w:left="567" w:hanging="567"/>
        <w:rPr>
          <w:rFonts w:ascii="Times New Roman" w:hAnsi="Times New Roman"/>
          <w:color w:val="000000"/>
          <w:szCs w:val="22"/>
        </w:rPr>
      </w:pPr>
      <w:r w:rsidRPr="00653BF6">
        <w:rPr>
          <w:rFonts w:ascii="Times New Roman" w:hAnsi="Times New Roman"/>
          <w:b/>
          <w:color w:val="000000"/>
          <w:szCs w:val="22"/>
        </w:rPr>
        <w:t>5.1</w:t>
      </w:r>
      <w:r w:rsidRPr="00653BF6">
        <w:rPr>
          <w:rFonts w:ascii="Times New Roman" w:hAnsi="Times New Roman"/>
          <w:b/>
          <w:color w:val="000000"/>
          <w:szCs w:val="22"/>
        </w:rPr>
        <w:tab/>
        <w:t>Propriétés pharmacodynamiques</w:t>
      </w:r>
    </w:p>
    <w:p w14:paraId="22CFA754" w14:textId="77777777" w:rsidR="00EF4CB3" w:rsidRPr="00653BF6" w:rsidRDefault="00EF4CB3" w:rsidP="007F23EE">
      <w:pPr>
        <w:pStyle w:val="EndnoteText"/>
        <w:keepNext/>
        <w:tabs>
          <w:tab w:val="clear" w:pos="567"/>
        </w:tabs>
        <w:rPr>
          <w:color w:val="000000"/>
          <w:szCs w:val="22"/>
          <w:lang w:val="fr-FR"/>
        </w:rPr>
      </w:pPr>
    </w:p>
    <w:p w14:paraId="1352FC30" w14:textId="0BBB3DB9" w:rsidR="00EF4CB3" w:rsidRPr="00653BF6" w:rsidRDefault="00EF4CB3" w:rsidP="007F23EE">
      <w:pPr>
        <w:rPr>
          <w:rFonts w:ascii="Times New Roman" w:hAnsi="Times New Roman"/>
          <w:color w:val="000000"/>
          <w:szCs w:val="22"/>
        </w:rPr>
      </w:pPr>
      <w:r w:rsidRPr="00653BF6">
        <w:rPr>
          <w:rFonts w:ascii="Times New Roman" w:hAnsi="Times New Roman"/>
          <w:color w:val="000000"/>
          <w:szCs w:val="22"/>
        </w:rPr>
        <w:t xml:space="preserve">Classe pharmacothérapeutique : </w:t>
      </w:r>
      <w:r w:rsidR="005331CC" w:rsidRPr="00653BF6">
        <w:rPr>
          <w:rFonts w:ascii="Times New Roman" w:hAnsi="Times New Roman"/>
          <w:szCs w:val="22"/>
        </w:rPr>
        <w:t xml:space="preserve">Agents antinéoplasiques, </w:t>
      </w:r>
      <w:r w:rsidRPr="00653BF6">
        <w:rPr>
          <w:rFonts w:ascii="Times New Roman" w:hAnsi="Times New Roman"/>
          <w:color w:val="000000"/>
          <w:szCs w:val="22"/>
        </w:rPr>
        <w:t>inhibiteur</w:t>
      </w:r>
      <w:r w:rsidR="005331CC" w:rsidRPr="00653BF6">
        <w:rPr>
          <w:rFonts w:ascii="Times New Roman" w:hAnsi="Times New Roman"/>
          <w:color w:val="000000"/>
          <w:szCs w:val="22"/>
        </w:rPr>
        <w:t>s</w:t>
      </w:r>
      <w:r w:rsidRPr="00653BF6">
        <w:rPr>
          <w:rFonts w:ascii="Times New Roman" w:hAnsi="Times New Roman"/>
          <w:color w:val="000000"/>
          <w:szCs w:val="22"/>
        </w:rPr>
        <w:t xml:space="preserve"> de tyrosine kinase</w:t>
      </w:r>
      <w:r w:rsidR="00BD34D0" w:rsidRPr="00653BF6">
        <w:rPr>
          <w:rFonts w:ascii="Times New Roman" w:hAnsi="Times New Roman"/>
          <w:color w:val="000000"/>
          <w:szCs w:val="22"/>
        </w:rPr>
        <w:t xml:space="preserve"> BCR-ABL</w:t>
      </w:r>
      <w:r w:rsidRPr="00653BF6">
        <w:rPr>
          <w:rFonts w:ascii="Times New Roman" w:hAnsi="Times New Roman"/>
          <w:color w:val="000000"/>
          <w:szCs w:val="22"/>
        </w:rPr>
        <w:t xml:space="preserve">, Code ATC : </w:t>
      </w:r>
      <w:r w:rsidR="00A010F3" w:rsidRPr="00653BF6">
        <w:rPr>
          <w:rFonts w:ascii="Times New Roman" w:hAnsi="Times New Roman"/>
          <w:color w:val="000000"/>
          <w:szCs w:val="22"/>
        </w:rPr>
        <w:t>L01EA01</w:t>
      </w:r>
    </w:p>
    <w:p w14:paraId="71A17987" w14:textId="77777777" w:rsidR="00EF4CB3" w:rsidRPr="00653BF6" w:rsidRDefault="00EF4CB3" w:rsidP="007F23EE">
      <w:pPr>
        <w:pStyle w:val="EndnoteText"/>
        <w:tabs>
          <w:tab w:val="clear" w:pos="567"/>
        </w:tabs>
        <w:rPr>
          <w:color w:val="000000"/>
          <w:szCs w:val="22"/>
          <w:lang w:val="fr-FR"/>
        </w:rPr>
      </w:pPr>
    </w:p>
    <w:p w14:paraId="5AC023CE" w14:textId="7917A824" w:rsidR="00EF4CB3" w:rsidRPr="00653BF6" w:rsidRDefault="00EF4CB3" w:rsidP="007F23EE">
      <w:pPr>
        <w:pStyle w:val="EndnoteText"/>
        <w:keepNext/>
        <w:tabs>
          <w:tab w:val="clear" w:pos="567"/>
        </w:tabs>
        <w:rPr>
          <w:color w:val="000000"/>
          <w:szCs w:val="22"/>
          <w:u w:val="single"/>
          <w:lang w:val="fr-FR"/>
        </w:rPr>
      </w:pPr>
      <w:r w:rsidRPr="00653BF6">
        <w:rPr>
          <w:color w:val="000000"/>
          <w:szCs w:val="22"/>
          <w:u w:val="single"/>
          <w:lang w:val="fr-FR"/>
        </w:rPr>
        <w:t>Mécanisme d</w:t>
      </w:r>
      <w:ins w:id="218" w:author="Author">
        <w:r w:rsidR="00653BF6">
          <w:rPr>
            <w:color w:val="000000"/>
            <w:szCs w:val="22"/>
            <w:u w:val="single"/>
            <w:lang w:val="fr-FR"/>
          </w:rPr>
          <w:t>’</w:t>
        </w:r>
      </w:ins>
      <w:del w:id="219" w:author="Author">
        <w:r w:rsidRPr="00653BF6" w:rsidDel="00653BF6">
          <w:rPr>
            <w:color w:val="000000"/>
            <w:szCs w:val="22"/>
            <w:u w:val="single"/>
            <w:lang w:val="fr-FR"/>
          </w:rPr>
          <w:delText>'</w:delText>
        </w:r>
      </w:del>
      <w:r w:rsidRPr="00653BF6">
        <w:rPr>
          <w:color w:val="000000"/>
          <w:szCs w:val="22"/>
          <w:u w:val="single"/>
          <w:lang w:val="fr-FR"/>
        </w:rPr>
        <w:t>action</w:t>
      </w:r>
    </w:p>
    <w:p w14:paraId="7FD456C3" w14:textId="77777777" w:rsidR="00A010F3" w:rsidRPr="00653BF6" w:rsidRDefault="00A010F3" w:rsidP="007F23EE">
      <w:pPr>
        <w:pStyle w:val="EndnoteText"/>
        <w:keepNext/>
        <w:tabs>
          <w:tab w:val="clear" w:pos="567"/>
        </w:tabs>
        <w:rPr>
          <w:color w:val="000000"/>
          <w:szCs w:val="22"/>
          <w:u w:val="single"/>
          <w:lang w:val="fr-FR"/>
        </w:rPr>
      </w:pPr>
    </w:p>
    <w:p w14:paraId="182A881B" w14:textId="532F5656" w:rsidR="00EF4CB3" w:rsidRPr="00653BF6" w:rsidRDefault="00EF4CB3" w:rsidP="007F23EE">
      <w:pPr>
        <w:pStyle w:val="EndnoteText"/>
        <w:tabs>
          <w:tab w:val="clear" w:pos="567"/>
        </w:tabs>
        <w:rPr>
          <w:color w:val="000000"/>
          <w:szCs w:val="22"/>
          <w:lang w:val="fr-FR"/>
        </w:rPr>
      </w:pPr>
      <w:r w:rsidRPr="00653BF6">
        <w:rPr>
          <w:color w:val="000000"/>
          <w:szCs w:val="22"/>
          <w:lang w:val="fr-FR"/>
        </w:rPr>
        <w:t>L</w:t>
      </w:r>
      <w:r w:rsidR="00653BF6">
        <w:rPr>
          <w:color w:val="000000"/>
          <w:szCs w:val="22"/>
          <w:lang w:val="fr-FR"/>
        </w:rPr>
        <w:t>’</w:t>
      </w:r>
      <w:r w:rsidRPr="00653BF6">
        <w:rPr>
          <w:color w:val="000000"/>
          <w:szCs w:val="22"/>
          <w:lang w:val="fr-FR"/>
        </w:rPr>
        <w:t>imatinib est une petite molécule chimique inhibitrice de protéine tyrosine kinase qui inhibe puissamment l</w:t>
      </w:r>
      <w:r w:rsidR="00653BF6">
        <w:rPr>
          <w:color w:val="000000"/>
          <w:szCs w:val="22"/>
          <w:lang w:val="fr-FR"/>
        </w:rPr>
        <w:t>’</w:t>
      </w:r>
      <w:r w:rsidRPr="00653BF6">
        <w:rPr>
          <w:color w:val="000000"/>
          <w:szCs w:val="22"/>
          <w:lang w:val="fr-FR"/>
        </w:rPr>
        <w:t xml:space="preserve">activité de la tyrosine kinase (TK) </w:t>
      </w:r>
      <w:proofErr w:type="spellStart"/>
      <w:r w:rsidRPr="00653BF6">
        <w:rPr>
          <w:color w:val="000000"/>
          <w:szCs w:val="22"/>
          <w:lang w:val="fr-FR"/>
        </w:rPr>
        <w:t>Bcr-Abl</w:t>
      </w:r>
      <w:proofErr w:type="spellEnd"/>
      <w:r w:rsidRPr="00653BF6">
        <w:rPr>
          <w:color w:val="000000"/>
          <w:szCs w:val="22"/>
          <w:lang w:val="fr-FR"/>
        </w:rPr>
        <w:t xml:space="preserve"> ainsi que plusieurs récepteurs TK : Kit, le récepteur du SCF (</w:t>
      </w:r>
      <w:r w:rsidRPr="005205FF">
        <w:rPr>
          <w:i/>
          <w:iCs/>
          <w:color w:val="000000"/>
          <w:szCs w:val="22"/>
          <w:lang w:val="fr-FR"/>
          <w:rPrChange w:id="220" w:author="Author">
            <w:rPr>
              <w:color w:val="000000"/>
              <w:szCs w:val="22"/>
              <w:lang w:val="fr-FR"/>
            </w:rPr>
          </w:rPrChange>
        </w:rPr>
        <w:t xml:space="preserve">stem </w:t>
      </w:r>
      <w:proofErr w:type="spellStart"/>
      <w:r w:rsidRPr="005205FF">
        <w:rPr>
          <w:i/>
          <w:iCs/>
          <w:color w:val="000000"/>
          <w:szCs w:val="22"/>
          <w:lang w:val="fr-FR"/>
          <w:rPrChange w:id="221" w:author="Author">
            <w:rPr>
              <w:color w:val="000000"/>
              <w:szCs w:val="22"/>
              <w:lang w:val="fr-FR"/>
            </w:rPr>
          </w:rPrChange>
        </w:rPr>
        <w:t>cell</w:t>
      </w:r>
      <w:proofErr w:type="spellEnd"/>
      <w:r w:rsidRPr="005205FF">
        <w:rPr>
          <w:i/>
          <w:iCs/>
          <w:color w:val="000000"/>
          <w:szCs w:val="22"/>
          <w:lang w:val="fr-FR"/>
          <w:rPrChange w:id="222" w:author="Author">
            <w:rPr>
              <w:color w:val="000000"/>
              <w:szCs w:val="22"/>
              <w:lang w:val="fr-FR"/>
            </w:rPr>
          </w:rPrChange>
        </w:rPr>
        <w:t xml:space="preserve"> factor</w:t>
      </w:r>
      <w:r w:rsidRPr="00653BF6">
        <w:rPr>
          <w:color w:val="000000"/>
          <w:szCs w:val="22"/>
          <w:lang w:val="fr-FR"/>
        </w:rPr>
        <w:t xml:space="preserve">) codé par le proto-oncogène c-Kit, les récepteurs du domaine </w:t>
      </w:r>
      <w:proofErr w:type="spellStart"/>
      <w:r w:rsidRPr="00653BF6">
        <w:rPr>
          <w:color w:val="000000"/>
          <w:szCs w:val="22"/>
          <w:lang w:val="fr-FR"/>
        </w:rPr>
        <w:t>disco</w:t>
      </w:r>
      <w:ins w:id="223" w:author="Author">
        <w:r w:rsidR="008625C6" w:rsidRPr="00653BF6">
          <w:rPr>
            <w:color w:val="000000"/>
            <w:szCs w:val="22"/>
            <w:lang w:val="fr-FR"/>
          </w:rPr>
          <w:t>ï</w:t>
        </w:r>
      </w:ins>
      <w:del w:id="224" w:author="Author">
        <w:r w:rsidRPr="00653BF6" w:rsidDel="008625C6">
          <w:rPr>
            <w:color w:val="000000"/>
            <w:szCs w:val="22"/>
            <w:lang w:val="fr-FR"/>
          </w:rPr>
          <w:delText>i</w:delText>
        </w:r>
      </w:del>
      <w:r w:rsidRPr="00653BF6">
        <w:rPr>
          <w:color w:val="000000"/>
          <w:szCs w:val="22"/>
          <w:lang w:val="fr-FR"/>
        </w:rPr>
        <w:t>dine</w:t>
      </w:r>
      <w:proofErr w:type="spellEnd"/>
      <w:r w:rsidRPr="00653BF6">
        <w:rPr>
          <w:color w:val="000000"/>
          <w:szCs w:val="22"/>
          <w:lang w:val="fr-FR"/>
        </w:rPr>
        <w:t xml:space="preserve"> (DDR1 et DDR2), le CSF-1R (récepteur du </w:t>
      </w:r>
      <w:proofErr w:type="spellStart"/>
      <w:r w:rsidRPr="005205FF">
        <w:rPr>
          <w:i/>
          <w:iCs/>
          <w:color w:val="000000"/>
          <w:szCs w:val="22"/>
          <w:lang w:val="fr-FR"/>
          <w:rPrChange w:id="225" w:author="Author">
            <w:rPr>
              <w:color w:val="000000"/>
              <w:szCs w:val="22"/>
              <w:lang w:val="fr-FR"/>
            </w:rPr>
          </w:rPrChange>
        </w:rPr>
        <w:t>colony</w:t>
      </w:r>
      <w:proofErr w:type="spellEnd"/>
      <w:r w:rsidRPr="005205FF">
        <w:rPr>
          <w:i/>
          <w:iCs/>
          <w:color w:val="000000"/>
          <w:szCs w:val="22"/>
          <w:lang w:val="fr-FR"/>
          <w:rPrChange w:id="226" w:author="Author">
            <w:rPr>
              <w:color w:val="000000"/>
              <w:szCs w:val="22"/>
              <w:lang w:val="fr-FR"/>
            </w:rPr>
          </w:rPrChange>
        </w:rPr>
        <w:t xml:space="preserve"> </w:t>
      </w:r>
      <w:proofErr w:type="spellStart"/>
      <w:r w:rsidRPr="005205FF">
        <w:rPr>
          <w:i/>
          <w:iCs/>
          <w:color w:val="000000"/>
          <w:szCs w:val="22"/>
          <w:lang w:val="fr-FR"/>
          <w:rPrChange w:id="227" w:author="Author">
            <w:rPr>
              <w:color w:val="000000"/>
              <w:szCs w:val="22"/>
              <w:lang w:val="fr-FR"/>
            </w:rPr>
          </w:rPrChange>
        </w:rPr>
        <w:t>stimulating</w:t>
      </w:r>
      <w:proofErr w:type="spellEnd"/>
      <w:r w:rsidRPr="005205FF">
        <w:rPr>
          <w:i/>
          <w:iCs/>
          <w:color w:val="000000"/>
          <w:szCs w:val="22"/>
          <w:lang w:val="fr-FR"/>
          <w:rPrChange w:id="228" w:author="Author">
            <w:rPr>
              <w:color w:val="000000"/>
              <w:szCs w:val="22"/>
              <w:lang w:val="fr-FR"/>
            </w:rPr>
          </w:rPrChange>
        </w:rPr>
        <w:t xml:space="preserve"> factor</w:t>
      </w:r>
      <w:r w:rsidRPr="00653BF6">
        <w:rPr>
          <w:color w:val="000000"/>
          <w:szCs w:val="22"/>
          <w:lang w:val="fr-FR"/>
        </w:rPr>
        <w:t>) et les récepteurs alpha et bêta du PDGF (</w:t>
      </w:r>
      <w:proofErr w:type="spellStart"/>
      <w:r w:rsidRPr="005205FF">
        <w:rPr>
          <w:i/>
          <w:iCs/>
          <w:color w:val="000000"/>
          <w:szCs w:val="22"/>
          <w:lang w:val="fr-FR"/>
          <w:rPrChange w:id="229" w:author="Author">
            <w:rPr>
              <w:color w:val="000000"/>
              <w:szCs w:val="22"/>
              <w:lang w:val="fr-FR"/>
            </w:rPr>
          </w:rPrChange>
        </w:rPr>
        <w:t>platelet-derived</w:t>
      </w:r>
      <w:proofErr w:type="spellEnd"/>
      <w:r w:rsidRPr="005205FF">
        <w:rPr>
          <w:i/>
          <w:iCs/>
          <w:color w:val="000000"/>
          <w:szCs w:val="22"/>
          <w:lang w:val="fr-FR"/>
          <w:rPrChange w:id="230" w:author="Author">
            <w:rPr>
              <w:color w:val="000000"/>
              <w:szCs w:val="22"/>
              <w:lang w:val="fr-FR"/>
            </w:rPr>
          </w:rPrChange>
        </w:rPr>
        <w:t xml:space="preserve"> </w:t>
      </w:r>
      <w:proofErr w:type="spellStart"/>
      <w:r w:rsidRPr="005205FF">
        <w:rPr>
          <w:i/>
          <w:iCs/>
          <w:color w:val="000000"/>
          <w:szCs w:val="22"/>
          <w:lang w:val="fr-FR"/>
          <w:rPrChange w:id="231" w:author="Author">
            <w:rPr>
              <w:color w:val="000000"/>
              <w:szCs w:val="22"/>
              <w:lang w:val="fr-FR"/>
            </w:rPr>
          </w:rPrChange>
        </w:rPr>
        <w:t>growth</w:t>
      </w:r>
      <w:proofErr w:type="spellEnd"/>
      <w:r w:rsidRPr="005205FF">
        <w:rPr>
          <w:i/>
          <w:iCs/>
          <w:color w:val="000000"/>
          <w:szCs w:val="22"/>
          <w:lang w:val="fr-FR"/>
          <w:rPrChange w:id="232" w:author="Author">
            <w:rPr>
              <w:color w:val="000000"/>
              <w:szCs w:val="22"/>
              <w:lang w:val="fr-FR"/>
            </w:rPr>
          </w:rPrChange>
        </w:rPr>
        <w:t xml:space="preserve"> factor</w:t>
      </w:r>
      <w:r w:rsidRPr="00653BF6">
        <w:rPr>
          <w:color w:val="000000"/>
          <w:szCs w:val="22"/>
          <w:lang w:val="fr-FR"/>
        </w:rPr>
        <w:t>) (PDGFR-alpha et PDGFR-bêta). L</w:t>
      </w:r>
      <w:r w:rsidR="00653BF6">
        <w:rPr>
          <w:color w:val="000000"/>
          <w:szCs w:val="22"/>
          <w:lang w:val="fr-FR"/>
        </w:rPr>
        <w:t>’</w:t>
      </w:r>
      <w:r w:rsidRPr="00653BF6">
        <w:rPr>
          <w:color w:val="000000"/>
          <w:szCs w:val="22"/>
          <w:lang w:val="fr-FR"/>
        </w:rPr>
        <w:t>imatinib peut également inhiber les processus cellulaires médiés par l</w:t>
      </w:r>
      <w:r w:rsidR="00653BF6">
        <w:rPr>
          <w:color w:val="000000"/>
          <w:szCs w:val="22"/>
          <w:lang w:val="fr-FR"/>
        </w:rPr>
        <w:t>’</w:t>
      </w:r>
      <w:r w:rsidRPr="00653BF6">
        <w:rPr>
          <w:color w:val="000000"/>
          <w:szCs w:val="22"/>
          <w:lang w:val="fr-FR"/>
        </w:rPr>
        <w:t>activation des kinases de ces récepteurs.</w:t>
      </w:r>
    </w:p>
    <w:p w14:paraId="32B4275C" w14:textId="77777777" w:rsidR="00EF4CB3" w:rsidRPr="00653BF6" w:rsidRDefault="00EF4CB3" w:rsidP="007F23EE">
      <w:pPr>
        <w:pStyle w:val="EndnoteText"/>
        <w:tabs>
          <w:tab w:val="clear" w:pos="567"/>
        </w:tabs>
        <w:rPr>
          <w:color w:val="000000"/>
          <w:szCs w:val="22"/>
          <w:lang w:val="fr-FR"/>
        </w:rPr>
      </w:pPr>
    </w:p>
    <w:p w14:paraId="4456CD10" w14:textId="1011794B" w:rsidR="00EF4CB3" w:rsidRPr="00653BF6" w:rsidRDefault="00EF4CB3" w:rsidP="007F23EE">
      <w:pPr>
        <w:pStyle w:val="EndnoteText"/>
        <w:keepNext/>
        <w:tabs>
          <w:tab w:val="clear" w:pos="567"/>
        </w:tabs>
        <w:rPr>
          <w:color w:val="000000"/>
          <w:szCs w:val="22"/>
          <w:u w:val="single"/>
          <w:lang w:val="fr-FR"/>
        </w:rPr>
      </w:pPr>
      <w:r w:rsidRPr="00653BF6">
        <w:rPr>
          <w:color w:val="000000"/>
          <w:szCs w:val="22"/>
          <w:u w:val="single"/>
          <w:lang w:val="fr-FR"/>
        </w:rPr>
        <w:t>Effets pharmacodynamiques</w:t>
      </w:r>
    </w:p>
    <w:p w14:paraId="0966EEDE" w14:textId="77777777" w:rsidR="00A010F3" w:rsidRPr="00653BF6" w:rsidRDefault="00A010F3" w:rsidP="007F23EE">
      <w:pPr>
        <w:pStyle w:val="EndnoteText"/>
        <w:keepNext/>
        <w:tabs>
          <w:tab w:val="clear" w:pos="567"/>
        </w:tabs>
        <w:rPr>
          <w:color w:val="000000"/>
          <w:szCs w:val="22"/>
          <w:u w:val="single"/>
          <w:lang w:val="fr-FR"/>
        </w:rPr>
      </w:pPr>
    </w:p>
    <w:p w14:paraId="5105B415" w14:textId="65B799AB" w:rsidR="00EF4CB3" w:rsidRPr="00653BF6" w:rsidRDefault="00EF4CB3" w:rsidP="007F23EE">
      <w:pPr>
        <w:pStyle w:val="EndnoteText"/>
        <w:tabs>
          <w:tab w:val="clear" w:pos="567"/>
        </w:tabs>
        <w:rPr>
          <w:color w:val="000000"/>
          <w:szCs w:val="22"/>
          <w:lang w:val="fr-FR"/>
        </w:rPr>
      </w:pPr>
      <w:r w:rsidRPr="00653BF6">
        <w:rPr>
          <w:color w:val="000000"/>
          <w:szCs w:val="22"/>
          <w:lang w:val="fr-FR"/>
        </w:rPr>
        <w:t xml:space="preserve">L’imatinib est un inhibiteur de protéine tyrosine kinase qui inhibe puissamment la tyrosine kinase </w:t>
      </w:r>
      <w:proofErr w:type="spellStart"/>
      <w:r w:rsidRPr="00653BF6">
        <w:rPr>
          <w:color w:val="000000"/>
          <w:szCs w:val="22"/>
          <w:lang w:val="fr-FR"/>
        </w:rPr>
        <w:t>Bcr-Abl</w:t>
      </w:r>
      <w:proofErr w:type="spellEnd"/>
      <w:r w:rsidRPr="00653BF6">
        <w:rPr>
          <w:color w:val="000000"/>
          <w:szCs w:val="22"/>
          <w:lang w:val="fr-FR"/>
        </w:rPr>
        <w:t xml:space="preserve"> au niveau cellulaire</w:t>
      </w:r>
      <w:r w:rsidRPr="00653BF6">
        <w:rPr>
          <w:i/>
          <w:color w:val="000000"/>
          <w:szCs w:val="22"/>
          <w:lang w:val="fr-FR"/>
        </w:rPr>
        <w:t xml:space="preserve"> in vitro</w:t>
      </w:r>
      <w:r w:rsidRPr="00653BF6">
        <w:rPr>
          <w:color w:val="000000"/>
          <w:szCs w:val="22"/>
          <w:lang w:val="fr-FR"/>
        </w:rPr>
        <w:t xml:space="preserve"> et </w:t>
      </w:r>
      <w:r w:rsidRPr="00653BF6">
        <w:rPr>
          <w:i/>
          <w:color w:val="000000"/>
          <w:szCs w:val="22"/>
          <w:lang w:val="fr-FR"/>
        </w:rPr>
        <w:t>in vivo</w:t>
      </w:r>
      <w:r w:rsidRPr="00653BF6">
        <w:rPr>
          <w:color w:val="000000"/>
          <w:szCs w:val="22"/>
          <w:lang w:val="fr-FR"/>
        </w:rPr>
        <w:t xml:space="preserve">. Le produit inhibe sélectivement la prolifération et induit une apoptose dans les lignées cellulaires </w:t>
      </w:r>
      <w:proofErr w:type="spellStart"/>
      <w:r w:rsidRPr="00653BF6">
        <w:rPr>
          <w:color w:val="000000"/>
          <w:szCs w:val="22"/>
          <w:lang w:val="fr-FR"/>
        </w:rPr>
        <w:t>Bcr-Abl</w:t>
      </w:r>
      <w:proofErr w:type="spellEnd"/>
      <w:r w:rsidRPr="00653BF6">
        <w:rPr>
          <w:color w:val="000000"/>
          <w:szCs w:val="22"/>
          <w:lang w:val="fr-FR"/>
        </w:rPr>
        <w:t xml:space="preserve"> positives ainsi que dans les cellules leucémiques fraîches provenant de patients atteints de LMC ou de leucémie aiguë lymphoblastique (LAL) chromosome Philadelphie positives.</w:t>
      </w:r>
    </w:p>
    <w:p w14:paraId="62DA583A" w14:textId="77777777" w:rsidR="00EF4CB3" w:rsidRPr="00653BF6" w:rsidRDefault="00EF4CB3" w:rsidP="007F23EE">
      <w:pPr>
        <w:pStyle w:val="EndnoteText"/>
        <w:tabs>
          <w:tab w:val="clear" w:pos="567"/>
        </w:tabs>
        <w:rPr>
          <w:color w:val="000000"/>
          <w:szCs w:val="22"/>
          <w:lang w:val="fr-FR"/>
        </w:rPr>
      </w:pPr>
    </w:p>
    <w:p w14:paraId="6D7797A9" w14:textId="4E97EE71" w:rsidR="00EF4CB3" w:rsidRPr="00653BF6" w:rsidRDefault="00EF4CB3" w:rsidP="007F23EE">
      <w:pPr>
        <w:pStyle w:val="EndnoteText"/>
        <w:tabs>
          <w:tab w:val="clear" w:pos="567"/>
        </w:tabs>
        <w:rPr>
          <w:color w:val="000000"/>
          <w:szCs w:val="22"/>
          <w:lang w:val="fr-FR"/>
        </w:rPr>
      </w:pPr>
      <w:r w:rsidRPr="00653BF6">
        <w:rPr>
          <w:i/>
          <w:color w:val="000000"/>
          <w:szCs w:val="22"/>
          <w:lang w:val="fr-FR"/>
        </w:rPr>
        <w:t>In vivo</w:t>
      </w:r>
      <w:r w:rsidRPr="00653BF6">
        <w:rPr>
          <w:color w:val="000000"/>
          <w:szCs w:val="22"/>
          <w:lang w:val="fr-FR"/>
        </w:rPr>
        <w:t xml:space="preserve">, le produit présente une activité </w:t>
      </w:r>
      <w:proofErr w:type="spellStart"/>
      <w:r w:rsidRPr="00653BF6">
        <w:rPr>
          <w:color w:val="000000"/>
          <w:szCs w:val="22"/>
          <w:lang w:val="fr-FR"/>
        </w:rPr>
        <w:t>anti-tumorale</w:t>
      </w:r>
      <w:proofErr w:type="spellEnd"/>
      <w:r w:rsidRPr="00653BF6">
        <w:rPr>
          <w:color w:val="000000"/>
          <w:szCs w:val="22"/>
          <w:lang w:val="fr-FR"/>
        </w:rPr>
        <w:t xml:space="preserve"> lorsqu</w:t>
      </w:r>
      <w:ins w:id="233" w:author="Author">
        <w:r w:rsidR="00653BF6">
          <w:rPr>
            <w:color w:val="000000"/>
            <w:szCs w:val="22"/>
            <w:lang w:val="fr-FR"/>
          </w:rPr>
          <w:t>’</w:t>
        </w:r>
      </w:ins>
      <w:del w:id="234" w:author="Author">
        <w:r w:rsidRPr="00653BF6" w:rsidDel="00653BF6">
          <w:rPr>
            <w:color w:val="000000"/>
            <w:szCs w:val="22"/>
            <w:lang w:val="fr-FR"/>
          </w:rPr>
          <w:delText>'</w:delText>
        </w:r>
      </w:del>
      <w:r w:rsidRPr="00653BF6">
        <w:rPr>
          <w:color w:val="000000"/>
          <w:szCs w:val="22"/>
          <w:lang w:val="fr-FR"/>
        </w:rPr>
        <w:t xml:space="preserve">il est administré en monothérapie chez l'animal porteur de cellules tumorales </w:t>
      </w:r>
      <w:proofErr w:type="spellStart"/>
      <w:r w:rsidRPr="00653BF6">
        <w:rPr>
          <w:color w:val="000000"/>
          <w:szCs w:val="22"/>
          <w:lang w:val="fr-FR"/>
        </w:rPr>
        <w:t>Bcr-Abl</w:t>
      </w:r>
      <w:proofErr w:type="spellEnd"/>
      <w:r w:rsidRPr="00653BF6">
        <w:rPr>
          <w:color w:val="000000"/>
          <w:szCs w:val="22"/>
          <w:lang w:val="fr-FR"/>
        </w:rPr>
        <w:t xml:space="preserve"> positives.</w:t>
      </w:r>
    </w:p>
    <w:p w14:paraId="2002327F" w14:textId="77777777" w:rsidR="00EF4CB3" w:rsidRPr="00653BF6" w:rsidRDefault="00EF4CB3" w:rsidP="007F23EE">
      <w:pPr>
        <w:pStyle w:val="EndnoteText"/>
        <w:tabs>
          <w:tab w:val="clear" w:pos="567"/>
        </w:tabs>
        <w:rPr>
          <w:color w:val="000000"/>
          <w:szCs w:val="22"/>
          <w:lang w:val="fr-FR"/>
        </w:rPr>
      </w:pPr>
    </w:p>
    <w:p w14:paraId="0F57EE9B" w14:textId="4A6907B2" w:rsidR="00EF4CB3" w:rsidRPr="00653BF6" w:rsidRDefault="00EF4CB3" w:rsidP="007F23EE">
      <w:pPr>
        <w:pStyle w:val="EndnoteText"/>
        <w:tabs>
          <w:tab w:val="clear" w:pos="567"/>
        </w:tabs>
        <w:rPr>
          <w:color w:val="000000"/>
          <w:szCs w:val="22"/>
          <w:lang w:val="fr-FR"/>
        </w:rPr>
      </w:pPr>
      <w:r w:rsidRPr="00653BF6">
        <w:rPr>
          <w:color w:val="000000"/>
          <w:szCs w:val="22"/>
          <w:lang w:val="fr-FR"/>
        </w:rPr>
        <w:t>L’imatinib est également un inhibiteur des tyrosine kinases du récepteur du PDGF (</w:t>
      </w:r>
      <w:proofErr w:type="spellStart"/>
      <w:r w:rsidRPr="005205FF">
        <w:rPr>
          <w:i/>
          <w:iCs/>
          <w:color w:val="000000"/>
          <w:szCs w:val="22"/>
          <w:lang w:val="fr-FR"/>
          <w:rPrChange w:id="235" w:author="Author">
            <w:rPr>
              <w:color w:val="000000"/>
              <w:szCs w:val="22"/>
              <w:lang w:val="fr-FR"/>
            </w:rPr>
          </w:rPrChange>
        </w:rPr>
        <w:t>platelet-derived</w:t>
      </w:r>
      <w:proofErr w:type="spellEnd"/>
      <w:r w:rsidRPr="005205FF">
        <w:rPr>
          <w:i/>
          <w:iCs/>
          <w:color w:val="000000"/>
          <w:szCs w:val="22"/>
          <w:lang w:val="fr-FR"/>
          <w:rPrChange w:id="236" w:author="Author">
            <w:rPr>
              <w:color w:val="000000"/>
              <w:szCs w:val="22"/>
              <w:lang w:val="fr-FR"/>
            </w:rPr>
          </w:rPrChange>
        </w:rPr>
        <w:t xml:space="preserve"> </w:t>
      </w:r>
      <w:proofErr w:type="spellStart"/>
      <w:r w:rsidRPr="005205FF">
        <w:rPr>
          <w:i/>
          <w:iCs/>
          <w:color w:val="000000"/>
          <w:szCs w:val="22"/>
          <w:lang w:val="fr-FR"/>
          <w:rPrChange w:id="237" w:author="Author">
            <w:rPr>
              <w:color w:val="000000"/>
              <w:szCs w:val="22"/>
              <w:lang w:val="fr-FR"/>
            </w:rPr>
          </w:rPrChange>
        </w:rPr>
        <w:t>growth</w:t>
      </w:r>
      <w:proofErr w:type="spellEnd"/>
      <w:r w:rsidRPr="005205FF">
        <w:rPr>
          <w:i/>
          <w:iCs/>
          <w:color w:val="000000"/>
          <w:szCs w:val="22"/>
          <w:lang w:val="fr-FR"/>
          <w:rPrChange w:id="238" w:author="Author">
            <w:rPr>
              <w:color w:val="000000"/>
              <w:szCs w:val="22"/>
              <w:lang w:val="fr-FR"/>
            </w:rPr>
          </w:rPrChange>
        </w:rPr>
        <w:t xml:space="preserve"> factor</w:t>
      </w:r>
      <w:r w:rsidRPr="00653BF6">
        <w:rPr>
          <w:color w:val="000000"/>
          <w:szCs w:val="22"/>
          <w:lang w:val="fr-FR"/>
        </w:rPr>
        <w:t>), PDGF-R et du SCF (</w:t>
      </w:r>
      <w:r w:rsidRPr="005205FF">
        <w:rPr>
          <w:i/>
          <w:iCs/>
          <w:color w:val="000000"/>
          <w:szCs w:val="22"/>
          <w:lang w:val="fr-FR"/>
          <w:rPrChange w:id="239" w:author="Author">
            <w:rPr>
              <w:color w:val="000000"/>
              <w:szCs w:val="22"/>
              <w:lang w:val="fr-FR"/>
            </w:rPr>
          </w:rPrChange>
        </w:rPr>
        <w:t xml:space="preserve">stem </w:t>
      </w:r>
      <w:proofErr w:type="spellStart"/>
      <w:r w:rsidRPr="005205FF">
        <w:rPr>
          <w:i/>
          <w:iCs/>
          <w:color w:val="000000"/>
          <w:szCs w:val="22"/>
          <w:lang w:val="fr-FR"/>
          <w:rPrChange w:id="240" w:author="Author">
            <w:rPr>
              <w:color w:val="000000"/>
              <w:szCs w:val="22"/>
              <w:lang w:val="fr-FR"/>
            </w:rPr>
          </w:rPrChange>
        </w:rPr>
        <w:t>cell</w:t>
      </w:r>
      <w:proofErr w:type="spellEnd"/>
      <w:r w:rsidRPr="005205FF">
        <w:rPr>
          <w:i/>
          <w:iCs/>
          <w:color w:val="000000"/>
          <w:szCs w:val="22"/>
          <w:lang w:val="fr-FR"/>
          <w:rPrChange w:id="241" w:author="Author">
            <w:rPr>
              <w:color w:val="000000"/>
              <w:szCs w:val="22"/>
              <w:lang w:val="fr-FR"/>
            </w:rPr>
          </w:rPrChange>
        </w:rPr>
        <w:t xml:space="preserve"> factor</w:t>
      </w:r>
      <w:r w:rsidRPr="00653BF6">
        <w:rPr>
          <w:color w:val="000000"/>
          <w:szCs w:val="22"/>
          <w:lang w:val="fr-FR"/>
        </w:rPr>
        <w:t xml:space="preserve">) c-Kit et il inhibe les processus cellulaires médiés par le PDGF et le SCF. </w:t>
      </w:r>
      <w:r w:rsidRPr="00653BF6">
        <w:rPr>
          <w:i/>
          <w:color w:val="000000"/>
          <w:szCs w:val="22"/>
          <w:lang w:val="fr-FR"/>
        </w:rPr>
        <w:t>In vitro</w:t>
      </w:r>
      <w:r w:rsidRPr="00653BF6">
        <w:rPr>
          <w:color w:val="000000"/>
          <w:szCs w:val="22"/>
          <w:lang w:val="fr-FR"/>
        </w:rPr>
        <w:t>, l</w:t>
      </w:r>
      <w:r w:rsidR="00653BF6">
        <w:rPr>
          <w:color w:val="000000"/>
          <w:szCs w:val="22"/>
          <w:lang w:val="fr-FR"/>
        </w:rPr>
        <w:t>’</w:t>
      </w:r>
      <w:r w:rsidRPr="00653BF6">
        <w:rPr>
          <w:color w:val="000000"/>
          <w:szCs w:val="22"/>
          <w:lang w:val="fr-FR"/>
        </w:rPr>
        <w:t xml:space="preserve">imatinib inhibe la prolifération et induit une apoptose des cellules de tumeur stromale gastro-intestinale (GIST), qui expriment une mutation activatrice du </w:t>
      </w:r>
      <w:r w:rsidRPr="00653BF6">
        <w:rPr>
          <w:i/>
          <w:color w:val="000000"/>
          <w:szCs w:val="22"/>
          <w:lang w:val="fr-FR"/>
        </w:rPr>
        <w:t>kit</w:t>
      </w:r>
      <w:r w:rsidRPr="00653BF6">
        <w:rPr>
          <w:color w:val="000000"/>
          <w:szCs w:val="22"/>
          <w:lang w:val="fr-FR"/>
        </w:rPr>
        <w:t xml:space="preserve">. L’activation constitutive du récepteur du PDGF ou des tyrosine kinases </w:t>
      </w:r>
      <w:proofErr w:type="spellStart"/>
      <w:r w:rsidRPr="00653BF6">
        <w:rPr>
          <w:color w:val="000000"/>
          <w:szCs w:val="22"/>
          <w:lang w:val="fr-FR"/>
        </w:rPr>
        <w:t>Abl</w:t>
      </w:r>
      <w:proofErr w:type="spellEnd"/>
      <w:r w:rsidRPr="00653BF6">
        <w:rPr>
          <w:color w:val="000000"/>
          <w:szCs w:val="22"/>
          <w:lang w:val="fr-FR"/>
        </w:rPr>
        <w:t xml:space="preserve">, résultant de la fusion à différentes protéines partenaires ou de la production constitutive de PDGF, sont impliquées dans la pathogénèse des </w:t>
      </w:r>
      <w:smartTag w:uri="urn:schemas-microsoft-com:office:smarttags" w:element="stockticker">
        <w:r w:rsidRPr="00653BF6">
          <w:rPr>
            <w:color w:val="000000"/>
            <w:szCs w:val="22"/>
            <w:lang w:val="fr-FR"/>
          </w:rPr>
          <w:t>SMD</w:t>
        </w:r>
      </w:smartTag>
      <w:r w:rsidRPr="00653BF6">
        <w:rPr>
          <w:color w:val="000000"/>
          <w:szCs w:val="22"/>
          <w:lang w:val="fr-FR"/>
        </w:rPr>
        <w:t>/</w:t>
      </w:r>
      <w:smartTag w:uri="urn:schemas-microsoft-com:office:smarttags" w:element="stockticker">
        <w:r w:rsidRPr="00653BF6">
          <w:rPr>
            <w:color w:val="000000"/>
            <w:szCs w:val="22"/>
            <w:lang w:val="fr-FR"/>
          </w:rPr>
          <w:t>SMP</w:t>
        </w:r>
      </w:smartTag>
      <w:r w:rsidRPr="00653BF6">
        <w:rPr>
          <w:color w:val="000000"/>
          <w:szCs w:val="22"/>
          <w:lang w:val="fr-FR"/>
        </w:rPr>
        <w:t xml:space="preserve">, des SHE/LCE et du DFSP. L’imatinib inhibe la signalisation et la prolifération des cellules sensibles à l’activité dérégulée des kinases </w:t>
      </w:r>
      <w:proofErr w:type="spellStart"/>
      <w:r w:rsidRPr="00653BF6">
        <w:rPr>
          <w:color w:val="000000"/>
          <w:szCs w:val="22"/>
          <w:lang w:val="fr-FR"/>
        </w:rPr>
        <w:t>Abl</w:t>
      </w:r>
      <w:proofErr w:type="spellEnd"/>
      <w:r w:rsidRPr="00653BF6">
        <w:rPr>
          <w:color w:val="000000"/>
          <w:szCs w:val="22"/>
          <w:lang w:val="fr-FR"/>
        </w:rPr>
        <w:t xml:space="preserve"> ou PDGFR.</w:t>
      </w:r>
    </w:p>
    <w:p w14:paraId="3B697A30" w14:textId="77777777" w:rsidR="00EF4CB3" w:rsidRPr="00653BF6" w:rsidRDefault="00EF4CB3" w:rsidP="007F23EE">
      <w:pPr>
        <w:pStyle w:val="EndnoteText"/>
        <w:tabs>
          <w:tab w:val="clear" w:pos="567"/>
        </w:tabs>
        <w:rPr>
          <w:color w:val="000000"/>
          <w:szCs w:val="22"/>
          <w:lang w:val="fr-FR"/>
        </w:rPr>
      </w:pPr>
    </w:p>
    <w:p w14:paraId="58816106" w14:textId="4CE66C1A" w:rsidR="00EF4CB3" w:rsidRPr="00653BF6" w:rsidRDefault="00EF4CB3" w:rsidP="007F23EE">
      <w:pPr>
        <w:pStyle w:val="EndnoteText"/>
        <w:keepNext/>
        <w:tabs>
          <w:tab w:val="clear" w:pos="567"/>
        </w:tabs>
        <w:rPr>
          <w:color w:val="000000"/>
          <w:szCs w:val="22"/>
          <w:u w:val="single"/>
          <w:lang w:val="fr-FR"/>
        </w:rPr>
      </w:pPr>
      <w:r w:rsidRPr="00653BF6">
        <w:rPr>
          <w:color w:val="000000"/>
          <w:szCs w:val="22"/>
          <w:u w:val="single"/>
          <w:lang w:val="fr-FR"/>
        </w:rPr>
        <w:t>Etudes cliniques dans la leucémie myéloïde chronique</w:t>
      </w:r>
    </w:p>
    <w:p w14:paraId="3ECDF6CA" w14:textId="77777777" w:rsidR="00A010F3" w:rsidRPr="00653BF6" w:rsidRDefault="00A010F3" w:rsidP="007F23EE">
      <w:pPr>
        <w:pStyle w:val="EndnoteText"/>
        <w:keepNext/>
        <w:tabs>
          <w:tab w:val="clear" w:pos="567"/>
        </w:tabs>
        <w:rPr>
          <w:color w:val="000000"/>
          <w:szCs w:val="22"/>
          <w:u w:val="single"/>
          <w:lang w:val="fr-FR"/>
        </w:rPr>
      </w:pPr>
    </w:p>
    <w:p w14:paraId="7673F7FF" w14:textId="77777777" w:rsidR="00EF4CB3" w:rsidRPr="00653BF6" w:rsidRDefault="00EF4CB3" w:rsidP="007F23EE">
      <w:pPr>
        <w:pStyle w:val="EndnoteText"/>
        <w:tabs>
          <w:tab w:val="clear" w:pos="567"/>
        </w:tabs>
        <w:rPr>
          <w:color w:val="000000"/>
          <w:szCs w:val="22"/>
          <w:lang w:val="fr-FR"/>
        </w:rPr>
      </w:pPr>
      <w:r w:rsidRPr="00653BF6">
        <w:rPr>
          <w:color w:val="000000"/>
          <w:szCs w:val="22"/>
          <w:lang w:val="fr-FR"/>
        </w:rPr>
        <w:t>L’efficacité de Glivec est basée sur les taux de réponses cytogénétiques et hématologiques globales et la survie sans progression. A l’exception de la LMC en phase chronique nouvellement diagnostiquée, il n’existe pas actuellement d’étude contrôlée démontrant un bénéfice clinique tel qu’une amélioration des symptômes liés à la maladie ou une prolongation de la durée de vie.</w:t>
      </w:r>
    </w:p>
    <w:p w14:paraId="59FDE327" w14:textId="77777777" w:rsidR="00EF4CB3" w:rsidRPr="00653BF6" w:rsidRDefault="00EF4CB3" w:rsidP="007F23EE">
      <w:pPr>
        <w:pStyle w:val="EndnoteText"/>
        <w:tabs>
          <w:tab w:val="clear" w:pos="567"/>
        </w:tabs>
        <w:rPr>
          <w:color w:val="000000"/>
          <w:szCs w:val="22"/>
          <w:lang w:val="fr-FR"/>
        </w:rPr>
      </w:pPr>
    </w:p>
    <w:p w14:paraId="7C003032" w14:textId="61010B3B" w:rsidR="00EF4CB3" w:rsidRPr="00653BF6" w:rsidRDefault="00EF4CB3" w:rsidP="007F23EE">
      <w:pPr>
        <w:pStyle w:val="EndnoteText"/>
        <w:tabs>
          <w:tab w:val="clear" w:pos="567"/>
        </w:tabs>
        <w:rPr>
          <w:color w:val="000000"/>
          <w:szCs w:val="22"/>
          <w:lang w:val="fr-FR"/>
        </w:rPr>
      </w:pPr>
      <w:r w:rsidRPr="00653BF6">
        <w:rPr>
          <w:color w:val="000000"/>
          <w:szCs w:val="22"/>
          <w:lang w:val="fr-FR"/>
        </w:rPr>
        <w:t>Trois grandes études ouvertes internationales de phase II, non contrôlées, ont été menées chez des patients atteints de LMC chromosome Philadelphie positive (Ph+) en phase avancée, crise blastique ou phase accélérée, ainsi que chez des patients atteints d</w:t>
      </w:r>
      <w:r w:rsidR="00813A7A">
        <w:rPr>
          <w:color w:val="000000"/>
          <w:szCs w:val="22"/>
          <w:lang w:val="fr-FR"/>
        </w:rPr>
        <w:t>’</w:t>
      </w:r>
      <w:r w:rsidRPr="00653BF6">
        <w:rPr>
          <w:color w:val="000000"/>
          <w:szCs w:val="22"/>
          <w:lang w:val="fr-FR"/>
        </w:rPr>
        <w:t xml:space="preserve">autres leucémies Ph+ ou de LMC en phase chronique en échec d’un traitement antérieur par interféron alpha (IFN). Une vaste étude randomisée </w:t>
      </w:r>
      <w:r w:rsidRPr="00653BF6">
        <w:rPr>
          <w:color w:val="000000"/>
          <w:szCs w:val="22"/>
          <w:lang w:val="fr-FR"/>
        </w:rPr>
        <w:lastRenderedPageBreak/>
        <w:t>ouverte, multicentrique, internationale de phase </w:t>
      </w:r>
      <w:smartTag w:uri="urn:schemas-microsoft-com:office:smarttags" w:element="stockticker">
        <w:r w:rsidRPr="00653BF6">
          <w:rPr>
            <w:color w:val="000000"/>
            <w:szCs w:val="22"/>
            <w:lang w:val="fr-FR"/>
          </w:rPr>
          <w:t>III</w:t>
        </w:r>
      </w:smartTag>
      <w:r w:rsidRPr="00653BF6">
        <w:rPr>
          <w:color w:val="000000"/>
          <w:szCs w:val="22"/>
          <w:lang w:val="fr-FR"/>
        </w:rPr>
        <w:t xml:space="preserve"> a été menée chez des patients présentant une LMC Ph+ nouvellement diagnostiquée. De plus, des enfants ont été traités dans deux études de phase I et une étude de phase II.</w:t>
      </w:r>
    </w:p>
    <w:p w14:paraId="2E45F6FC" w14:textId="77777777" w:rsidR="00EF4CB3" w:rsidRPr="00653BF6" w:rsidRDefault="00EF4CB3" w:rsidP="007F23EE">
      <w:pPr>
        <w:pStyle w:val="EndnoteText"/>
        <w:tabs>
          <w:tab w:val="clear" w:pos="567"/>
        </w:tabs>
        <w:rPr>
          <w:color w:val="000000"/>
          <w:szCs w:val="22"/>
          <w:lang w:val="fr-FR"/>
        </w:rPr>
      </w:pPr>
    </w:p>
    <w:p w14:paraId="4D20EF19" w14:textId="77777777" w:rsidR="00EF4CB3" w:rsidRPr="00653BF6" w:rsidRDefault="00EF4CB3" w:rsidP="007F23EE">
      <w:pPr>
        <w:pStyle w:val="EndnoteText"/>
        <w:tabs>
          <w:tab w:val="clear" w:pos="567"/>
        </w:tabs>
        <w:rPr>
          <w:color w:val="000000"/>
          <w:szCs w:val="22"/>
          <w:lang w:val="fr-FR"/>
        </w:rPr>
      </w:pPr>
      <w:r w:rsidRPr="00653BF6">
        <w:rPr>
          <w:color w:val="000000"/>
          <w:szCs w:val="22"/>
          <w:lang w:val="fr-FR"/>
        </w:rPr>
        <w:t xml:space="preserve">Dans toutes les études cliniques, 38–40% des patients avaient </w:t>
      </w:r>
      <w:r w:rsidRPr="00653BF6">
        <w:rPr>
          <w:color w:val="000000"/>
          <w:szCs w:val="22"/>
          <w:lang w:val="fr-FR"/>
        </w:rPr>
        <w:sym w:font="Symbol" w:char="F0B3"/>
      </w:r>
      <w:r w:rsidRPr="00653BF6">
        <w:rPr>
          <w:color w:val="000000"/>
          <w:szCs w:val="22"/>
          <w:lang w:val="fr-FR"/>
        </w:rPr>
        <w:t xml:space="preserve"> 60 ans et 10–12% des patients avaient </w:t>
      </w:r>
      <w:r w:rsidRPr="00653BF6">
        <w:rPr>
          <w:color w:val="000000"/>
          <w:szCs w:val="22"/>
          <w:lang w:val="fr-FR"/>
        </w:rPr>
        <w:sym w:font="Symbol" w:char="F0B3"/>
      </w:r>
      <w:r w:rsidRPr="00653BF6">
        <w:rPr>
          <w:color w:val="000000"/>
          <w:szCs w:val="22"/>
          <w:lang w:val="fr-FR"/>
        </w:rPr>
        <w:t> 70 ans.</w:t>
      </w:r>
    </w:p>
    <w:p w14:paraId="03816BDA" w14:textId="77777777" w:rsidR="00EF4CB3" w:rsidRPr="00653BF6" w:rsidRDefault="00EF4CB3" w:rsidP="007F23EE">
      <w:pPr>
        <w:pStyle w:val="EndnoteText"/>
        <w:tabs>
          <w:tab w:val="clear" w:pos="567"/>
        </w:tabs>
        <w:rPr>
          <w:color w:val="000000"/>
          <w:szCs w:val="22"/>
          <w:lang w:val="fr-FR"/>
        </w:rPr>
      </w:pPr>
    </w:p>
    <w:p w14:paraId="4809ECC0" w14:textId="7114C7C6" w:rsidR="00A010F3" w:rsidRPr="00653BF6" w:rsidRDefault="00EF4CB3" w:rsidP="007F23EE">
      <w:pPr>
        <w:pStyle w:val="EndnoteText"/>
        <w:keepNext/>
        <w:rPr>
          <w:color w:val="000000"/>
          <w:szCs w:val="22"/>
          <w:u w:val="single"/>
          <w:lang w:val="fr-FR"/>
        </w:rPr>
      </w:pPr>
      <w:r w:rsidRPr="00653BF6">
        <w:rPr>
          <w:i/>
          <w:color w:val="000000"/>
          <w:szCs w:val="22"/>
          <w:u w:val="single"/>
          <w:lang w:val="fr-FR"/>
        </w:rPr>
        <w:t>Phase chronique nouvellement diagnostiquée</w:t>
      </w:r>
    </w:p>
    <w:p w14:paraId="17132E8A" w14:textId="3BAD5F63" w:rsidR="00EF4CB3" w:rsidRPr="00653BF6" w:rsidRDefault="00EF4CB3" w:rsidP="007F23EE">
      <w:pPr>
        <w:pStyle w:val="EndnoteText"/>
        <w:rPr>
          <w:color w:val="000000"/>
          <w:szCs w:val="22"/>
          <w:lang w:val="fr-FR"/>
        </w:rPr>
      </w:pPr>
      <w:r w:rsidRPr="00653BF6">
        <w:rPr>
          <w:color w:val="000000"/>
          <w:szCs w:val="22"/>
          <w:lang w:val="fr-FR"/>
        </w:rPr>
        <w:t>Cette étude de phase </w:t>
      </w:r>
      <w:smartTag w:uri="urn:schemas-microsoft-com:office:smarttags" w:element="stockticker">
        <w:r w:rsidRPr="00653BF6">
          <w:rPr>
            <w:color w:val="000000"/>
            <w:szCs w:val="22"/>
            <w:lang w:val="fr-FR"/>
          </w:rPr>
          <w:t>III</w:t>
        </w:r>
      </w:smartTag>
      <w:r w:rsidRPr="00653BF6">
        <w:rPr>
          <w:color w:val="000000"/>
          <w:szCs w:val="22"/>
          <w:lang w:val="fr-FR"/>
        </w:rPr>
        <w:t>, chez des patients adultes, a comparé l</w:t>
      </w:r>
      <w:r w:rsidR="00813A7A">
        <w:rPr>
          <w:color w:val="000000"/>
          <w:szCs w:val="22"/>
          <w:lang w:val="fr-FR"/>
        </w:rPr>
        <w:t>’</w:t>
      </w:r>
      <w:r w:rsidRPr="00653BF6">
        <w:rPr>
          <w:color w:val="000000"/>
          <w:szCs w:val="22"/>
          <w:lang w:val="fr-FR"/>
        </w:rPr>
        <w:t>administration de Glivec en monothérapie à une association d</w:t>
      </w:r>
      <w:r w:rsidR="00813A7A">
        <w:rPr>
          <w:color w:val="000000"/>
          <w:szCs w:val="22"/>
          <w:lang w:val="fr-FR"/>
        </w:rPr>
        <w:t>’</w:t>
      </w:r>
      <w:r w:rsidRPr="00653BF6">
        <w:rPr>
          <w:color w:val="000000"/>
          <w:szCs w:val="22"/>
          <w:lang w:val="fr-FR"/>
        </w:rPr>
        <w:t>interféron-alpha (IFN) et de cytarabine (</w:t>
      </w:r>
      <w:proofErr w:type="spellStart"/>
      <w:r w:rsidRPr="00653BF6">
        <w:rPr>
          <w:color w:val="000000"/>
          <w:szCs w:val="22"/>
          <w:lang w:val="fr-FR"/>
        </w:rPr>
        <w:t>Ara-C</w:t>
      </w:r>
      <w:proofErr w:type="spellEnd"/>
      <w:r w:rsidRPr="00653BF6">
        <w:rPr>
          <w:color w:val="000000"/>
          <w:szCs w:val="22"/>
          <w:lang w:val="fr-FR"/>
        </w:rPr>
        <w:t>). Les patients présentant une absence de réponse [absence de réponse hématologique complète (RHC) à 6 mois, augmentation des leucocytes, absence de réponse cytogénétique majeure (</w:t>
      </w:r>
      <w:proofErr w:type="spellStart"/>
      <w:r w:rsidRPr="00653BF6">
        <w:rPr>
          <w:color w:val="000000"/>
          <w:szCs w:val="22"/>
          <w:lang w:val="fr-FR"/>
        </w:rPr>
        <w:t>RCyM</w:t>
      </w:r>
      <w:proofErr w:type="spellEnd"/>
      <w:r w:rsidRPr="00653BF6">
        <w:rPr>
          <w:color w:val="000000"/>
          <w:szCs w:val="22"/>
          <w:lang w:val="fr-FR"/>
        </w:rPr>
        <w:t xml:space="preserve">) à 24 mois], une perte de la réponse (perte de la RHC ou de la </w:t>
      </w:r>
      <w:proofErr w:type="spellStart"/>
      <w:r w:rsidRPr="00653BF6">
        <w:rPr>
          <w:color w:val="000000"/>
          <w:szCs w:val="22"/>
          <w:lang w:val="fr-FR"/>
        </w:rPr>
        <w:t>RCyM</w:t>
      </w:r>
      <w:proofErr w:type="spellEnd"/>
      <w:r w:rsidRPr="00653BF6">
        <w:rPr>
          <w:color w:val="000000"/>
          <w:szCs w:val="22"/>
          <w:lang w:val="fr-FR"/>
        </w:rPr>
        <w:t>) ou une intolérance sévère au traitement ont été autorisés à permuter dans l</w:t>
      </w:r>
      <w:r w:rsidR="00813A7A">
        <w:rPr>
          <w:color w:val="000000"/>
          <w:szCs w:val="22"/>
          <w:lang w:val="fr-FR"/>
        </w:rPr>
        <w:t>’</w:t>
      </w:r>
      <w:r w:rsidRPr="00653BF6">
        <w:rPr>
          <w:color w:val="000000"/>
          <w:szCs w:val="22"/>
          <w:lang w:val="fr-FR"/>
        </w:rPr>
        <w:t>autre groupe de traitement. Dans le groupe recevant Glivec, les patients ont été traités par 400 mg/jour. Dans le groupe recevant IFN, les patients ont reçu une dose cible d</w:t>
      </w:r>
      <w:r w:rsidR="00813A7A">
        <w:rPr>
          <w:color w:val="000000"/>
          <w:szCs w:val="22"/>
          <w:lang w:val="fr-FR"/>
        </w:rPr>
        <w:t>’</w:t>
      </w:r>
      <w:r w:rsidRPr="00653BF6">
        <w:rPr>
          <w:color w:val="000000"/>
          <w:szCs w:val="22"/>
          <w:lang w:val="fr-FR"/>
        </w:rPr>
        <w:t>IFN de 5 </w:t>
      </w:r>
      <w:smartTag w:uri="urn:schemas-microsoft-com:office:smarttags" w:element="stockticker">
        <w:r w:rsidRPr="00653BF6">
          <w:rPr>
            <w:color w:val="000000"/>
            <w:szCs w:val="22"/>
            <w:lang w:val="fr-FR"/>
          </w:rPr>
          <w:t>MUI</w:t>
        </w:r>
      </w:smartTag>
      <w:r w:rsidRPr="00653BF6">
        <w:rPr>
          <w:color w:val="000000"/>
          <w:szCs w:val="22"/>
          <w:lang w:val="fr-FR"/>
        </w:rPr>
        <w:t>/m</w:t>
      </w:r>
      <w:r w:rsidRPr="00653BF6">
        <w:rPr>
          <w:color w:val="000000"/>
          <w:szCs w:val="22"/>
          <w:vertAlign w:val="superscript"/>
          <w:lang w:val="fr-FR"/>
        </w:rPr>
        <w:t>2</w:t>
      </w:r>
      <w:r w:rsidRPr="00653BF6">
        <w:rPr>
          <w:color w:val="000000"/>
          <w:szCs w:val="22"/>
          <w:lang w:val="fr-FR"/>
        </w:rPr>
        <w:t>/jour par voie sous-cutanée, en association à une dose sous-cutanée d</w:t>
      </w:r>
      <w:r w:rsidR="00813A7A">
        <w:rPr>
          <w:color w:val="000000"/>
          <w:szCs w:val="22"/>
          <w:lang w:val="fr-FR"/>
        </w:rPr>
        <w:t>’</w:t>
      </w:r>
      <w:proofErr w:type="spellStart"/>
      <w:r w:rsidRPr="00653BF6">
        <w:rPr>
          <w:color w:val="000000"/>
          <w:szCs w:val="22"/>
          <w:lang w:val="fr-FR"/>
        </w:rPr>
        <w:t>Ara-C</w:t>
      </w:r>
      <w:proofErr w:type="spellEnd"/>
      <w:r w:rsidRPr="00653BF6">
        <w:rPr>
          <w:color w:val="000000"/>
          <w:szCs w:val="22"/>
          <w:lang w:val="fr-FR"/>
        </w:rPr>
        <w:t xml:space="preserve"> de 20 mg/m</w:t>
      </w:r>
      <w:r w:rsidRPr="00653BF6">
        <w:rPr>
          <w:color w:val="000000"/>
          <w:szCs w:val="22"/>
          <w:vertAlign w:val="superscript"/>
          <w:lang w:val="fr-FR"/>
        </w:rPr>
        <w:t>2</w:t>
      </w:r>
      <w:r w:rsidRPr="00653BF6">
        <w:rPr>
          <w:color w:val="000000"/>
          <w:szCs w:val="22"/>
          <w:lang w:val="fr-FR"/>
        </w:rPr>
        <w:t>/jour pendant 10 jours/mois.</w:t>
      </w:r>
    </w:p>
    <w:p w14:paraId="55ED1B47" w14:textId="77777777" w:rsidR="00EF4CB3" w:rsidRPr="00653BF6" w:rsidRDefault="00EF4CB3" w:rsidP="007F23EE">
      <w:pPr>
        <w:pStyle w:val="EndnoteText"/>
        <w:tabs>
          <w:tab w:val="clear" w:pos="567"/>
        </w:tabs>
        <w:rPr>
          <w:color w:val="000000"/>
          <w:szCs w:val="22"/>
          <w:lang w:val="fr-FR"/>
        </w:rPr>
      </w:pPr>
    </w:p>
    <w:p w14:paraId="043C6703" w14:textId="1FDEF524" w:rsidR="00EF4CB3" w:rsidRPr="00653BF6" w:rsidRDefault="00EF4CB3" w:rsidP="007F23EE">
      <w:pPr>
        <w:pStyle w:val="EndnoteText"/>
        <w:rPr>
          <w:color w:val="000000"/>
          <w:szCs w:val="22"/>
          <w:lang w:val="fr-FR"/>
        </w:rPr>
      </w:pPr>
      <w:r w:rsidRPr="00653BF6">
        <w:rPr>
          <w:color w:val="000000"/>
          <w:szCs w:val="22"/>
          <w:lang w:val="fr-FR"/>
        </w:rPr>
        <w:t>Au total, 1 106 patients ont été randomisés, soit 553 patients par groupe de traitement. Les caractéristiques initiales étaient bien équilibrées dans les deux groupes de traitement. L</w:t>
      </w:r>
      <w:r w:rsidR="00813A7A">
        <w:rPr>
          <w:color w:val="000000"/>
          <w:szCs w:val="22"/>
          <w:lang w:val="fr-FR"/>
        </w:rPr>
        <w:t>’</w:t>
      </w:r>
      <w:r w:rsidRPr="00653BF6">
        <w:rPr>
          <w:color w:val="000000"/>
          <w:szCs w:val="22"/>
          <w:lang w:val="fr-FR"/>
        </w:rPr>
        <w:t>âge médian était de 51 ans (extrêmes : 18–70 ans) dont 21,9% des patients âgés de 60 ans ou plus. Les groupes étaient composés de 59% d</w:t>
      </w:r>
      <w:r w:rsidR="00813A7A">
        <w:rPr>
          <w:color w:val="000000"/>
          <w:szCs w:val="22"/>
          <w:lang w:val="fr-FR"/>
        </w:rPr>
        <w:t>’</w:t>
      </w:r>
      <w:r w:rsidRPr="00653BF6">
        <w:rPr>
          <w:color w:val="000000"/>
          <w:szCs w:val="22"/>
          <w:lang w:val="fr-FR"/>
        </w:rPr>
        <w:t>hommes et 41% de femmes, de 89,9% de blancs et 4,7% de noirs. Sept ans après l’inclusion du dernier patient, la durée médiane de traitement en première ligne était respectivement de 82 et de 8 mois dans les bras traités par Glivec et par l’IFN. La durée médiane de traitement en seconde ligne par Glivec était de 64 mois. Au total, chez les patients recevant Glivec en première ligne, la dose moyenne quotidienne dispensée était de 406 </w:t>
      </w:r>
      <w:r w:rsidRPr="00653BF6">
        <w:rPr>
          <w:color w:val="000000"/>
          <w:szCs w:val="22"/>
          <w:lang w:val="fr-FR"/>
        </w:rPr>
        <w:sym w:font="Symbol" w:char="F0B1"/>
      </w:r>
      <w:r w:rsidRPr="00653BF6">
        <w:rPr>
          <w:color w:val="000000"/>
          <w:szCs w:val="22"/>
          <w:lang w:val="fr-FR"/>
        </w:rPr>
        <w:t> 76 mg. Dans cette étude, le paramètre d</w:t>
      </w:r>
      <w:r w:rsidR="00813A7A">
        <w:rPr>
          <w:color w:val="000000"/>
          <w:szCs w:val="22"/>
          <w:lang w:val="fr-FR"/>
        </w:rPr>
        <w:t>’</w:t>
      </w:r>
      <w:r w:rsidRPr="00653BF6">
        <w:rPr>
          <w:color w:val="000000"/>
          <w:szCs w:val="22"/>
          <w:lang w:val="fr-FR"/>
        </w:rPr>
        <w:t>évaluation principal de l</w:t>
      </w:r>
      <w:r w:rsidR="00813A7A">
        <w:rPr>
          <w:color w:val="000000"/>
          <w:szCs w:val="22"/>
          <w:lang w:val="fr-FR"/>
        </w:rPr>
        <w:t>’</w:t>
      </w:r>
      <w:r w:rsidRPr="00653BF6">
        <w:rPr>
          <w:color w:val="000000"/>
          <w:szCs w:val="22"/>
          <w:lang w:val="fr-FR"/>
        </w:rPr>
        <w:t xml:space="preserve">efficacité est la survie sans progression de la maladie. La progression était définie par l’un des événements suivants : évolution vers une phase accélérée ou une crise blastique, décès, perte de la RHC ou de la </w:t>
      </w:r>
      <w:proofErr w:type="spellStart"/>
      <w:r w:rsidRPr="00653BF6">
        <w:rPr>
          <w:color w:val="000000"/>
          <w:szCs w:val="22"/>
          <w:lang w:val="fr-FR"/>
        </w:rPr>
        <w:t>RCyM</w:t>
      </w:r>
      <w:proofErr w:type="spellEnd"/>
      <w:r w:rsidRPr="00653BF6">
        <w:rPr>
          <w:color w:val="000000"/>
          <w:szCs w:val="22"/>
          <w:lang w:val="fr-FR"/>
        </w:rPr>
        <w:t>, ou, chez les patients n</w:t>
      </w:r>
      <w:r w:rsidR="00813A7A">
        <w:rPr>
          <w:color w:val="000000"/>
          <w:szCs w:val="22"/>
          <w:lang w:val="fr-FR"/>
        </w:rPr>
        <w:t>’</w:t>
      </w:r>
      <w:r w:rsidRPr="00653BF6">
        <w:rPr>
          <w:color w:val="000000"/>
          <w:szCs w:val="22"/>
          <w:lang w:val="fr-FR"/>
        </w:rPr>
        <w:t>obtenant pas une RHC, augmentation des leucocytes malgré une prise en charge thérapeutique adaptée. La réponse cytogénétique majeure, la réponse hématologique, la réponse moléculaire (évaluation de la maladie résiduelle), le délai avant apparition d</w:t>
      </w:r>
      <w:r w:rsidR="00813A7A">
        <w:rPr>
          <w:color w:val="000000"/>
          <w:szCs w:val="22"/>
          <w:lang w:val="fr-FR"/>
        </w:rPr>
        <w:t>’</w:t>
      </w:r>
      <w:r w:rsidRPr="00653BF6">
        <w:rPr>
          <w:color w:val="000000"/>
          <w:szCs w:val="22"/>
          <w:lang w:val="fr-FR"/>
        </w:rPr>
        <w:t>une phase accélérée ou d</w:t>
      </w:r>
      <w:r w:rsidR="00813A7A">
        <w:rPr>
          <w:color w:val="000000"/>
          <w:szCs w:val="22"/>
          <w:lang w:val="fr-FR"/>
        </w:rPr>
        <w:t>’</w:t>
      </w:r>
      <w:r w:rsidRPr="00653BF6">
        <w:rPr>
          <w:color w:val="000000"/>
          <w:szCs w:val="22"/>
          <w:lang w:val="fr-FR"/>
        </w:rPr>
        <w:t>une crise blastique et la survie sont les principaux critères d</w:t>
      </w:r>
      <w:r w:rsidR="00813A7A">
        <w:rPr>
          <w:color w:val="000000"/>
          <w:szCs w:val="22"/>
          <w:lang w:val="fr-FR"/>
        </w:rPr>
        <w:t>’</w:t>
      </w:r>
      <w:r w:rsidRPr="00653BF6">
        <w:rPr>
          <w:color w:val="000000"/>
          <w:szCs w:val="22"/>
          <w:lang w:val="fr-FR"/>
        </w:rPr>
        <w:t>évaluation secondaires. Le Tableau </w:t>
      </w:r>
      <w:r w:rsidR="00A239AE" w:rsidRPr="00653BF6">
        <w:rPr>
          <w:color w:val="000000"/>
          <w:szCs w:val="22"/>
          <w:lang w:val="fr-FR"/>
        </w:rPr>
        <w:t xml:space="preserve">2 </w:t>
      </w:r>
      <w:r w:rsidRPr="00653BF6">
        <w:rPr>
          <w:color w:val="000000"/>
          <w:szCs w:val="22"/>
          <w:lang w:val="fr-FR"/>
        </w:rPr>
        <w:t>présente les données relatives aux types de réponses.</w:t>
      </w:r>
    </w:p>
    <w:p w14:paraId="1C488701" w14:textId="77777777" w:rsidR="00EF4CB3" w:rsidRPr="00653BF6" w:rsidRDefault="00EF4CB3" w:rsidP="007F23EE">
      <w:pPr>
        <w:pStyle w:val="EndnoteText"/>
        <w:rPr>
          <w:color w:val="000000"/>
          <w:szCs w:val="22"/>
          <w:lang w:val="fr-FR"/>
        </w:rPr>
      </w:pPr>
    </w:p>
    <w:p w14:paraId="256FEB96" w14:textId="25E749DB" w:rsidR="00EF4CB3" w:rsidRPr="00653BF6" w:rsidRDefault="00EF4CB3" w:rsidP="007F23EE">
      <w:pPr>
        <w:pStyle w:val="EndnoteText"/>
        <w:keepNext/>
        <w:keepLines/>
        <w:tabs>
          <w:tab w:val="clear" w:pos="567"/>
        </w:tabs>
        <w:ind w:left="1134" w:hanging="1134"/>
        <w:rPr>
          <w:b/>
          <w:color w:val="000000"/>
          <w:szCs w:val="22"/>
          <w:lang w:val="fr-FR"/>
        </w:rPr>
      </w:pPr>
      <w:r w:rsidRPr="00653BF6">
        <w:rPr>
          <w:b/>
          <w:color w:val="000000"/>
          <w:szCs w:val="22"/>
          <w:lang w:val="fr-FR"/>
        </w:rPr>
        <w:lastRenderedPageBreak/>
        <w:t>Tableau </w:t>
      </w:r>
      <w:r w:rsidR="00A239AE" w:rsidRPr="00653BF6">
        <w:rPr>
          <w:b/>
          <w:color w:val="000000"/>
          <w:szCs w:val="22"/>
          <w:lang w:val="fr-FR"/>
        </w:rPr>
        <w:t>2</w:t>
      </w:r>
      <w:r w:rsidRPr="00653BF6">
        <w:rPr>
          <w:b/>
          <w:color w:val="000000"/>
          <w:szCs w:val="22"/>
          <w:lang w:val="fr-FR"/>
        </w:rPr>
        <w:tab/>
        <w:t>Réponses observées dans l</w:t>
      </w:r>
      <w:r w:rsidR="00813A7A">
        <w:rPr>
          <w:b/>
          <w:color w:val="000000"/>
          <w:szCs w:val="22"/>
          <w:lang w:val="fr-FR"/>
        </w:rPr>
        <w:t>’</w:t>
      </w:r>
      <w:r w:rsidRPr="00653BF6">
        <w:rPr>
          <w:b/>
          <w:color w:val="000000"/>
          <w:szCs w:val="22"/>
          <w:lang w:val="fr-FR"/>
        </w:rPr>
        <w:t>étude portant sur les LMC de diagnostic récent (données à 84 mois)</w:t>
      </w:r>
    </w:p>
    <w:p w14:paraId="51AD9223" w14:textId="77777777" w:rsidR="00EF4CB3" w:rsidRPr="00653BF6" w:rsidRDefault="00EF4CB3" w:rsidP="007F23EE">
      <w:pPr>
        <w:pStyle w:val="EndnoteText"/>
        <w:keepNext/>
        <w:rPr>
          <w:color w:val="000000"/>
          <w:szCs w:val="22"/>
          <w:lang w:val="fr-FR"/>
        </w:rPr>
      </w:pPr>
    </w:p>
    <w:tbl>
      <w:tblPr>
        <w:tblW w:w="0" w:type="auto"/>
        <w:tblBorders>
          <w:top w:val="single" w:sz="4" w:space="0" w:color="auto"/>
          <w:left w:val="single" w:sz="4" w:space="0" w:color="auto"/>
          <w:bottom w:val="single" w:sz="4" w:space="0" w:color="auto"/>
        </w:tblBorders>
        <w:tblLayout w:type="fixed"/>
        <w:tblLook w:val="0000" w:firstRow="0" w:lastRow="0" w:firstColumn="0" w:lastColumn="0" w:noHBand="0" w:noVBand="0"/>
      </w:tblPr>
      <w:tblGrid>
        <w:gridCol w:w="3794"/>
        <w:gridCol w:w="2693"/>
        <w:gridCol w:w="2693"/>
      </w:tblGrid>
      <w:tr w:rsidR="00EF4CB3" w:rsidRPr="00653BF6" w14:paraId="471639A1" w14:textId="77777777" w:rsidTr="004B2956">
        <w:trPr>
          <w:cantSplit/>
        </w:trPr>
        <w:tc>
          <w:tcPr>
            <w:tcW w:w="3794" w:type="dxa"/>
            <w:tcBorders>
              <w:top w:val="single" w:sz="4" w:space="0" w:color="auto"/>
              <w:left w:val="single" w:sz="4" w:space="0" w:color="auto"/>
              <w:bottom w:val="nil"/>
            </w:tcBorders>
          </w:tcPr>
          <w:p w14:paraId="0ACC2ED8" w14:textId="77777777" w:rsidR="00EF4CB3" w:rsidRPr="00653BF6" w:rsidRDefault="00EF4CB3" w:rsidP="007F23EE">
            <w:pPr>
              <w:pStyle w:val="TableCarCarCarCarCarCarCarCarCar"/>
              <w:keepLines w:val="0"/>
              <w:spacing w:before="0" w:after="0"/>
              <w:rPr>
                <w:rFonts w:ascii="Times New Roman" w:hAnsi="Times New Roman"/>
                <w:color w:val="000000"/>
                <w:szCs w:val="22"/>
                <w:lang w:val="fr-FR"/>
              </w:rPr>
            </w:pPr>
          </w:p>
        </w:tc>
        <w:tc>
          <w:tcPr>
            <w:tcW w:w="2693" w:type="dxa"/>
            <w:tcBorders>
              <w:top w:val="single" w:sz="4" w:space="0" w:color="auto"/>
              <w:bottom w:val="nil"/>
            </w:tcBorders>
          </w:tcPr>
          <w:p w14:paraId="562DDE0C" w14:textId="77777777" w:rsidR="00EF4CB3" w:rsidRPr="00653BF6" w:rsidRDefault="00EF4CB3" w:rsidP="007F23EE">
            <w:pPr>
              <w:pStyle w:val="TableCarCarCarCarCarCarCarCarCar"/>
              <w:keepLines w:val="0"/>
              <w:spacing w:before="0" w:after="0"/>
              <w:jc w:val="center"/>
              <w:rPr>
                <w:rFonts w:ascii="Times New Roman" w:hAnsi="Times New Roman"/>
                <w:b/>
                <w:color w:val="000000"/>
                <w:szCs w:val="22"/>
                <w:lang w:val="fr-FR"/>
              </w:rPr>
            </w:pPr>
            <w:r w:rsidRPr="00653BF6">
              <w:rPr>
                <w:rFonts w:ascii="Times New Roman" w:hAnsi="Times New Roman"/>
                <w:b/>
                <w:color w:val="000000"/>
                <w:szCs w:val="22"/>
                <w:lang w:val="fr-FR"/>
              </w:rPr>
              <w:t>Glivec</w:t>
            </w:r>
          </w:p>
        </w:tc>
        <w:tc>
          <w:tcPr>
            <w:tcW w:w="2693" w:type="dxa"/>
            <w:tcBorders>
              <w:top w:val="single" w:sz="4" w:space="0" w:color="auto"/>
              <w:bottom w:val="nil"/>
              <w:right w:val="single" w:sz="4" w:space="0" w:color="auto"/>
            </w:tcBorders>
          </w:tcPr>
          <w:p w14:paraId="38AC5A6F" w14:textId="77777777" w:rsidR="00EF4CB3" w:rsidRPr="00653BF6" w:rsidRDefault="00EF4CB3" w:rsidP="007F23EE">
            <w:pPr>
              <w:pStyle w:val="TableCarCarCarCarCarCarCarCarCar"/>
              <w:keepLines w:val="0"/>
              <w:spacing w:before="0" w:after="0"/>
              <w:jc w:val="center"/>
              <w:rPr>
                <w:rFonts w:ascii="Times New Roman" w:hAnsi="Times New Roman"/>
                <w:b/>
                <w:color w:val="000000"/>
                <w:szCs w:val="22"/>
                <w:lang w:val="fr-FR"/>
              </w:rPr>
            </w:pPr>
            <w:proofErr w:type="spellStart"/>
            <w:r w:rsidRPr="00653BF6">
              <w:rPr>
                <w:rFonts w:ascii="Times New Roman" w:hAnsi="Times New Roman"/>
                <w:b/>
                <w:color w:val="000000"/>
                <w:szCs w:val="22"/>
                <w:lang w:val="fr-FR"/>
              </w:rPr>
              <w:t>IFN+Ara-C</w:t>
            </w:r>
            <w:proofErr w:type="spellEnd"/>
          </w:p>
        </w:tc>
      </w:tr>
      <w:tr w:rsidR="00EF4CB3" w:rsidRPr="00653BF6" w14:paraId="56639C71" w14:textId="77777777" w:rsidTr="004B2956">
        <w:trPr>
          <w:cantSplit/>
        </w:trPr>
        <w:tc>
          <w:tcPr>
            <w:tcW w:w="3794" w:type="dxa"/>
            <w:tcBorders>
              <w:top w:val="nil"/>
              <w:left w:val="single" w:sz="4" w:space="0" w:color="auto"/>
              <w:bottom w:val="single" w:sz="4" w:space="0" w:color="auto"/>
            </w:tcBorders>
          </w:tcPr>
          <w:p w14:paraId="3AAD9F25" w14:textId="77777777" w:rsidR="00EF4CB3" w:rsidRPr="00653BF6" w:rsidRDefault="00EF4CB3" w:rsidP="007F23EE">
            <w:pPr>
              <w:pStyle w:val="TableCarCarCarCarCarCarCarCarCar"/>
              <w:keepLines w:val="0"/>
              <w:spacing w:before="0" w:after="0"/>
              <w:rPr>
                <w:rFonts w:ascii="Times New Roman" w:hAnsi="Times New Roman"/>
                <w:b/>
                <w:color w:val="000000"/>
                <w:szCs w:val="22"/>
                <w:lang w:val="fr-FR"/>
              </w:rPr>
            </w:pPr>
            <w:r w:rsidRPr="00653BF6">
              <w:rPr>
                <w:rFonts w:ascii="Times New Roman" w:hAnsi="Times New Roman"/>
                <w:b/>
                <w:color w:val="000000"/>
                <w:szCs w:val="22"/>
                <w:lang w:val="fr-FR"/>
              </w:rPr>
              <w:t>(Meilleurs taux de réponse)</w:t>
            </w:r>
          </w:p>
        </w:tc>
        <w:tc>
          <w:tcPr>
            <w:tcW w:w="2693" w:type="dxa"/>
            <w:tcBorders>
              <w:top w:val="nil"/>
              <w:bottom w:val="single" w:sz="4" w:space="0" w:color="auto"/>
            </w:tcBorders>
          </w:tcPr>
          <w:p w14:paraId="31BF1720" w14:textId="30DE2D0B" w:rsidR="00EF4CB3" w:rsidRPr="00653BF6" w:rsidRDefault="00EF4CB3" w:rsidP="007F23EE">
            <w:pPr>
              <w:pStyle w:val="TableCarCarCarCarCarCarCarCarCar"/>
              <w:keepLines w:val="0"/>
              <w:spacing w:before="0" w:after="0"/>
              <w:jc w:val="center"/>
              <w:rPr>
                <w:rFonts w:ascii="Times New Roman" w:hAnsi="Times New Roman"/>
                <w:color w:val="000000"/>
                <w:szCs w:val="22"/>
                <w:lang w:val="fr-FR"/>
              </w:rPr>
            </w:pPr>
            <w:proofErr w:type="gramStart"/>
            <w:r w:rsidRPr="00653BF6">
              <w:rPr>
                <w:rFonts w:ascii="Times New Roman" w:hAnsi="Times New Roman"/>
                <w:color w:val="000000"/>
                <w:szCs w:val="22"/>
                <w:lang w:val="fr-FR"/>
              </w:rPr>
              <w:t>n</w:t>
            </w:r>
            <w:proofErr w:type="gramEnd"/>
            <w:ins w:id="242" w:author="Author">
              <w:r w:rsidR="007D7517" w:rsidRPr="00653BF6">
                <w:rPr>
                  <w:rFonts w:ascii="Times New Roman" w:hAnsi="Times New Roman"/>
                  <w:color w:val="000000"/>
                  <w:szCs w:val="22"/>
                  <w:lang w:val="fr-FR"/>
                </w:rPr>
                <w:t> </w:t>
              </w:r>
            </w:ins>
            <w:r w:rsidRPr="00653BF6">
              <w:rPr>
                <w:rFonts w:ascii="Times New Roman" w:hAnsi="Times New Roman"/>
                <w:color w:val="000000"/>
                <w:szCs w:val="22"/>
                <w:lang w:val="fr-FR"/>
              </w:rPr>
              <w:t>=</w:t>
            </w:r>
            <w:ins w:id="243" w:author="Author">
              <w:r w:rsidR="007D7517" w:rsidRPr="00653BF6">
                <w:rPr>
                  <w:rFonts w:ascii="Times New Roman" w:hAnsi="Times New Roman"/>
                  <w:color w:val="000000"/>
                  <w:szCs w:val="22"/>
                  <w:lang w:val="fr-FR"/>
                </w:rPr>
                <w:t> </w:t>
              </w:r>
            </w:ins>
            <w:r w:rsidRPr="00653BF6">
              <w:rPr>
                <w:rFonts w:ascii="Times New Roman" w:hAnsi="Times New Roman"/>
                <w:color w:val="000000"/>
                <w:szCs w:val="22"/>
                <w:lang w:val="fr-FR"/>
              </w:rPr>
              <w:t>553</w:t>
            </w:r>
          </w:p>
        </w:tc>
        <w:tc>
          <w:tcPr>
            <w:tcW w:w="2693" w:type="dxa"/>
            <w:tcBorders>
              <w:top w:val="nil"/>
              <w:bottom w:val="single" w:sz="4" w:space="0" w:color="auto"/>
              <w:right w:val="single" w:sz="4" w:space="0" w:color="auto"/>
            </w:tcBorders>
          </w:tcPr>
          <w:p w14:paraId="0AE6E173" w14:textId="715D92B6" w:rsidR="00EF4CB3" w:rsidRPr="00653BF6" w:rsidRDefault="00EF4CB3" w:rsidP="007F23EE">
            <w:pPr>
              <w:pStyle w:val="TableCarCarCarCarCarCarCarCarCar"/>
              <w:keepLines w:val="0"/>
              <w:spacing w:before="0" w:after="0"/>
              <w:jc w:val="center"/>
              <w:rPr>
                <w:rFonts w:ascii="Times New Roman" w:hAnsi="Times New Roman"/>
                <w:color w:val="000000"/>
                <w:szCs w:val="22"/>
                <w:lang w:val="fr-FR"/>
              </w:rPr>
            </w:pPr>
            <w:proofErr w:type="gramStart"/>
            <w:r w:rsidRPr="00653BF6">
              <w:rPr>
                <w:rFonts w:ascii="Times New Roman" w:hAnsi="Times New Roman"/>
                <w:color w:val="000000"/>
                <w:szCs w:val="22"/>
                <w:lang w:val="fr-FR"/>
              </w:rPr>
              <w:t>n</w:t>
            </w:r>
            <w:proofErr w:type="gramEnd"/>
            <w:ins w:id="244" w:author="Author">
              <w:r w:rsidR="007D7517" w:rsidRPr="00653BF6">
                <w:rPr>
                  <w:rFonts w:ascii="Times New Roman" w:hAnsi="Times New Roman"/>
                  <w:color w:val="000000"/>
                  <w:szCs w:val="22"/>
                  <w:lang w:val="fr-FR"/>
                </w:rPr>
                <w:t> </w:t>
              </w:r>
            </w:ins>
            <w:r w:rsidRPr="00653BF6">
              <w:rPr>
                <w:rFonts w:ascii="Times New Roman" w:hAnsi="Times New Roman"/>
                <w:color w:val="000000"/>
                <w:szCs w:val="22"/>
                <w:lang w:val="fr-FR"/>
              </w:rPr>
              <w:t>=</w:t>
            </w:r>
            <w:ins w:id="245" w:author="Author">
              <w:r w:rsidR="007D7517" w:rsidRPr="00653BF6">
                <w:rPr>
                  <w:rFonts w:ascii="Times New Roman" w:hAnsi="Times New Roman"/>
                  <w:color w:val="000000"/>
                  <w:szCs w:val="22"/>
                  <w:lang w:val="fr-FR"/>
                </w:rPr>
                <w:t> </w:t>
              </w:r>
            </w:ins>
            <w:r w:rsidRPr="00653BF6">
              <w:rPr>
                <w:rFonts w:ascii="Times New Roman" w:hAnsi="Times New Roman"/>
                <w:color w:val="000000"/>
                <w:szCs w:val="22"/>
                <w:lang w:val="fr-FR"/>
              </w:rPr>
              <w:t>553</w:t>
            </w:r>
          </w:p>
        </w:tc>
      </w:tr>
      <w:tr w:rsidR="00EF4CB3" w:rsidRPr="00653BF6" w14:paraId="0C1093E9" w14:textId="77777777" w:rsidTr="004B2956">
        <w:trPr>
          <w:cantSplit/>
        </w:trPr>
        <w:tc>
          <w:tcPr>
            <w:tcW w:w="3794" w:type="dxa"/>
            <w:tcBorders>
              <w:top w:val="nil"/>
              <w:left w:val="single" w:sz="4" w:space="0" w:color="auto"/>
            </w:tcBorders>
          </w:tcPr>
          <w:p w14:paraId="46758693" w14:textId="77777777" w:rsidR="00EF4CB3" w:rsidRPr="00653BF6" w:rsidRDefault="00EF4CB3" w:rsidP="007F23EE">
            <w:pPr>
              <w:pStyle w:val="TableCarCarCarCarCarCarCarCarCar"/>
              <w:keepLines w:val="0"/>
              <w:spacing w:before="0" w:after="0"/>
              <w:rPr>
                <w:rFonts w:ascii="Times New Roman" w:hAnsi="Times New Roman"/>
                <w:b/>
                <w:color w:val="000000"/>
                <w:szCs w:val="22"/>
                <w:lang w:val="fr-FR"/>
              </w:rPr>
            </w:pPr>
            <w:r w:rsidRPr="00653BF6">
              <w:rPr>
                <w:rFonts w:ascii="Times New Roman" w:hAnsi="Times New Roman"/>
                <w:b/>
                <w:color w:val="000000"/>
                <w:szCs w:val="22"/>
                <w:lang w:val="fr-FR"/>
              </w:rPr>
              <w:t>Réponse hématologique</w:t>
            </w:r>
          </w:p>
        </w:tc>
        <w:tc>
          <w:tcPr>
            <w:tcW w:w="2693" w:type="dxa"/>
            <w:tcBorders>
              <w:top w:val="nil"/>
            </w:tcBorders>
          </w:tcPr>
          <w:p w14:paraId="25B881FB" w14:textId="77777777" w:rsidR="00EF4CB3" w:rsidRPr="00653BF6" w:rsidRDefault="00EF4CB3" w:rsidP="007F23EE">
            <w:pPr>
              <w:pStyle w:val="TableCarCarCarCarCarCarCarCarCar"/>
              <w:keepLines w:val="0"/>
              <w:spacing w:before="0" w:after="0"/>
              <w:jc w:val="center"/>
              <w:rPr>
                <w:rFonts w:ascii="Times New Roman" w:hAnsi="Times New Roman"/>
                <w:b/>
                <w:color w:val="000000"/>
                <w:szCs w:val="22"/>
                <w:lang w:val="fr-FR"/>
              </w:rPr>
            </w:pPr>
          </w:p>
        </w:tc>
        <w:tc>
          <w:tcPr>
            <w:tcW w:w="2693" w:type="dxa"/>
            <w:tcBorders>
              <w:top w:val="nil"/>
              <w:right w:val="single" w:sz="4" w:space="0" w:color="auto"/>
            </w:tcBorders>
          </w:tcPr>
          <w:p w14:paraId="325F4616" w14:textId="77777777" w:rsidR="00EF4CB3" w:rsidRPr="00653BF6" w:rsidRDefault="00EF4CB3" w:rsidP="007F23EE">
            <w:pPr>
              <w:pStyle w:val="TableCarCarCarCarCarCarCarCarCar"/>
              <w:keepLines w:val="0"/>
              <w:spacing w:before="0" w:after="0"/>
              <w:jc w:val="center"/>
              <w:rPr>
                <w:rFonts w:ascii="Times New Roman" w:hAnsi="Times New Roman"/>
                <w:b/>
                <w:color w:val="000000"/>
                <w:szCs w:val="22"/>
                <w:lang w:val="fr-FR"/>
              </w:rPr>
            </w:pPr>
          </w:p>
        </w:tc>
      </w:tr>
      <w:tr w:rsidR="00EF4CB3" w:rsidRPr="00653BF6" w14:paraId="091E49C8" w14:textId="77777777" w:rsidTr="004B2956">
        <w:trPr>
          <w:cantSplit/>
        </w:trPr>
        <w:tc>
          <w:tcPr>
            <w:tcW w:w="3794" w:type="dxa"/>
            <w:tcBorders>
              <w:top w:val="nil"/>
              <w:left w:val="single" w:sz="4" w:space="0" w:color="auto"/>
            </w:tcBorders>
          </w:tcPr>
          <w:p w14:paraId="730703EB" w14:textId="77777777" w:rsidR="00EF4CB3" w:rsidRPr="00653BF6" w:rsidRDefault="00EF4CB3" w:rsidP="007F23EE">
            <w:pPr>
              <w:pStyle w:val="TableCarCarCarCarCarCarCarCarCar"/>
              <w:keepLines w:val="0"/>
              <w:spacing w:before="0" w:after="0"/>
              <w:rPr>
                <w:rFonts w:ascii="Times New Roman" w:hAnsi="Times New Roman"/>
                <w:color w:val="000000"/>
                <w:szCs w:val="22"/>
                <w:lang w:val="fr-FR"/>
              </w:rPr>
            </w:pPr>
            <w:r w:rsidRPr="00653BF6">
              <w:rPr>
                <w:rFonts w:ascii="Times New Roman" w:hAnsi="Times New Roman"/>
                <w:color w:val="000000"/>
                <w:szCs w:val="22"/>
                <w:lang w:val="fr-FR"/>
              </w:rPr>
              <w:t>Taux de RHC n (%)</w:t>
            </w:r>
          </w:p>
        </w:tc>
        <w:tc>
          <w:tcPr>
            <w:tcW w:w="2693" w:type="dxa"/>
            <w:tcBorders>
              <w:top w:val="nil"/>
            </w:tcBorders>
          </w:tcPr>
          <w:p w14:paraId="6F2E4A00" w14:textId="77777777" w:rsidR="00EF4CB3" w:rsidRPr="00653BF6" w:rsidRDefault="00EF4CB3" w:rsidP="007F23EE">
            <w:pPr>
              <w:pStyle w:val="TableCarCarCarCarCarCarCarCarCar"/>
              <w:keepLines w:val="0"/>
              <w:spacing w:before="0" w:after="0"/>
              <w:jc w:val="center"/>
              <w:rPr>
                <w:rFonts w:ascii="Times New Roman" w:hAnsi="Times New Roman"/>
                <w:color w:val="000000"/>
                <w:szCs w:val="22"/>
                <w:lang w:val="fr-FR"/>
              </w:rPr>
            </w:pPr>
            <w:r w:rsidRPr="00653BF6">
              <w:rPr>
                <w:rFonts w:ascii="Times New Roman" w:hAnsi="Times New Roman"/>
                <w:color w:val="000000"/>
                <w:szCs w:val="22"/>
                <w:lang w:val="fr-FR"/>
              </w:rPr>
              <w:t>534 (96,6</w:t>
            </w:r>
            <w:proofErr w:type="gramStart"/>
            <w:r w:rsidRPr="00653BF6">
              <w:rPr>
                <w:rFonts w:ascii="Times New Roman" w:hAnsi="Times New Roman"/>
                <w:color w:val="000000"/>
                <w:szCs w:val="22"/>
                <w:lang w:val="fr-FR"/>
              </w:rPr>
              <w:t>%)*</w:t>
            </w:r>
            <w:proofErr w:type="gramEnd"/>
          </w:p>
        </w:tc>
        <w:tc>
          <w:tcPr>
            <w:tcW w:w="2693" w:type="dxa"/>
            <w:tcBorders>
              <w:top w:val="nil"/>
              <w:right w:val="single" w:sz="4" w:space="0" w:color="auto"/>
            </w:tcBorders>
          </w:tcPr>
          <w:p w14:paraId="5DD9D71D" w14:textId="77777777" w:rsidR="00EF4CB3" w:rsidRPr="00653BF6" w:rsidRDefault="00EF4CB3" w:rsidP="007F23EE">
            <w:pPr>
              <w:pStyle w:val="TableCarCarCarCarCarCarCarCarCar"/>
              <w:keepLines w:val="0"/>
              <w:spacing w:before="0" w:after="0"/>
              <w:jc w:val="center"/>
              <w:rPr>
                <w:rFonts w:ascii="Times New Roman" w:hAnsi="Times New Roman"/>
                <w:color w:val="000000"/>
                <w:szCs w:val="22"/>
                <w:lang w:val="fr-FR"/>
              </w:rPr>
            </w:pPr>
            <w:r w:rsidRPr="00653BF6">
              <w:rPr>
                <w:rFonts w:ascii="Times New Roman" w:hAnsi="Times New Roman"/>
                <w:color w:val="000000"/>
                <w:szCs w:val="22"/>
                <w:lang w:val="fr-FR"/>
              </w:rPr>
              <w:t>313 (56,6</w:t>
            </w:r>
            <w:proofErr w:type="gramStart"/>
            <w:r w:rsidRPr="00653BF6">
              <w:rPr>
                <w:rFonts w:ascii="Times New Roman" w:hAnsi="Times New Roman"/>
                <w:color w:val="000000"/>
                <w:szCs w:val="22"/>
                <w:lang w:val="fr-FR"/>
              </w:rPr>
              <w:t>%)*</w:t>
            </w:r>
            <w:proofErr w:type="gramEnd"/>
          </w:p>
        </w:tc>
      </w:tr>
      <w:tr w:rsidR="00EF4CB3" w:rsidRPr="00653BF6" w14:paraId="610AB85C" w14:textId="77777777" w:rsidTr="004B2956">
        <w:trPr>
          <w:cantSplit/>
        </w:trPr>
        <w:tc>
          <w:tcPr>
            <w:tcW w:w="3794" w:type="dxa"/>
            <w:tcBorders>
              <w:left w:val="single" w:sz="4" w:space="0" w:color="auto"/>
            </w:tcBorders>
          </w:tcPr>
          <w:p w14:paraId="6A0133C1" w14:textId="3EDAF5F0" w:rsidR="00EF4CB3" w:rsidRPr="00653BF6" w:rsidRDefault="00EF4CB3" w:rsidP="007F23EE">
            <w:pPr>
              <w:pStyle w:val="TableCarCarCarCarCarCarCarCarCar"/>
              <w:keepLines w:val="0"/>
              <w:spacing w:before="0" w:after="0"/>
              <w:rPr>
                <w:rFonts w:ascii="Times New Roman" w:hAnsi="Times New Roman"/>
                <w:color w:val="000000"/>
                <w:szCs w:val="22"/>
                <w:lang w:val="fr-FR"/>
              </w:rPr>
            </w:pPr>
            <w:r w:rsidRPr="00653BF6">
              <w:rPr>
                <w:rFonts w:ascii="Times New Roman" w:hAnsi="Times New Roman"/>
                <w:color w:val="000000"/>
                <w:szCs w:val="22"/>
                <w:lang w:val="fr-FR"/>
              </w:rPr>
              <w:tab/>
              <w:t>[</w:t>
            </w:r>
            <w:ins w:id="246" w:author="Author">
              <w:r w:rsidR="00BC39C3" w:rsidRPr="00653BF6">
                <w:rPr>
                  <w:rFonts w:ascii="Times New Roman" w:hAnsi="Times New Roman"/>
                  <w:color w:val="000000"/>
                  <w:szCs w:val="22"/>
                  <w:lang w:val="fr-FR"/>
                </w:rPr>
                <w:t xml:space="preserve">IC </w:t>
              </w:r>
            </w:ins>
            <w:r w:rsidRPr="00653BF6">
              <w:rPr>
                <w:rFonts w:ascii="Times New Roman" w:hAnsi="Times New Roman"/>
                <w:color w:val="000000"/>
                <w:szCs w:val="22"/>
                <w:lang w:val="fr-FR"/>
              </w:rPr>
              <w:t>95%</w:t>
            </w:r>
            <w:del w:id="247" w:author="Author">
              <w:r w:rsidRPr="00653BF6" w:rsidDel="00BC39C3">
                <w:rPr>
                  <w:rFonts w:ascii="Times New Roman" w:hAnsi="Times New Roman"/>
                  <w:color w:val="000000"/>
                  <w:szCs w:val="22"/>
                  <w:lang w:val="fr-FR"/>
                </w:rPr>
                <w:delText xml:space="preserve"> IC</w:delText>
              </w:r>
            </w:del>
            <w:r w:rsidRPr="00653BF6">
              <w:rPr>
                <w:rFonts w:ascii="Times New Roman" w:hAnsi="Times New Roman"/>
                <w:color w:val="000000"/>
                <w:szCs w:val="22"/>
                <w:lang w:val="fr-FR"/>
              </w:rPr>
              <w:t>]</w:t>
            </w:r>
          </w:p>
        </w:tc>
        <w:tc>
          <w:tcPr>
            <w:tcW w:w="2693" w:type="dxa"/>
          </w:tcPr>
          <w:p w14:paraId="4B2B527F" w14:textId="2E39AFB7" w:rsidR="00EF4CB3" w:rsidRPr="00653BF6" w:rsidRDefault="00EF4CB3" w:rsidP="007F23EE">
            <w:pPr>
              <w:pStyle w:val="TableCarCarCarCarCarCarCarCarCar"/>
              <w:keepLines w:val="0"/>
              <w:spacing w:before="0" w:after="0"/>
              <w:jc w:val="center"/>
              <w:rPr>
                <w:rFonts w:ascii="Times New Roman" w:hAnsi="Times New Roman"/>
                <w:color w:val="000000"/>
                <w:szCs w:val="22"/>
                <w:lang w:val="fr-FR"/>
              </w:rPr>
            </w:pPr>
            <w:r w:rsidRPr="00653BF6">
              <w:rPr>
                <w:rFonts w:ascii="Times New Roman" w:hAnsi="Times New Roman"/>
                <w:color w:val="000000"/>
                <w:szCs w:val="22"/>
                <w:lang w:val="fr-FR"/>
              </w:rPr>
              <w:t>[94,7%</w:t>
            </w:r>
            <w:ins w:id="248" w:author="Author">
              <w:r w:rsidR="00855DA7" w:rsidRPr="00653BF6">
                <w:rPr>
                  <w:rFonts w:ascii="Times New Roman" w:hAnsi="Times New Roman"/>
                  <w:color w:val="000000"/>
                  <w:szCs w:val="22"/>
                  <w:lang w:val="fr-FR"/>
                </w:rPr>
                <w:t> ;</w:t>
              </w:r>
            </w:ins>
            <w:del w:id="249" w:author="Author">
              <w:r w:rsidRPr="00653BF6" w:rsidDel="00855DA7">
                <w:rPr>
                  <w:rFonts w:ascii="Times New Roman" w:hAnsi="Times New Roman"/>
                  <w:color w:val="000000"/>
                  <w:szCs w:val="22"/>
                  <w:lang w:val="fr-FR"/>
                </w:rPr>
                <w:delText>,</w:delText>
              </w:r>
            </w:del>
            <w:r w:rsidRPr="00653BF6">
              <w:rPr>
                <w:rFonts w:ascii="Times New Roman" w:hAnsi="Times New Roman"/>
                <w:color w:val="000000"/>
                <w:szCs w:val="22"/>
                <w:lang w:val="fr-FR"/>
              </w:rPr>
              <w:t xml:space="preserve"> 97,9%]</w:t>
            </w:r>
          </w:p>
        </w:tc>
        <w:tc>
          <w:tcPr>
            <w:tcW w:w="2693" w:type="dxa"/>
            <w:tcBorders>
              <w:right w:val="single" w:sz="4" w:space="0" w:color="auto"/>
            </w:tcBorders>
          </w:tcPr>
          <w:p w14:paraId="5808B4BE" w14:textId="03D198DF" w:rsidR="00EF4CB3" w:rsidRPr="00653BF6" w:rsidRDefault="00EF4CB3" w:rsidP="007F23EE">
            <w:pPr>
              <w:pStyle w:val="TableCarCarCarCarCarCarCarCarCar"/>
              <w:keepLines w:val="0"/>
              <w:spacing w:before="0" w:after="0"/>
              <w:jc w:val="center"/>
              <w:rPr>
                <w:rFonts w:ascii="Times New Roman" w:hAnsi="Times New Roman"/>
                <w:color w:val="000000"/>
                <w:szCs w:val="22"/>
                <w:lang w:val="fr-FR"/>
              </w:rPr>
            </w:pPr>
            <w:r w:rsidRPr="00653BF6">
              <w:rPr>
                <w:rFonts w:ascii="Times New Roman" w:hAnsi="Times New Roman"/>
                <w:color w:val="000000"/>
                <w:szCs w:val="22"/>
                <w:lang w:val="fr-FR"/>
              </w:rPr>
              <w:t>[52,4%</w:t>
            </w:r>
            <w:ins w:id="250" w:author="Author">
              <w:r w:rsidR="00855DA7" w:rsidRPr="00653BF6">
                <w:rPr>
                  <w:rFonts w:ascii="Times New Roman" w:hAnsi="Times New Roman"/>
                  <w:color w:val="000000"/>
                  <w:szCs w:val="22"/>
                  <w:lang w:val="fr-FR"/>
                </w:rPr>
                <w:t> ;</w:t>
              </w:r>
            </w:ins>
            <w:del w:id="251" w:author="Author">
              <w:r w:rsidRPr="00653BF6" w:rsidDel="00855DA7">
                <w:rPr>
                  <w:rFonts w:ascii="Times New Roman" w:hAnsi="Times New Roman"/>
                  <w:color w:val="000000"/>
                  <w:szCs w:val="22"/>
                  <w:lang w:val="fr-FR"/>
                </w:rPr>
                <w:delText>,</w:delText>
              </w:r>
            </w:del>
            <w:r w:rsidRPr="00653BF6">
              <w:rPr>
                <w:rFonts w:ascii="Times New Roman" w:hAnsi="Times New Roman"/>
                <w:color w:val="000000"/>
                <w:szCs w:val="22"/>
                <w:lang w:val="fr-FR"/>
              </w:rPr>
              <w:t xml:space="preserve"> 60,8%]</w:t>
            </w:r>
          </w:p>
        </w:tc>
      </w:tr>
      <w:tr w:rsidR="00EF4CB3" w:rsidRPr="00653BF6" w14:paraId="305A3760" w14:textId="77777777" w:rsidTr="004B2956">
        <w:trPr>
          <w:cantSplit/>
        </w:trPr>
        <w:tc>
          <w:tcPr>
            <w:tcW w:w="3794" w:type="dxa"/>
            <w:tcBorders>
              <w:left w:val="single" w:sz="4" w:space="0" w:color="auto"/>
            </w:tcBorders>
          </w:tcPr>
          <w:p w14:paraId="734F8B5E" w14:textId="77777777" w:rsidR="00EF4CB3" w:rsidRPr="00653BF6" w:rsidRDefault="00EF4CB3" w:rsidP="007F23EE">
            <w:pPr>
              <w:pStyle w:val="TableCarCarCarCarCarCarCarCarCar"/>
              <w:keepLines w:val="0"/>
              <w:spacing w:before="0" w:after="0"/>
              <w:rPr>
                <w:rFonts w:ascii="Times New Roman" w:hAnsi="Times New Roman"/>
                <w:color w:val="000000"/>
                <w:szCs w:val="22"/>
                <w:lang w:val="fr-FR"/>
              </w:rPr>
            </w:pPr>
          </w:p>
        </w:tc>
        <w:tc>
          <w:tcPr>
            <w:tcW w:w="2693" w:type="dxa"/>
          </w:tcPr>
          <w:p w14:paraId="4DA28F35" w14:textId="77777777" w:rsidR="00EF4CB3" w:rsidRPr="00653BF6" w:rsidRDefault="00EF4CB3" w:rsidP="007F23EE">
            <w:pPr>
              <w:pStyle w:val="TableCarCarCarCarCarCarCarCarCar"/>
              <w:keepLines w:val="0"/>
              <w:spacing w:before="0" w:after="0"/>
              <w:rPr>
                <w:rFonts w:ascii="Times New Roman" w:hAnsi="Times New Roman"/>
                <w:color w:val="000000"/>
                <w:szCs w:val="22"/>
                <w:lang w:val="fr-FR"/>
              </w:rPr>
            </w:pPr>
          </w:p>
        </w:tc>
        <w:tc>
          <w:tcPr>
            <w:tcW w:w="2693" w:type="dxa"/>
            <w:tcBorders>
              <w:right w:val="single" w:sz="4" w:space="0" w:color="auto"/>
            </w:tcBorders>
          </w:tcPr>
          <w:p w14:paraId="705CBA0B" w14:textId="77777777" w:rsidR="00EF4CB3" w:rsidRPr="00653BF6" w:rsidRDefault="00EF4CB3" w:rsidP="007F23EE">
            <w:pPr>
              <w:pStyle w:val="TableCarCarCarCarCarCarCarCarCar"/>
              <w:keepLines w:val="0"/>
              <w:spacing w:before="0" w:after="0"/>
              <w:rPr>
                <w:rFonts w:ascii="Times New Roman" w:hAnsi="Times New Roman"/>
                <w:color w:val="000000"/>
                <w:szCs w:val="22"/>
                <w:lang w:val="fr-FR"/>
              </w:rPr>
            </w:pPr>
          </w:p>
        </w:tc>
      </w:tr>
      <w:tr w:rsidR="00EF4CB3" w:rsidRPr="00653BF6" w14:paraId="058F7448" w14:textId="77777777" w:rsidTr="004B2956">
        <w:trPr>
          <w:cantSplit/>
        </w:trPr>
        <w:tc>
          <w:tcPr>
            <w:tcW w:w="3794" w:type="dxa"/>
            <w:tcBorders>
              <w:left w:val="single" w:sz="4" w:space="0" w:color="auto"/>
            </w:tcBorders>
          </w:tcPr>
          <w:p w14:paraId="100B2FA0" w14:textId="77777777" w:rsidR="00EF4CB3" w:rsidRPr="00653BF6" w:rsidRDefault="00EF4CB3" w:rsidP="007F23EE">
            <w:pPr>
              <w:pStyle w:val="TableCarCarCarCarCarCarCarCarCar"/>
              <w:keepLines w:val="0"/>
              <w:spacing w:before="0" w:after="0"/>
              <w:rPr>
                <w:rFonts w:ascii="Times New Roman" w:hAnsi="Times New Roman"/>
                <w:b/>
                <w:color w:val="000000"/>
                <w:szCs w:val="22"/>
                <w:lang w:val="fr-FR"/>
              </w:rPr>
            </w:pPr>
            <w:r w:rsidRPr="00653BF6">
              <w:rPr>
                <w:rFonts w:ascii="Times New Roman" w:hAnsi="Times New Roman"/>
                <w:b/>
                <w:color w:val="000000"/>
                <w:szCs w:val="22"/>
                <w:lang w:val="fr-FR"/>
              </w:rPr>
              <w:t>Réponse cytogénétique</w:t>
            </w:r>
          </w:p>
        </w:tc>
        <w:tc>
          <w:tcPr>
            <w:tcW w:w="2693" w:type="dxa"/>
          </w:tcPr>
          <w:p w14:paraId="182EC71F" w14:textId="77777777" w:rsidR="00EF4CB3" w:rsidRPr="00653BF6" w:rsidRDefault="00EF4CB3" w:rsidP="007F23EE">
            <w:pPr>
              <w:pStyle w:val="TableCarCarCarCarCarCarCarCarCar"/>
              <w:keepLines w:val="0"/>
              <w:spacing w:before="0" w:after="0"/>
              <w:rPr>
                <w:rFonts w:ascii="Times New Roman" w:hAnsi="Times New Roman"/>
                <w:b/>
                <w:color w:val="000000"/>
                <w:szCs w:val="22"/>
                <w:lang w:val="fr-FR"/>
              </w:rPr>
            </w:pPr>
          </w:p>
        </w:tc>
        <w:tc>
          <w:tcPr>
            <w:tcW w:w="2693" w:type="dxa"/>
            <w:tcBorders>
              <w:right w:val="single" w:sz="4" w:space="0" w:color="auto"/>
            </w:tcBorders>
          </w:tcPr>
          <w:p w14:paraId="5599BA5D" w14:textId="77777777" w:rsidR="00EF4CB3" w:rsidRPr="00653BF6" w:rsidRDefault="00EF4CB3" w:rsidP="007F23EE">
            <w:pPr>
              <w:pStyle w:val="TableCarCarCarCarCarCarCarCarCar"/>
              <w:keepLines w:val="0"/>
              <w:spacing w:before="0" w:after="0"/>
              <w:rPr>
                <w:rFonts w:ascii="Times New Roman" w:hAnsi="Times New Roman"/>
                <w:b/>
                <w:color w:val="000000"/>
                <w:szCs w:val="22"/>
                <w:lang w:val="fr-FR"/>
              </w:rPr>
            </w:pPr>
          </w:p>
        </w:tc>
      </w:tr>
      <w:tr w:rsidR="00EF4CB3" w:rsidRPr="00653BF6" w14:paraId="20F60477" w14:textId="77777777" w:rsidTr="004B2956">
        <w:trPr>
          <w:cantSplit/>
        </w:trPr>
        <w:tc>
          <w:tcPr>
            <w:tcW w:w="3794" w:type="dxa"/>
            <w:tcBorders>
              <w:left w:val="single" w:sz="4" w:space="0" w:color="auto"/>
            </w:tcBorders>
          </w:tcPr>
          <w:p w14:paraId="6B6C903F" w14:textId="77777777" w:rsidR="00EF4CB3" w:rsidRPr="00653BF6" w:rsidRDefault="00EF4CB3" w:rsidP="007F23EE">
            <w:pPr>
              <w:pStyle w:val="TableCarCarCarCarCarCarCarCarCar"/>
              <w:keepLines w:val="0"/>
              <w:spacing w:before="0" w:after="0"/>
              <w:rPr>
                <w:rFonts w:ascii="Times New Roman" w:hAnsi="Times New Roman"/>
                <w:color w:val="000000"/>
                <w:szCs w:val="22"/>
                <w:lang w:val="fr-FR"/>
              </w:rPr>
            </w:pPr>
            <w:r w:rsidRPr="00653BF6">
              <w:rPr>
                <w:rFonts w:ascii="Times New Roman" w:hAnsi="Times New Roman"/>
                <w:color w:val="000000"/>
                <w:szCs w:val="22"/>
                <w:lang w:val="fr-FR"/>
              </w:rPr>
              <w:t>Réponse majeure n (%)</w:t>
            </w:r>
          </w:p>
        </w:tc>
        <w:tc>
          <w:tcPr>
            <w:tcW w:w="2693" w:type="dxa"/>
          </w:tcPr>
          <w:p w14:paraId="3EE6B387" w14:textId="77777777" w:rsidR="00EF4CB3" w:rsidRPr="00653BF6" w:rsidRDefault="00EF4CB3" w:rsidP="007F23EE">
            <w:pPr>
              <w:pStyle w:val="TableCarCarCarCarCarCarCarCarCar"/>
              <w:keepLines w:val="0"/>
              <w:spacing w:before="0" w:after="0"/>
              <w:jc w:val="center"/>
              <w:rPr>
                <w:rFonts w:ascii="Times New Roman" w:hAnsi="Times New Roman"/>
                <w:color w:val="000000"/>
                <w:szCs w:val="22"/>
                <w:lang w:val="fr-FR"/>
              </w:rPr>
            </w:pPr>
            <w:r w:rsidRPr="00653BF6">
              <w:rPr>
                <w:rFonts w:ascii="Times New Roman" w:hAnsi="Times New Roman"/>
                <w:color w:val="000000"/>
                <w:szCs w:val="22"/>
                <w:lang w:val="fr-FR"/>
              </w:rPr>
              <w:t>490 (88,6</w:t>
            </w:r>
            <w:proofErr w:type="gramStart"/>
            <w:r w:rsidRPr="00653BF6">
              <w:rPr>
                <w:rFonts w:ascii="Times New Roman" w:hAnsi="Times New Roman"/>
                <w:color w:val="000000"/>
                <w:szCs w:val="22"/>
                <w:lang w:val="fr-FR"/>
              </w:rPr>
              <w:t>%)*</w:t>
            </w:r>
            <w:proofErr w:type="gramEnd"/>
          </w:p>
        </w:tc>
        <w:tc>
          <w:tcPr>
            <w:tcW w:w="2693" w:type="dxa"/>
            <w:tcBorders>
              <w:right w:val="single" w:sz="4" w:space="0" w:color="auto"/>
            </w:tcBorders>
          </w:tcPr>
          <w:p w14:paraId="33821896" w14:textId="77777777" w:rsidR="00EF4CB3" w:rsidRPr="00653BF6" w:rsidRDefault="00EF4CB3" w:rsidP="007F23EE">
            <w:pPr>
              <w:pStyle w:val="TableCarCarCarCarCarCarCarCarCar"/>
              <w:keepLines w:val="0"/>
              <w:spacing w:before="0" w:after="0"/>
              <w:jc w:val="center"/>
              <w:rPr>
                <w:rFonts w:ascii="Times New Roman" w:hAnsi="Times New Roman"/>
                <w:color w:val="000000"/>
                <w:szCs w:val="22"/>
                <w:lang w:val="fr-FR"/>
              </w:rPr>
            </w:pPr>
            <w:r w:rsidRPr="00653BF6">
              <w:rPr>
                <w:rFonts w:ascii="Times New Roman" w:hAnsi="Times New Roman"/>
                <w:color w:val="000000"/>
                <w:szCs w:val="22"/>
                <w:lang w:val="fr-FR"/>
              </w:rPr>
              <w:t>129 (23,3</w:t>
            </w:r>
            <w:proofErr w:type="gramStart"/>
            <w:r w:rsidRPr="00653BF6">
              <w:rPr>
                <w:rFonts w:ascii="Times New Roman" w:hAnsi="Times New Roman"/>
                <w:color w:val="000000"/>
                <w:szCs w:val="22"/>
                <w:lang w:val="fr-FR"/>
              </w:rPr>
              <w:t>%)*</w:t>
            </w:r>
            <w:proofErr w:type="gramEnd"/>
          </w:p>
        </w:tc>
      </w:tr>
      <w:tr w:rsidR="00EF4CB3" w:rsidRPr="00653BF6" w14:paraId="7D523D6B" w14:textId="77777777" w:rsidTr="004B2956">
        <w:trPr>
          <w:cantSplit/>
        </w:trPr>
        <w:tc>
          <w:tcPr>
            <w:tcW w:w="3794" w:type="dxa"/>
            <w:tcBorders>
              <w:left w:val="single" w:sz="4" w:space="0" w:color="auto"/>
            </w:tcBorders>
          </w:tcPr>
          <w:p w14:paraId="19161822" w14:textId="00B547DC" w:rsidR="00EF4CB3" w:rsidRPr="00653BF6" w:rsidRDefault="00EF4CB3" w:rsidP="007F23EE">
            <w:pPr>
              <w:pStyle w:val="TableCarCarCarCarCarCarCarCarCar"/>
              <w:keepLines w:val="0"/>
              <w:spacing w:before="0" w:after="0"/>
              <w:rPr>
                <w:rFonts w:ascii="Times New Roman" w:hAnsi="Times New Roman"/>
                <w:color w:val="000000"/>
                <w:szCs w:val="22"/>
                <w:lang w:val="fr-FR"/>
              </w:rPr>
            </w:pPr>
            <w:r w:rsidRPr="00653BF6">
              <w:rPr>
                <w:rFonts w:ascii="Times New Roman" w:hAnsi="Times New Roman"/>
                <w:color w:val="000000"/>
                <w:szCs w:val="22"/>
                <w:lang w:val="fr-FR"/>
              </w:rPr>
              <w:tab/>
              <w:t>[</w:t>
            </w:r>
            <w:ins w:id="252" w:author="Author">
              <w:r w:rsidR="00BC39C3" w:rsidRPr="00653BF6">
                <w:rPr>
                  <w:rFonts w:ascii="Times New Roman" w:hAnsi="Times New Roman"/>
                  <w:color w:val="000000"/>
                  <w:szCs w:val="22"/>
                  <w:lang w:val="fr-FR"/>
                </w:rPr>
                <w:t xml:space="preserve">IC </w:t>
              </w:r>
            </w:ins>
            <w:r w:rsidRPr="00653BF6">
              <w:rPr>
                <w:rFonts w:ascii="Times New Roman" w:hAnsi="Times New Roman"/>
                <w:color w:val="000000"/>
                <w:szCs w:val="22"/>
                <w:lang w:val="fr-FR"/>
              </w:rPr>
              <w:t>95%</w:t>
            </w:r>
            <w:del w:id="253" w:author="Author">
              <w:r w:rsidRPr="00653BF6" w:rsidDel="00BC39C3">
                <w:rPr>
                  <w:rFonts w:ascii="Times New Roman" w:hAnsi="Times New Roman"/>
                  <w:color w:val="000000"/>
                  <w:szCs w:val="22"/>
                  <w:lang w:val="fr-FR"/>
                </w:rPr>
                <w:delText xml:space="preserve"> IC</w:delText>
              </w:r>
            </w:del>
            <w:r w:rsidRPr="00653BF6">
              <w:rPr>
                <w:rFonts w:ascii="Times New Roman" w:hAnsi="Times New Roman"/>
                <w:color w:val="000000"/>
                <w:szCs w:val="22"/>
                <w:lang w:val="fr-FR"/>
              </w:rPr>
              <w:t>]</w:t>
            </w:r>
          </w:p>
        </w:tc>
        <w:tc>
          <w:tcPr>
            <w:tcW w:w="2693" w:type="dxa"/>
          </w:tcPr>
          <w:p w14:paraId="7FA88E17" w14:textId="55DB3659" w:rsidR="00EF4CB3" w:rsidRPr="00653BF6" w:rsidRDefault="00EF4CB3" w:rsidP="007F23EE">
            <w:pPr>
              <w:pStyle w:val="TableCarCarCarCarCarCarCarCarCar"/>
              <w:keepLines w:val="0"/>
              <w:spacing w:before="0" w:after="0"/>
              <w:jc w:val="center"/>
              <w:rPr>
                <w:rFonts w:ascii="Times New Roman" w:hAnsi="Times New Roman"/>
                <w:color w:val="000000"/>
                <w:szCs w:val="22"/>
                <w:lang w:val="fr-FR"/>
              </w:rPr>
            </w:pPr>
            <w:r w:rsidRPr="00653BF6">
              <w:rPr>
                <w:rFonts w:ascii="Times New Roman" w:hAnsi="Times New Roman"/>
                <w:color w:val="000000"/>
                <w:szCs w:val="22"/>
                <w:lang w:val="fr-FR"/>
              </w:rPr>
              <w:t>[85,7%</w:t>
            </w:r>
            <w:ins w:id="254" w:author="Author">
              <w:r w:rsidR="00855DA7" w:rsidRPr="00653BF6">
                <w:rPr>
                  <w:rFonts w:ascii="Times New Roman" w:hAnsi="Times New Roman"/>
                  <w:color w:val="000000"/>
                  <w:szCs w:val="22"/>
                  <w:lang w:val="fr-FR"/>
                </w:rPr>
                <w:t> ;</w:t>
              </w:r>
            </w:ins>
            <w:del w:id="255" w:author="Author">
              <w:r w:rsidRPr="00653BF6" w:rsidDel="00855DA7">
                <w:rPr>
                  <w:rFonts w:ascii="Times New Roman" w:hAnsi="Times New Roman"/>
                  <w:color w:val="000000"/>
                  <w:szCs w:val="22"/>
                  <w:lang w:val="fr-FR"/>
                </w:rPr>
                <w:delText>,</w:delText>
              </w:r>
            </w:del>
            <w:r w:rsidRPr="00653BF6">
              <w:rPr>
                <w:rFonts w:ascii="Times New Roman" w:hAnsi="Times New Roman"/>
                <w:color w:val="000000"/>
                <w:szCs w:val="22"/>
                <w:lang w:val="fr-FR"/>
              </w:rPr>
              <w:t xml:space="preserve"> 91,1%]</w:t>
            </w:r>
          </w:p>
        </w:tc>
        <w:tc>
          <w:tcPr>
            <w:tcW w:w="2693" w:type="dxa"/>
            <w:tcBorders>
              <w:right w:val="single" w:sz="4" w:space="0" w:color="auto"/>
            </w:tcBorders>
          </w:tcPr>
          <w:p w14:paraId="005FFBF9" w14:textId="11BB9B19" w:rsidR="00EF4CB3" w:rsidRPr="00653BF6" w:rsidRDefault="00EF4CB3" w:rsidP="007F23EE">
            <w:pPr>
              <w:pStyle w:val="TableCarCarCarCarCarCarCarCarCar"/>
              <w:keepLines w:val="0"/>
              <w:spacing w:before="0" w:after="0"/>
              <w:jc w:val="center"/>
              <w:rPr>
                <w:rFonts w:ascii="Times New Roman" w:hAnsi="Times New Roman"/>
                <w:color w:val="000000"/>
                <w:szCs w:val="22"/>
                <w:lang w:val="fr-FR"/>
              </w:rPr>
            </w:pPr>
            <w:r w:rsidRPr="00653BF6">
              <w:rPr>
                <w:rFonts w:ascii="Times New Roman" w:hAnsi="Times New Roman"/>
                <w:color w:val="000000"/>
                <w:szCs w:val="22"/>
                <w:lang w:val="fr-FR"/>
              </w:rPr>
              <w:t>[19,9%</w:t>
            </w:r>
            <w:ins w:id="256" w:author="Author">
              <w:r w:rsidR="00855DA7" w:rsidRPr="00653BF6">
                <w:rPr>
                  <w:rFonts w:ascii="Times New Roman" w:hAnsi="Times New Roman"/>
                  <w:color w:val="000000"/>
                  <w:szCs w:val="22"/>
                  <w:lang w:val="fr-FR"/>
                </w:rPr>
                <w:t> ;</w:t>
              </w:r>
            </w:ins>
            <w:del w:id="257" w:author="Author">
              <w:r w:rsidRPr="00653BF6" w:rsidDel="00855DA7">
                <w:rPr>
                  <w:rFonts w:ascii="Times New Roman" w:hAnsi="Times New Roman"/>
                  <w:color w:val="000000"/>
                  <w:szCs w:val="22"/>
                  <w:lang w:val="fr-FR"/>
                </w:rPr>
                <w:delText>,</w:delText>
              </w:r>
            </w:del>
            <w:r w:rsidRPr="00653BF6">
              <w:rPr>
                <w:rFonts w:ascii="Times New Roman" w:hAnsi="Times New Roman"/>
                <w:color w:val="000000"/>
                <w:szCs w:val="22"/>
                <w:lang w:val="fr-FR"/>
              </w:rPr>
              <w:t xml:space="preserve"> 27,1%]</w:t>
            </w:r>
          </w:p>
        </w:tc>
      </w:tr>
      <w:tr w:rsidR="00EF4CB3" w:rsidRPr="00653BF6" w14:paraId="15133F7D" w14:textId="77777777" w:rsidTr="004B2956">
        <w:trPr>
          <w:cantSplit/>
        </w:trPr>
        <w:tc>
          <w:tcPr>
            <w:tcW w:w="3794" w:type="dxa"/>
            <w:tcBorders>
              <w:left w:val="single" w:sz="4" w:space="0" w:color="auto"/>
            </w:tcBorders>
          </w:tcPr>
          <w:p w14:paraId="570B3A64" w14:textId="77777777" w:rsidR="00EF4CB3" w:rsidRPr="00653BF6" w:rsidRDefault="00EF4CB3" w:rsidP="007F23EE">
            <w:pPr>
              <w:pStyle w:val="TableCarCarCarCarCarCarCarCarCar"/>
              <w:keepLines w:val="0"/>
              <w:spacing w:before="0" w:after="0"/>
              <w:rPr>
                <w:rFonts w:ascii="Times New Roman" w:hAnsi="Times New Roman"/>
                <w:color w:val="000000"/>
                <w:szCs w:val="22"/>
                <w:lang w:val="fr-FR"/>
              </w:rPr>
            </w:pPr>
            <w:r w:rsidRPr="00653BF6">
              <w:rPr>
                <w:rFonts w:ascii="Times New Roman" w:hAnsi="Times New Roman"/>
                <w:color w:val="000000"/>
                <w:szCs w:val="22"/>
                <w:lang w:val="fr-FR"/>
              </w:rPr>
              <w:tab/>
            </w:r>
            <w:proofErr w:type="spellStart"/>
            <w:r w:rsidRPr="00653BF6">
              <w:rPr>
                <w:rFonts w:ascii="Times New Roman" w:hAnsi="Times New Roman"/>
                <w:color w:val="000000"/>
                <w:szCs w:val="22"/>
                <w:lang w:val="fr-FR"/>
              </w:rPr>
              <w:t>RCy</w:t>
            </w:r>
            <w:proofErr w:type="spellEnd"/>
            <w:r w:rsidRPr="00653BF6">
              <w:rPr>
                <w:rFonts w:ascii="Times New Roman" w:hAnsi="Times New Roman"/>
                <w:color w:val="000000"/>
                <w:szCs w:val="22"/>
                <w:lang w:val="fr-FR"/>
              </w:rPr>
              <w:t xml:space="preserve"> complète n (%)</w:t>
            </w:r>
          </w:p>
        </w:tc>
        <w:tc>
          <w:tcPr>
            <w:tcW w:w="2693" w:type="dxa"/>
          </w:tcPr>
          <w:p w14:paraId="64CBF49A" w14:textId="77777777" w:rsidR="00EF4CB3" w:rsidRPr="00653BF6" w:rsidRDefault="00EF4CB3" w:rsidP="007F23EE">
            <w:pPr>
              <w:pStyle w:val="TableCarCarCarCarCarCarCarCarCar"/>
              <w:keepLines w:val="0"/>
              <w:spacing w:before="0" w:after="0"/>
              <w:jc w:val="center"/>
              <w:rPr>
                <w:rFonts w:ascii="Times New Roman" w:hAnsi="Times New Roman"/>
                <w:color w:val="000000"/>
                <w:szCs w:val="22"/>
                <w:lang w:val="fr-FR"/>
              </w:rPr>
            </w:pPr>
            <w:r w:rsidRPr="00653BF6">
              <w:rPr>
                <w:rFonts w:ascii="Times New Roman" w:hAnsi="Times New Roman"/>
                <w:color w:val="000000"/>
                <w:szCs w:val="22"/>
                <w:lang w:val="fr-FR"/>
              </w:rPr>
              <w:t>456 (82,5</w:t>
            </w:r>
            <w:proofErr w:type="gramStart"/>
            <w:r w:rsidRPr="00653BF6">
              <w:rPr>
                <w:rFonts w:ascii="Times New Roman" w:hAnsi="Times New Roman"/>
                <w:color w:val="000000"/>
                <w:szCs w:val="22"/>
                <w:lang w:val="fr-FR"/>
              </w:rPr>
              <w:t>%)*</w:t>
            </w:r>
            <w:proofErr w:type="gramEnd"/>
          </w:p>
        </w:tc>
        <w:tc>
          <w:tcPr>
            <w:tcW w:w="2693" w:type="dxa"/>
            <w:tcBorders>
              <w:right w:val="single" w:sz="4" w:space="0" w:color="auto"/>
            </w:tcBorders>
          </w:tcPr>
          <w:p w14:paraId="7F73B5D2" w14:textId="77777777" w:rsidR="00EF4CB3" w:rsidRPr="00653BF6" w:rsidRDefault="00EF4CB3" w:rsidP="007F23EE">
            <w:pPr>
              <w:pStyle w:val="TableCarCarCarCarCarCarCarCarCar"/>
              <w:keepLines w:val="0"/>
              <w:spacing w:before="0" w:after="0"/>
              <w:jc w:val="center"/>
              <w:rPr>
                <w:rFonts w:ascii="Times New Roman" w:hAnsi="Times New Roman"/>
                <w:color w:val="000000"/>
                <w:szCs w:val="22"/>
                <w:lang w:val="fr-FR"/>
              </w:rPr>
            </w:pPr>
            <w:r w:rsidRPr="00653BF6">
              <w:rPr>
                <w:rFonts w:ascii="Times New Roman" w:hAnsi="Times New Roman"/>
                <w:color w:val="000000"/>
                <w:szCs w:val="22"/>
                <w:lang w:val="fr-FR"/>
              </w:rPr>
              <w:t>64 (11,6</w:t>
            </w:r>
            <w:proofErr w:type="gramStart"/>
            <w:r w:rsidRPr="00653BF6">
              <w:rPr>
                <w:rFonts w:ascii="Times New Roman" w:hAnsi="Times New Roman"/>
                <w:color w:val="000000"/>
                <w:szCs w:val="22"/>
                <w:lang w:val="fr-FR"/>
              </w:rPr>
              <w:t>%)*</w:t>
            </w:r>
            <w:proofErr w:type="gramEnd"/>
          </w:p>
        </w:tc>
      </w:tr>
      <w:tr w:rsidR="00EF4CB3" w:rsidRPr="00653BF6" w14:paraId="65778E49" w14:textId="77777777" w:rsidTr="004B2956">
        <w:trPr>
          <w:cantSplit/>
        </w:trPr>
        <w:tc>
          <w:tcPr>
            <w:tcW w:w="3794" w:type="dxa"/>
            <w:tcBorders>
              <w:left w:val="single" w:sz="4" w:space="0" w:color="auto"/>
            </w:tcBorders>
          </w:tcPr>
          <w:p w14:paraId="1E775E2D" w14:textId="77777777" w:rsidR="00EF4CB3" w:rsidRPr="00653BF6" w:rsidRDefault="00EF4CB3" w:rsidP="007F23EE">
            <w:pPr>
              <w:pStyle w:val="TableCarCarCarCarCarCarCarCarCar"/>
              <w:keepLines w:val="0"/>
              <w:spacing w:before="0" w:after="0"/>
              <w:rPr>
                <w:rFonts w:ascii="Times New Roman" w:hAnsi="Times New Roman"/>
                <w:color w:val="000000"/>
                <w:szCs w:val="22"/>
                <w:lang w:val="fr-FR"/>
              </w:rPr>
            </w:pPr>
            <w:r w:rsidRPr="00653BF6">
              <w:rPr>
                <w:rFonts w:ascii="Times New Roman" w:hAnsi="Times New Roman"/>
                <w:color w:val="000000"/>
                <w:szCs w:val="22"/>
                <w:lang w:val="fr-FR"/>
              </w:rPr>
              <w:tab/>
            </w:r>
            <w:proofErr w:type="spellStart"/>
            <w:r w:rsidRPr="00653BF6">
              <w:rPr>
                <w:rFonts w:ascii="Times New Roman" w:hAnsi="Times New Roman"/>
                <w:color w:val="000000"/>
                <w:szCs w:val="22"/>
                <w:lang w:val="fr-FR"/>
              </w:rPr>
              <w:t>RCy</w:t>
            </w:r>
            <w:proofErr w:type="spellEnd"/>
            <w:r w:rsidRPr="00653BF6">
              <w:rPr>
                <w:rFonts w:ascii="Times New Roman" w:hAnsi="Times New Roman"/>
                <w:color w:val="000000"/>
                <w:szCs w:val="22"/>
                <w:lang w:val="fr-FR"/>
              </w:rPr>
              <w:t xml:space="preserve"> partielle n (%)</w:t>
            </w:r>
          </w:p>
        </w:tc>
        <w:tc>
          <w:tcPr>
            <w:tcW w:w="2693" w:type="dxa"/>
          </w:tcPr>
          <w:p w14:paraId="6464ADED" w14:textId="77777777" w:rsidR="00EF4CB3" w:rsidRPr="00653BF6" w:rsidRDefault="00EF4CB3" w:rsidP="007F23EE">
            <w:pPr>
              <w:pStyle w:val="TableCarCarCarCarCarCarCarCarCar"/>
              <w:keepLines w:val="0"/>
              <w:spacing w:before="0" w:after="0"/>
              <w:jc w:val="center"/>
              <w:rPr>
                <w:rFonts w:ascii="Times New Roman" w:hAnsi="Times New Roman"/>
                <w:color w:val="000000"/>
                <w:szCs w:val="22"/>
                <w:lang w:val="fr-FR"/>
              </w:rPr>
            </w:pPr>
            <w:r w:rsidRPr="00653BF6">
              <w:rPr>
                <w:rFonts w:ascii="Times New Roman" w:hAnsi="Times New Roman"/>
                <w:color w:val="000000"/>
                <w:szCs w:val="22"/>
                <w:lang w:val="fr-FR"/>
              </w:rPr>
              <w:t>34 (6,1%)</w:t>
            </w:r>
          </w:p>
        </w:tc>
        <w:tc>
          <w:tcPr>
            <w:tcW w:w="2693" w:type="dxa"/>
            <w:tcBorders>
              <w:right w:val="single" w:sz="4" w:space="0" w:color="auto"/>
            </w:tcBorders>
          </w:tcPr>
          <w:p w14:paraId="0571452D" w14:textId="77777777" w:rsidR="00EF4CB3" w:rsidRPr="00653BF6" w:rsidRDefault="00EF4CB3" w:rsidP="007F23EE">
            <w:pPr>
              <w:pStyle w:val="TableCarCarCarCarCarCarCarCarCar"/>
              <w:keepLines w:val="0"/>
              <w:spacing w:before="0" w:after="0"/>
              <w:jc w:val="center"/>
              <w:rPr>
                <w:rFonts w:ascii="Times New Roman" w:hAnsi="Times New Roman"/>
                <w:color w:val="000000"/>
                <w:szCs w:val="22"/>
                <w:lang w:val="fr-FR"/>
              </w:rPr>
            </w:pPr>
            <w:r w:rsidRPr="00653BF6">
              <w:rPr>
                <w:rFonts w:ascii="Times New Roman" w:hAnsi="Times New Roman"/>
                <w:color w:val="000000"/>
                <w:szCs w:val="22"/>
                <w:lang w:val="fr-FR"/>
              </w:rPr>
              <w:t>65 (11,8%)</w:t>
            </w:r>
          </w:p>
        </w:tc>
      </w:tr>
      <w:tr w:rsidR="00EF4CB3" w:rsidRPr="00653BF6" w14:paraId="0E89B96B" w14:textId="77777777" w:rsidTr="004B2956">
        <w:trPr>
          <w:cantSplit/>
        </w:trPr>
        <w:tc>
          <w:tcPr>
            <w:tcW w:w="3794" w:type="dxa"/>
            <w:tcBorders>
              <w:left w:val="single" w:sz="4" w:space="0" w:color="auto"/>
              <w:bottom w:val="nil"/>
            </w:tcBorders>
          </w:tcPr>
          <w:p w14:paraId="369A768A" w14:textId="77777777" w:rsidR="00EF4CB3" w:rsidRPr="00653BF6" w:rsidRDefault="00EF4CB3" w:rsidP="007F23EE">
            <w:pPr>
              <w:pStyle w:val="TableCarCarCarCarCarCarCarCarCar"/>
              <w:keepLines w:val="0"/>
              <w:spacing w:before="0" w:after="0"/>
              <w:rPr>
                <w:rFonts w:ascii="Times New Roman" w:hAnsi="Times New Roman"/>
                <w:color w:val="000000"/>
                <w:szCs w:val="22"/>
                <w:lang w:val="fr-FR"/>
              </w:rPr>
            </w:pPr>
          </w:p>
        </w:tc>
        <w:tc>
          <w:tcPr>
            <w:tcW w:w="2693" w:type="dxa"/>
            <w:tcBorders>
              <w:bottom w:val="nil"/>
            </w:tcBorders>
          </w:tcPr>
          <w:p w14:paraId="5EC254D0" w14:textId="77777777" w:rsidR="00EF4CB3" w:rsidRPr="00653BF6" w:rsidRDefault="00EF4CB3" w:rsidP="007F23EE">
            <w:pPr>
              <w:pStyle w:val="TableCarCarCarCarCarCarCarCarCar"/>
              <w:keepLines w:val="0"/>
              <w:spacing w:before="0" w:after="0"/>
              <w:rPr>
                <w:rFonts w:ascii="Times New Roman" w:hAnsi="Times New Roman"/>
                <w:color w:val="000000"/>
                <w:szCs w:val="22"/>
                <w:lang w:val="fr-FR"/>
              </w:rPr>
            </w:pPr>
          </w:p>
        </w:tc>
        <w:tc>
          <w:tcPr>
            <w:tcW w:w="2693" w:type="dxa"/>
            <w:tcBorders>
              <w:bottom w:val="nil"/>
              <w:right w:val="single" w:sz="4" w:space="0" w:color="auto"/>
            </w:tcBorders>
          </w:tcPr>
          <w:p w14:paraId="603C90BE" w14:textId="77777777" w:rsidR="00EF4CB3" w:rsidRPr="00653BF6" w:rsidRDefault="00EF4CB3" w:rsidP="007F23EE">
            <w:pPr>
              <w:pStyle w:val="TableCarCarCarCarCarCarCarCarCar"/>
              <w:keepLines w:val="0"/>
              <w:spacing w:before="0" w:after="0"/>
              <w:rPr>
                <w:rFonts w:ascii="Times New Roman" w:hAnsi="Times New Roman"/>
                <w:color w:val="000000"/>
                <w:szCs w:val="22"/>
                <w:lang w:val="fr-FR"/>
              </w:rPr>
            </w:pPr>
          </w:p>
        </w:tc>
      </w:tr>
      <w:tr w:rsidR="00EF4CB3" w:rsidRPr="00653BF6" w14:paraId="2C766A31" w14:textId="77777777" w:rsidTr="004B2956">
        <w:trPr>
          <w:cantSplit/>
        </w:trPr>
        <w:tc>
          <w:tcPr>
            <w:tcW w:w="3794" w:type="dxa"/>
            <w:tcBorders>
              <w:left w:val="single" w:sz="4" w:space="0" w:color="auto"/>
              <w:bottom w:val="nil"/>
            </w:tcBorders>
          </w:tcPr>
          <w:p w14:paraId="549B0307" w14:textId="77777777" w:rsidR="00EF4CB3" w:rsidRPr="00653BF6" w:rsidRDefault="00EF4CB3" w:rsidP="007F23EE">
            <w:pPr>
              <w:pStyle w:val="TableCarCarCarCarCarCarCarCarCar"/>
              <w:keepLines w:val="0"/>
              <w:spacing w:before="0" w:after="0"/>
              <w:rPr>
                <w:rFonts w:ascii="Times New Roman" w:hAnsi="Times New Roman"/>
                <w:color w:val="000000"/>
                <w:szCs w:val="22"/>
                <w:lang w:val="fr-FR"/>
              </w:rPr>
            </w:pPr>
            <w:r w:rsidRPr="00653BF6">
              <w:rPr>
                <w:rFonts w:ascii="Times New Roman" w:hAnsi="Times New Roman"/>
                <w:b/>
                <w:color w:val="000000"/>
                <w:szCs w:val="22"/>
                <w:lang w:val="fr-FR"/>
              </w:rPr>
              <w:t>Réponse moléculaire</w:t>
            </w:r>
            <w:r w:rsidRPr="00653BF6">
              <w:rPr>
                <w:rFonts w:ascii="Times New Roman" w:hAnsi="Times New Roman"/>
                <w:color w:val="000000"/>
                <w:szCs w:val="22"/>
                <w:lang w:val="fr-FR"/>
              </w:rPr>
              <w:t>**</w:t>
            </w:r>
          </w:p>
        </w:tc>
        <w:tc>
          <w:tcPr>
            <w:tcW w:w="2693" w:type="dxa"/>
            <w:tcBorders>
              <w:bottom w:val="nil"/>
            </w:tcBorders>
          </w:tcPr>
          <w:p w14:paraId="59D0167B" w14:textId="77777777" w:rsidR="00EF4CB3" w:rsidRPr="00653BF6" w:rsidRDefault="00EF4CB3" w:rsidP="007F23EE">
            <w:pPr>
              <w:pStyle w:val="TableCarCarCarCarCarCarCarCarCar"/>
              <w:keepLines w:val="0"/>
              <w:spacing w:before="0" w:after="0"/>
              <w:rPr>
                <w:rFonts w:ascii="Times New Roman" w:hAnsi="Times New Roman"/>
                <w:color w:val="000000"/>
                <w:szCs w:val="22"/>
                <w:lang w:val="fr-FR"/>
              </w:rPr>
            </w:pPr>
          </w:p>
        </w:tc>
        <w:tc>
          <w:tcPr>
            <w:tcW w:w="2693" w:type="dxa"/>
            <w:tcBorders>
              <w:bottom w:val="nil"/>
              <w:right w:val="single" w:sz="4" w:space="0" w:color="auto"/>
            </w:tcBorders>
          </w:tcPr>
          <w:p w14:paraId="1EFB5EF4" w14:textId="77777777" w:rsidR="00EF4CB3" w:rsidRPr="00653BF6" w:rsidRDefault="00EF4CB3" w:rsidP="007F23EE">
            <w:pPr>
              <w:pStyle w:val="TableCarCarCarCarCarCarCarCarCar"/>
              <w:keepLines w:val="0"/>
              <w:spacing w:before="0" w:after="0"/>
              <w:rPr>
                <w:rFonts w:ascii="Times New Roman" w:hAnsi="Times New Roman"/>
                <w:color w:val="000000"/>
                <w:szCs w:val="22"/>
                <w:lang w:val="fr-FR"/>
              </w:rPr>
            </w:pPr>
          </w:p>
        </w:tc>
      </w:tr>
      <w:tr w:rsidR="00EF4CB3" w:rsidRPr="00653BF6" w14:paraId="3B13DA8F" w14:textId="77777777" w:rsidTr="004B2956">
        <w:trPr>
          <w:cantSplit/>
        </w:trPr>
        <w:tc>
          <w:tcPr>
            <w:tcW w:w="3794" w:type="dxa"/>
            <w:tcBorders>
              <w:left w:val="single" w:sz="4" w:space="0" w:color="auto"/>
              <w:bottom w:val="nil"/>
            </w:tcBorders>
          </w:tcPr>
          <w:p w14:paraId="55D4B271" w14:textId="77777777" w:rsidR="00EF4CB3" w:rsidRPr="00653BF6" w:rsidRDefault="00EF4CB3" w:rsidP="007F23EE">
            <w:pPr>
              <w:pStyle w:val="TableCarCarCarCarCarCarCarCarCar"/>
              <w:keepLines w:val="0"/>
              <w:spacing w:before="0" w:after="0"/>
              <w:rPr>
                <w:rFonts w:ascii="Times New Roman" w:hAnsi="Times New Roman"/>
                <w:color w:val="000000"/>
                <w:szCs w:val="22"/>
                <w:lang w:val="fr-FR"/>
              </w:rPr>
            </w:pPr>
            <w:r w:rsidRPr="00653BF6">
              <w:rPr>
                <w:rFonts w:ascii="Times New Roman" w:hAnsi="Times New Roman"/>
                <w:color w:val="000000"/>
                <w:szCs w:val="22"/>
                <w:lang w:val="fr-FR"/>
              </w:rPr>
              <w:t>Réponse majeure à 12 mois (%)</w:t>
            </w:r>
          </w:p>
        </w:tc>
        <w:tc>
          <w:tcPr>
            <w:tcW w:w="2693" w:type="dxa"/>
            <w:tcBorders>
              <w:bottom w:val="nil"/>
            </w:tcBorders>
          </w:tcPr>
          <w:p w14:paraId="5BCE6E51" w14:textId="458612F8" w:rsidR="00EF4CB3" w:rsidRPr="00653BF6" w:rsidRDefault="00EF4CB3" w:rsidP="007F23EE">
            <w:pPr>
              <w:pStyle w:val="TableCarCarCarCarCarCarCarCarCar"/>
              <w:keepLines w:val="0"/>
              <w:spacing w:before="0" w:after="0"/>
              <w:jc w:val="center"/>
              <w:rPr>
                <w:rFonts w:ascii="Times New Roman" w:hAnsi="Times New Roman"/>
                <w:color w:val="000000"/>
                <w:szCs w:val="22"/>
                <w:lang w:val="fr-FR"/>
              </w:rPr>
            </w:pPr>
            <w:r w:rsidRPr="00653BF6">
              <w:rPr>
                <w:rFonts w:ascii="Times New Roman" w:hAnsi="Times New Roman"/>
                <w:color w:val="000000"/>
                <w:szCs w:val="22"/>
                <w:lang w:val="fr-FR"/>
              </w:rPr>
              <w:t>153/305</w:t>
            </w:r>
            <w:ins w:id="258" w:author="Author">
              <w:r w:rsidR="007D7517" w:rsidRPr="00653BF6">
                <w:rPr>
                  <w:rFonts w:ascii="Times New Roman" w:hAnsi="Times New Roman"/>
                  <w:color w:val="000000"/>
                  <w:szCs w:val="22"/>
                  <w:lang w:val="fr-FR"/>
                </w:rPr>
                <w:t> </w:t>
              </w:r>
            </w:ins>
            <w:r w:rsidRPr="00653BF6">
              <w:rPr>
                <w:rFonts w:ascii="Times New Roman" w:hAnsi="Times New Roman"/>
                <w:color w:val="000000"/>
                <w:szCs w:val="22"/>
                <w:lang w:val="fr-FR"/>
              </w:rPr>
              <w:t>=</w:t>
            </w:r>
            <w:ins w:id="259" w:author="Author">
              <w:r w:rsidR="007D7517" w:rsidRPr="00653BF6">
                <w:rPr>
                  <w:rFonts w:ascii="Times New Roman" w:hAnsi="Times New Roman"/>
                  <w:color w:val="000000"/>
                  <w:szCs w:val="22"/>
                  <w:lang w:val="fr-FR"/>
                </w:rPr>
                <w:t> </w:t>
              </w:r>
            </w:ins>
            <w:r w:rsidRPr="00653BF6">
              <w:rPr>
                <w:rFonts w:ascii="Times New Roman" w:hAnsi="Times New Roman"/>
                <w:color w:val="000000"/>
                <w:szCs w:val="22"/>
                <w:lang w:val="fr-FR"/>
              </w:rPr>
              <w:t>50,2%</w:t>
            </w:r>
          </w:p>
        </w:tc>
        <w:tc>
          <w:tcPr>
            <w:tcW w:w="2693" w:type="dxa"/>
            <w:tcBorders>
              <w:bottom w:val="nil"/>
              <w:right w:val="single" w:sz="4" w:space="0" w:color="auto"/>
            </w:tcBorders>
          </w:tcPr>
          <w:p w14:paraId="196B0E64" w14:textId="5D87B36F" w:rsidR="00EF4CB3" w:rsidRPr="00653BF6" w:rsidRDefault="00EF4CB3" w:rsidP="007F23EE">
            <w:pPr>
              <w:pStyle w:val="TableCarCarCarCarCarCarCarCarCar"/>
              <w:keepLines w:val="0"/>
              <w:spacing w:before="0" w:after="0"/>
              <w:jc w:val="center"/>
              <w:rPr>
                <w:rFonts w:ascii="Times New Roman" w:hAnsi="Times New Roman"/>
                <w:color w:val="000000"/>
                <w:szCs w:val="22"/>
                <w:lang w:val="fr-FR"/>
              </w:rPr>
            </w:pPr>
            <w:r w:rsidRPr="00653BF6">
              <w:rPr>
                <w:rFonts w:ascii="Times New Roman" w:hAnsi="Times New Roman"/>
                <w:color w:val="000000"/>
                <w:szCs w:val="22"/>
                <w:lang w:val="fr-FR"/>
              </w:rPr>
              <w:t>8/83</w:t>
            </w:r>
            <w:ins w:id="260" w:author="Author">
              <w:r w:rsidR="007D7517" w:rsidRPr="00653BF6">
                <w:rPr>
                  <w:rFonts w:ascii="Times New Roman" w:hAnsi="Times New Roman"/>
                  <w:color w:val="000000"/>
                  <w:szCs w:val="22"/>
                  <w:lang w:val="fr-FR"/>
                </w:rPr>
                <w:t> </w:t>
              </w:r>
            </w:ins>
            <w:r w:rsidRPr="00653BF6">
              <w:rPr>
                <w:rFonts w:ascii="Times New Roman" w:hAnsi="Times New Roman"/>
                <w:color w:val="000000"/>
                <w:szCs w:val="22"/>
                <w:lang w:val="fr-FR"/>
              </w:rPr>
              <w:t>=</w:t>
            </w:r>
            <w:ins w:id="261" w:author="Author">
              <w:r w:rsidR="007D7517" w:rsidRPr="00653BF6">
                <w:rPr>
                  <w:rFonts w:ascii="Times New Roman" w:hAnsi="Times New Roman"/>
                  <w:color w:val="000000"/>
                  <w:szCs w:val="22"/>
                  <w:lang w:val="fr-FR"/>
                </w:rPr>
                <w:t> </w:t>
              </w:r>
            </w:ins>
            <w:r w:rsidRPr="00653BF6">
              <w:rPr>
                <w:rFonts w:ascii="Times New Roman" w:hAnsi="Times New Roman"/>
                <w:color w:val="000000"/>
                <w:szCs w:val="22"/>
                <w:lang w:val="fr-FR"/>
              </w:rPr>
              <w:t>9,6%</w:t>
            </w:r>
          </w:p>
        </w:tc>
      </w:tr>
      <w:tr w:rsidR="00EF4CB3" w:rsidRPr="00653BF6" w14:paraId="6CD7B716" w14:textId="77777777" w:rsidTr="004B2956">
        <w:trPr>
          <w:cantSplit/>
        </w:trPr>
        <w:tc>
          <w:tcPr>
            <w:tcW w:w="3794" w:type="dxa"/>
            <w:tcBorders>
              <w:left w:val="single" w:sz="4" w:space="0" w:color="auto"/>
              <w:bottom w:val="nil"/>
            </w:tcBorders>
          </w:tcPr>
          <w:p w14:paraId="03B47DB0" w14:textId="77777777" w:rsidR="00EF4CB3" w:rsidRPr="00653BF6" w:rsidRDefault="00EF4CB3" w:rsidP="007F23EE">
            <w:pPr>
              <w:pStyle w:val="TableCarCarCarCarCarCarCarCarCar"/>
              <w:keepLines w:val="0"/>
              <w:spacing w:before="0" w:after="0"/>
              <w:rPr>
                <w:rFonts w:ascii="Times New Roman" w:hAnsi="Times New Roman"/>
                <w:color w:val="000000"/>
                <w:szCs w:val="22"/>
                <w:lang w:val="fr-FR"/>
              </w:rPr>
            </w:pPr>
            <w:r w:rsidRPr="00653BF6">
              <w:rPr>
                <w:rFonts w:ascii="Times New Roman" w:hAnsi="Times New Roman"/>
                <w:color w:val="000000"/>
                <w:szCs w:val="22"/>
                <w:lang w:val="fr-FR"/>
              </w:rPr>
              <w:t>Réponse majeure à 24 mois (%)</w:t>
            </w:r>
          </w:p>
        </w:tc>
        <w:tc>
          <w:tcPr>
            <w:tcW w:w="2693" w:type="dxa"/>
            <w:tcBorders>
              <w:bottom w:val="nil"/>
            </w:tcBorders>
          </w:tcPr>
          <w:p w14:paraId="3E468555" w14:textId="77108E26" w:rsidR="00EF4CB3" w:rsidRPr="00653BF6" w:rsidRDefault="00EF4CB3" w:rsidP="007F23EE">
            <w:pPr>
              <w:pStyle w:val="TableCarCarCarCarCarCarCarCarCar"/>
              <w:keepLines w:val="0"/>
              <w:spacing w:before="0" w:after="0"/>
              <w:jc w:val="center"/>
              <w:rPr>
                <w:rFonts w:ascii="Times New Roman" w:hAnsi="Times New Roman"/>
                <w:color w:val="000000"/>
                <w:szCs w:val="22"/>
                <w:lang w:val="fr-FR"/>
              </w:rPr>
            </w:pPr>
            <w:r w:rsidRPr="00653BF6">
              <w:rPr>
                <w:rFonts w:ascii="Times New Roman" w:hAnsi="Times New Roman"/>
                <w:color w:val="000000"/>
                <w:szCs w:val="22"/>
                <w:lang w:val="fr-FR"/>
              </w:rPr>
              <w:t>73/104</w:t>
            </w:r>
            <w:ins w:id="262" w:author="Author">
              <w:r w:rsidR="007D7517" w:rsidRPr="00653BF6">
                <w:rPr>
                  <w:rFonts w:ascii="Times New Roman" w:hAnsi="Times New Roman"/>
                  <w:color w:val="000000"/>
                  <w:szCs w:val="22"/>
                  <w:lang w:val="fr-FR"/>
                </w:rPr>
                <w:t> </w:t>
              </w:r>
            </w:ins>
            <w:r w:rsidRPr="00653BF6">
              <w:rPr>
                <w:rFonts w:ascii="Times New Roman" w:hAnsi="Times New Roman"/>
                <w:color w:val="000000"/>
                <w:szCs w:val="22"/>
                <w:lang w:val="fr-FR"/>
              </w:rPr>
              <w:t>=</w:t>
            </w:r>
            <w:ins w:id="263" w:author="Author">
              <w:r w:rsidR="007D7517" w:rsidRPr="00653BF6">
                <w:rPr>
                  <w:rFonts w:ascii="Times New Roman" w:hAnsi="Times New Roman"/>
                  <w:color w:val="000000"/>
                  <w:szCs w:val="22"/>
                  <w:lang w:val="fr-FR"/>
                </w:rPr>
                <w:t> </w:t>
              </w:r>
            </w:ins>
            <w:r w:rsidRPr="00653BF6">
              <w:rPr>
                <w:rFonts w:ascii="Times New Roman" w:hAnsi="Times New Roman"/>
                <w:color w:val="000000"/>
                <w:szCs w:val="22"/>
                <w:lang w:val="fr-FR"/>
              </w:rPr>
              <w:t>70,2%</w:t>
            </w:r>
          </w:p>
        </w:tc>
        <w:tc>
          <w:tcPr>
            <w:tcW w:w="2693" w:type="dxa"/>
            <w:tcBorders>
              <w:bottom w:val="nil"/>
              <w:right w:val="single" w:sz="4" w:space="0" w:color="auto"/>
            </w:tcBorders>
          </w:tcPr>
          <w:p w14:paraId="3275D0CB" w14:textId="041B71C9" w:rsidR="00EF4CB3" w:rsidRPr="00653BF6" w:rsidRDefault="00EF4CB3" w:rsidP="007F23EE">
            <w:pPr>
              <w:keepNext/>
              <w:jc w:val="center"/>
              <w:rPr>
                <w:rFonts w:ascii="Times New Roman" w:hAnsi="Times New Roman"/>
                <w:color w:val="000000"/>
                <w:szCs w:val="22"/>
              </w:rPr>
            </w:pPr>
            <w:r w:rsidRPr="00653BF6">
              <w:rPr>
                <w:rFonts w:ascii="Times New Roman" w:hAnsi="Times New Roman"/>
                <w:color w:val="000000"/>
                <w:szCs w:val="22"/>
              </w:rPr>
              <w:t>3/12</w:t>
            </w:r>
            <w:ins w:id="264" w:author="Author">
              <w:r w:rsidR="007D7517" w:rsidRPr="00653BF6">
                <w:rPr>
                  <w:rFonts w:ascii="Times New Roman" w:hAnsi="Times New Roman"/>
                  <w:color w:val="000000"/>
                  <w:szCs w:val="22"/>
                </w:rPr>
                <w:t> </w:t>
              </w:r>
            </w:ins>
            <w:r w:rsidRPr="00653BF6">
              <w:rPr>
                <w:rFonts w:ascii="Times New Roman" w:hAnsi="Times New Roman"/>
                <w:color w:val="000000"/>
                <w:szCs w:val="22"/>
              </w:rPr>
              <w:t>=</w:t>
            </w:r>
            <w:ins w:id="265" w:author="Author">
              <w:r w:rsidR="007D7517" w:rsidRPr="00653BF6">
                <w:rPr>
                  <w:rFonts w:ascii="Times New Roman" w:hAnsi="Times New Roman"/>
                  <w:color w:val="000000"/>
                  <w:szCs w:val="22"/>
                </w:rPr>
                <w:t> </w:t>
              </w:r>
            </w:ins>
            <w:r w:rsidRPr="00653BF6">
              <w:rPr>
                <w:rFonts w:ascii="Times New Roman" w:hAnsi="Times New Roman"/>
                <w:color w:val="000000"/>
                <w:szCs w:val="22"/>
              </w:rPr>
              <w:t>25%</w:t>
            </w:r>
          </w:p>
        </w:tc>
      </w:tr>
      <w:tr w:rsidR="00EF4CB3" w:rsidRPr="00653BF6" w14:paraId="45C90ADE" w14:textId="77777777" w:rsidTr="004B2956">
        <w:trPr>
          <w:cantSplit/>
        </w:trPr>
        <w:tc>
          <w:tcPr>
            <w:tcW w:w="3794" w:type="dxa"/>
            <w:tcBorders>
              <w:left w:val="single" w:sz="4" w:space="0" w:color="auto"/>
              <w:bottom w:val="nil"/>
            </w:tcBorders>
          </w:tcPr>
          <w:p w14:paraId="2A97C1CD" w14:textId="77777777" w:rsidR="00EF4CB3" w:rsidRPr="00653BF6" w:rsidRDefault="00EF4CB3" w:rsidP="007F23EE">
            <w:pPr>
              <w:pStyle w:val="TableCarCarCarCarCarCarCarCarCar"/>
              <w:keepLines w:val="0"/>
              <w:spacing w:before="0" w:after="0"/>
              <w:rPr>
                <w:rFonts w:ascii="Times New Roman" w:hAnsi="Times New Roman"/>
                <w:color w:val="000000"/>
                <w:szCs w:val="22"/>
                <w:lang w:val="fr-FR"/>
              </w:rPr>
            </w:pPr>
            <w:r w:rsidRPr="00653BF6">
              <w:rPr>
                <w:rFonts w:ascii="Times New Roman" w:hAnsi="Times New Roman"/>
                <w:color w:val="000000"/>
                <w:szCs w:val="22"/>
                <w:lang w:val="fr-FR"/>
              </w:rPr>
              <w:t>Réponse majeure à 84 mois (%)</w:t>
            </w:r>
          </w:p>
        </w:tc>
        <w:tc>
          <w:tcPr>
            <w:tcW w:w="2693" w:type="dxa"/>
            <w:tcBorders>
              <w:bottom w:val="nil"/>
            </w:tcBorders>
          </w:tcPr>
          <w:p w14:paraId="1AF2A43A" w14:textId="7957E87F" w:rsidR="00EF4CB3" w:rsidRPr="00653BF6" w:rsidRDefault="00EF4CB3" w:rsidP="007F23EE">
            <w:pPr>
              <w:pStyle w:val="TableCarCarCarCarCarCarCarCarCar"/>
              <w:keepLines w:val="0"/>
              <w:spacing w:before="0" w:after="0"/>
              <w:jc w:val="center"/>
              <w:rPr>
                <w:rFonts w:ascii="Times New Roman" w:hAnsi="Times New Roman"/>
                <w:color w:val="000000"/>
                <w:szCs w:val="22"/>
                <w:lang w:val="fr-FR"/>
              </w:rPr>
            </w:pPr>
            <w:r w:rsidRPr="00653BF6">
              <w:rPr>
                <w:rFonts w:ascii="Times New Roman" w:hAnsi="Times New Roman"/>
                <w:color w:val="000000"/>
                <w:szCs w:val="22"/>
                <w:lang w:val="fr-FR"/>
              </w:rPr>
              <w:t>102/116</w:t>
            </w:r>
            <w:ins w:id="266" w:author="Author">
              <w:r w:rsidR="007D7517" w:rsidRPr="00653BF6">
                <w:rPr>
                  <w:rFonts w:ascii="Times New Roman" w:hAnsi="Times New Roman"/>
                  <w:color w:val="000000"/>
                  <w:szCs w:val="22"/>
                  <w:lang w:val="fr-FR"/>
                </w:rPr>
                <w:t> </w:t>
              </w:r>
            </w:ins>
            <w:r w:rsidRPr="00653BF6">
              <w:rPr>
                <w:rFonts w:ascii="Times New Roman" w:hAnsi="Times New Roman"/>
                <w:color w:val="000000"/>
                <w:szCs w:val="22"/>
                <w:lang w:val="fr-FR"/>
              </w:rPr>
              <w:t>=</w:t>
            </w:r>
            <w:ins w:id="267" w:author="Author">
              <w:r w:rsidR="007D7517" w:rsidRPr="00653BF6">
                <w:rPr>
                  <w:rFonts w:ascii="Times New Roman" w:hAnsi="Times New Roman"/>
                  <w:color w:val="000000"/>
                  <w:szCs w:val="22"/>
                  <w:lang w:val="fr-FR"/>
                </w:rPr>
                <w:t> </w:t>
              </w:r>
            </w:ins>
            <w:r w:rsidRPr="00653BF6">
              <w:rPr>
                <w:rFonts w:ascii="Times New Roman" w:hAnsi="Times New Roman"/>
                <w:color w:val="000000"/>
                <w:szCs w:val="22"/>
                <w:lang w:val="fr-FR"/>
              </w:rPr>
              <w:t>87,9%</w:t>
            </w:r>
          </w:p>
        </w:tc>
        <w:tc>
          <w:tcPr>
            <w:tcW w:w="2693" w:type="dxa"/>
            <w:tcBorders>
              <w:bottom w:val="nil"/>
              <w:right w:val="single" w:sz="4" w:space="0" w:color="auto"/>
            </w:tcBorders>
          </w:tcPr>
          <w:p w14:paraId="6992F4DF" w14:textId="06F3480D" w:rsidR="00EF4CB3" w:rsidRPr="00653BF6" w:rsidRDefault="00EF4CB3" w:rsidP="007F23EE">
            <w:pPr>
              <w:pStyle w:val="TableCarCarCarCarCarCarCarCarCar"/>
              <w:keepLines w:val="0"/>
              <w:spacing w:before="0" w:after="0"/>
              <w:jc w:val="center"/>
              <w:rPr>
                <w:rFonts w:ascii="Times New Roman" w:hAnsi="Times New Roman"/>
                <w:color w:val="000000"/>
                <w:szCs w:val="22"/>
                <w:lang w:val="fr-FR"/>
              </w:rPr>
            </w:pPr>
            <w:r w:rsidRPr="00653BF6">
              <w:rPr>
                <w:rFonts w:ascii="Times New Roman" w:hAnsi="Times New Roman"/>
                <w:color w:val="000000"/>
                <w:szCs w:val="22"/>
                <w:lang w:val="fr-FR"/>
              </w:rPr>
              <w:t>3/4</w:t>
            </w:r>
            <w:ins w:id="268" w:author="Author">
              <w:r w:rsidR="007D7517" w:rsidRPr="00653BF6">
                <w:rPr>
                  <w:rFonts w:ascii="Times New Roman" w:hAnsi="Times New Roman"/>
                  <w:color w:val="000000"/>
                  <w:szCs w:val="22"/>
                  <w:lang w:val="fr-FR"/>
                </w:rPr>
                <w:t> </w:t>
              </w:r>
            </w:ins>
            <w:r w:rsidRPr="00653BF6">
              <w:rPr>
                <w:rFonts w:ascii="Times New Roman" w:hAnsi="Times New Roman"/>
                <w:color w:val="000000"/>
                <w:szCs w:val="22"/>
                <w:lang w:val="fr-FR"/>
              </w:rPr>
              <w:t>=</w:t>
            </w:r>
            <w:ins w:id="269" w:author="Author">
              <w:r w:rsidR="007D7517" w:rsidRPr="00653BF6">
                <w:rPr>
                  <w:rFonts w:ascii="Times New Roman" w:hAnsi="Times New Roman"/>
                  <w:color w:val="000000"/>
                  <w:szCs w:val="22"/>
                  <w:lang w:val="fr-FR"/>
                </w:rPr>
                <w:t> </w:t>
              </w:r>
            </w:ins>
            <w:r w:rsidRPr="00653BF6">
              <w:rPr>
                <w:rFonts w:ascii="Times New Roman" w:hAnsi="Times New Roman"/>
                <w:color w:val="000000"/>
                <w:szCs w:val="22"/>
                <w:lang w:val="fr-FR"/>
              </w:rPr>
              <w:t>75%</w:t>
            </w:r>
          </w:p>
        </w:tc>
      </w:tr>
      <w:tr w:rsidR="00EF4CB3" w:rsidRPr="00653BF6" w14:paraId="468434D0" w14:textId="77777777" w:rsidTr="004B2956">
        <w:trPr>
          <w:cantSplit/>
        </w:trPr>
        <w:tc>
          <w:tcPr>
            <w:tcW w:w="9180" w:type="dxa"/>
            <w:gridSpan w:val="3"/>
            <w:tcBorders>
              <w:top w:val="single" w:sz="4" w:space="0" w:color="auto"/>
              <w:left w:val="single" w:sz="4" w:space="0" w:color="auto"/>
              <w:bottom w:val="single" w:sz="4" w:space="0" w:color="auto"/>
              <w:right w:val="single" w:sz="4" w:space="0" w:color="auto"/>
            </w:tcBorders>
          </w:tcPr>
          <w:p w14:paraId="4CB2CA27" w14:textId="47DF3838" w:rsidR="00EF4CB3" w:rsidRPr="005205FF" w:rsidRDefault="00EF4CB3" w:rsidP="007F23EE">
            <w:pPr>
              <w:pStyle w:val="TableCarCarCarCarCarCarCarCarCar"/>
              <w:keepNext w:val="0"/>
              <w:keepLines w:val="0"/>
              <w:spacing w:before="0" w:after="0"/>
              <w:rPr>
                <w:rFonts w:ascii="Times New Roman" w:hAnsi="Times New Roman"/>
                <w:color w:val="000000"/>
                <w:sz w:val="20"/>
                <w:lang w:val="fr-FR"/>
                <w:rPrChange w:id="270" w:author="Author">
                  <w:rPr>
                    <w:rFonts w:ascii="Times New Roman" w:hAnsi="Times New Roman"/>
                    <w:color w:val="000000"/>
                    <w:szCs w:val="22"/>
                  </w:rPr>
                </w:rPrChange>
              </w:rPr>
            </w:pPr>
            <w:r w:rsidRPr="005205FF">
              <w:rPr>
                <w:rFonts w:ascii="Times New Roman" w:hAnsi="Times New Roman"/>
                <w:color w:val="000000"/>
                <w:sz w:val="20"/>
                <w:lang w:val="fr-FR"/>
                <w:rPrChange w:id="271" w:author="Author">
                  <w:rPr>
                    <w:rFonts w:ascii="Times New Roman" w:hAnsi="Times New Roman"/>
                    <w:color w:val="000000"/>
                    <w:szCs w:val="22"/>
                  </w:rPr>
                </w:rPrChange>
              </w:rPr>
              <w:t>* p</w:t>
            </w:r>
            <w:ins w:id="272" w:author="Author">
              <w:r w:rsidR="007D7517" w:rsidRPr="005205FF">
                <w:rPr>
                  <w:rFonts w:ascii="Times New Roman" w:hAnsi="Times New Roman"/>
                  <w:color w:val="000000"/>
                  <w:sz w:val="20"/>
                  <w:lang w:val="fr-FR"/>
                  <w:rPrChange w:id="273" w:author="Author">
                    <w:rPr>
                      <w:rFonts w:ascii="Times New Roman" w:hAnsi="Times New Roman"/>
                      <w:color w:val="000000"/>
                      <w:szCs w:val="22"/>
                    </w:rPr>
                  </w:rPrChange>
                </w:rPr>
                <w:t> </w:t>
              </w:r>
            </w:ins>
            <w:r w:rsidRPr="005205FF">
              <w:rPr>
                <w:rFonts w:ascii="Times New Roman" w:hAnsi="Times New Roman"/>
                <w:color w:val="000000"/>
                <w:sz w:val="20"/>
                <w:lang w:val="fr-FR"/>
                <w:rPrChange w:id="274" w:author="Author">
                  <w:rPr>
                    <w:rFonts w:ascii="Times New Roman" w:hAnsi="Times New Roman"/>
                    <w:color w:val="000000"/>
                    <w:szCs w:val="22"/>
                  </w:rPr>
                </w:rPrChange>
              </w:rPr>
              <w:t>&lt;</w:t>
            </w:r>
            <w:ins w:id="275" w:author="Author">
              <w:r w:rsidR="007D7517" w:rsidRPr="005205FF">
                <w:rPr>
                  <w:rFonts w:ascii="Times New Roman" w:hAnsi="Times New Roman"/>
                  <w:color w:val="000000"/>
                  <w:sz w:val="20"/>
                  <w:lang w:val="fr-FR"/>
                  <w:rPrChange w:id="276" w:author="Author">
                    <w:rPr>
                      <w:rFonts w:ascii="Times New Roman" w:hAnsi="Times New Roman"/>
                      <w:color w:val="000000"/>
                      <w:szCs w:val="22"/>
                    </w:rPr>
                  </w:rPrChange>
                </w:rPr>
                <w:t> </w:t>
              </w:r>
            </w:ins>
            <w:r w:rsidRPr="005205FF">
              <w:rPr>
                <w:rFonts w:ascii="Times New Roman" w:hAnsi="Times New Roman"/>
                <w:color w:val="000000"/>
                <w:sz w:val="20"/>
                <w:lang w:val="fr-FR"/>
                <w:rPrChange w:id="277" w:author="Author">
                  <w:rPr>
                    <w:rFonts w:ascii="Times New Roman" w:hAnsi="Times New Roman"/>
                    <w:color w:val="000000"/>
                    <w:szCs w:val="22"/>
                  </w:rPr>
                </w:rPrChange>
              </w:rPr>
              <w:t xml:space="preserve">0,001, </w:t>
            </w:r>
            <w:ins w:id="278" w:author="Author">
              <w:r w:rsidR="008625C6" w:rsidRPr="005205FF">
                <w:rPr>
                  <w:rFonts w:ascii="Times New Roman" w:hAnsi="Times New Roman"/>
                  <w:color w:val="000000"/>
                  <w:sz w:val="20"/>
                  <w:lang w:val="fr-FR"/>
                  <w:rPrChange w:id="279" w:author="Author">
                    <w:rPr>
                      <w:rFonts w:ascii="Times New Roman" w:hAnsi="Times New Roman"/>
                      <w:color w:val="000000"/>
                      <w:szCs w:val="22"/>
                    </w:rPr>
                  </w:rPrChange>
                </w:rPr>
                <w:t xml:space="preserve">test exact de </w:t>
              </w:r>
            </w:ins>
            <w:r w:rsidRPr="005205FF">
              <w:rPr>
                <w:rFonts w:ascii="Times New Roman" w:hAnsi="Times New Roman"/>
                <w:color w:val="000000"/>
                <w:sz w:val="20"/>
                <w:lang w:val="fr-FR"/>
                <w:rPrChange w:id="280" w:author="Author">
                  <w:rPr>
                    <w:rFonts w:ascii="Times New Roman" w:hAnsi="Times New Roman"/>
                    <w:color w:val="000000"/>
                    <w:szCs w:val="22"/>
                  </w:rPr>
                </w:rPrChange>
              </w:rPr>
              <w:t>Fischer</w:t>
            </w:r>
            <w:del w:id="281" w:author="Author">
              <w:r w:rsidRPr="005205FF" w:rsidDel="008625C6">
                <w:rPr>
                  <w:rFonts w:ascii="Times New Roman" w:hAnsi="Times New Roman"/>
                  <w:color w:val="000000"/>
                  <w:sz w:val="20"/>
                  <w:lang w:val="fr-FR"/>
                  <w:rPrChange w:id="282" w:author="Author">
                    <w:rPr>
                      <w:rFonts w:ascii="Times New Roman" w:hAnsi="Times New Roman"/>
                      <w:color w:val="000000"/>
                      <w:szCs w:val="22"/>
                    </w:rPr>
                  </w:rPrChange>
                </w:rPr>
                <w:delText>’s exact test</w:delText>
              </w:r>
            </w:del>
          </w:p>
          <w:p w14:paraId="02021C67" w14:textId="77777777" w:rsidR="00EF4CB3" w:rsidRPr="005205FF" w:rsidRDefault="00EF4CB3" w:rsidP="007F23EE">
            <w:pPr>
              <w:pStyle w:val="TableCarCarCarCarCarCarCarCarCar"/>
              <w:keepNext w:val="0"/>
              <w:keepLines w:val="0"/>
              <w:spacing w:before="0" w:after="0"/>
              <w:rPr>
                <w:rFonts w:ascii="Times New Roman" w:hAnsi="Times New Roman"/>
                <w:b/>
                <w:color w:val="000000"/>
                <w:sz w:val="20"/>
                <w:lang w:val="fr-FR"/>
                <w:rPrChange w:id="283" w:author="Author">
                  <w:rPr>
                    <w:rFonts w:ascii="Times New Roman" w:hAnsi="Times New Roman"/>
                    <w:b/>
                    <w:color w:val="000000"/>
                    <w:szCs w:val="22"/>
                    <w:lang w:val="fr-FR"/>
                  </w:rPr>
                </w:rPrChange>
              </w:rPr>
            </w:pPr>
            <w:r w:rsidRPr="005205FF">
              <w:rPr>
                <w:rFonts w:ascii="Times New Roman" w:hAnsi="Times New Roman"/>
                <w:color w:val="000000"/>
                <w:sz w:val="20"/>
                <w:lang w:val="fr-FR"/>
                <w:rPrChange w:id="284" w:author="Author">
                  <w:rPr>
                    <w:rFonts w:ascii="Times New Roman" w:hAnsi="Times New Roman"/>
                    <w:color w:val="000000"/>
                    <w:szCs w:val="22"/>
                    <w:lang w:val="fr-FR"/>
                  </w:rPr>
                </w:rPrChange>
              </w:rPr>
              <w:t>** les pourcentages de réponses moléculaires sont basés sur les prélèvements disponibles</w:t>
            </w:r>
          </w:p>
          <w:p w14:paraId="260853EA" w14:textId="77777777" w:rsidR="00EF4CB3" w:rsidRPr="005205FF" w:rsidRDefault="00EF4CB3" w:rsidP="007F23EE">
            <w:pPr>
              <w:pStyle w:val="TableCarCarCarCarCarCarCarCarCar"/>
              <w:keepNext w:val="0"/>
              <w:keepLines w:val="0"/>
              <w:spacing w:before="0" w:after="0"/>
              <w:rPr>
                <w:rFonts w:ascii="Times New Roman" w:hAnsi="Times New Roman"/>
                <w:b/>
                <w:color w:val="000000"/>
                <w:sz w:val="20"/>
                <w:lang w:val="fr-FR"/>
                <w:rPrChange w:id="285" w:author="Author">
                  <w:rPr>
                    <w:rFonts w:ascii="Times New Roman" w:hAnsi="Times New Roman"/>
                    <w:b/>
                    <w:color w:val="000000"/>
                    <w:szCs w:val="22"/>
                    <w:lang w:val="fr-FR"/>
                  </w:rPr>
                </w:rPrChange>
              </w:rPr>
            </w:pPr>
            <w:r w:rsidRPr="005205FF">
              <w:rPr>
                <w:rFonts w:ascii="Times New Roman" w:hAnsi="Times New Roman"/>
                <w:b/>
                <w:color w:val="000000"/>
                <w:sz w:val="20"/>
                <w:lang w:val="fr-FR"/>
                <w:rPrChange w:id="286" w:author="Author">
                  <w:rPr>
                    <w:rFonts w:ascii="Times New Roman" w:hAnsi="Times New Roman"/>
                    <w:b/>
                    <w:color w:val="000000"/>
                    <w:szCs w:val="22"/>
                    <w:lang w:val="fr-FR"/>
                  </w:rPr>
                </w:rPrChange>
              </w:rPr>
              <w:t xml:space="preserve">Critères de réponse hématologique (toutes les réponses devaient être confirmées après </w:t>
            </w:r>
            <w:r w:rsidRPr="005205FF">
              <w:rPr>
                <w:rFonts w:ascii="Times New Roman" w:hAnsi="Times New Roman"/>
                <w:b/>
                <w:color w:val="000000"/>
                <w:sz w:val="20"/>
                <w:lang w:val="fr-FR"/>
                <w:rPrChange w:id="287" w:author="Author">
                  <w:rPr>
                    <w:rFonts w:ascii="Times New Roman" w:hAnsi="Times New Roman"/>
                    <w:b/>
                    <w:color w:val="000000"/>
                    <w:szCs w:val="22"/>
                    <w:lang w:val="fr-FR"/>
                  </w:rPr>
                </w:rPrChange>
              </w:rPr>
              <w:sym w:font="Symbol" w:char="F0B3"/>
            </w:r>
            <w:r w:rsidRPr="005205FF">
              <w:rPr>
                <w:rFonts w:ascii="Times New Roman" w:hAnsi="Times New Roman"/>
                <w:b/>
                <w:color w:val="000000"/>
                <w:sz w:val="20"/>
                <w:lang w:val="fr-FR"/>
                <w:rPrChange w:id="288" w:author="Author">
                  <w:rPr>
                    <w:rFonts w:ascii="Times New Roman" w:hAnsi="Times New Roman"/>
                    <w:b/>
                    <w:color w:val="000000"/>
                    <w:szCs w:val="22"/>
                    <w:lang w:val="fr-FR"/>
                  </w:rPr>
                </w:rPrChange>
              </w:rPr>
              <w:t> 4 semaines) :</w:t>
            </w:r>
          </w:p>
          <w:p w14:paraId="28881034" w14:textId="39F8777A" w:rsidR="00EF4CB3" w:rsidRPr="005205FF" w:rsidRDefault="00EF4CB3" w:rsidP="007F23EE">
            <w:pPr>
              <w:pStyle w:val="TableCarCarCarCarCarCarCarCarCar"/>
              <w:keepNext w:val="0"/>
              <w:keepLines w:val="0"/>
              <w:spacing w:before="0" w:after="0"/>
              <w:rPr>
                <w:rFonts w:ascii="Times New Roman" w:hAnsi="Times New Roman"/>
                <w:color w:val="000000"/>
                <w:sz w:val="20"/>
                <w:lang w:val="fr-FR"/>
                <w:rPrChange w:id="289" w:author="Author">
                  <w:rPr>
                    <w:rFonts w:ascii="Times New Roman" w:hAnsi="Times New Roman"/>
                    <w:color w:val="000000"/>
                    <w:szCs w:val="22"/>
                    <w:lang w:val="fr-FR"/>
                  </w:rPr>
                </w:rPrChange>
              </w:rPr>
            </w:pPr>
            <w:r w:rsidRPr="005205FF">
              <w:rPr>
                <w:rFonts w:ascii="Times New Roman" w:hAnsi="Times New Roman"/>
                <w:color w:val="000000"/>
                <w:sz w:val="20"/>
                <w:lang w:val="fr-FR"/>
                <w:rPrChange w:id="290" w:author="Author">
                  <w:rPr>
                    <w:rFonts w:ascii="Times New Roman" w:hAnsi="Times New Roman"/>
                    <w:color w:val="000000"/>
                    <w:szCs w:val="22"/>
                    <w:lang w:val="fr-FR"/>
                  </w:rPr>
                </w:rPrChange>
              </w:rPr>
              <w:t>Leucocytes</w:t>
            </w:r>
            <w:ins w:id="291" w:author="Author">
              <w:r w:rsidR="007D7517" w:rsidRPr="005205FF">
                <w:rPr>
                  <w:rFonts w:ascii="Times New Roman" w:hAnsi="Times New Roman"/>
                  <w:color w:val="000000"/>
                  <w:sz w:val="20"/>
                  <w:lang w:val="fr-FR"/>
                  <w:rPrChange w:id="292" w:author="Author">
                    <w:rPr>
                      <w:rFonts w:ascii="Times New Roman" w:hAnsi="Times New Roman"/>
                      <w:color w:val="000000"/>
                      <w:szCs w:val="22"/>
                      <w:lang w:val="fr-FR"/>
                    </w:rPr>
                  </w:rPrChange>
                </w:rPr>
                <w:t> </w:t>
              </w:r>
            </w:ins>
            <w:r w:rsidRPr="005205FF">
              <w:rPr>
                <w:rFonts w:ascii="Times New Roman" w:hAnsi="Times New Roman"/>
                <w:color w:val="000000"/>
                <w:sz w:val="20"/>
                <w:lang w:val="fr-FR"/>
                <w:rPrChange w:id="293" w:author="Author">
                  <w:rPr>
                    <w:rFonts w:ascii="Times New Roman" w:hAnsi="Times New Roman"/>
                    <w:color w:val="000000"/>
                    <w:szCs w:val="22"/>
                    <w:lang w:val="fr-FR"/>
                  </w:rPr>
                </w:rPrChange>
              </w:rPr>
              <w:t>&lt; 10 x 10</w:t>
            </w:r>
            <w:r w:rsidRPr="005205FF">
              <w:rPr>
                <w:rFonts w:ascii="Times New Roman" w:hAnsi="Times New Roman"/>
                <w:color w:val="000000"/>
                <w:sz w:val="20"/>
                <w:vertAlign w:val="superscript"/>
                <w:lang w:val="fr-FR"/>
                <w:rPrChange w:id="294" w:author="Author">
                  <w:rPr>
                    <w:rFonts w:ascii="Times New Roman" w:hAnsi="Times New Roman"/>
                    <w:color w:val="000000"/>
                    <w:szCs w:val="22"/>
                    <w:vertAlign w:val="superscript"/>
                    <w:lang w:val="fr-FR"/>
                  </w:rPr>
                </w:rPrChange>
              </w:rPr>
              <w:t>9</w:t>
            </w:r>
            <w:r w:rsidRPr="005205FF">
              <w:rPr>
                <w:rFonts w:ascii="Times New Roman" w:hAnsi="Times New Roman"/>
                <w:color w:val="000000"/>
                <w:sz w:val="20"/>
                <w:lang w:val="fr-FR"/>
                <w:rPrChange w:id="295" w:author="Author">
                  <w:rPr>
                    <w:rFonts w:ascii="Times New Roman" w:hAnsi="Times New Roman"/>
                    <w:color w:val="000000"/>
                    <w:szCs w:val="22"/>
                    <w:lang w:val="fr-FR"/>
                  </w:rPr>
                </w:rPrChange>
              </w:rPr>
              <w:t>/</w:t>
            </w:r>
            <w:ins w:id="296" w:author="Author">
              <w:r w:rsidR="00503B83" w:rsidRPr="005205FF">
                <w:rPr>
                  <w:rFonts w:ascii="Times New Roman" w:hAnsi="Times New Roman"/>
                  <w:color w:val="000000"/>
                  <w:sz w:val="20"/>
                  <w:lang w:val="fr-FR"/>
                  <w:rPrChange w:id="297" w:author="Author">
                    <w:rPr>
                      <w:rFonts w:ascii="Times New Roman" w:hAnsi="Times New Roman"/>
                      <w:color w:val="000000"/>
                      <w:szCs w:val="22"/>
                      <w:lang w:val="fr-FR"/>
                    </w:rPr>
                  </w:rPrChange>
                </w:rPr>
                <w:t>L</w:t>
              </w:r>
            </w:ins>
            <w:del w:id="298" w:author="Author">
              <w:r w:rsidRPr="005205FF" w:rsidDel="00503B83">
                <w:rPr>
                  <w:rFonts w:ascii="Times New Roman" w:hAnsi="Times New Roman"/>
                  <w:color w:val="000000"/>
                  <w:sz w:val="20"/>
                  <w:lang w:val="fr-FR"/>
                  <w:rPrChange w:id="299" w:author="Author">
                    <w:rPr>
                      <w:rFonts w:ascii="Times New Roman" w:hAnsi="Times New Roman"/>
                      <w:color w:val="000000"/>
                      <w:szCs w:val="22"/>
                      <w:lang w:val="fr-FR"/>
                    </w:rPr>
                  </w:rPrChange>
                </w:rPr>
                <w:delText>l</w:delText>
              </w:r>
            </w:del>
            <w:r w:rsidRPr="005205FF">
              <w:rPr>
                <w:rFonts w:ascii="Times New Roman" w:hAnsi="Times New Roman"/>
                <w:color w:val="000000"/>
                <w:sz w:val="20"/>
                <w:lang w:val="fr-FR"/>
                <w:rPrChange w:id="300" w:author="Author">
                  <w:rPr>
                    <w:rFonts w:ascii="Times New Roman" w:hAnsi="Times New Roman"/>
                    <w:color w:val="000000"/>
                    <w:szCs w:val="22"/>
                    <w:lang w:val="fr-FR"/>
                  </w:rPr>
                </w:rPrChange>
              </w:rPr>
              <w:t>, plaquettes &lt; 450 x 10</w:t>
            </w:r>
            <w:r w:rsidRPr="005205FF">
              <w:rPr>
                <w:rFonts w:ascii="Times New Roman" w:hAnsi="Times New Roman"/>
                <w:color w:val="000000"/>
                <w:sz w:val="20"/>
                <w:vertAlign w:val="superscript"/>
                <w:lang w:val="fr-FR"/>
                <w:rPrChange w:id="301" w:author="Author">
                  <w:rPr>
                    <w:rFonts w:ascii="Times New Roman" w:hAnsi="Times New Roman"/>
                    <w:color w:val="000000"/>
                    <w:szCs w:val="22"/>
                    <w:vertAlign w:val="superscript"/>
                    <w:lang w:val="fr-FR"/>
                  </w:rPr>
                </w:rPrChange>
              </w:rPr>
              <w:t>9</w:t>
            </w:r>
            <w:r w:rsidRPr="005205FF">
              <w:rPr>
                <w:rFonts w:ascii="Times New Roman" w:hAnsi="Times New Roman"/>
                <w:color w:val="000000"/>
                <w:sz w:val="20"/>
                <w:lang w:val="fr-FR"/>
                <w:rPrChange w:id="302" w:author="Author">
                  <w:rPr>
                    <w:rFonts w:ascii="Times New Roman" w:hAnsi="Times New Roman"/>
                    <w:color w:val="000000"/>
                    <w:szCs w:val="22"/>
                    <w:lang w:val="fr-FR"/>
                  </w:rPr>
                </w:rPrChange>
              </w:rPr>
              <w:t>/</w:t>
            </w:r>
            <w:ins w:id="303" w:author="Author">
              <w:r w:rsidR="00503B83" w:rsidRPr="005205FF">
                <w:rPr>
                  <w:rFonts w:ascii="Times New Roman" w:hAnsi="Times New Roman"/>
                  <w:color w:val="000000"/>
                  <w:sz w:val="20"/>
                  <w:lang w:val="fr-FR"/>
                  <w:rPrChange w:id="304" w:author="Author">
                    <w:rPr>
                      <w:rFonts w:ascii="Times New Roman" w:hAnsi="Times New Roman"/>
                      <w:color w:val="000000"/>
                      <w:szCs w:val="22"/>
                      <w:lang w:val="fr-FR"/>
                    </w:rPr>
                  </w:rPrChange>
                </w:rPr>
                <w:t>L</w:t>
              </w:r>
            </w:ins>
            <w:del w:id="305" w:author="Author">
              <w:r w:rsidRPr="005205FF" w:rsidDel="00503B83">
                <w:rPr>
                  <w:rFonts w:ascii="Times New Roman" w:hAnsi="Times New Roman"/>
                  <w:color w:val="000000"/>
                  <w:sz w:val="20"/>
                  <w:lang w:val="fr-FR"/>
                  <w:rPrChange w:id="306" w:author="Author">
                    <w:rPr>
                      <w:rFonts w:ascii="Times New Roman" w:hAnsi="Times New Roman"/>
                      <w:color w:val="000000"/>
                      <w:szCs w:val="22"/>
                      <w:lang w:val="fr-FR"/>
                    </w:rPr>
                  </w:rPrChange>
                </w:rPr>
                <w:delText>l</w:delText>
              </w:r>
            </w:del>
            <w:r w:rsidRPr="005205FF">
              <w:rPr>
                <w:rFonts w:ascii="Times New Roman" w:hAnsi="Times New Roman"/>
                <w:color w:val="000000"/>
                <w:sz w:val="20"/>
                <w:lang w:val="fr-FR"/>
                <w:rPrChange w:id="307" w:author="Author">
                  <w:rPr>
                    <w:rFonts w:ascii="Times New Roman" w:hAnsi="Times New Roman"/>
                    <w:color w:val="000000"/>
                    <w:szCs w:val="22"/>
                    <w:lang w:val="fr-FR"/>
                  </w:rPr>
                </w:rPrChange>
              </w:rPr>
              <w:t xml:space="preserve">, </w:t>
            </w:r>
            <w:proofErr w:type="spellStart"/>
            <w:r w:rsidRPr="005205FF">
              <w:rPr>
                <w:rFonts w:ascii="Times New Roman" w:hAnsi="Times New Roman"/>
                <w:color w:val="000000"/>
                <w:sz w:val="20"/>
                <w:lang w:val="fr-FR"/>
                <w:rPrChange w:id="308" w:author="Author">
                  <w:rPr>
                    <w:rFonts w:ascii="Times New Roman" w:hAnsi="Times New Roman"/>
                    <w:color w:val="000000"/>
                    <w:szCs w:val="22"/>
                    <w:lang w:val="fr-FR"/>
                  </w:rPr>
                </w:rPrChange>
              </w:rPr>
              <w:t>myélocytes+métamyélocytes</w:t>
            </w:r>
            <w:proofErr w:type="spellEnd"/>
            <w:r w:rsidRPr="005205FF">
              <w:rPr>
                <w:rFonts w:ascii="Times New Roman" w:hAnsi="Times New Roman"/>
                <w:color w:val="000000"/>
                <w:sz w:val="20"/>
                <w:lang w:val="fr-FR"/>
                <w:rPrChange w:id="309" w:author="Author">
                  <w:rPr>
                    <w:rFonts w:ascii="Times New Roman" w:hAnsi="Times New Roman"/>
                    <w:color w:val="000000"/>
                    <w:szCs w:val="22"/>
                    <w:lang w:val="fr-FR"/>
                  </w:rPr>
                </w:rPrChange>
              </w:rPr>
              <w:t xml:space="preserve"> &lt; 5% dans le sang, aucun blaste ni promyélocyte dans le sang, basophiles &lt; 20%, aucun envahissement </w:t>
            </w:r>
            <w:proofErr w:type="spellStart"/>
            <w:r w:rsidRPr="005205FF">
              <w:rPr>
                <w:rFonts w:ascii="Times New Roman" w:hAnsi="Times New Roman"/>
                <w:color w:val="000000"/>
                <w:sz w:val="20"/>
                <w:lang w:val="fr-FR"/>
                <w:rPrChange w:id="310" w:author="Author">
                  <w:rPr>
                    <w:rFonts w:ascii="Times New Roman" w:hAnsi="Times New Roman"/>
                    <w:color w:val="000000"/>
                    <w:szCs w:val="22"/>
                    <w:lang w:val="fr-FR"/>
                  </w:rPr>
                </w:rPrChange>
              </w:rPr>
              <w:t>extramédullaire</w:t>
            </w:r>
            <w:proofErr w:type="spellEnd"/>
            <w:r w:rsidRPr="005205FF">
              <w:rPr>
                <w:rFonts w:ascii="Times New Roman" w:hAnsi="Times New Roman"/>
                <w:color w:val="000000"/>
                <w:sz w:val="20"/>
                <w:lang w:val="fr-FR"/>
                <w:rPrChange w:id="311" w:author="Author">
                  <w:rPr>
                    <w:rFonts w:ascii="Times New Roman" w:hAnsi="Times New Roman"/>
                    <w:color w:val="000000"/>
                    <w:szCs w:val="22"/>
                    <w:lang w:val="fr-FR"/>
                  </w:rPr>
                </w:rPrChange>
              </w:rPr>
              <w:t>.</w:t>
            </w:r>
          </w:p>
          <w:p w14:paraId="06E25D5B" w14:textId="25381049" w:rsidR="00EF4CB3" w:rsidRPr="005205FF" w:rsidRDefault="00EF4CB3" w:rsidP="007F23EE">
            <w:pPr>
              <w:pStyle w:val="TableCarCarCarCarCarCarCarCarCar"/>
              <w:keepNext w:val="0"/>
              <w:keepLines w:val="0"/>
              <w:spacing w:before="0" w:after="0"/>
              <w:rPr>
                <w:rFonts w:ascii="Times New Roman" w:hAnsi="Times New Roman"/>
                <w:color w:val="000000"/>
                <w:sz w:val="20"/>
                <w:lang w:val="fr-FR"/>
                <w:rPrChange w:id="312" w:author="Author">
                  <w:rPr>
                    <w:rFonts w:ascii="Times New Roman" w:hAnsi="Times New Roman"/>
                    <w:color w:val="000000"/>
                    <w:szCs w:val="22"/>
                    <w:lang w:val="fr-FR"/>
                  </w:rPr>
                </w:rPrChange>
              </w:rPr>
            </w:pPr>
            <w:r w:rsidRPr="005205FF">
              <w:rPr>
                <w:rFonts w:ascii="Times New Roman" w:hAnsi="Times New Roman"/>
                <w:b/>
                <w:color w:val="000000"/>
                <w:sz w:val="20"/>
                <w:lang w:val="fr-FR"/>
                <w:rPrChange w:id="313" w:author="Author">
                  <w:rPr>
                    <w:rFonts w:ascii="Times New Roman" w:hAnsi="Times New Roman"/>
                    <w:b/>
                    <w:color w:val="000000"/>
                    <w:szCs w:val="22"/>
                    <w:lang w:val="fr-FR"/>
                  </w:rPr>
                </w:rPrChange>
              </w:rPr>
              <w:t xml:space="preserve">Critères de réponse cytogénétique : </w:t>
            </w:r>
            <w:r w:rsidRPr="005205FF">
              <w:rPr>
                <w:rFonts w:ascii="Times New Roman" w:hAnsi="Times New Roman"/>
                <w:color w:val="000000"/>
                <w:sz w:val="20"/>
                <w:lang w:val="fr-FR"/>
                <w:rPrChange w:id="314" w:author="Author">
                  <w:rPr>
                    <w:rFonts w:ascii="Times New Roman" w:hAnsi="Times New Roman"/>
                    <w:color w:val="000000"/>
                    <w:szCs w:val="22"/>
                    <w:lang w:val="fr-FR"/>
                  </w:rPr>
                </w:rPrChange>
              </w:rPr>
              <w:t>complète (0% de métaphases Ph+</w:t>
            </w:r>
            <w:del w:id="315" w:author="Author">
              <w:r w:rsidRPr="005205FF" w:rsidDel="00503B83">
                <w:rPr>
                  <w:rFonts w:ascii="Times New Roman" w:hAnsi="Times New Roman"/>
                  <w:color w:val="000000"/>
                  <w:sz w:val="20"/>
                  <w:lang w:val="fr-FR"/>
                  <w:rPrChange w:id="316" w:author="Author">
                    <w:rPr>
                      <w:rFonts w:ascii="Times New Roman" w:hAnsi="Times New Roman"/>
                      <w:color w:val="000000"/>
                      <w:szCs w:val="22"/>
                      <w:lang w:val="fr-FR"/>
                    </w:rPr>
                  </w:rPrChange>
                </w:rPr>
                <w:delText xml:space="preserve"> </w:delText>
              </w:r>
            </w:del>
            <w:r w:rsidRPr="005205FF">
              <w:rPr>
                <w:rFonts w:ascii="Times New Roman" w:hAnsi="Times New Roman"/>
                <w:color w:val="000000"/>
                <w:sz w:val="20"/>
                <w:lang w:val="fr-FR"/>
                <w:rPrChange w:id="317" w:author="Author">
                  <w:rPr>
                    <w:rFonts w:ascii="Times New Roman" w:hAnsi="Times New Roman"/>
                    <w:color w:val="000000"/>
                    <w:szCs w:val="22"/>
                    <w:lang w:val="fr-FR"/>
                  </w:rPr>
                </w:rPrChange>
              </w:rPr>
              <w:t>), partielle (1–35%), mineure (36–65%) ou minime (66–95%). Une réponse majeure (0–35%) associe les réponses complètes ou partielles.</w:t>
            </w:r>
          </w:p>
          <w:p w14:paraId="352423F5" w14:textId="06ED82FC" w:rsidR="00EF4CB3" w:rsidRPr="00653BF6" w:rsidRDefault="00EF4CB3" w:rsidP="007F23EE">
            <w:pPr>
              <w:pStyle w:val="TableCarCarCarCarCarCarCarCarCar"/>
              <w:keepNext w:val="0"/>
              <w:keepLines w:val="0"/>
              <w:spacing w:before="0" w:after="0"/>
              <w:rPr>
                <w:rFonts w:ascii="Times New Roman" w:hAnsi="Times New Roman"/>
                <w:color w:val="000000"/>
                <w:szCs w:val="22"/>
                <w:lang w:val="fr-FR"/>
              </w:rPr>
            </w:pPr>
            <w:r w:rsidRPr="005205FF">
              <w:rPr>
                <w:rFonts w:ascii="Times New Roman" w:hAnsi="Times New Roman"/>
                <w:b/>
                <w:color w:val="000000"/>
                <w:sz w:val="20"/>
                <w:lang w:val="fr-FR"/>
                <w:rPrChange w:id="318" w:author="Author">
                  <w:rPr>
                    <w:rFonts w:ascii="Times New Roman" w:hAnsi="Times New Roman"/>
                    <w:b/>
                    <w:color w:val="000000"/>
                    <w:szCs w:val="22"/>
                    <w:lang w:val="fr-FR"/>
                  </w:rPr>
                </w:rPrChange>
              </w:rPr>
              <w:t xml:space="preserve">Critères de réponse moléculaire majeure : </w:t>
            </w:r>
            <w:r w:rsidRPr="005205FF">
              <w:rPr>
                <w:rFonts w:ascii="Times New Roman" w:hAnsi="Times New Roman"/>
                <w:color w:val="000000"/>
                <w:sz w:val="20"/>
                <w:lang w:val="fr-FR"/>
                <w:rPrChange w:id="319" w:author="Author">
                  <w:rPr>
                    <w:rFonts w:ascii="Times New Roman" w:hAnsi="Times New Roman"/>
                    <w:color w:val="000000"/>
                    <w:szCs w:val="22"/>
                    <w:lang w:val="fr-FR"/>
                  </w:rPr>
                </w:rPrChange>
              </w:rPr>
              <w:t xml:space="preserve">dans le sang périphérique, réduction d’au moins 3 log du taux de transcrit </w:t>
            </w:r>
            <w:proofErr w:type="spellStart"/>
            <w:r w:rsidRPr="005205FF">
              <w:rPr>
                <w:rFonts w:ascii="Times New Roman" w:hAnsi="Times New Roman"/>
                <w:color w:val="000000"/>
                <w:sz w:val="20"/>
                <w:lang w:val="fr-FR"/>
                <w:rPrChange w:id="320" w:author="Author">
                  <w:rPr>
                    <w:rFonts w:ascii="Times New Roman" w:hAnsi="Times New Roman"/>
                    <w:color w:val="000000"/>
                    <w:szCs w:val="22"/>
                    <w:lang w:val="fr-FR"/>
                  </w:rPr>
                </w:rPrChange>
              </w:rPr>
              <w:t>B</w:t>
            </w:r>
            <w:ins w:id="321" w:author="Author">
              <w:r w:rsidR="00303A31">
                <w:rPr>
                  <w:rFonts w:ascii="Times New Roman" w:hAnsi="Times New Roman"/>
                  <w:color w:val="000000"/>
                  <w:sz w:val="20"/>
                  <w:lang w:val="fr-FR"/>
                </w:rPr>
                <w:t>cr</w:t>
              </w:r>
            </w:ins>
            <w:del w:id="322" w:author="Author">
              <w:r w:rsidRPr="005205FF" w:rsidDel="00303A31">
                <w:rPr>
                  <w:rFonts w:ascii="Times New Roman" w:hAnsi="Times New Roman"/>
                  <w:color w:val="000000"/>
                  <w:sz w:val="20"/>
                  <w:lang w:val="fr-FR"/>
                  <w:rPrChange w:id="323" w:author="Author">
                    <w:rPr>
                      <w:rFonts w:ascii="Times New Roman" w:hAnsi="Times New Roman"/>
                      <w:color w:val="000000"/>
                      <w:szCs w:val="22"/>
                      <w:lang w:val="fr-FR"/>
                    </w:rPr>
                  </w:rPrChange>
                </w:rPr>
                <w:delText>CR</w:delText>
              </w:r>
            </w:del>
            <w:r w:rsidRPr="005205FF">
              <w:rPr>
                <w:rFonts w:ascii="Times New Roman" w:hAnsi="Times New Roman"/>
                <w:color w:val="000000"/>
                <w:sz w:val="20"/>
                <w:lang w:val="fr-FR"/>
                <w:rPrChange w:id="324" w:author="Author">
                  <w:rPr>
                    <w:rFonts w:ascii="Times New Roman" w:hAnsi="Times New Roman"/>
                    <w:color w:val="000000"/>
                    <w:szCs w:val="22"/>
                    <w:lang w:val="fr-FR"/>
                  </w:rPr>
                </w:rPrChange>
              </w:rPr>
              <w:t>-A</w:t>
            </w:r>
            <w:ins w:id="325" w:author="Author">
              <w:r w:rsidR="00303A31">
                <w:rPr>
                  <w:rFonts w:ascii="Times New Roman" w:hAnsi="Times New Roman"/>
                  <w:color w:val="000000"/>
                  <w:sz w:val="20"/>
                  <w:lang w:val="fr-FR"/>
                </w:rPr>
                <w:t>bl</w:t>
              </w:r>
            </w:ins>
            <w:proofErr w:type="spellEnd"/>
            <w:del w:id="326" w:author="Author">
              <w:r w:rsidRPr="005205FF" w:rsidDel="00303A31">
                <w:rPr>
                  <w:rFonts w:ascii="Times New Roman" w:hAnsi="Times New Roman"/>
                  <w:color w:val="000000"/>
                  <w:sz w:val="20"/>
                  <w:lang w:val="fr-FR"/>
                  <w:rPrChange w:id="327" w:author="Author">
                    <w:rPr>
                      <w:rFonts w:ascii="Times New Roman" w:hAnsi="Times New Roman"/>
                      <w:color w:val="000000"/>
                      <w:szCs w:val="22"/>
                      <w:lang w:val="fr-FR"/>
                    </w:rPr>
                  </w:rPrChange>
                </w:rPr>
                <w:delText>BL</w:delText>
              </w:r>
            </w:del>
            <w:r w:rsidRPr="005205FF">
              <w:rPr>
                <w:rFonts w:ascii="Times New Roman" w:hAnsi="Times New Roman"/>
                <w:color w:val="000000"/>
                <w:sz w:val="20"/>
                <w:lang w:val="fr-FR"/>
                <w:rPrChange w:id="328" w:author="Author">
                  <w:rPr>
                    <w:rFonts w:ascii="Times New Roman" w:hAnsi="Times New Roman"/>
                    <w:color w:val="000000"/>
                    <w:szCs w:val="22"/>
                    <w:lang w:val="fr-FR"/>
                  </w:rPr>
                </w:rPrChange>
              </w:rPr>
              <w:t xml:space="preserve"> (mesuré par un test RT-</w:t>
            </w:r>
            <w:smartTag w:uri="urn:schemas-microsoft-com:office:smarttags" w:element="stockticker">
              <w:r w:rsidRPr="005205FF">
                <w:rPr>
                  <w:rFonts w:ascii="Times New Roman" w:hAnsi="Times New Roman"/>
                  <w:color w:val="000000"/>
                  <w:sz w:val="20"/>
                  <w:lang w:val="fr-FR"/>
                  <w:rPrChange w:id="329" w:author="Author">
                    <w:rPr>
                      <w:rFonts w:ascii="Times New Roman" w:hAnsi="Times New Roman"/>
                      <w:color w:val="000000"/>
                      <w:szCs w:val="22"/>
                      <w:lang w:val="fr-FR"/>
                    </w:rPr>
                  </w:rPrChange>
                </w:rPr>
                <w:t>PCR</w:t>
              </w:r>
            </w:smartTag>
            <w:r w:rsidRPr="005205FF">
              <w:rPr>
                <w:rFonts w:ascii="Times New Roman" w:hAnsi="Times New Roman"/>
                <w:color w:val="000000"/>
                <w:sz w:val="20"/>
                <w:lang w:val="fr-FR"/>
                <w:rPrChange w:id="330" w:author="Author">
                  <w:rPr>
                    <w:rFonts w:ascii="Times New Roman" w:hAnsi="Times New Roman"/>
                    <w:color w:val="000000"/>
                    <w:szCs w:val="22"/>
                    <w:lang w:val="fr-FR"/>
                  </w:rPr>
                </w:rPrChange>
              </w:rPr>
              <w:t xml:space="preserve"> quantitatif en temps réel) par rapport à une valeur de base standardisée.</w:t>
            </w:r>
          </w:p>
        </w:tc>
      </w:tr>
    </w:tbl>
    <w:p w14:paraId="58EADBFD" w14:textId="77777777" w:rsidR="00EF4CB3" w:rsidRPr="00653BF6" w:rsidRDefault="00EF4CB3" w:rsidP="007F23EE">
      <w:pPr>
        <w:pStyle w:val="EndnoteText"/>
        <w:rPr>
          <w:color w:val="000000"/>
          <w:szCs w:val="22"/>
          <w:lang w:val="fr-FR"/>
        </w:rPr>
      </w:pPr>
    </w:p>
    <w:p w14:paraId="45065D3D" w14:textId="77777777" w:rsidR="00EF4CB3" w:rsidRPr="00653BF6" w:rsidRDefault="00EF4CB3" w:rsidP="007F23EE">
      <w:pPr>
        <w:pStyle w:val="EndnoteText"/>
        <w:rPr>
          <w:color w:val="000000"/>
          <w:szCs w:val="22"/>
          <w:lang w:val="fr-FR"/>
        </w:rPr>
      </w:pPr>
      <w:r w:rsidRPr="00653BF6">
        <w:rPr>
          <w:color w:val="000000"/>
          <w:szCs w:val="22"/>
          <w:lang w:val="fr-FR"/>
        </w:rPr>
        <w:t xml:space="preserve">Les taux de réponse hématologique complète, de réponse cytogénétique majeure et de réponse cytogénétique complète au traitement en première ligne ont été estimés selon la méthode de Kaplan-Meier, avec laquelle les non-réponses sont censurées à la date du dernier examen. En utilisant cette approche, les taux estimés de réponse cumulée au traitement par Glivec en première ligne se sont améliorés de 12 mois à 84 mois respectivement comme suit : RHC de 96,4% à 98,4% et </w:t>
      </w:r>
      <w:proofErr w:type="spellStart"/>
      <w:r w:rsidRPr="00653BF6">
        <w:rPr>
          <w:color w:val="000000"/>
          <w:szCs w:val="22"/>
          <w:lang w:val="fr-FR"/>
        </w:rPr>
        <w:t>RCyC</w:t>
      </w:r>
      <w:proofErr w:type="spellEnd"/>
      <w:r w:rsidRPr="00653BF6">
        <w:rPr>
          <w:color w:val="000000"/>
          <w:szCs w:val="22"/>
          <w:lang w:val="fr-FR"/>
        </w:rPr>
        <w:t xml:space="preserve"> de 69,5% à 87,2%.</w:t>
      </w:r>
    </w:p>
    <w:p w14:paraId="2033CF52" w14:textId="77777777" w:rsidR="00EF4CB3" w:rsidRPr="00653BF6" w:rsidRDefault="00EF4CB3" w:rsidP="007F23EE">
      <w:pPr>
        <w:pStyle w:val="EndnoteText"/>
        <w:rPr>
          <w:color w:val="000000"/>
          <w:szCs w:val="22"/>
          <w:lang w:val="fr-FR"/>
        </w:rPr>
      </w:pPr>
    </w:p>
    <w:p w14:paraId="7EA52E50" w14:textId="77777777" w:rsidR="00EF4CB3" w:rsidRPr="00653BF6" w:rsidRDefault="00EF4CB3" w:rsidP="007F23EE">
      <w:pPr>
        <w:pStyle w:val="EndnoteText"/>
        <w:rPr>
          <w:color w:val="000000"/>
          <w:szCs w:val="22"/>
          <w:lang w:val="fr-FR"/>
        </w:rPr>
      </w:pPr>
      <w:r w:rsidRPr="00653BF6">
        <w:rPr>
          <w:color w:val="000000"/>
          <w:szCs w:val="22"/>
          <w:lang w:val="fr-FR"/>
        </w:rPr>
        <w:t>Dans les 7 ans de suivi, 93 (16,8%) progressions ont été observées dans le bras traité par Glivec : 37 (6,7%) étaient des progressions vers une phase accélérée ou une crise blastique, 31 (5,6%) étaient une perte de la réponse cytogénétique majeure, 15 (2,7%) étaient une perte de la réponse hématologique complète ou une augmentation du taux de leucocytes et 10 (1,8%) étaient des décès non liés à la LMC. Par opposition, dans le bras traité par l’</w:t>
      </w:r>
      <w:proofErr w:type="spellStart"/>
      <w:r w:rsidRPr="00653BF6">
        <w:rPr>
          <w:color w:val="000000"/>
          <w:szCs w:val="22"/>
          <w:lang w:val="fr-FR"/>
        </w:rPr>
        <w:t>IFN+Ara-C</w:t>
      </w:r>
      <w:proofErr w:type="spellEnd"/>
      <w:r w:rsidRPr="00653BF6">
        <w:rPr>
          <w:color w:val="000000"/>
          <w:szCs w:val="22"/>
          <w:lang w:val="fr-FR"/>
        </w:rPr>
        <w:t xml:space="preserve"> 165 (29,8%) événements ont été observés dont 130 sont apparus au cours du traitement en première ligne par </w:t>
      </w:r>
      <w:proofErr w:type="spellStart"/>
      <w:r w:rsidRPr="00653BF6">
        <w:rPr>
          <w:color w:val="000000"/>
          <w:szCs w:val="22"/>
          <w:lang w:val="fr-FR"/>
        </w:rPr>
        <w:t>IFN+Ara-C</w:t>
      </w:r>
      <w:proofErr w:type="spellEnd"/>
      <w:r w:rsidRPr="00653BF6">
        <w:rPr>
          <w:color w:val="000000"/>
          <w:szCs w:val="22"/>
          <w:lang w:val="fr-FR"/>
        </w:rPr>
        <w:t>.</w:t>
      </w:r>
    </w:p>
    <w:p w14:paraId="21EEB5BD" w14:textId="77777777" w:rsidR="00EF4CB3" w:rsidRPr="00653BF6" w:rsidRDefault="00EF4CB3" w:rsidP="007F23EE">
      <w:pPr>
        <w:pStyle w:val="EndnoteText"/>
        <w:rPr>
          <w:color w:val="000000"/>
          <w:szCs w:val="22"/>
          <w:lang w:val="fr-FR"/>
        </w:rPr>
      </w:pPr>
    </w:p>
    <w:p w14:paraId="5DBEE51B" w14:textId="1F804EFF" w:rsidR="00EF4CB3" w:rsidRPr="00653BF6" w:rsidRDefault="00EF4CB3" w:rsidP="007F23EE">
      <w:pPr>
        <w:pStyle w:val="EndnoteText"/>
        <w:rPr>
          <w:color w:val="000000"/>
          <w:szCs w:val="22"/>
          <w:lang w:val="fr-FR"/>
        </w:rPr>
      </w:pPr>
      <w:r w:rsidRPr="00653BF6">
        <w:rPr>
          <w:color w:val="000000"/>
          <w:szCs w:val="22"/>
          <w:lang w:val="fr-FR"/>
        </w:rPr>
        <w:t>Le taux estimé de patients sans progression vers une phase accélérée ou une crise blastique à 84 mois est significativement plus élevé dans le bras avec Glivec par rapport au bras IFN (92,5% versus 85,1%, p</w:t>
      </w:r>
      <w:ins w:id="331" w:author="Author">
        <w:r w:rsidR="007D7517" w:rsidRPr="00653BF6">
          <w:rPr>
            <w:color w:val="000000"/>
            <w:szCs w:val="22"/>
            <w:lang w:val="fr-FR"/>
          </w:rPr>
          <w:t> </w:t>
        </w:r>
      </w:ins>
      <w:r w:rsidRPr="00653BF6">
        <w:rPr>
          <w:color w:val="000000"/>
          <w:szCs w:val="22"/>
          <w:lang w:val="fr-FR"/>
        </w:rPr>
        <w:t>&lt;</w:t>
      </w:r>
      <w:ins w:id="332" w:author="Author">
        <w:r w:rsidR="007D7517" w:rsidRPr="00653BF6">
          <w:rPr>
            <w:color w:val="000000"/>
            <w:szCs w:val="22"/>
            <w:lang w:val="fr-FR"/>
          </w:rPr>
          <w:t> </w:t>
        </w:r>
      </w:ins>
      <w:r w:rsidRPr="00653BF6">
        <w:rPr>
          <w:color w:val="000000"/>
          <w:szCs w:val="22"/>
          <w:lang w:val="fr-FR"/>
        </w:rPr>
        <w:t>0,001). Le taux annuel de progression vers une phase accélérée ou une crise blastique a diminué avec la durée de traitement, il était de moins de 1% par an dans la quatrième et cinquième année de traitement. Le taux estimé de survie sans progression à 84 mois était de 81,2% avec Glivec, contre 60,6% dans le groupe témoin (p</w:t>
      </w:r>
      <w:ins w:id="333" w:author="Author">
        <w:r w:rsidR="007D7517" w:rsidRPr="00653BF6">
          <w:rPr>
            <w:color w:val="000000"/>
            <w:szCs w:val="22"/>
            <w:lang w:val="fr-FR"/>
          </w:rPr>
          <w:t> </w:t>
        </w:r>
      </w:ins>
      <w:r w:rsidRPr="00653BF6">
        <w:rPr>
          <w:color w:val="000000"/>
          <w:szCs w:val="22"/>
          <w:lang w:val="fr-FR"/>
        </w:rPr>
        <w:t>&lt;</w:t>
      </w:r>
      <w:ins w:id="334" w:author="Author">
        <w:r w:rsidR="007D7517" w:rsidRPr="00653BF6">
          <w:rPr>
            <w:color w:val="000000"/>
            <w:szCs w:val="22"/>
            <w:lang w:val="fr-FR"/>
          </w:rPr>
          <w:t> </w:t>
        </w:r>
      </w:ins>
      <w:r w:rsidRPr="00653BF6">
        <w:rPr>
          <w:color w:val="000000"/>
          <w:szCs w:val="22"/>
          <w:lang w:val="fr-FR"/>
        </w:rPr>
        <w:t>0,001). Les taux annuels de progression, quel que soit le type de progression, par année de traitement par Glivec ont aussi diminué avec le temps.</w:t>
      </w:r>
    </w:p>
    <w:p w14:paraId="7F6827A7" w14:textId="77777777" w:rsidR="00EF4CB3" w:rsidRPr="00653BF6" w:rsidRDefault="00EF4CB3" w:rsidP="007F23EE">
      <w:pPr>
        <w:pStyle w:val="EndnoteText"/>
        <w:rPr>
          <w:color w:val="000000"/>
          <w:szCs w:val="22"/>
          <w:lang w:val="fr-FR"/>
        </w:rPr>
      </w:pPr>
    </w:p>
    <w:p w14:paraId="59C6329E" w14:textId="7A6CC961" w:rsidR="00EF4CB3" w:rsidRPr="00653BF6" w:rsidRDefault="00EF4CB3" w:rsidP="007F23EE">
      <w:pPr>
        <w:pStyle w:val="EndnoteText"/>
        <w:rPr>
          <w:color w:val="000000"/>
          <w:szCs w:val="22"/>
          <w:lang w:val="fr-FR"/>
        </w:rPr>
      </w:pPr>
      <w:r w:rsidRPr="00653BF6">
        <w:rPr>
          <w:color w:val="000000"/>
          <w:szCs w:val="22"/>
          <w:lang w:val="fr-FR"/>
        </w:rPr>
        <w:t xml:space="preserve">Il y a eu au total 71 (12,8%) et 85 (15,4%) décès rapportés respectivement dans les groupes Glivec et </w:t>
      </w:r>
      <w:proofErr w:type="spellStart"/>
      <w:r w:rsidRPr="00653BF6">
        <w:rPr>
          <w:color w:val="000000"/>
          <w:szCs w:val="22"/>
          <w:lang w:val="fr-FR"/>
        </w:rPr>
        <w:t>IFN+Ara-C</w:t>
      </w:r>
      <w:proofErr w:type="spellEnd"/>
      <w:r w:rsidRPr="00653BF6">
        <w:rPr>
          <w:color w:val="000000"/>
          <w:szCs w:val="22"/>
          <w:lang w:val="fr-FR"/>
        </w:rPr>
        <w:t xml:space="preserve">. A 84 mois, le taux de survie globale estimé est, de 86,4% (83, 90) et 83,3% (80, 87) dans les groupes randomisés traités par Glivec ou </w:t>
      </w:r>
      <w:proofErr w:type="spellStart"/>
      <w:r w:rsidRPr="00653BF6">
        <w:rPr>
          <w:color w:val="000000"/>
          <w:szCs w:val="22"/>
          <w:lang w:val="fr-FR"/>
        </w:rPr>
        <w:t>IFN+Ara-C</w:t>
      </w:r>
      <w:proofErr w:type="spellEnd"/>
      <w:r w:rsidRPr="00653BF6">
        <w:rPr>
          <w:color w:val="000000"/>
          <w:szCs w:val="22"/>
          <w:lang w:val="fr-FR"/>
        </w:rPr>
        <w:t xml:space="preserve"> (p</w:t>
      </w:r>
      <w:ins w:id="335" w:author="Author">
        <w:r w:rsidR="008625C6" w:rsidRPr="00653BF6">
          <w:rPr>
            <w:color w:val="000000"/>
            <w:szCs w:val="22"/>
            <w:lang w:val="fr-FR"/>
          </w:rPr>
          <w:t> </w:t>
        </w:r>
      </w:ins>
      <w:r w:rsidRPr="00653BF6">
        <w:rPr>
          <w:color w:val="000000"/>
          <w:szCs w:val="22"/>
          <w:lang w:val="fr-FR"/>
        </w:rPr>
        <w:t>=</w:t>
      </w:r>
      <w:ins w:id="336" w:author="Author">
        <w:r w:rsidR="008625C6" w:rsidRPr="00653BF6">
          <w:rPr>
            <w:color w:val="000000"/>
            <w:szCs w:val="22"/>
            <w:lang w:val="fr-FR"/>
          </w:rPr>
          <w:t> </w:t>
        </w:r>
      </w:ins>
      <w:r w:rsidRPr="00653BF6">
        <w:rPr>
          <w:color w:val="000000"/>
          <w:szCs w:val="22"/>
          <w:lang w:val="fr-FR"/>
        </w:rPr>
        <w:t xml:space="preserve">0,073, test log </w:t>
      </w:r>
      <w:proofErr w:type="spellStart"/>
      <w:r w:rsidRPr="00653BF6">
        <w:rPr>
          <w:color w:val="000000"/>
          <w:szCs w:val="22"/>
          <w:lang w:val="fr-FR"/>
        </w:rPr>
        <w:t>rank</w:t>
      </w:r>
      <w:proofErr w:type="spellEnd"/>
      <w:r w:rsidRPr="00653BF6">
        <w:rPr>
          <w:color w:val="000000"/>
          <w:szCs w:val="22"/>
          <w:lang w:val="fr-FR"/>
        </w:rPr>
        <w:t xml:space="preserve">). Ce critère « délai jusqu’à l’événement » est fortement influencé par le taux élevé de cross-over du bras </w:t>
      </w:r>
      <w:proofErr w:type="spellStart"/>
      <w:r w:rsidRPr="00653BF6">
        <w:rPr>
          <w:color w:val="000000"/>
          <w:szCs w:val="22"/>
          <w:lang w:val="fr-FR"/>
        </w:rPr>
        <w:t>IFN+Ara-C</w:t>
      </w:r>
      <w:proofErr w:type="spellEnd"/>
      <w:r w:rsidRPr="00653BF6">
        <w:rPr>
          <w:color w:val="000000"/>
          <w:szCs w:val="22"/>
          <w:lang w:val="fr-FR"/>
        </w:rPr>
        <w:t xml:space="preserve"> vers le bras Glivec. L’effet du traitement par Glivec sur la survie des LMC en phase chronique nouvellement diagnostiquées a fait l’objet d’une évaluation supplémentaire avec une analyse </w:t>
      </w:r>
      <w:r w:rsidRPr="00653BF6">
        <w:rPr>
          <w:color w:val="000000"/>
          <w:szCs w:val="22"/>
          <w:lang w:val="fr-FR"/>
        </w:rPr>
        <w:lastRenderedPageBreak/>
        <w:t xml:space="preserve">rétrospective des données de Glivec rapportées ci-dessus avec celles issues d’une autre étude de phase </w:t>
      </w:r>
      <w:smartTag w:uri="urn:schemas-microsoft-com:office:smarttags" w:element="stockticker">
        <w:r w:rsidRPr="00653BF6">
          <w:rPr>
            <w:color w:val="000000"/>
            <w:szCs w:val="22"/>
            <w:lang w:val="fr-FR"/>
          </w:rPr>
          <w:t>III</w:t>
        </w:r>
      </w:smartTag>
      <w:r w:rsidRPr="00653BF6">
        <w:rPr>
          <w:color w:val="000000"/>
          <w:szCs w:val="22"/>
          <w:lang w:val="fr-FR"/>
        </w:rPr>
        <w:t xml:space="preserve"> étudiant </w:t>
      </w:r>
      <w:proofErr w:type="spellStart"/>
      <w:r w:rsidRPr="00653BF6">
        <w:rPr>
          <w:color w:val="000000"/>
          <w:szCs w:val="22"/>
          <w:lang w:val="fr-FR"/>
        </w:rPr>
        <w:t>IFN+Ara-C</w:t>
      </w:r>
      <w:proofErr w:type="spellEnd"/>
      <w:r w:rsidRPr="00653BF6">
        <w:rPr>
          <w:color w:val="000000"/>
          <w:szCs w:val="22"/>
          <w:lang w:val="fr-FR"/>
        </w:rPr>
        <w:t xml:space="preserve"> (n</w:t>
      </w:r>
      <w:ins w:id="337" w:author="Author">
        <w:r w:rsidR="007D7517" w:rsidRPr="00653BF6">
          <w:rPr>
            <w:color w:val="000000"/>
            <w:szCs w:val="22"/>
            <w:lang w:val="fr-FR"/>
          </w:rPr>
          <w:t> </w:t>
        </w:r>
      </w:ins>
      <w:r w:rsidRPr="00653BF6">
        <w:rPr>
          <w:color w:val="000000"/>
          <w:szCs w:val="22"/>
          <w:lang w:val="fr-FR"/>
        </w:rPr>
        <w:t>=</w:t>
      </w:r>
      <w:ins w:id="338" w:author="Author">
        <w:r w:rsidR="007D7517" w:rsidRPr="00653BF6">
          <w:rPr>
            <w:color w:val="000000"/>
            <w:szCs w:val="22"/>
            <w:lang w:val="fr-FR"/>
          </w:rPr>
          <w:t> </w:t>
        </w:r>
      </w:ins>
      <w:r w:rsidRPr="00653BF6">
        <w:rPr>
          <w:color w:val="000000"/>
          <w:szCs w:val="22"/>
          <w:lang w:val="fr-FR"/>
        </w:rPr>
        <w:t>325) selon un schéma thérapeutique identique. Dans cette analyse rétrospective, la supériorité de Glivec par rapport à l’</w:t>
      </w:r>
      <w:proofErr w:type="spellStart"/>
      <w:r w:rsidRPr="00653BF6">
        <w:rPr>
          <w:color w:val="000000"/>
          <w:szCs w:val="22"/>
          <w:lang w:val="fr-FR"/>
        </w:rPr>
        <w:t>IFN+Ara-C</w:t>
      </w:r>
      <w:proofErr w:type="spellEnd"/>
      <w:r w:rsidRPr="00653BF6">
        <w:rPr>
          <w:color w:val="000000"/>
          <w:szCs w:val="22"/>
          <w:lang w:val="fr-FR"/>
        </w:rPr>
        <w:t xml:space="preserve"> sur la survie globale a été démontrée (p</w:t>
      </w:r>
      <w:ins w:id="339" w:author="Author">
        <w:r w:rsidR="007D7517" w:rsidRPr="00653BF6">
          <w:rPr>
            <w:color w:val="000000"/>
            <w:szCs w:val="22"/>
            <w:lang w:val="fr-FR"/>
          </w:rPr>
          <w:t> </w:t>
        </w:r>
      </w:ins>
      <w:r w:rsidRPr="00653BF6">
        <w:rPr>
          <w:color w:val="000000"/>
          <w:szCs w:val="22"/>
          <w:lang w:val="fr-FR"/>
        </w:rPr>
        <w:t>&lt;</w:t>
      </w:r>
      <w:ins w:id="340" w:author="Author">
        <w:r w:rsidR="007D7517" w:rsidRPr="00653BF6">
          <w:rPr>
            <w:color w:val="000000"/>
            <w:szCs w:val="22"/>
            <w:lang w:val="fr-FR"/>
          </w:rPr>
          <w:t> </w:t>
        </w:r>
      </w:ins>
      <w:r w:rsidRPr="00653BF6">
        <w:rPr>
          <w:color w:val="000000"/>
          <w:szCs w:val="22"/>
          <w:lang w:val="fr-FR"/>
        </w:rPr>
        <w:t>0,001) ; à l’issue des 42 mois de suivi, 47 (8,5%) patients traités par Glivec et 63 (19,4%) patients traités par l’</w:t>
      </w:r>
      <w:proofErr w:type="spellStart"/>
      <w:r w:rsidRPr="00653BF6">
        <w:rPr>
          <w:color w:val="000000"/>
          <w:szCs w:val="22"/>
          <w:lang w:val="fr-FR"/>
        </w:rPr>
        <w:t>IFN+Ara-C</w:t>
      </w:r>
      <w:proofErr w:type="spellEnd"/>
      <w:r w:rsidRPr="00653BF6">
        <w:rPr>
          <w:color w:val="000000"/>
          <w:szCs w:val="22"/>
          <w:lang w:val="fr-FR"/>
        </w:rPr>
        <w:t xml:space="preserve"> sont décédés.</w:t>
      </w:r>
    </w:p>
    <w:p w14:paraId="2390C878" w14:textId="77777777" w:rsidR="00EF4CB3" w:rsidRPr="00653BF6" w:rsidRDefault="00EF4CB3" w:rsidP="007F23EE">
      <w:pPr>
        <w:pStyle w:val="EndnoteText"/>
        <w:rPr>
          <w:color w:val="000000"/>
          <w:szCs w:val="22"/>
          <w:lang w:val="fr-FR"/>
        </w:rPr>
      </w:pPr>
    </w:p>
    <w:p w14:paraId="04675ABF" w14:textId="5E015326" w:rsidR="00EF4CB3" w:rsidRPr="00653BF6" w:rsidRDefault="00EF4CB3" w:rsidP="007F23EE">
      <w:pPr>
        <w:pStyle w:val="EndnoteText"/>
        <w:rPr>
          <w:color w:val="000000"/>
          <w:szCs w:val="22"/>
          <w:lang w:val="fr-FR"/>
        </w:rPr>
      </w:pPr>
      <w:r w:rsidRPr="00653BF6">
        <w:rPr>
          <w:color w:val="000000"/>
          <w:szCs w:val="22"/>
          <w:lang w:val="fr-FR"/>
        </w:rPr>
        <w:t xml:space="preserve">Le degré de réponse cytogénétique et de réponse moléculaire a montré un effet net sur le devenir à long terme des patients traités par Glivec. Alors que 96% (93%) des patients présentant une </w:t>
      </w:r>
      <w:proofErr w:type="spellStart"/>
      <w:r w:rsidRPr="00653BF6">
        <w:rPr>
          <w:color w:val="000000"/>
          <w:szCs w:val="22"/>
          <w:lang w:val="fr-FR"/>
        </w:rPr>
        <w:t>RCy</w:t>
      </w:r>
      <w:proofErr w:type="spellEnd"/>
      <w:r w:rsidRPr="00653BF6">
        <w:rPr>
          <w:color w:val="000000"/>
          <w:szCs w:val="22"/>
          <w:lang w:val="fr-FR"/>
        </w:rPr>
        <w:t xml:space="preserve"> complète (</w:t>
      </w:r>
      <w:proofErr w:type="spellStart"/>
      <w:r w:rsidRPr="00653BF6">
        <w:rPr>
          <w:color w:val="000000"/>
          <w:szCs w:val="22"/>
          <w:lang w:val="fr-FR"/>
        </w:rPr>
        <w:t>RCy</w:t>
      </w:r>
      <w:proofErr w:type="spellEnd"/>
      <w:r w:rsidRPr="00653BF6">
        <w:rPr>
          <w:color w:val="000000"/>
          <w:szCs w:val="22"/>
          <w:lang w:val="fr-FR"/>
        </w:rPr>
        <w:t xml:space="preserve"> partielle) à 12 mois n’avaient pas progressé vers une phase accélérée/crise blastique, uniquement 81% de patients ne présentant pas de </w:t>
      </w:r>
      <w:proofErr w:type="spellStart"/>
      <w:r w:rsidRPr="00653BF6">
        <w:rPr>
          <w:color w:val="000000"/>
          <w:szCs w:val="22"/>
          <w:lang w:val="fr-FR"/>
        </w:rPr>
        <w:t>RCy</w:t>
      </w:r>
      <w:proofErr w:type="spellEnd"/>
      <w:r w:rsidRPr="00653BF6">
        <w:rPr>
          <w:color w:val="000000"/>
          <w:szCs w:val="22"/>
          <w:lang w:val="fr-FR"/>
        </w:rPr>
        <w:t xml:space="preserve"> majeure à 12 mois, n’ont pas progressé vers le stade avancé de la LMC à 84 mois (p</w:t>
      </w:r>
      <w:ins w:id="341" w:author="Author">
        <w:r w:rsidR="007D7517" w:rsidRPr="00653BF6">
          <w:rPr>
            <w:color w:val="000000"/>
            <w:szCs w:val="22"/>
            <w:lang w:val="fr-FR"/>
          </w:rPr>
          <w:t> </w:t>
        </w:r>
      </w:ins>
      <w:r w:rsidRPr="00653BF6">
        <w:rPr>
          <w:color w:val="000000"/>
          <w:szCs w:val="22"/>
          <w:lang w:val="fr-FR"/>
        </w:rPr>
        <w:t>&lt;</w:t>
      </w:r>
      <w:ins w:id="342" w:author="Author">
        <w:r w:rsidR="007D7517" w:rsidRPr="00653BF6">
          <w:rPr>
            <w:color w:val="000000"/>
            <w:szCs w:val="22"/>
            <w:lang w:val="fr-FR"/>
          </w:rPr>
          <w:t> </w:t>
        </w:r>
      </w:ins>
      <w:r w:rsidRPr="00653BF6">
        <w:rPr>
          <w:color w:val="000000"/>
          <w:szCs w:val="22"/>
          <w:lang w:val="fr-FR"/>
        </w:rPr>
        <w:t>0,001 globale, p</w:t>
      </w:r>
      <w:ins w:id="343" w:author="Author">
        <w:r w:rsidR="008625C6" w:rsidRPr="00653BF6">
          <w:rPr>
            <w:color w:val="000000"/>
            <w:szCs w:val="22"/>
            <w:lang w:val="fr-FR"/>
          </w:rPr>
          <w:t> </w:t>
        </w:r>
      </w:ins>
      <w:r w:rsidRPr="00653BF6">
        <w:rPr>
          <w:color w:val="000000"/>
          <w:szCs w:val="22"/>
          <w:lang w:val="fr-FR"/>
        </w:rPr>
        <w:t>=</w:t>
      </w:r>
      <w:ins w:id="344" w:author="Author">
        <w:r w:rsidR="008625C6" w:rsidRPr="00653BF6">
          <w:rPr>
            <w:color w:val="000000"/>
            <w:szCs w:val="22"/>
            <w:lang w:val="fr-FR"/>
          </w:rPr>
          <w:t> </w:t>
        </w:r>
      </w:ins>
      <w:r w:rsidRPr="00653BF6">
        <w:rPr>
          <w:color w:val="000000"/>
          <w:szCs w:val="22"/>
          <w:lang w:val="fr-FR"/>
        </w:rPr>
        <w:t xml:space="preserve">0,25 entre </w:t>
      </w:r>
      <w:proofErr w:type="spellStart"/>
      <w:r w:rsidRPr="00653BF6">
        <w:rPr>
          <w:color w:val="000000"/>
          <w:szCs w:val="22"/>
          <w:lang w:val="fr-FR"/>
        </w:rPr>
        <w:t>RCy</w:t>
      </w:r>
      <w:proofErr w:type="spellEnd"/>
      <w:r w:rsidRPr="00653BF6">
        <w:rPr>
          <w:color w:val="000000"/>
          <w:szCs w:val="22"/>
          <w:lang w:val="fr-FR"/>
        </w:rPr>
        <w:t xml:space="preserve"> complète et </w:t>
      </w:r>
      <w:proofErr w:type="spellStart"/>
      <w:r w:rsidRPr="00653BF6">
        <w:rPr>
          <w:color w:val="000000"/>
          <w:szCs w:val="22"/>
          <w:lang w:val="fr-FR"/>
        </w:rPr>
        <w:t>RCy</w:t>
      </w:r>
      <w:proofErr w:type="spellEnd"/>
      <w:r w:rsidRPr="00653BF6">
        <w:rPr>
          <w:color w:val="000000"/>
          <w:szCs w:val="22"/>
          <w:lang w:val="fr-FR"/>
        </w:rPr>
        <w:t xml:space="preserve"> partielle). Chez les patients présentant une réduction d’au moins 3 log du taux de transcrit </w:t>
      </w:r>
      <w:proofErr w:type="spellStart"/>
      <w:r w:rsidRPr="00653BF6">
        <w:rPr>
          <w:color w:val="000000"/>
          <w:szCs w:val="22"/>
          <w:lang w:val="fr-FR"/>
        </w:rPr>
        <w:t>Bcr-Abl</w:t>
      </w:r>
      <w:proofErr w:type="spellEnd"/>
      <w:r w:rsidRPr="00653BF6">
        <w:rPr>
          <w:color w:val="000000"/>
          <w:szCs w:val="22"/>
          <w:lang w:val="fr-FR"/>
        </w:rPr>
        <w:t xml:space="preserve"> à 12 mois la probabilité de maintenir l’absence de progression vers la phase accélérée/crise blastique était de 99% à 84 mois. Des résultats similaires ont été mis en évidence avec une analyse </w:t>
      </w:r>
      <w:proofErr w:type="spellStart"/>
      <w:r w:rsidRPr="00653BF6">
        <w:rPr>
          <w:color w:val="000000"/>
          <w:szCs w:val="22"/>
          <w:lang w:val="fr-FR"/>
        </w:rPr>
        <w:t>landmark</w:t>
      </w:r>
      <w:proofErr w:type="spellEnd"/>
      <w:r w:rsidRPr="00653BF6">
        <w:rPr>
          <w:color w:val="000000"/>
          <w:szCs w:val="22"/>
          <w:lang w:val="fr-FR"/>
        </w:rPr>
        <w:t xml:space="preserve"> à 18 mois.</w:t>
      </w:r>
    </w:p>
    <w:p w14:paraId="0C10F8E1" w14:textId="77777777" w:rsidR="00EF4CB3" w:rsidRPr="00653BF6" w:rsidRDefault="00EF4CB3" w:rsidP="007F23EE">
      <w:pPr>
        <w:pStyle w:val="EndnoteText"/>
        <w:rPr>
          <w:color w:val="000000"/>
          <w:szCs w:val="22"/>
          <w:lang w:val="fr-FR"/>
        </w:rPr>
      </w:pPr>
    </w:p>
    <w:p w14:paraId="022878A7" w14:textId="3B695731" w:rsidR="00EF4CB3" w:rsidRPr="00653BF6" w:rsidRDefault="00EF4CB3" w:rsidP="007F23EE">
      <w:pPr>
        <w:pStyle w:val="EndnoteText"/>
        <w:rPr>
          <w:color w:val="000000"/>
          <w:szCs w:val="22"/>
          <w:lang w:val="fr-FR"/>
        </w:rPr>
      </w:pPr>
      <w:r w:rsidRPr="00653BF6">
        <w:rPr>
          <w:color w:val="000000"/>
          <w:szCs w:val="22"/>
          <w:lang w:val="fr-FR"/>
        </w:rPr>
        <w:t>Dans cette étude, des augmentations de dose de 400 mg à 600 mg par jour, puis de 600 mg à 800 mg par jour ont été autorisées. Après 42 mois de suivi, une perte confirmée (dans les 4 semaines) de la réponse cytogénétique a été observée chez 11 patients. Parmi ces 11 patients, 4 patients ont eu une augmentation de dose jusqu’à 800 mg par jour et 2 d’entre eux ont obtenu de nouveau une réponse cytogénétique (1 partielle et 1 complète, cette dernière associée à une réponse moléculaire), tandis que parmi les 7 patients qui n’ont pas eu d’augmentation de doses, un seul patient a présenté de nouveau une réponse cytogénétique complète. Le pourcentage de certains effets indésirables observés était plus élevé chez les 40 patients dont la dose a été augmentée jusqu’à 800 mg par rapport aux patients observés avant toute augmentation de la dose (n</w:t>
      </w:r>
      <w:ins w:id="345" w:author="Author">
        <w:r w:rsidR="007D7517" w:rsidRPr="00653BF6">
          <w:rPr>
            <w:color w:val="000000"/>
            <w:szCs w:val="22"/>
            <w:lang w:val="fr-FR"/>
          </w:rPr>
          <w:t> </w:t>
        </w:r>
      </w:ins>
      <w:r w:rsidRPr="00653BF6">
        <w:rPr>
          <w:color w:val="000000"/>
          <w:szCs w:val="22"/>
          <w:lang w:val="fr-FR"/>
        </w:rPr>
        <w:t>=</w:t>
      </w:r>
      <w:ins w:id="346" w:author="Author">
        <w:r w:rsidR="007D7517" w:rsidRPr="00653BF6">
          <w:rPr>
            <w:color w:val="000000"/>
            <w:szCs w:val="22"/>
            <w:lang w:val="fr-FR"/>
          </w:rPr>
          <w:t> </w:t>
        </w:r>
      </w:ins>
      <w:r w:rsidRPr="00653BF6">
        <w:rPr>
          <w:color w:val="000000"/>
          <w:szCs w:val="22"/>
          <w:lang w:val="fr-FR"/>
        </w:rPr>
        <w:t>551). Les effets indésirables les plus fréquents ont été des hémorragies gastrointestinales, des conjonctivites et une augmentation des transaminases ou de la bilirubine. D’autres effets indésirables ont été rapportés à des fréquences plus faibles ou équivalentes.</w:t>
      </w:r>
    </w:p>
    <w:p w14:paraId="65A958E3" w14:textId="77777777" w:rsidR="00EF4CB3" w:rsidRPr="00653BF6" w:rsidRDefault="00EF4CB3" w:rsidP="007F23EE">
      <w:pPr>
        <w:pStyle w:val="EndnoteText"/>
        <w:tabs>
          <w:tab w:val="clear" w:pos="567"/>
        </w:tabs>
        <w:rPr>
          <w:color w:val="000000"/>
          <w:szCs w:val="22"/>
          <w:lang w:val="fr-FR"/>
        </w:rPr>
      </w:pPr>
    </w:p>
    <w:p w14:paraId="39FBAB54" w14:textId="1C2991E3" w:rsidR="00A010F3" w:rsidRPr="00653BF6" w:rsidRDefault="00EF4CB3" w:rsidP="007F23EE">
      <w:pPr>
        <w:pStyle w:val="EndnoteText"/>
        <w:keepNext/>
        <w:tabs>
          <w:tab w:val="clear" w:pos="567"/>
        </w:tabs>
        <w:rPr>
          <w:i/>
          <w:color w:val="000000"/>
          <w:szCs w:val="22"/>
          <w:u w:val="single"/>
          <w:lang w:val="fr-FR"/>
        </w:rPr>
      </w:pPr>
      <w:r w:rsidRPr="00653BF6">
        <w:rPr>
          <w:i/>
          <w:color w:val="000000"/>
          <w:szCs w:val="22"/>
          <w:u w:val="single"/>
          <w:lang w:val="fr-FR"/>
        </w:rPr>
        <w:t>Phase chronique, échec de l</w:t>
      </w:r>
      <w:r w:rsidR="00813A7A">
        <w:rPr>
          <w:i/>
          <w:color w:val="000000"/>
          <w:szCs w:val="22"/>
          <w:u w:val="single"/>
          <w:lang w:val="fr-FR"/>
        </w:rPr>
        <w:t>’</w:t>
      </w:r>
      <w:r w:rsidRPr="00653BF6">
        <w:rPr>
          <w:i/>
          <w:color w:val="000000"/>
          <w:szCs w:val="22"/>
          <w:u w:val="single"/>
          <w:lang w:val="fr-FR"/>
        </w:rPr>
        <w:t>interféron</w:t>
      </w:r>
    </w:p>
    <w:p w14:paraId="2CC3DB7A" w14:textId="0820C6C1" w:rsidR="00EF4CB3" w:rsidRPr="00653BF6" w:rsidRDefault="00EF4CB3" w:rsidP="007F23EE">
      <w:pPr>
        <w:pStyle w:val="EndnoteText"/>
        <w:tabs>
          <w:tab w:val="clear" w:pos="567"/>
        </w:tabs>
        <w:rPr>
          <w:color w:val="000000"/>
          <w:szCs w:val="22"/>
          <w:lang w:val="fr-FR"/>
        </w:rPr>
      </w:pPr>
      <w:r w:rsidRPr="00653BF6">
        <w:rPr>
          <w:color w:val="000000"/>
          <w:szCs w:val="22"/>
          <w:lang w:val="fr-FR"/>
        </w:rPr>
        <w:t>532 patients adultes ont été traités avec une dose initiale de 400 mg. Les patients ont été répartis en trois catégories principales : échec hématologique (29%), échec cytogénétique (35%) ou intolérance à l</w:t>
      </w:r>
      <w:r w:rsidR="00813A7A">
        <w:rPr>
          <w:color w:val="000000"/>
          <w:szCs w:val="22"/>
          <w:lang w:val="fr-FR"/>
        </w:rPr>
        <w:t>’</w:t>
      </w:r>
      <w:r w:rsidRPr="00653BF6">
        <w:rPr>
          <w:color w:val="000000"/>
          <w:szCs w:val="22"/>
          <w:lang w:val="fr-FR"/>
        </w:rPr>
        <w:t xml:space="preserve">interféron (36%). Les patients avaient précédemment reçu un traitement par l’IFN à des doses </w:t>
      </w:r>
      <w:r w:rsidRPr="00653BF6">
        <w:rPr>
          <w:color w:val="000000"/>
          <w:szCs w:val="22"/>
          <w:lang w:val="fr-FR"/>
        </w:rPr>
        <w:sym w:font="Symbol" w:char="F0B3"/>
      </w:r>
      <w:r w:rsidRPr="00653BF6">
        <w:rPr>
          <w:color w:val="000000"/>
          <w:szCs w:val="22"/>
          <w:lang w:val="fr-FR"/>
        </w:rPr>
        <w:t> 25 x 10</w:t>
      </w:r>
      <w:r w:rsidRPr="00653BF6">
        <w:rPr>
          <w:color w:val="000000"/>
          <w:szCs w:val="22"/>
          <w:vertAlign w:val="superscript"/>
          <w:lang w:val="fr-FR"/>
        </w:rPr>
        <w:t>6</w:t>
      </w:r>
      <w:r w:rsidRPr="00653BF6">
        <w:rPr>
          <w:color w:val="000000"/>
          <w:szCs w:val="22"/>
          <w:lang w:val="fr-FR"/>
        </w:rPr>
        <w:t xml:space="preserve"> UI/semaine pendant une durée médiane de 14 mois et étaient tous en phase chronique tardive, avec un diagnostic établi depuis une durée médiane de 32 mois. Le critère principal d</w:t>
      </w:r>
      <w:r w:rsidR="00813A7A">
        <w:rPr>
          <w:color w:val="000000"/>
          <w:szCs w:val="22"/>
          <w:lang w:val="fr-FR"/>
        </w:rPr>
        <w:t>’</w:t>
      </w:r>
      <w:r w:rsidRPr="00653BF6">
        <w:rPr>
          <w:color w:val="000000"/>
          <w:szCs w:val="22"/>
          <w:lang w:val="fr-FR"/>
        </w:rPr>
        <w:t>efficacité de l</w:t>
      </w:r>
      <w:r w:rsidR="00813A7A">
        <w:rPr>
          <w:color w:val="000000"/>
          <w:szCs w:val="22"/>
          <w:lang w:val="fr-FR"/>
        </w:rPr>
        <w:t>’</w:t>
      </w:r>
      <w:r w:rsidRPr="00653BF6">
        <w:rPr>
          <w:color w:val="000000"/>
          <w:szCs w:val="22"/>
          <w:lang w:val="fr-FR"/>
        </w:rPr>
        <w:t>étude était le taux de réponse cytogénétique majeure (réponses complètes plus réponses partielles : 0 à 35% de métaphases Ph+ dans la moelle osseuse).</w:t>
      </w:r>
    </w:p>
    <w:p w14:paraId="70C7AE16" w14:textId="77777777" w:rsidR="00EF4CB3" w:rsidRPr="00653BF6" w:rsidRDefault="00EF4CB3" w:rsidP="007F23EE">
      <w:pPr>
        <w:pStyle w:val="EndnoteText"/>
        <w:tabs>
          <w:tab w:val="clear" w:pos="567"/>
        </w:tabs>
        <w:rPr>
          <w:color w:val="000000"/>
          <w:szCs w:val="22"/>
          <w:lang w:val="fr-FR"/>
        </w:rPr>
      </w:pPr>
    </w:p>
    <w:p w14:paraId="376E68DF" w14:textId="77777777" w:rsidR="00EF4CB3" w:rsidRPr="00653BF6" w:rsidRDefault="00EF4CB3" w:rsidP="007F23EE">
      <w:pPr>
        <w:pStyle w:val="EndnoteText"/>
        <w:tabs>
          <w:tab w:val="clear" w:pos="567"/>
        </w:tabs>
        <w:rPr>
          <w:color w:val="000000"/>
          <w:szCs w:val="22"/>
          <w:lang w:val="fr-FR"/>
        </w:rPr>
      </w:pPr>
      <w:r w:rsidRPr="00653BF6">
        <w:rPr>
          <w:color w:val="000000"/>
          <w:szCs w:val="22"/>
          <w:lang w:val="fr-FR"/>
        </w:rPr>
        <w:t>Dans cette étude, 65% des patients ont obtenu une réponse cytogénétique majeure, la réponse étant complète chez 53% (confirmée 43%) des patients (Tableau </w:t>
      </w:r>
      <w:r w:rsidR="00A239AE" w:rsidRPr="00653BF6">
        <w:rPr>
          <w:color w:val="000000"/>
          <w:szCs w:val="22"/>
          <w:lang w:val="fr-FR"/>
        </w:rPr>
        <w:t>3</w:t>
      </w:r>
      <w:r w:rsidRPr="00653BF6">
        <w:rPr>
          <w:color w:val="000000"/>
          <w:szCs w:val="22"/>
          <w:lang w:val="fr-FR"/>
        </w:rPr>
        <w:t>). Une réponse complète hématologique a été observée chez 95% des patients.</w:t>
      </w:r>
    </w:p>
    <w:p w14:paraId="21B9F5A0" w14:textId="77777777" w:rsidR="00EF4CB3" w:rsidRPr="00653BF6" w:rsidRDefault="00EF4CB3" w:rsidP="007F23EE">
      <w:pPr>
        <w:pStyle w:val="EndnoteText"/>
        <w:tabs>
          <w:tab w:val="clear" w:pos="567"/>
        </w:tabs>
        <w:rPr>
          <w:color w:val="000000"/>
          <w:szCs w:val="22"/>
          <w:lang w:val="fr-FR"/>
        </w:rPr>
      </w:pPr>
    </w:p>
    <w:p w14:paraId="19281214" w14:textId="77777777" w:rsidR="00A010F3" w:rsidRPr="00653BF6" w:rsidRDefault="00EF4CB3" w:rsidP="007F23EE">
      <w:pPr>
        <w:pStyle w:val="EndnoteText"/>
        <w:keepNext/>
        <w:tabs>
          <w:tab w:val="clear" w:pos="567"/>
        </w:tabs>
        <w:rPr>
          <w:i/>
          <w:color w:val="000000"/>
          <w:szCs w:val="22"/>
          <w:u w:val="single"/>
          <w:lang w:val="fr-FR"/>
        </w:rPr>
      </w:pPr>
      <w:r w:rsidRPr="00653BF6">
        <w:rPr>
          <w:i/>
          <w:color w:val="000000"/>
          <w:szCs w:val="22"/>
          <w:u w:val="single"/>
          <w:lang w:val="fr-FR"/>
        </w:rPr>
        <w:t>Phase accélérée</w:t>
      </w:r>
    </w:p>
    <w:p w14:paraId="7610C0F5" w14:textId="51EEEC7F" w:rsidR="00EF4CB3" w:rsidRPr="00653BF6" w:rsidRDefault="00EF4CB3" w:rsidP="007F23EE">
      <w:pPr>
        <w:pStyle w:val="EndnoteText"/>
        <w:tabs>
          <w:tab w:val="clear" w:pos="567"/>
        </w:tabs>
        <w:rPr>
          <w:color w:val="000000"/>
          <w:szCs w:val="22"/>
          <w:lang w:val="fr-FR"/>
        </w:rPr>
      </w:pPr>
      <w:r w:rsidRPr="00653BF6">
        <w:rPr>
          <w:color w:val="000000"/>
          <w:szCs w:val="22"/>
          <w:lang w:val="fr-FR"/>
        </w:rPr>
        <w:t>L</w:t>
      </w:r>
      <w:r w:rsidR="00813A7A">
        <w:rPr>
          <w:color w:val="000000"/>
          <w:szCs w:val="22"/>
          <w:lang w:val="fr-FR"/>
        </w:rPr>
        <w:t>’</w:t>
      </w:r>
      <w:r w:rsidRPr="00653BF6">
        <w:rPr>
          <w:color w:val="000000"/>
          <w:szCs w:val="22"/>
          <w:lang w:val="fr-FR"/>
        </w:rPr>
        <w:t>étude a inclus 235 patients adultes en phase accélérée. Les 77 premiers patients ont commencé le traitement à 400 mg. Par la suite, le protocole a été amendé pour autoriser une posologie plus élevée et les 158 patients suivants ont commencé le traitement à 600 mg.</w:t>
      </w:r>
    </w:p>
    <w:p w14:paraId="7BC75BEE" w14:textId="77777777" w:rsidR="00EF4CB3" w:rsidRPr="00653BF6" w:rsidRDefault="00EF4CB3" w:rsidP="007F23EE">
      <w:pPr>
        <w:pStyle w:val="EndnoteText"/>
        <w:tabs>
          <w:tab w:val="clear" w:pos="567"/>
        </w:tabs>
        <w:rPr>
          <w:color w:val="000000"/>
          <w:szCs w:val="22"/>
          <w:lang w:val="fr-FR"/>
        </w:rPr>
      </w:pPr>
    </w:p>
    <w:p w14:paraId="2A1EAD14" w14:textId="3A87772F" w:rsidR="00EF4CB3" w:rsidRPr="00653BF6" w:rsidRDefault="00EF4CB3" w:rsidP="007F23EE">
      <w:pPr>
        <w:pStyle w:val="EndnoteText"/>
        <w:tabs>
          <w:tab w:val="clear" w:pos="567"/>
        </w:tabs>
        <w:rPr>
          <w:color w:val="000000"/>
          <w:szCs w:val="22"/>
          <w:lang w:val="fr-FR"/>
        </w:rPr>
      </w:pPr>
      <w:r w:rsidRPr="00653BF6">
        <w:rPr>
          <w:color w:val="000000"/>
          <w:szCs w:val="22"/>
          <w:lang w:val="fr-FR"/>
        </w:rPr>
        <w:t>Le critère principal d</w:t>
      </w:r>
      <w:r w:rsidR="00813A7A">
        <w:rPr>
          <w:color w:val="000000"/>
          <w:szCs w:val="22"/>
          <w:lang w:val="fr-FR"/>
        </w:rPr>
        <w:t>’</w:t>
      </w:r>
      <w:r w:rsidRPr="00653BF6">
        <w:rPr>
          <w:color w:val="000000"/>
          <w:szCs w:val="22"/>
          <w:lang w:val="fr-FR"/>
        </w:rPr>
        <w:t>efficacité était le taux de réponse hématologique, défini comme une réponse complète hématologique, ou bien une disparition des signes de leucémie (c’est à dire : disparition des blastes de la moelle osseuse et du sang, mais sans la récupération hématologique périphérique totale observée dans le cas de réponse complète), ou encore un retour en phase chronique de la LMC. Une réponse hématologique confirmée a été obtenue chez 71,5% des patients (Tableau </w:t>
      </w:r>
      <w:r w:rsidR="00A239AE" w:rsidRPr="00653BF6">
        <w:rPr>
          <w:color w:val="000000"/>
          <w:szCs w:val="22"/>
          <w:lang w:val="fr-FR"/>
        </w:rPr>
        <w:t>3</w:t>
      </w:r>
      <w:r w:rsidRPr="00653BF6">
        <w:rPr>
          <w:color w:val="000000"/>
          <w:szCs w:val="22"/>
          <w:lang w:val="fr-FR"/>
        </w:rPr>
        <w:t>). Fait important, 27,7% des patients ont également présenté une réponse cytogénétique majeure, qui a été complète chez 20,4% des patients (confirmée 16%). Pour les patients ayant reçu une dose de 600 mg, les estimations actuelles de la médiane de survie sans progression et de la survie globale ont été de 22,9 mois et 42,5 mois respectivement.</w:t>
      </w:r>
    </w:p>
    <w:p w14:paraId="75E2963A" w14:textId="77777777" w:rsidR="00EF4CB3" w:rsidRPr="00653BF6" w:rsidRDefault="00EF4CB3" w:rsidP="007F23EE">
      <w:pPr>
        <w:pStyle w:val="EndnoteText"/>
        <w:tabs>
          <w:tab w:val="clear" w:pos="567"/>
        </w:tabs>
        <w:rPr>
          <w:color w:val="000000"/>
          <w:szCs w:val="22"/>
          <w:lang w:val="fr-FR"/>
        </w:rPr>
      </w:pPr>
    </w:p>
    <w:p w14:paraId="7C2D07F7" w14:textId="6C55D218" w:rsidR="00A010F3" w:rsidRPr="00653BF6" w:rsidRDefault="00EF4CB3" w:rsidP="007F23EE">
      <w:pPr>
        <w:pStyle w:val="EndnoteText"/>
        <w:keepNext/>
        <w:tabs>
          <w:tab w:val="clear" w:pos="567"/>
        </w:tabs>
        <w:rPr>
          <w:color w:val="000000"/>
          <w:szCs w:val="22"/>
          <w:u w:val="single"/>
          <w:lang w:val="fr-FR"/>
        </w:rPr>
      </w:pPr>
      <w:r w:rsidRPr="00653BF6">
        <w:rPr>
          <w:i/>
          <w:color w:val="000000"/>
          <w:szCs w:val="22"/>
          <w:u w:val="single"/>
          <w:lang w:val="fr-FR"/>
        </w:rPr>
        <w:lastRenderedPageBreak/>
        <w:t>Crise blastique myéloïde</w:t>
      </w:r>
    </w:p>
    <w:p w14:paraId="10AA3798" w14:textId="4E6EB1D9" w:rsidR="00EF4CB3" w:rsidRPr="00653BF6" w:rsidRDefault="00EF4CB3" w:rsidP="007F23EE">
      <w:pPr>
        <w:pStyle w:val="EndnoteText"/>
        <w:tabs>
          <w:tab w:val="clear" w:pos="567"/>
        </w:tabs>
        <w:rPr>
          <w:color w:val="000000"/>
          <w:szCs w:val="22"/>
          <w:lang w:val="fr-FR"/>
        </w:rPr>
      </w:pPr>
      <w:r w:rsidRPr="00653BF6">
        <w:rPr>
          <w:color w:val="000000"/>
          <w:szCs w:val="22"/>
          <w:lang w:val="fr-FR"/>
        </w:rPr>
        <w:t>260 patients en crise blastique myéloïde ont été inclus. 95 patients (37%) avaient reçu une chimiothérapie (« patients prétraités ») comme traitement antérieur d’une phase accélérée ou d’une crise blastique alors que 165 (63%) n</w:t>
      </w:r>
      <w:r w:rsidR="00813A7A">
        <w:rPr>
          <w:color w:val="000000"/>
          <w:szCs w:val="22"/>
          <w:lang w:val="fr-FR"/>
        </w:rPr>
        <w:t>’</w:t>
      </w:r>
      <w:r w:rsidRPr="00653BF6">
        <w:rPr>
          <w:color w:val="000000"/>
          <w:szCs w:val="22"/>
          <w:lang w:val="fr-FR"/>
        </w:rPr>
        <w:t>en avaient pas reçu (« patients non prétraités »). Les 37 premiers patients ont débuté le traitement à 400 mg. Le protocole a ensuite été amendé pour permettre une posologie plus élevée, et les 223 patients suivants ont reçu une dose initiale de 600 mg.</w:t>
      </w:r>
    </w:p>
    <w:p w14:paraId="6D2373E5" w14:textId="77777777" w:rsidR="00EF4CB3" w:rsidRPr="00653BF6" w:rsidRDefault="00EF4CB3" w:rsidP="007F23EE">
      <w:pPr>
        <w:pStyle w:val="EndnoteText"/>
        <w:tabs>
          <w:tab w:val="clear" w:pos="567"/>
        </w:tabs>
        <w:rPr>
          <w:color w:val="000000"/>
          <w:szCs w:val="22"/>
          <w:lang w:val="fr-FR"/>
        </w:rPr>
      </w:pPr>
    </w:p>
    <w:p w14:paraId="04220272" w14:textId="01232661" w:rsidR="00EF4CB3" w:rsidRPr="00653BF6" w:rsidRDefault="00EF4CB3" w:rsidP="007F23EE">
      <w:pPr>
        <w:pStyle w:val="EndnoteText"/>
        <w:tabs>
          <w:tab w:val="clear" w:pos="567"/>
        </w:tabs>
        <w:rPr>
          <w:color w:val="000000"/>
          <w:szCs w:val="22"/>
          <w:lang w:val="fr-FR"/>
        </w:rPr>
      </w:pPr>
      <w:r w:rsidRPr="00653BF6">
        <w:rPr>
          <w:color w:val="000000"/>
          <w:szCs w:val="22"/>
          <w:lang w:val="fr-FR"/>
        </w:rPr>
        <w:t>Le critère principal d</w:t>
      </w:r>
      <w:r w:rsidR="00813A7A">
        <w:rPr>
          <w:color w:val="000000"/>
          <w:szCs w:val="22"/>
          <w:lang w:val="fr-FR"/>
        </w:rPr>
        <w:t>’</w:t>
      </w:r>
      <w:r w:rsidRPr="00653BF6">
        <w:rPr>
          <w:color w:val="000000"/>
          <w:szCs w:val="22"/>
          <w:lang w:val="fr-FR"/>
        </w:rPr>
        <w:t>efficacité était le taux de réponse hématologique, défini comme soit une réponse complète hématologique, soit une disparition des signes de leucémie, soit un retour en phase chronique de la LMC, selon les mêmes critères que ceux de l’étude menée chez des patients en phase accélérée. Dans cette étude, 31% des patients ont obtenu une réponse hématologique (36% chez les patients non prétraités et 22% chez les patients prétraités). Le taux de réponse a également été supérieur chez les patients traités par 600 mg (33%) par rapport aux patients traités par 400 mg (16%, p</w:t>
      </w:r>
      <w:ins w:id="347" w:author="Author">
        <w:r w:rsidR="008625C6" w:rsidRPr="00653BF6">
          <w:rPr>
            <w:color w:val="000000"/>
            <w:szCs w:val="22"/>
            <w:lang w:val="fr-FR"/>
          </w:rPr>
          <w:t> </w:t>
        </w:r>
      </w:ins>
      <w:r w:rsidRPr="00653BF6">
        <w:rPr>
          <w:color w:val="000000"/>
          <w:szCs w:val="22"/>
          <w:lang w:val="fr-FR"/>
        </w:rPr>
        <w:t>=</w:t>
      </w:r>
      <w:ins w:id="348" w:author="Author">
        <w:r w:rsidR="008625C6" w:rsidRPr="00653BF6">
          <w:rPr>
            <w:color w:val="000000"/>
            <w:szCs w:val="22"/>
            <w:lang w:val="fr-FR"/>
          </w:rPr>
          <w:t> </w:t>
        </w:r>
      </w:ins>
      <w:r w:rsidRPr="00653BF6">
        <w:rPr>
          <w:color w:val="000000"/>
          <w:szCs w:val="22"/>
          <w:lang w:val="fr-FR"/>
        </w:rPr>
        <w:t>0,0220). L</w:t>
      </w:r>
      <w:r w:rsidR="00813A7A">
        <w:rPr>
          <w:color w:val="000000"/>
          <w:szCs w:val="22"/>
          <w:lang w:val="fr-FR"/>
        </w:rPr>
        <w:t>’</w:t>
      </w:r>
      <w:r w:rsidRPr="00653BF6">
        <w:rPr>
          <w:color w:val="000000"/>
          <w:szCs w:val="22"/>
          <w:lang w:val="fr-FR"/>
        </w:rPr>
        <w:t>estimation actuelle de la médiane de survie des patients non prétraités est de 7,7 mois, contre 4,7 mois chez les patients prétraités.</w:t>
      </w:r>
    </w:p>
    <w:p w14:paraId="27C47268" w14:textId="77777777" w:rsidR="00EF4CB3" w:rsidRPr="00653BF6" w:rsidRDefault="00EF4CB3" w:rsidP="007F23EE">
      <w:pPr>
        <w:pStyle w:val="EndnoteText"/>
        <w:tabs>
          <w:tab w:val="clear" w:pos="567"/>
        </w:tabs>
        <w:rPr>
          <w:color w:val="000000"/>
          <w:szCs w:val="22"/>
          <w:lang w:val="fr-FR"/>
        </w:rPr>
      </w:pPr>
    </w:p>
    <w:p w14:paraId="2686F25B" w14:textId="77777777" w:rsidR="00A010F3" w:rsidRPr="00653BF6" w:rsidRDefault="00EF4CB3" w:rsidP="007F23EE">
      <w:pPr>
        <w:pStyle w:val="EndnoteText"/>
        <w:keepNext/>
        <w:tabs>
          <w:tab w:val="clear" w:pos="567"/>
        </w:tabs>
        <w:rPr>
          <w:color w:val="000000"/>
          <w:szCs w:val="22"/>
          <w:u w:val="single"/>
          <w:lang w:val="fr-FR"/>
        </w:rPr>
      </w:pPr>
      <w:r w:rsidRPr="00653BF6">
        <w:rPr>
          <w:i/>
          <w:color w:val="000000"/>
          <w:szCs w:val="22"/>
          <w:u w:val="single"/>
          <w:lang w:val="fr-FR"/>
        </w:rPr>
        <w:t>Crise blastique lymphoïde</w:t>
      </w:r>
    </w:p>
    <w:p w14:paraId="3665D2F4" w14:textId="64089839" w:rsidR="00EF4CB3" w:rsidRPr="00653BF6" w:rsidRDefault="00A010F3" w:rsidP="007F23EE">
      <w:pPr>
        <w:pStyle w:val="EndnoteText"/>
        <w:tabs>
          <w:tab w:val="clear" w:pos="567"/>
        </w:tabs>
        <w:rPr>
          <w:color w:val="000000"/>
          <w:szCs w:val="22"/>
          <w:lang w:val="fr-FR"/>
        </w:rPr>
      </w:pPr>
      <w:r w:rsidRPr="00653BF6">
        <w:rPr>
          <w:color w:val="000000"/>
          <w:szCs w:val="22"/>
          <w:lang w:val="fr-FR"/>
        </w:rPr>
        <w:t>U</w:t>
      </w:r>
      <w:r w:rsidR="00EF4CB3" w:rsidRPr="00653BF6">
        <w:rPr>
          <w:color w:val="000000"/>
          <w:szCs w:val="22"/>
          <w:lang w:val="fr-FR"/>
        </w:rPr>
        <w:t>n nombre limité de patients ont été inclus dans les études de phase I (n</w:t>
      </w:r>
      <w:ins w:id="349" w:author="Author">
        <w:r w:rsidR="007D7517" w:rsidRPr="00653BF6">
          <w:rPr>
            <w:color w:val="000000"/>
            <w:szCs w:val="22"/>
            <w:lang w:val="fr-FR"/>
          </w:rPr>
          <w:t> </w:t>
        </w:r>
      </w:ins>
      <w:r w:rsidR="00EF4CB3" w:rsidRPr="00653BF6">
        <w:rPr>
          <w:color w:val="000000"/>
          <w:szCs w:val="22"/>
          <w:lang w:val="fr-FR"/>
        </w:rPr>
        <w:t>=</w:t>
      </w:r>
      <w:ins w:id="350" w:author="Author">
        <w:r w:rsidR="007D7517" w:rsidRPr="00653BF6">
          <w:rPr>
            <w:color w:val="000000"/>
            <w:szCs w:val="22"/>
            <w:lang w:val="fr-FR"/>
          </w:rPr>
          <w:t> </w:t>
        </w:r>
      </w:ins>
      <w:r w:rsidR="00EF4CB3" w:rsidRPr="00653BF6">
        <w:rPr>
          <w:color w:val="000000"/>
          <w:szCs w:val="22"/>
          <w:lang w:val="fr-FR"/>
        </w:rPr>
        <w:t>10). Le taux de réponse hématologique était de 70% sur une durée de 2 à 3 mois.</w:t>
      </w:r>
    </w:p>
    <w:p w14:paraId="7B5AA5F1" w14:textId="77777777" w:rsidR="00EF4CB3" w:rsidRPr="00653BF6" w:rsidRDefault="00EF4CB3" w:rsidP="007F23EE">
      <w:pPr>
        <w:pStyle w:val="EndnoteText"/>
        <w:tabs>
          <w:tab w:val="clear" w:pos="567"/>
        </w:tabs>
        <w:rPr>
          <w:color w:val="000000"/>
          <w:szCs w:val="22"/>
          <w:lang w:val="fr-FR"/>
        </w:rPr>
      </w:pPr>
    </w:p>
    <w:p w14:paraId="5F9CFD71" w14:textId="77777777" w:rsidR="00EF4CB3" w:rsidRPr="00653BF6" w:rsidRDefault="00EF4CB3" w:rsidP="007F23EE">
      <w:pPr>
        <w:pStyle w:val="EndnoteText"/>
        <w:keepNext/>
        <w:tabs>
          <w:tab w:val="clear" w:pos="567"/>
        </w:tabs>
        <w:ind w:left="1134" w:hanging="1134"/>
        <w:rPr>
          <w:b/>
          <w:color w:val="000000"/>
          <w:szCs w:val="22"/>
          <w:lang w:val="fr-FR"/>
        </w:rPr>
      </w:pPr>
      <w:r w:rsidRPr="00653BF6">
        <w:rPr>
          <w:b/>
          <w:color w:val="000000"/>
          <w:szCs w:val="22"/>
          <w:lang w:val="fr-FR"/>
        </w:rPr>
        <w:t>Tableau </w:t>
      </w:r>
      <w:r w:rsidR="00A239AE" w:rsidRPr="00653BF6">
        <w:rPr>
          <w:b/>
          <w:color w:val="000000"/>
          <w:szCs w:val="22"/>
          <w:lang w:val="fr-FR"/>
        </w:rPr>
        <w:t>3</w:t>
      </w:r>
      <w:r w:rsidRPr="00653BF6">
        <w:rPr>
          <w:b/>
          <w:color w:val="000000"/>
          <w:szCs w:val="22"/>
          <w:lang w:val="fr-FR"/>
        </w:rPr>
        <w:tab/>
        <w:t>Réponses dans les études LMC chez l’adulte</w:t>
      </w:r>
    </w:p>
    <w:p w14:paraId="24B3D1A9" w14:textId="77777777" w:rsidR="00EF4CB3" w:rsidRPr="00653BF6" w:rsidRDefault="00EF4CB3" w:rsidP="007F23EE">
      <w:pPr>
        <w:pStyle w:val="EndnoteText"/>
        <w:keepNext/>
        <w:tabs>
          <w:tab w:val="clear" w:pos="567"/>
        </w:tabs>
        <w:rPr>
          <w:color w:val="000000"/>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898"/>
        <w:gridCol w:w="1985"/>
        <w:gridCol w:w="1929"/>
      </w:tblGrid>
      <w:tr w:rsidR="00EF4CB3" w:rsidRPr="00653BF6" w14:paraId="297BDCB8" w14:textId="77777777" w:rsidTr="004B2956">
        <w:trPr>
          <w:cantSplit/>
          <w:trHeight w:val="1086"/>
        </w:trPr>
        <w:tc>
          <w:tcPr>
            <w:tcW w:w="3227" w:type="dxa"/>
            <w:tcBorders>
              <w:bottom w:val="nil"/>
            </w:tcBorders>
          </w:tcPr>
          <w:p w14:paraId="217F12AB" w14:textId="77777777" w:rsidR="00EF4CB3" w:rsidRPr="00653BF6" w:rsidRDefault="00EF4CB3" w:rsidP="007F23EE">
            <w:pPr>
              <w:pStyle w:val="EndnoteText"/>
              <w:keepNext/>
              <w:tabs>
                <w:tab w:val="clear" w:pos="567"/>
              </w:tabs>
              <w:rPr>
                <w:color w:val="000000"/>
                <w:szCs w:val="22"/>
                <w:lang w:val="fr-FR"/>
              </w:rPr>
            </w:pPr>
          </w:p>
        </w:tc>
        <w:tc>
          <w:tcPr>
            <w:tcW w:w="1898" w:type="dxa"/>
            <w:tcBorders>
              <w:bottom w:val="nil"/>
            </w:tcBorders>
          </w:tcPr>
          <w:p w14:paraId="22FBEE88"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Etude 0110</w:t>
            </w:r>
          </w:p>
          <w:p w14:paraId="35FAAB07"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Données à 37 mois</w:t>
            </w:r>
          </w:p>
          <w:p w14:paraId="6C7FFA4A"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Phase chronique, échec IFN</w:t>
            </w:r>
          </w:p>
          <w:p w14:paraId="04B1E56B" w14:textId="71B582F5"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w:t>
            </w:r>
            <w:proofErr w:type="gramStart"/>
            <w:r w:rsidRPr="00653BF6">
              <w:rPr>
                <w:color w:val="000000"/>
                <w:szCs w:val="22"/>
                <w:lang w:val="fr-FR"/>
              </w:rPr>
              <w:t>n</w:t>
            </w:r>
            <w:proofErr w:type="gramEnd"/>
            <w:ins w:id="351" w:author="Author">
              <w:r w:rsidR="007D7517" w:rsidRPr="00653BF6">
                <w:rPr>
                  <w:color w:val="000000"/>
                  <w:szCs w:val="22"/>
                  <w:lang w:val="fr-FR"/>
                </w:rPr>
                <w:t> </w:t>
              </w:r>
            </w:ins>
            <w:r w:rsidRPr="00653BF6">
              <w:rPr>
                <w:color w:val="000000"/>
                <w:szCs w:val="22"/>
                <w:lang w:val="fr-FR"/>
              </w:rPr>
              <w:t>=</w:t>
            </w:r>
            <w:ins w:id="352" w:author="Author">
              <w:r w:rsidR="007D7517" w:rsidRPr="00653BF6">
                <w:rPr>
                  <w:color w:val="000000"/>
                  <w:szCs w:val="22"/>
                  <w:lang w:val="fr-FR"/>
                </w:rPr>
                <w:t> </w:t>
              </w:r>
            </w:ins>
            <w:r w:rsidRPr="00653BF6">
              <w:rPr>
                <w:color w:val="000000"/>
                <w:szCs w:val="22"/>
                <w:lang w:val="fr-FR"/>
              </w:rPr>
              <w:t>532)</w:t>
            </w:r>
          </w:p>
        </w:tc>
        <w:tc>
          <w:tcPr>
            <w:tcW w:w="1985" w:type="dxa"/>
            <w:tcBorders>
              <w:bottom w:val="nil"/>
            </w:tcBorders>
          </w:tcPr>
          <w:p w14:paraId="37BAE927"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Etude 0109</w:t>
            </w:r>
          </w:p>
          <w:p w14:paraId="188F4840"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Données à 40,5 mois</w:t>
            </w:r>
          </w:p>
          <w:p w14:paraId="4BD372E0"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Phase accélérée</w:t>
            </w:r>
          </w:p>
          <w:p w14:paraId="09EADAFD" w14:textId="05EB69EA"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w:t>
            </w:r>
            <w:proofErr w:type="gramStart"/>
            <w:r w:rsidRPr="00653BF6">
              <w:rPr>
                <w:color w:val="000000"/>
                <w:szCs w:val="22"/>
                <w:lang w:val="fr-FR"/>
              </w:rPr>
              <w:t>n</w:t>
            </w:r>
            <w:proofErr w:type="gramEnd"/>
            <w:ins w:id="353" w:author="Author">
              <w:r w:rsidR="007D7517" w:rsidRPr="00653BF6">
                <w:rPr>
                  <w:color w:val="000000"/>
                  <w:szCs w:val="22"/>
                  <w:lang w:val="fr-FR"/>
                </w:rPr>
                <w:t> </w:t>
              </w:r>
            </w:ins>
            <w:r w:rsidRPr="00653BF6">
              <w:rPr>
                <w:color w:val="000000"/>
                <w:szCs w:val="22"/>
                <w:lang w:val="fr-FR"/>
              </w:rPr>
              <w:t>=</w:t>
            </w:r>
            <w:ins w:id="354" w:author="Author">
              <w:r w:rsidR="007D7517" w:rsidRPr="00653BF6">
                <w:rPr>
                  <w:color w:val="000000"/>
                  <w:szCs w:val="22"/>
                  <w:lang w:val="fr-FR"/>
                </w:rPr>
                <w:t> </w:t>
              </w:r>
            </w:ins>
            <w:r w:rsidRPr="00653BF6">
              <w:rPr>
                <w:color w:val="000000"/>
                <w:szCs w:val="22"/>
                <w:lang w:val="fr-FR"/>
              </w:rPr>
              <w:t>235)</w:t>
            </w:r>
          </w:p>
        </w:tc>
        <w:tc>
          <w:tcPr>
            <w:tcW w:w="1929" w:type="dxa"/>
            <w:tcBorders>
              <w:bottom w:val="nil"/>
            </w:tcBorders>
          </w:tcPr>
          <w:p w14:paraId="11DFC6B3"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Etude 0102</w:t>
            </w:r>
          </w:p>
          <w:p w14:paraId="50D669A3"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Données à 38 mois</w:t>
            </w:r>
          </w:p>
          <w:p w14:paraId="4C9F7D49"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Crise blastique myéloïde</w:t>
            </w:r>
          </w:p>
          <w:p w14:paraId="1D964904" w14:textId="52CA93FA"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w:t>
            </w:r>
            <w:proofErr w:type="gramStart"/>
            <w:r w:rsidRPr="00653BF6">
              <w:rPr>
                <w:color w:val="000000"/>
                <w:szCs w:val="22"/>
                <w:lang w:val="fr-FR"/>
              </w:rPr>
              <w:t>n</w:t>
            </w:r>
            <w:proofErr w:type="gramEnd"/>
            <w:ins w:id="355" w:author="Author">
              <w:r w:rsidR="007D7517" w:rsidRPr="00653BF6">
                <w:rPr>
                  <w:color w:val="000000"/>
                  <w:szCs w:val="22"/>
                  <w:lang w:val="fr-FR"/>
                </w:rPr>
                <w:t> </w:t>
              </w:r>
            </w:ins>
            <w:r w:rsidRPr="00653BF6">
              <w:rPr>
                <w:color w:val="000000"/>
                <w:szCs w:val="22"/>
                <w:lang w:val="fr-FR"/>
              </w:rPr>
              <w:t>=</w:t>
            </w:r>
            <w:ins w:id="356" w:author="Author">
              <w:r w:rsidR="007D7517" w:rsidRPr="00653BF6">
                <w:rPr>
                  <w:color w:val="000000"/>
                  <w:szCs w:val="22"/>
                  <w:lang w:val="fr-FR"/>
                </w:rPr>
                <w:t> </w:t>
              </w:r>
            </w:ins>
            <w:r w:rsidRPr="00653BF6">
              <w:rPr>
                <w:color w:val="000000"/>
                <w:szCs w:val="22"/>
                <w:lang w:val="fr-FR"/>
              </w:rPr>
              <w:t>260)</w:t>
            </w:r>
          </w:p>
        </w:tc>
      </w:tr>
      <w:tr w:rsidR="00EF4CB3" w:rsidRPr="00653BF6" w14:paraId="6BB16272" w14:textId="77777777" w:rsidTr="004B2956">
        <w:trPr>
          <w:cantSplit/>
        </w:trPr>
        <w:tc>
          <w:tcPr>
            <w:tcW w:w="3227" w:type="dxa"/>
            <w:tcBorders>
              <w:bottom w:val="nil"/>
            </w:tcBorders>
          </w:tcPr>
          <w:p w14:paraId="0FCF5683" w14:textId="77777777" w:rsidR="00EF4CB3" w:rsidRPr="00653BF6" w:rsidRDefault="00EF4CB3" w:rsidP="007F23EE">
            <w:pPr>
              <w:pStyle w:val="EndnoteText"/>
              <w:keepNext/>
              <w:tabs>
                <w:tab w:val="clear" w:pos="567"/>
              </w:tabs>
              <w:rPr>
                <w:color w:val="000000"/>
                <w:szCs w:val="22"/>
                <w:lang w:val="fr-FR"/>
              </w:rPr>
            </w:pPr>
          </w:p>
        </w:tc>
        <w:tc>
          <w:tcPr>
            <w:tcW w:w="5812" w:type="dxa"/>
            <w:gridSpan w:val="3"/>
            <w:tcBorders>
              <w:bottom w:val="nil"/>
            </w:tcBorders>
          </w:tcPr>
          <w:p w14:paraId="2036A700"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 des patients (IC 95%)</w:t>
            </w:r>
          </w:p>
        </w:tc>
      </w:tr>
      <w:tr w:rsidR="00EF4CB3" w:rsidRPr="00653BF6" w14:paraId="03562E33" w14:textId="77777777" w:rsidTr="004B2956">
        <w:trPr>
          <w:cantSplit/>
        </w:trPr>
        <w:tc>
          <w:tcPr>
            <w:tcW w:w="3227" w:type="dxa"/>
            <w:tcBorders>
              <w:bottom w:val="nil"/>
            </w:tcBorders>
          </w:tcPr>
          <w:p w14:paraId="0F1A9924" w14:textId="77777777" w:rsidR="00EF4CB3" w:rsidRPr="00653BF6" w:rsidRDefault="00EF4CB3" w:rsidP="007F23EE">
            <w:pPr>
              <w:pStyle w:val="EndnoteText"/>
              <w:keepNext/>
              <w:tabs>
                <w:tab w:val="clear" w:pos="567"/>
              </w:tabs>
              <w:rPr>
                <w:color w:val="000000"/>
                <w:szCs w:val="22"/>
                <w:lang w:val="fr-FR"/>
              </w:rPr>
            </w:pPr>
            <w:r w:rsidRPr="00653BF6">
              <w:rPr>
                <w:color w:val="000000"/>
                <w:szCs w:val="22"/>
                <w:lang w:val="fr-FR"/>
              </w:rPr>
              <w:t>Réponse hématologique</w:t>
            </w:r>
            <w:r w:rsidRPr="00653BF6">
              <w:rPr>
                <w:color w:val="000000"/>
                <w:szCs w:val="22"/>
                <w:vertAlign w:val="superscript"/>
                <w:lang w:val="fr-FR"/>
              </w:rPr>
              <w:t>1</w:t>
            </w:r>
          </w:p>
        </w:tc>
        <w:tc>
          <w:tcPr>
            <w:tcW w:w="1898" w:type="dxa"/>
            <w:tcBorders>
              <w:bottom w:val="nil"/>
            </w:tcBorders>
          </w:tcPr>
          <w:p w14:paraId="0A71B8F2"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95% (92,3–96,3)</w:t>
            </w:r>
          </w:p>
        </w:tc>
        <w:tc>
          <w:tcPr>
            <w:tcW w:w="1985" w:type="dxa"/>
            <w:tcBorders>
              <w:bottom w:val="nil"/>
            </w:tcBorders>
          </w:tcPr>
          <w:p w14:paraId="47D0DE9A"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71% (65,3–77,2)</w:t>
            </w:r>
          </w:p>
        </w:tc>
        <w:tc>
          <w:tcPr>
            <w:tcW w:w="1929" w:type="dxa"/>
            <w:tcBorders>
              <w:bottom w:val="nil"/>
            </w:tcBorders>
          </w:tcPr>
          <w:p w14:paraId="32F886BF" w14:textId="0247254C"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31%</w:t>
            </w:r>
            <w:ins w:id="357" w:author="Author">
              <w:r w:rsidR="007D7517" w:rsidRPr="00653BF6">
                <w:rPr>
                  <w:color w:val="000000"/>
                  <w:szCs w:val="22"/>
                  <w:lang w:val="fr-FR"/>
                </w:rPr>
                <w:t xml:space="preserve"> </w:t>
              </w:r>
            </w:ins>
            <w:r w:rsidRPr="00653BF6">
              <w:rPr>
                <w:color w:val="000000"/>
                <w:szCs w:val="22"/>
                <w:lang w:val="fr-FR"/>
              </w:rPr>
              <w:t>(25,2–36,8)</w:t>
            </w:r>
          </w:p>
        </w:tc>
      </w:tr>
      <w:tr w:rsidR="00EF4CB3" w:rsidRPr="00653BF6" w14:paraId="697F2BFF" w14:textId="77777777" w:rsidTr="004B2956">
        <w:trPr>
          <w:cantSplit/>
        </w:trPr>
        <w:tc>
          <w:tcPr>
            <w:tcW w:w="3227" w:type="dxa"/>
            <w:tcBorders>
              <w:top w:val="nil"/>
              <w:bottom w:val="nil"/>
            </w:tcBorders>
          </w:tcPr>
          <w:p w14:paraId="1C3701B8" w14:textId="77777777" w:rsidR="00EF4CB3" w:rsidRPr="00653BF6" w:rsidRDefault="00EF4CB3" w:rsidP="007F23EE">
            <w:pPr>
              <w:pStyle w:val="EndnoteText"/>
              <w:keepNext/>
              <w:tabs>
                <w:tab w:val="clear" w:pos="567"/>
              </w:tabs>
              <w:ind w:left="284"/>
              <w:rPr>
                <w:color w:val="000000"/>
                <w:szCs w:val="22"/>
                <w:lang w:val="fr-FR"/>
              </w:rPr>
            </w:pPr>
            <w:r w:rsidRPr="00653BF6">
              <w:rPr>
                <w:color w:val="000000"/>
                <w:szCs w:val="22"/>
                <w:lang w:val="fr-FR"/>
              </w:rPr>
              <w:t>Réponse complète hématologique (RCH)</w:t>
            </w:r>
          </w:p>
        </w:tc>
        <w:tc>
          <w:tcPr>
            <w:tcW w:w="1898" w:type="dxa"/>
            <w:tcBorders>
              <w:top w:val="nil"/>
              <w:bottom w:val="nil"/>
            </w:tcBorders>
          </w:tcPr>
          <w:p w14:paraId="0549A340"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95%</w:t>
            </w:r>
          </w:p>
        </w:tc>
        <w:tc>
          <w:tcPr>
            <w:tcW w:w="1985" w:type="dxa"/>
            <w:tcBorders>
              <w:top w:val="nil"/>
              <w:bottom w:val="nil"/>
            </w:tcBorders>
          </w:tcPr>
          <w:p w14:paraId="75087296"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42%</w:t>
            </w:r>
          </w:p>
        </w:tc>
        <w:tc>
          <w:tcPr>
            <w:tcW w:w="1929" w:type="dxa"/>
            <w:tcBorders>
              <w:top w:val="nil"/>
              <w:bottom w:val="nil"/>
            </w:tcBorders>
          </w:tcPr>
          <w:p w14:paraId="6020E85D"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8%</w:t>
            </w:r>
          </w:p>
        </w:tc>
      </w:tr>
      <w:tr w:rsidR="00EF4CB3" w:rsidRPr="00653BF6" w14:paraId="004CC533" w14:textId="77777777" w:rsidTr="004B2956">
        <w:trPr>
          <w:cantSplit/>
        </w:trPr>
        <w:tc>
          <w:tcPr>
            <w:tcW w:w="3227" w:type="dxa"/>
            <w:tcBorders>
              <w:top w:val="nil"/>
              <w:bottom w:val="nil"/>
            </w:tcBorders>
          </w:tcPr>
          <w:p w14:paraId="4EC7CB46" w14:textId="77777777" w:rsidR="00EF4CB3" w:rsidRPr="00653BF6" w:rsidRDefault="00EF4CB3" w:rsidP="007F23EE">
            <w:pPr>
              <w:pStyle w:val="EndnoteText"/>
              <w:keepNext/>
              <w:tabs>
                <w:tab w:val="clear" w:pos="567"/>
              </w:tabs>
              <w:ind w:left="284"/>
              <w:rPr>
                <w:color w:val="000000"/>
                <w:szCs w:val="22"/>
                <w:lang w:val="fr-FR"/>
              </w:rPr>
            </w:pPr>
            <w:r w:rsidRPr="00653BF6">
              <w:rPr>
                <w:color w:val="000000"/>
                <w:szCs w:val="22"/>
                <w:lang w:val="fr-FR"/>
              </w:rPr>
              <w:t>Absence de signe de leucémie (</w:t>
            </w:r>
            <w:smartTag w:uri="urn:schemas-microsoft-com:office:smarttags" w:element="stockticker">
              <w:r w:rsidRPr="00653BF6">
                <w:rPr>
                  <w:color w:val="000000"/>
                  <w:szCs w:val="22"/>
                  <w:lang w:val="fr-FR"/>
                </w:rPr>
                <w:t>ASL</w:t>
              </w:r>
            </w:smartTag>
            <w:r w:rsidRPr="00653BF6">
              <w:rPr>
                <w:color w:val="000000"/>
                <w:szCs w:val="22"/>
                <w:lang w:val="fr-FR"/>
              </w:rPr>
              <w:t>)</w:t>
            </w:r>
          </w:p>
        </w:tc>
        <w:tc>
          <w:tcPr>
            <w:tcW w:w="1898" w:type="dxa"/>
            <w:tcBorders>
              <w:top w:val="nil"/>
              <w:bottom w:val="nil"/>
            </w:tcBorders>
          </w:tcPr>
          <w:p w14:paraId="61CE1D03"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Sans objet</w:t>
            </w:r>
          </w:p>
        </w:tc>
        <w:tc>
          <w:tcPr>
            <w:tcW w:w="1985" w:type="dxa"/>
            <w:tcBorders>
              <w:top w:val="nil"/>
              <w:bottom w:val="nil"/>
            </w:tcBorders>
          </w:tcPr>
          <w:p w14:paraId="3B3BDB19"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12%</w:t>
            </w:r>
          </w:p>
        </w:tc>
        <w:tc>
          <w:tcPr>
            <w:tcW w:w="1929" w:type="dxa"/>
            <w:tcBorders>
              <w:top w:val="nil"/>
              <w:bottom w:val="nil"/>
            </w:tcBorders>
          </w:tcPr>
          <w:p w14:paraId="02513437"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5%</w:t>
            </w:r>
          </w:p>
        </w:tc>
      </w:tr>
      <w:tr w:rsidR="00EF4CB3" w:rsidRPr="00653BF6" w14:paraId="6B176B94" w14:textId="77777777" w:rsidTr="004B2956">
        <w:trPr>
          <w:cantSplit/>
          <w:trHeight w:val="618"/>
        </w:trPr>
        <w:tc>
          <w:tcPr>
            <w:tcW w:w="3227" w:type="dxa"/>
            <w:tcBorders>
              <w:top w:val="nil"/>
              <w:bottom w:val="nil"/>
            </w:tcBorders>
          </w:tcPr>
          <w:p w14:paraId="1C35F73F" w14:textId="77777777" w:rsidR="00EF4CB3" w:rsidRPr="00653BF6" w:rsidRDefault="00EF4CB3" w:rsidP="007F23EE">
            <w:pPr>
              <w:pStyle w:val="EndnoteText"/>
              <w:keepNext/>
              <w:tabs>
                <w:tab w:val="clear" w:pos="567"/>
              </w:tabs>
              <w:ind w:left="284"/>
              <w:rPr>
                <w:color w:val="000000"/>
                <w:szCs w:val="22"/>
                <w:lang w:val="fr-FR"/>
              </w:rPr>
            </w:pPr>
            <w:r w:rsidRPr="00653BF6">
              <w:rPr>
                <w:color w:val="000000"/>
                <w:szCs w:val="22"/>
                <w:lang w:val="fr-FR"/>
              </w:rPr>
              <w:t>Retour à la phase chronique (RPC)</w:t>
            </w:r>
          </w:p>
        </w:tc>
        <w:tc>
          <w:tcPr>
            <w:tcW w:w="1898" w:type="dxa"/>
            <w:tcBorders>
              <w:top w:val="nil"/>
              <w:bottom w:val="nil"/>
            </w:tcBorders>
          </w:tcPr>
          <w:p w14:paraId="5D5ADB76"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Sans objet</w:t>
            </w:r>
          </w:p>
        </w:tc>
        <w:tc>
          <w:tcPr>
            <w:tcW w:w="1985" w:type="dxa"/>
            <w:tcBorders>
              <w:top w:val="nil"/>
              <w:bottom w:val="nil"/>
            </w:tcBorders>
          </w:tcPr>
          <w:p w14:paraId="01A21490"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17%</w:t>
            </w:r>
          </w:p>
        </w:tc>
        <w:tc>
          <w:tcPr>
            <w:tcW w:w="1929" w:type="dxa"/>
            <w:tcBorders>
              <w:top w:val="nil"/>
              <w:bottom w:val="nil"/>
            </w:tcBorders>
          </w:tcPr>
          <w:p w14:paraId="41FB91DC"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18%</w:t>
            </w:r>
          </w:p>
        </w:tc>
      </w:tr>
      <w:tr w:rsidR="00EF4CB3" w:rsidRPr="00653BF6" w14:paraId="702E0D08" w14:textId="77777777" w:rsidTr="004B2956">
        <w:trPr>
          <w:cantSplit/>
        </w:trPr>
        <w:tc>
          <w:tcPr>
            <w:tcW w:w="3227" w:type="dxa"/>
            <w:tcBorders>
              <w:bottom w:val="nil"/>
            </w:tcBorders>
          </w:tcPr>
          <w:p w14:paraId="7C86FD14" w14:textId="77777777" w:rsidR="00EF4CB3" w:rsidRPr="00653BF6" w:rsidRDefault="00EF4CB3" w:rsidP="007F23EE">
            <w:pPr>
              <w:pStyle w:val="EndnoteText"/>
              <w:keepNext/>
              <w:tabs>
                <w:tab w:val="clear" w:pos="567"/>
              </w:tabs>
              <w:rPr>
                <w:color w:val="000000"/>
                <w:szCs w:val="22"/>
                <w:lang w:val="fr-FR"/>
              </w:rPr>
            </w:pPr>
            <w:r w:rsidRPr="00653BF6">
              <w:rPr>
                <w:color w:val="000000"/>
                <w:szCs w:val="22"/>
                <w:lang w:val="fr-FR"/>
              </w:rPr>
              <w:t>Réponse cytogénétique majeure</w:t>
            </w:r>
            <w:r w:rsidRPr="00653BF6">
              <w:rPr>
                <w:color w:val="000000"/>
                <w:szCs w:val="22"/>
                <w:vertAlign w:val="superscript"/>
                <w:lang w:val="fr-FR"/>
              </w:rPr>
              <w:t>2</w:t>
            </w:r>
          </w:p>
        </w:tc>
        <w:tc>
          <w:tcPr>
            <w:tcW w:w="1898" w:type="dxa"/>
            <w:tcBorders>
              <w:bottom w:val="nil"/>
            </w:tcBorders>
          </w:tcPr>
          <w:p w14:paraId="61A7F342" w14:textId="5C38CE82"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65% (61,2–69,5)</w:t>
            </w:r>
          </w:p>
        </w:tc>
        <w:tc>
          <w:tcPr>
            <w:tcW w:w="1985" w:type="dxa"/>
            <w:tcBorders>
              <w:bottom w:val="nil"/>
            </w:tcBorders>
          </w:tcPr>
          <w:p w14:paraId="032C02B9" w14:textId="2B1DA75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28%</w:t>
            </w:r>
            <w:ins w:id="358" w:author="Author">
              <w:r w:rsidR="007D7517" w:rsidRPr="00653BF6">
                <w:rPr>
                  <w:color w:val="000000"/>
                  <w:szCs w:val="22"/>
                  <w:lang w:val="fr-FR"/>
                </w:rPr>
                <w:t xml:space="preserve"> </w:t>
              </w:r>
            </w:ins>
            <w:r w:rsidRPr="00653BF6">
              <w:rPr>
                <w:color w:val="000000"/>
                <w:szCs w:val="22"/>
                <w:lang w:val="fr-FR"/>
              </w:rPr>
              <w:t>(22,0–33,9)</w:t>
            </w:r>
          </w:p>
        </w:tc>
        <w:tc>
          <w:tcPr>
            <w:tcW w:w="1929" w:type="dxa"/>
            <w:tcBorders>
              <w:bottom w:val="nil"/>
            </w:tcBorders>
          </w:tcPr>
          <w:p w14:paraId="4A711B38" w14:textId="514AAE64"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15%</w:t>
            </w:r>
            <w:ins w:id="359" w:author="Author">
              <w:r w:rsidR="007D7517" w:rsidRPr="00653BF6">
                <w:rPr>
                  <w:color w:val="000000"/>
                  <w:szCs w:val="22"/>
                  <w:lang w:val="fr-FR"/>
                </w:rPr>
                <w:t xml:space="preserve"> </w:t>
              </w:r>
            </w:ins>
            <w:r w:rsidRPr="00653BF6">
              <w:rPr>
                <w:color w:val="000000"/>
                <w:szCs w:val="22"/>
                <w:lang w:val="fr-FR"/>
              </w:rPr>
              <w:t>(11,2–20,4)</w:t>
            </w:r>
          </w:p>
        </w:tc>
      </w:tr>
      <w:tr w:rsidR="00EF4CB3" w:rsidRPr="00653BF6" w14:paraId="5400BE30" w14:textId="77777777" w:rsidTr="004B2956">
        <w:trPr>
          <w:cantSplit/>
        </w:trPr>
        <w:tc>
          <w:tcPr>
            <w:tcW w:w="3227" w:type="dxa"/>
            <w:tcBorders>
              <w:top w:val="nil"/>
              <w:bottom w:val="nil"/>
            </w:tcBorders>
          </w:tcPr>
          <w:p w14:paraId="31B6ED02" w14:textId="77777777" w:rsidR="00EF4CB3" w:rsidRPr="00653BF6" w:rsidRDefault="00EF4CB3" w:rsidP="007F23EE">
            <w:pPr>
              <w:pStyle w:val="EndnoteText"/>
              <w:keepNext/>
              <w:tabs>
                <w:tab w:val="clear" w:pos="567"/>
              </w:tabs>
              <w:ind w:left="284"/>
              <w:rPr>
                <w:color w:val="000000"/>
                <w:szCs w:val="22"/>
                <w:lang w:val="fr-FR"/>
              </w:rPr>
            </w:pPr>
            <w:r w:rsidRPr="00653BF6">
              <w:rPr>
                <w:color w:val="000000"/>
                <w:szCs w:val="22"/>
                <w:lang w:val="fr-FR"/>
              </w:rPr>
              <w:t>Complète</w:t>
            </w:r>
          </w:p>
        </w:tc>
        <w:tc>
          <w:tcPr>
            <w:tcW w:w="1898" w:type="dxa"/>
            <w:tcBorders>
              <w:top w:val="nil"/>
              <w:bottom w:val="nil"/>
            </w:tcBorders>
          </w:tcPr>
          <w:p w14:paraId="51AF3E5E"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53%</w:t>
            </w:r>
          </w:p>
        </w:tc>
        <w:tc>
          <w:tcPr>
            <w:tcW w:w="1985" w:type="dxa"/>
            <w:tcBorders>
              <w:top w:val="nil"/>
              <w:bottom w:val="nil"/>
            </w:tcBorders>
          </w:tcPr>
          <w:p w14:paraId="4AF8716B"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20%</w:t>
            </w:r>
          </w:p>
        </w:tc>
        <w:tc>
          <w:tcPr>
            <w:tcW w:w="1929" w:type="dxa"/>
            <w:tcBorders>
              <w:top w:val="nil"/>
              <w:bottom w:val="nil"/>
            </w:tcBorders>
          </w:tcPr>
          <w:p w14:paraId="3823E479"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7%</w:t>
            </w:r>
          </w:p>
        </w:tc>
      </w:tr>
      <w:tr w:rsidR="00EF4CB3" w:rsidRPr="00653BF6" w14:paraId="4D7EB9DA" w14:textId="77777777" w:rsidTr="004B2956">
        <w:trPr>
          <w:cantSplit/>
        </w:trPr>
        <w:tc>
          <w:tcPr>
            <w:tcW w:w="3227" w:type="dxa"/>
            <w:tcBorders>
              <w:top w:val="nil"/>
              <w:bottom w:val="nil"/>
            </w:tcBorders>
          </w:tcPr>
          <w:p w14:paraId="3B8D152C" w14:textId="5F197935" w:rsidR="00EF4CB3" w:rsidRPr="00653BF6" w:rsidRDefault="00EF4CB3" w:rsidP="007F23EE">
            <w:pPr>
              <w:pStyle w:val="EndnoteText"/>
              <w:keepNext/>
              <w:tabs>
                <w:tab w:val="clear" w:pos="567"/>
              </w:tabs>
              <w:ind w:left="284"/>
              <w:rPr>
                <w:color w:val="000000"/>
                <w:szCs w:val="22"/>
                <w:lang w:val="fr-FR"/>
              </w:rPr>
            </w:pPr>
            <w:r w:rsidRPr="00653BF6">
              <w:rPr>
                <w:color w:val="000000"/>
                <w:szCs w:val="22"/>
                <w:lang w:val="fr-FR"/>
              </w:rPr>
              <w:t>(Confirmée</w:t>
            </w:r>
            <w:r w:rsidRPr="00653BF6">
              <w:rPr>
                <w:color w:val="000000"/>
                <w:szCs w:val="22"/>
                <w:vertAlign w:val="superscript"/>
                <w:lang w:val="fr-FR"/>
              </w:rPr>
              <w:t>3</w:t>
            </w:r>
            <w:r w:rsidRPr="00653BF6">
              <w:rPr>
                <w:color w:val="000000"/>
                <w:szCs w:val="22"/>
                <w:lang w:val="fr-FR"/>
              </w:rPr>
              <w:t>)</w:t>
            </w:r>
            <w:ins w:id="360" w:author="Author">
              <w:r w:rsidR="007D7517" w:rsidRPr="00653BF6">
                <w:rPr>
                  <w:color w:val="000000"/>
                  <w:szCs w:val="22"/>
                  <w:lang w:val="fr-FR"/>
                </w:rPr>
                <w:t xml:space="preserve"> </w:t>
              </w:r>
            </w:ins>
            <w:del w:id="361" w:author="Author">
              <w:r w:rsidRPr="00653BF6" w:rsidDel="007D7517">
                <w:rPr>
                  <w:color w:val="000000"/>
                  <w:szCs w:val="22"/>
                  <w:lang w:val="fr-FR"/>
                </w:rPr>
                <w:delText xml:space="preserve">( </w:delText>
              </w:r>
            </w:del>
            <w:r w:rsidRPr="00653BF6">
              <w:rPr>
                <w:color w:val="000000"/>
                <w:szCs w:val="22"/>
                <w:lang w:val="fr-FR"/>
              </w:rPr>
              <w:t>[IC 95%]</w:t>
            </w:r>
          </w:p>
        </w:tc>
        <w:tc>
          <w:tcPr>
            <w:tcW w:w="1898" w:type="dxa"/>
            <w:tcBorders>
              <w:top w:val="nil"/>
              <w:bottom w:val="nil"/>
            </w:tcBorders>
          </w:tcPr>
          <w:p w14:paraId="2E721BBE"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(43%) [38,6–47,2]</w:t>
            </w:r>
          </w:p>
        </w:tc>
        <w:tc>
          <w:tcPr>
            <w:tcW w:w="1985" w:type="dxa"/>
            <w:tcBorders>
              <w:top w:val="nil"/>
              <w:bottom w:val="nil"/>
            </w:tcBorders>
          </w:tcPr>
          <w:p w14:paraId="6A9F0AEF"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(16%) [11,3–21,0]</w:t>
            </w:r>
          </w:p>
        </w:tc>
        <w:tc>
          <w:tcPr>
            <w:tcW w:w="1929" w:type="dxa"/>
            <w:tcBorders>
              <w:top w:val="nil"/>
              <w:bottom w:val="nil"/>
            </w:tcBorders>
          </w:tcPr>
          <w:p w14:paraId="72735487"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(2%) [0,6–4,4]</w:t>
            </w:r>
          </w:p>
        </w:tc>
      </w:tr>
      <w:tr w:rsidR="00EF4CB3" w:rsidRPr="00653BF6" w14:paraId="55D54C6F" w14:textId="77777777" w:rsidTr="004B2956">
        <w:trPr>
          <w:cantSplit/>
        </w:trPr>
        <w:tc>
          <w:tcPr>
            <w:tcW w:w="3227" w:type="dxa"/>
            <w:tcBorders>
              <w:top w:val="nil"/>
              <w:bottom w:val="nil"/>
            </w:tcBorders>
          </w:tcPr>
          <w:p w14:paraId="11ACAEF3" w14:textId="77777777" w:rsidR="00EF4CB3" w:rsidRPr="00653BF6" w:rsidRDefault="00EF4CB3" w:rsidP="007F23EE">
            <w:pPr>
              <w:pStyle w:val="EndnoteText"/>
              <w:keepNext/>
              <w:tabs>
                <w:tab w:val="clear" w:pos="567"/>
              </w:tabs>
              <w:ind w:left="284"/>
              <w:rPr>
                <w:color w:val="000000"/>
                <w:szCs w:val="22"/>
                <w:lang w:val="fr-FR"/>
              </w:rPr>
            </w:pPr>
            <w:r w:rsidRPr="00653BF6">
              <w:rPr>
                <w:color w:val="000000"/>
                <w:szCs w:val="22"/>
                <w:lang w:val="fr-FR"/>
              </w:rPr>
              <w:t>Partielle</w:t>
            </w:r>
          </w:p>
        </w:tc>
        <w:tc>
          <w:tcPr>
            <w:tcW w:w="1898" w:type="dxa"/>
            <w:tcBorders>
              <w:top w:val="nil"/>
              <w:bottom w:val="nil"/>
            </w:tcBorders>
          </w:tcPr>
          <w:p w14:paraId="28C05015"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12%</w:t>
            </w:r>
          </w:p>
        </w:tc>
        <w:tc>
          <w:tcPr>
            <w:tcW w:w="1985" w:type="dxa"/>
            <w:tcBorders>
              <w:top w:val="nil"/>
              <w:bottom w:val="nil"/>
            </w:tcBorders>
          </w:tcPr>
          <w:p w14:paraId="74CD0B1F"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7%</w:t>
            </w:r>
          </w:p>
        </w:tc>
        <w:tc>
          <w:tcPr>
            <w:tcW w:w="1929" w:type="dxa"/>
            <w:tcBorders>
              <w:top w:val="nil"/>
              <w:bottom w:val="nil"/>
            </w:tcBorders>
          </w:tcPr>
          <w:p w14:paraId="793087C3"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8%</w:t>
            </w:r>
          </w:p>
        </w:tc>
      </w:tr>
      <w:tr w:rsidR="00EF4CB3" w:rsidRPr="00653BF6" w14:paraId="615C419A" w14:textId="77777777" w:rsidTr="004B2956">
        <w:trPr>
          <w:cantSplit/>
        </w:trPr>
        <w:tc>
          <w:tcPr>
            <w:tcW w:w="9039" w:type="dxa"/>
            <w:gridSpan w:val="4"/>
            <w:tcBorders>
              <w:top w:val="single" w:sz="4" w:space="0" w:color="auto"/>
            </w:tcBorders>
          </w:tcPr>
          <w:p w14:paraId="72E21D41" w14:textId="6F14567E" w:rsidR="00EF4CB3" w:rsidRPr="005205FF" w:rsidRDefault="00EF4CB3" w:rsidP="007F23EE">
            <w:pPr>
              <w:pStyle w:val="TableCarCarCarCarCarCarCarCarCar"/>
              <w:keepNext w:val="0"/>
              <w:keepLines w:val="0"/>
              <w:tabs>
                <w:tab w:val="clear" w:pos="284"/>
              </w:tabs>
              <w:spacing w:before="0"/>
              <w:rPr>
                <w:rFonts w:ascii="Times New Roman" w:hAnsi="Times New Roman"/>
                <w:b/>
                <w:color w:val="000000"/>
                <w:sz w:val="20"/>
                <w:lang w:val="fr-FR"/>
                <w:rPrChange w:id="362" w:author="Author">
                  <w:rPr>
                    <w:rFonts w:ascii="Times New Roman" w:hAnsi="Times New Roman"/>
                    <w:b/>
                    <w:color w:val="000000"/>
                    <w:szCs w:val="22"/>
                    <w:lang w:val="fr-FR"/>
                  </w:rPr>
                </w:rPrChange>
              </w:rPr>
            </w:pPr>
            <w:r w:rsidRPr="005205FF">
              <w:rPr>
                <w:rFonts w:ascii="Times New Roman" w:hAnsi="Times New Roman"/>
                <w:color w:val="000000"/>
                <w:sz w:val="20"/>
                <w:vertAlign w:val="superscript"/>
                <w:lang w:val="fr-FR"/>
                <w:rPrChange w:id="363" w:author="Author">
                  <w:rPr>
                    <w:rFonts w:ascii="Times New Roman" w:hAnsi="Times New Roman"/>
                    <w:color w:val="000000"/>
                    <w:szCs w:val="22"/>
                    <w:vertAlign w:val="superscript"/>
                    <w:lang w:val="fr-FR"/>
                  </w:rPr>
                </w:rPrChange>
              </w:rPr>
              <w:t>1</w:t>
            </w:r>
            <w:ins w:id="364" w:author="Author">
              <w:r w:rsidR="00653BF6">
                <w:rPr>
                  <w:rFonts w:ascii="Times New Roman" w:hAnsi="Times New Roman"/>
                  <w:color w:val="000000"/>
                  <w:sz w:val="20"/>
                  <w:vertAlign w:val="superscript"/>
                  <w:lang w:val="fr-FR"/>
                </w:rPr>
                <w:t xml:space="preserve"> </w:t>
              </w:r>
            </w:ins>
            <w:r w:rsidRPr="005205FF">
              <w:rPr>
                <w:rFonts w:ascii="Times New Roman" w:hAnsi="Times New Roman"/>
                <w:b/>
                <w:color w:val="000000"/>
                <w:sz w:val="20"/>
                <w:lang w:val="fr-FR"/>
                <w:rPrChange w:id="365" w:author="Author">
                  <w:rPr>
                    <w:rFonts w:ascii="Times New Roman" w:hAnsi="Times New Roman"/>
                    <w:b/>
                    <w:color w:val="000000"/>
                    <w:szCs w:val="22"/>
                    <w:lang w:val="fr-FR"/>
                  </w:rPr>
                </w:rPrChange>
              </w:rPr>
              <w:t>Critères de réponse hématologique (toutes les réponses étaient à confirmer après ≥ 4 semaines) :</w:t>
            </w:r>
          </w:p>
          <w:p w14:paraId="67894C22" w14:textId="6461713A" w:rsidR="00EF4CB3" w:rsidRPr="005205FF" w:rsidRDefault="00EF4CB3" w:rsidP="007F23EE">
            <w:pPr>
              <w:pStyle w:val="TableCarCarCarCarCarCarCarCarCar"/>
              <w:keepNext w:val="0"/>
              <w:keepLines w:val="0"/>
              <w:tabs>
                <w:tab w:val="clear" w:pos="284"/>
              </w:tabs>
              <w:spacing w:before="0"/>
              <w:ind w:left="709" w:hanging="709"/>
              <w:rPr>
                <w:rFonts w:ascii="Times New Roman" w:hAnsi="Times New Roman"/>
                <w:color w:val="000000"/>
                <w:sz w:val="20"/>
                <w:lang w:val="fr-FR"/>
                <w:rPrChange w:id="366" w:author="Author">
                  <w:rPr>
                    <w:rFonts w:ascii="Times New Roman" w:hAnsi="Times New Roman"/>
                    <w:color w:val="000000"/>
                    <w:szCs w:val="22"/>
                    <w:lang w:val="fr-FR"/>
                  </w:rPr>
                </w:rPrChange>
              </w:rPr>
            </w:pPr>
            <w:r w:rsidRPr="005205FF">
              <w:rPr>
                <w:rFonts w:ascii="Times New Roman" w:hAnsi="Times New Roman"/>
                <w:color w:val="000000"/>
                <w:sz w:val="20"/>
                <w:lang w:val="fr-FR"/>
                <w:rPrChange w:id="367" w:author="Author">
                  <w:rPr>
                    <w:rFonts w:ascii="Times New Roman" w:hAnsi="Times New Roman"/>
                    <w:color w:val="000000"/>
                    <w:szCs w:val="22"/>
                    <w:lang w:val="fr-FR"/>
                  </w:rPr>
                </w:rPrChange>
              </w:rPr>
              <w:t>RCH</w:t>
            </w:r>
            <w:r w:rsidRPr="005205FF">
              <w:rPr>
                <w:rFonts w:ascii="Times New Roman" w:hAnsi="Times New Roman"/>
                <w:color w:val="000000"/>
                <w:sz w:val="20"/>
                <w:lang w:val="fr-FR"/>
                <w:rPrChange w:id="368" w:author="Author">
                  <w:rPr>
                    <w:rFonts w:ascii="Times New Roman" w:hAnsi="Times New Roman"/>
                    <w:color w:val="000000"/>
                    <w:szCs w:val="22"/>
                    <w:lang w:val="fr-FR"/>
                  </w:rPr>
                </w:rPrChange>
              </w:rPr>
              <w:tab/>
              <w:t>Etude 0110 [GB &lt; 10 x 10</w:t>
            </w:r>
            <w:r w:rsidRPr="005205FF">
              <w:rPr>
                <w:rFonts w:ascii="Times New Roman" w:hAnsi="Times New Roman"/>
                <w:color w:val="000000"/>
                <w:sz w:val="20"/>
                <w:vertAlign w:val="superscript"/>
                <w:lang w:val="fr-FR"/>
                <w:rPrChange w:id="369" w:author="Author">
                  <w:rPr>
                    <w:rFonts w:ascii="Times New Roman" w:hAnsi="Times New Roman"/>
                    <w:color w:val="000000"/>
                    <w:szCs w:val="22"/>
                    <w:vertAlign w:val="superscript"/>
                    <w:lang w:val="fr-FR"/>
                  </w:rPr>
                </w:rPrChange>
              </w:rPr>
              <w:t>9</w:t>
            </w:r>
            <w:r w:rsidRPr="005205FF">
              <w:rPr>
                <w:rFonts w:ascii="Times New Roman" w:hAnsi="Times New Roman"/>
                <w:color w:val="000000"/>
                <w:sz w:val="20"/>
                <w:lang w:val="fr-FR"/>
                <w:rPrChange w:id="370" w:author="Author">
                  <w:rPr>
                    <w:rFonts w:ascii="Times New Roman" w:hAnsi="Times New Roman"/>
                    <w:color w:val="000000"/>
                    <w:szCs w:val="22"/>
                    <w:lang w:val="fr-FR"/>
                  </w:rPr>
                </w:rPrChange>
              </w:rPr>
              <w:t>/</w:t>
            </w:r>
            <w:ins w:id="371" w:author="Author">
              <w:r w:rsidR="00503B83" w:rsidRPr="005205FF">
                <w:rPr>
                  <w:rFonts w:ascii="Times New Roman" w:hAnsi="Times New Roman"/>
                  <w:color w:val="000000"/>
                  <w:sz w:val="20"/>
                  <w:lang w:val="fr-FR"/>
                  <w:rPrChange w:id="372" w:author="Author">
                    <w:rPr>
                      <w:rFonts w:ascii="Times New Roman" w:hAnsi="Times New Roman"/>
                      <w:color w:val="000000"/>
                      <w:szCs w:val="22"/>
                      <w:lang w:val="fr-FR"/>
                    </w:rPr>
                  </w:rPrChange>
                </w:rPr>
                <w:t>L</w:t>
              </w:r>
            </w:ins>
            <w:del w:id="373" w:author="Author">
              <w:r w:rsidRPr="005205FF" w:rsidDel="00503B83">
                <w:rPr>
                  <w:rFonts w:ascii="Times New Roman" w:hAnsi="Times New Roman"/>
                  <w:color w:val="000000"/>
                  <w:sz w:val="20"/>
                  <w:lang w:val="fr-FR"/>
                  <w:rPrChange w:id="374" w:author="Author">
                    <w:rPr>
                      <w:rFonts w:ascii="Times New Roman" w:hAnsi="Times New Roman"/>
                      <w:color w:val="000000"/>
                      <w:szCs w:val="22"/>
                      <w:lang w:val="fr-FR"/>
                    </w:rPr>
                  </w:rPrChange>
                </w:rPr>
                <w:delText>l</w:delText>
              </w:r>
            </w:del>
            <w:r w:rsidRPr="005205FF">
              <w:rPr>
                <w:rFonts w:ascii="Times New Roman" w:hAnsi="Times New Roman"/>
                <w:color w:val="000000"/>
                <w:sz w:val="20"/>
                <w:lang w:val="fr-FR"/>
                <w:rPrChange w:id="375" w:author="Author">
                  <w:rPr>
                    <w:rFonts w:ascii="Times New Roman" w:hAnsi="Times New Roman"/>
                    <w:color w:val="000000"/>
                    <w:szCs w:val="22"/>
                    <w:lang w:val="fr-FR"/>
                  </w:rPr>
                </w:rPrChange>
              </w:rPr>
              <w:t>, plaquettes &lt; 450 x 10</w:t>
            </w:r>
            <w:r w:rsidRPr="005205FF">
              <w:rPr>
                <w:rFonts w:ascii="Times New Roman" w:hAnsi="Times New Roman"/>
                <w:color w:val="000000"/>
                <w:sz w:val="20"/>
                <w:vertAlign w:val="superscript"/>
                <w:lang w:val="fr-FR"/>
                <w:rPrChange w:id="376" w:author="Author">
                  <w:rPr>
                    <w:rFonts w:ascii="Times New Roman" w:hAnsi="Times New Roman"/>
                    <w:color w:val="000000"/>
                    <w:szCs w:val="22"/>
                    <w:vertAlign w:val="superscript"/>
                    <w:lang w:val="fr-FR"/>
                  </w:rPr>
                </w:rPrChange>
              </w:rPr>
              <w:t>9</w:t>
            </w:r>
            <w:r w:rsidRPr="005205FF">
              <w:rPr>
                <w:rFonts w:ascii="Times New Roman" w:hAnsi="Times New Roman"/>
                <w:color w:val="000000"/>
                <w:sz w:val="20"/>
                <w:lang w:val="fr-FR"/>
                <w:rPrChange w:id="377" w:author="Author">
                  <w:rPr>
                    <w:rFonts w:ascii="Times New Roman" w:hAnsi="Times New Roman"/>
                    <w:color w:val="000000"/>
                    <w:szCs w:val="22"/>
                    <w:lang w:val="fr-FR"/>
                  </w:rPr>
                </w:rPrChange>
              </w:rPr>
              <w:t>/</w:t>
            </w:r>
            <w:del w:id="378" w:author="Author">
              <w:r w:rsidRPr="005205FF" w:rsidDel="00503B83">
                <w:rPr>
                  <w:rFonts w:ascii="Times New Roman" w:hAnsi="Times New Roman"/>
                  <w:color w:val="000000"/>
                  <w:sz w:val="20"/>
                  <w:lang w:val="fr-FR"/>
                  <w:rPrChange w:id="379" w:author="Author">
                    <w:rPr>
                      <w:rFonts w:ascii="Times New Roman" w:hAnsi="Times New Roman"/>
                      <w:color w:val="000000"/>
                      <w:szCs w:val="22"/>
                      <w:lang w:val="fr-FR"/>
                    </w:rPr>
                  </w:rPrChange>
                </w:rPr>
                <w:delText>l</w:delText>
              </w:r>
            </w:del>
            <w:ins w:id="380" w:author="Author">
              <w:r w:rsidR="00503B83" w:rsidRPr="005205FF">
                <w:rPr>
                  <w:rFonts w:ascii="Times New Roman" w:hAnsi="Times New Roman"/>
                  <w:color w:val="000000"/>
                  <w:sz w:val="20"/>
                  <w:lang w:val="fr-FR"/>
                  <w:rPrChange w:id="381" w:author="Author">
                    <w:rPr>
                      <w:rFonts w:ascii="Times New Roman" w:hAnsi="Times New Roman"/>
                      <w:color w:val="000000"/>
                      <w:szCs w:val="22"/>
                      <w:lang w:val="fr-FR"/>
                    </w:rPr>
                  </w:rPrChange>
                </w:rPr>
                <w:t>L</w:t>
              </w:r>
            </w:ins>
            <w:r w:rsidRPr="005205FF">
              <w:rPr>
                <w:rFonts w:ascii="Times New Roman" w:hAnsi="Times New Roman"/>
                <w:color w:val="000000"/>
                <w:sz w:val="20"/>
                <w:lang w:val="fr-FR"/>
                <w:rPrChange w:id="382" w:author="Author">
                  <w:rPr>
                    <w:rFonts w:ascii="Times New Roman" w:hAnsi="Times New Roman"/>
                    <w:color w:val="000000"/>
                    <w:szCs w:val="22"/>
                    <w:lang w:val="fr-FR"/>
                  </w:rPr>
                </w:rPrChange>
              </w:rPr>
              <w:t xml:space="preserve">, </w:t>
            </w:r>
            <w:proofErr w:type="spellStart"/>
            <w:r w:rsidRPr="005205FF">
              <w:rPr>
                <w:rFonts w:ascii="Times New Roman" w:hAnsi="Times New Roman"/>
                <w:color w:val="000000"/>
                <w:sz w:val="20"/>
                <w:lang w:val="fr-FR"/>
                <w:rPrChange w:id="383" w:author="Author">
                  <w:rPr>
                    <w:rFonts w:ascii="Times New Roman" w:hAnsi="Times New Roman"/>
                    <w:color w:val="000000"/>
                    <w:szCs w:val="22"/>
                    <w:lang w:val="fr-FR"/>
                  </w:rPr>
                </w:rPrChange>
              </w:rPr>
              <w:t>myélocytes+métamyélocytes</w:t>
            </w:r>
            <w:proofErr w:type="spellEnd"/>
            <w:r w:rsidRPr="005205FF">
              <w:rPr>
                <w:rFonts w:ascii="Times New Roman" w:hAnsi="Times New Roman"/>
                <w:color w:val="000000"/>
                <w:sz w:val="20"/>
                <w:lang w:val="fr-FR"/>
                <w:rPrChange w:id="384" w:author="Author">
                  <w:rPr>
                    <w:rFonts w:ascii="Times New Roman" w:hAnsi="Times New Roman"/>
                    <w:color w:val="000000"/>
                    <w:szCs w:val="22"/>
                    <w:lang w:val="fr-FR"/>
                  </w:rPr>
                </w:rPrChange>
              </w:rPr>
              <w:t xml:space="preserve"> &lt; 5% dans le sang, absence de cellules blastiques et de promyélocytes dans le sang, basophiles &lt; 20%, absence d</w:t>
            </w:r>
            <w:r w:rsidR="00813A7A">
              <w:rPr>
                <w:rFonts w:ascii="Times New Roman" w:hAnsi="Times New Roman"/>
                <w:color w:val="000000"/>
                <w:sz w:val="20"/>
                <w:lang w:val="fr-FR"/>
              </w:rPr>
              <w:t>’</w:t>
            </w:r>
            <w:r w:rsidRPr="005205FF">
              <w:rPr>
                <w:rFonts w:ascii="Times New Roman" w:hAnsi="Times New Roman"/>
                <w:color w:val="000000"/>
                <w:sz w:val="20"/>
                <w:lang w:val="fr-FR"/>
                <w:rPrChange w:id="385" w:author="Author">
                  <w:rPr>
                    <w:rFonts w:ascii="Times New Roman" w:hAnsi="Times New Roman"/>
                    <w:color w:val="000000"/>
                    <w:szCs w:val="22"/>
                    <w:lang w:val="fr-FR"/>
                  </w:rPr>
                </w:rPrChange>
              </w:rPr>
              <w:t xml:space="preserve">atteinte </w:t>
            </w:r>
            <w:proofErr w:type="spellStart"/>
            <w:r w:rsidRPr="005205FF">
              <w:rPr>
                <w:rFonts w:ascii="Times New Roman" w:hAnsi="Times New Roman"/>
                <w:color w:val="000000"/>
                <w:sz w:val="20"/>
                <w:lang w:val="fr-FR"/>
                <w:rPrChange w:id="386" w:author="Author">
                  <w:rPr>
                    <w:rFonts w:ascii="Times New Roman" w:hAnsi="Times New Roman"/>
                    <w:color w:val="000000"/>
                    <w:szCs w:val="22"/>
                    <w:lang w:val="fr-FR"/>
                  </w:rPr>
                </w:rPrChange>
              </w:rPr>
              <w:t>extramédullaire</w:t>
            </w:r>
            <w:proofErr w:type="spellEnd"/>
            <w:r w:rsidRPr="005205FF">
              <w:rPr>
                <w:rFonts w:ascii="Times New Roman" w:hAnsi="Times New Roman"/>
                <w:color w:val="000000"/>
                <w:sz w:val="20"/>
                <w:lang w:val="fr-FR"/>
                <w:rPrChange w:id="387" w:author="Author">
                  <w:rPr>
                    <w:rFonts w:ascii="Times New Roman" w:hAnsi="Times New Roman"/>
                    <w:color w:val="000000"/>
                    <w:szCs w:val="22"/>
                    <w:lang w:val="fr-FR"/>
                  </w:rPr>
                </w:rPrChange>
              </w:rPr>
              <w:t xml:space="preserve">] ; dans les études 0102 et 0109 [PN </w:t>
            </w:r>
            <w:r w:rsidRPr="005205FF">
              <w:rPr>
                <w:rFonts w:ascii="Times New Roman" w:hAnsi="Times New Roman"/>
                <w:color w:val="000000"/>
                <w:sz w:val="20"/>
                <w:lang w:val="fr-FR"/>
                <w:rPrChange w:id="388" w:author="Author">
                  <w:rPr>
                    <w:rFonts w:ascii="Times New Roman" w:hAnsi="Times New Roman"/>
                    <w:color w:val="000000"/>
                    <w:szCs w:val="22"/>
                    <w:lang w:val="fr-FR"/>
                  </w:rPr>
                </w:rPrChange>
              </w:rPr>
              <w:sym w:font="Symbol" w:char="F0B3"/>
            </w:r>
            <w:r w:rsidRPr="005205FF">
              <w:rPr>
                <w:rFonts w:ascii="Times New Roman" w:hAnsi="Times New Roman"/>
                <w:color w:val="000000"/>
                <w:sz w:val="20"/>
                <w:lang w:val="fr-FR"/>
                <w:rPrChange w:id="389" w:author="Author">
                  <w:rPr>
                    <w:rFonts w:ascii="Times New Roman" w:hAnsi="Times New Roman"/>
                    <w:color w:val="000000"/>
                    <w:szCs w:val="22"/>
                    <w:lang w:val="fr-FR"/>
                  </w:rPr>
                </w:rPrChange>
              </w:rPr>
              <w:t> 1,5 x 10</w:t>
            </w:r>
            <w:r w:rsidRPr="005205FF">
              <w:rPr>
                <w:rFonts w:ascii="Times New Roman" w:hAnsi="Times New Roman"/>
                <w:color w:val="000000"/>
                <w:sz w:val="20"/>
                <w:vertAlign w:val="superscript"/>
                <w:lang w:val="fr-FR"/>
                <w:rPrChange w:id="390" w:author="Author">
                  <w:rPr>
                    <w:rFonts w:ascii="Times New Roman" w:hAnsi="Times New Roman"/>
                    <w:color w:val="000000"/>
                    <w:szCs w:val="22"/>
                    <w:vertAlign w:val="superscript"/>
                    <w:lang w:val="fr-FR"/>
                  </w:rPr>
                </w:rPrChange>
              </w:rPr>
              <w:t>9</w:t>
            </w:r>
            <w:r w:rsidRPr="005205FF">
              <w:rPr>
                <w:rFonts w:ascii="Times New Roman" w:hAnsi="Times New Roman"/>
                <w:color w:val="000000"/>
                <w:sz w:val="20"/>
                <w:lang w:val="fr-FR"/>
                <w:rPrChange w:id="391" w:author="Author">
                  <w:rPr>
                    <w:rFonts w:ascii="Times New Roman" w:hAnsi="Times New Roman"/>
                    <w:color w:val="000000"/>
                    <w:szCs w:val="22"/>
                    <w:lang w:val="fr-FR"/>
                  </w:rPr>
                </w:rPrChange>
              </w:rPr>
              <w:t>/</w:t>
            </w:r>
            <w:ins w:id="392" w:author="Author">
              <w:r w:rsidR="00503B83" w:rsidRPr="005205FF">
                <w:rPr>
                  <w:rFonts w:ascii="Times New Roman" w:hAnsi="Times New Roman"/>
                  <w:color w:val="000000"/>
                  <w:sz w:val="20"/>
                  <w:lang w:val="fr-FR"/>
                  <w:rPrChange w:id="393" w:author="Author">
                    <w:rPr>
                      <w:rFonts w:ascii="Times New Roman" w:hAnsi="Times New Roman"/>
                      <w:color w:val="000000"/>
                      <w:szCs w:val="22"/>
                      <w:lang w:val="fr-FR"/>
                    </w:rPr>
                  </w:rPrChange>
                </w:rPr>
                <w:t>L</w:t>
              </w:r>
            </w:ins>
            <w:del w:id="394" w:author="Author">
              <w:r w:rsidRPr="005205FF" w:rsidDel="00503B83">
                <w:rPr>
                  <w:rFonts w:ascii="Times New Roman" w:hAnsi="Times New Roman"/>
                  <w:color w:val="000000"/>
                  <w:sz w:val="20"/>
                  <w:lang w:val="fr-FR"/>
                  <w:rPrChange w:id="395" w:author="Author">
                    <w:rPr>
                      <w:rFonts w:ascii="Times New Roman" w:hAnsi="Times New Roman"/>
                      <w:color w:val="000000"/>
                      <w:szCs w:val="22"/>
                      <w:lang w:val="fr-FR"/>
                    </w:rPr>
                  </w:rPrChange>
                </w:rPr>
                <w:delText>l</w:delText>
              </w:r>
            </w:del>
            <w:r w:rsidRPr="005205FF">
              <w:rPr>
                <w:rFonts w:ascii="Times New Roman" w:hAnsi="Times New Roman"/>
                <w:color w:val="000000"/>
                <w:sz w:val="20"/>
                <w:lang w:val="fr-FR"/>
                <w:rPrChange w:id="396" w:author="Author">
                  <w:rPr>
                    <w:rFonts w:ascii="Times New Roman" w:hAnsi="Times New Roman"/>
                    <w:color w:val="000000"/>
                    <w:szCs w:val="22"/>
                    <w:lang w:val="fr-FR"/>
                  </w:rPr>
                </w:rPrChange>
              </w:rPr>
              <w:t xml:space="preserve">, plaquettes </w:t>
            </w:r>
            <w:r w:rsidRPr="005205FF">
              <w:rPr>
                <w:rFonts w:ascii="Times New Roman" w:hAnsi="Times New Roman"/>
                <w:color w:val="000000"/>
                <w:sz w:val="20"/>
                <w:lang w:val="fr-FR"/>
                <w:rPrChange w:id="397" w:author="Author">
                  <w:rPr>
                    <w:rFonts w:ascii="Times New Roman" w:hAnsi="Times New Roman"/>
                    <w:color w:val="000000"/>
                    <w:szCs w:val="22"/>
                    <w:lang w:val="fr-FR"/>
                  </w:rPr>
                </w:rPrChange>
              </w:rPr>
              <w:sym w:font="Symbol" w:char="F0B3"/>
            </w:r>
            <w:r w:rsidRPr="005205FF">
              <w:rPr>
                <w:rFonts w:ascii="Times New Roman" w:hAnsi="Times New Roman"/>
                <w:color w:val="000000"/>
                <w:sz w:val="20"/>
                <w:lang w:val="fr-FR"/>
                <w:rPrChange w:id="398" w:author="Author">
                  <w:rPr>
                    <w:rFonts w:ascii="Times New Roman" w:hAnsi="Times New Roman"/>
                    <w:color w:val="000000"/>
                    <w:szCs w:val="22"/>
                    <w:lang w:val="fr-FR"/>
                  </w:rPr>
                </w:rPrChange>
              </w:rPr>
              <w:t> 100 x 10</w:t>
            </w:r>
            <w:r w:rsidRPr="005205FF">
              <w:rPr>
                <w:rFonts w:ascii="Times New Roman" w:hAnsi="Times New Roman"/>
                <w:color w:val="000000"/>
                <w:sz w:val="20"/>
                <w:vertAlign w:val="superscript"/>
                <w:lang w:val="fr-FR"/>
                <w:rPrChange w:id="399" w:author="Author">
                  <w:rPr>
                    <w:rFonts w:ascii="Times New Roman" w:hAnsi="Times New Roman"/>
                    <w:color w:val="000000"/>
                    <w:szCs w:val="22"/>
                    <w:vertAlign w:val="superscript"/>
                    <w:lang w:val="fr-FR"/>
                  </w:rPr>
                </w:rPrChange>
              </w:rPr>
              <w:t>9</w:t>
            </w:r>
            <w:r w:rsidRPr="005205FF">
              <w:rPr>
                <w:rFonts w:ascii="Times New Roman" w:hAnsi="Times New Roman"/>
                <w:color w:val="000000"/>
                <w:sz w:val="20"/>
                <w:lang w:val="fr-FR"/>
                <w:rPrChange w:id="400" w:author="Author">
                  <w:rPr>
                    <w:rFonts w:ascii="Times New Roman" w:hAnsi="Times New Roman"/>
                    <w:color w:val="000000"/>
                    <w:szCs w:val="22"/>
                    <w:lang w:val="fr-FR"/>
                  </w:rPr>
                </w:rPrChange>
              </w:rPr>
              <w:t>/</w:t>
            </w:r>
            <w:ins w:id="401" w:author="Author">
              <w:r w:rsidR="00503B83" w:rsidRPr="005205FF">
                <w:rPr>
                  <w:rFonts w:ascii="Times New Roman" w:hAnsi="Times New Roman"/>
                  <w:color w:val="000000"/>
                  <w:sz w:val="20"/>
                  <w:lang w:val="fr-FR"/>
                  <w:rPrChange w:id="402" w:author="Author">
                    <w:rPr>
                      <w:rFonts w:ascii="Times New Roman" w:hAnsi="Times New Roman"/>
                      <w:color w:val="000000"/>
                      <w:szCs w:val="22"/>
                      <w:lang w:val="fr-FR"/>
                    </w:rPr>
                  </w:rPrChange>
                </w:rPr>
                <w:t>L</w:t>
              </w:r>
            </w:ins>
            <w:del w:id="403" w:author="Author">
              <w:r w:rsidRPr="005205FF" w:rsidDel="00503B83">
                <w:rPr>
                  <w:rFonts w:ascii="Times New Roman" w:hAnsi="Times New Roman"/>
                  <w:color w:val="000000"/>
                  <w:sz w:val="20"/>
                  <w:lang w:val="fr-FR"/>
                  <w:rPrChange w:id="404" w:author="Author">
                    <w:rPr>
                      <w:rFonts w:ascii="Times New Roman" w:hAnsi="Times New Roman"/>
                      <w:color w:val="000000"/>
                      <w:szCs w:val="22"/>
                      <w:lang w:val="fr-FR"/>
                    </w:rPr>
                  </w:rPrChange>
                </w:rPr>
                <w:delText>l</w:delText>
              </w:r>
            </w:del>
            <w:r w:rsidRPr="005205FF">
              <w:rPr>
                <w:rFonts w:ascii="Times New Roman" w:hAnsi="Times New Roman"/>
                <w:color w:val="000000"/>
                <w:sz w:val="20"/>
                <w:lang w:val="fr-FR"/>
                <w:rPrChange w:id="405" w:author="Author">
                  <w:rPr>
                    <w:rFonts w:ascii="Times New Roman" w:hAnsi="Times New Roman"/>
                    <w:color w:val="000000"/>
                    <w:szCs w:val="22"/>
                    <w:lang w:val="fr-FR"/>
                  </w:rPr>
                </w:rPrChange>
              </w:rPr>
              <w:t>, absence de cellules blastiques dans le sang, présence de blastes dans la MO &lt; 5%, absence d</w:t>
            </w:r>
            <w:r w:rsidR="00813A7A">
              <w:rPr>
                <w:rFonts w:ascii="Times New Roman" w:hAnsi="Times New Roman"/>
                <w:color w:val="000000"/>
                <w:sz w:val="20"/>
                <w:lang w:val="fr-FR"/>
              </w:rPr>
              <w:t>’</w:t>
            </w:r>
            <w:r w:rsidRPr="005205FF">
              <w:rPr>
                <w:rFonts w:ascii="Times New Roman" w:hAnsi="Times New Roman"/>
                <w:color w:val="000000"/>
                <w:sz w:val="20"/>
                <w:lang w:val="fr-FR"/>
                <w:rPrChange w:id="406" w:author="Author">
                  <w:rPr>
                    <w:rFonts w:ascii="Times New Roman" w:hAnsi="Times New Roman"/>
                    <w:color w:val="000000"/>
                    <w:szCs w:val="22"/>
                    <w:lang w:val="fr-FR"/>
                  </w:rPr>
                </w:rPrChange>
              </w:rPr>
              <w:t xml:space="preserve">atteinte </w:t>
            </w:r>
            <w:proofErr w:type="spellStart"/>
            <w:r w:rsidRPr="005205FF">
              <w:rPr>
                <w:rFonts w:ascii="Times New Roman" w:hAnsi="Times New Roman"/>
                <w:color w:val="000000"/>
                <w:sz w:val="20"/>
                <w:lang w:val="fr-FR"/>
                <w:rPrChange w:id="407" w:author="Author">
                  <w:rPr>
                    <w:rFonts w:ascii="Times New Roman" w:hAnsi="Times New Roman"/>
                    <w:color w:val="000000"/>
                    <w:szCs w:val="22"/>
                    <w:lang w:val="fr-FR"/>
                  </w:rPr>
                </w:rPrChange>
              </w:rPr>
              <w:t>extramédullaire</w:t>
            </w:r>
            <w:proofErr w:type="spellEnd"/>
            <w:r w:rsidRPr="005205FF">
              <w:rPr>
                <w:rFonts w:ascii="Times New Roman" w:hAnsi="Times New Roman"/>
                <w:color w:val="000000"/>
                <w:sz w:val="20"/>
                <w:lang w:val="fr-FR"/>
                <w:rPrChange w:id="408" w:author="Author">
                  <w:rPr>
                    <w:rFonts w:ascii="Times New Roman" w:hAnsi="Times New Roman"/>
                    <w:color w:val="000000"/>
                    <w:szCs w:val="22"/>
                    <w:lang w:val="fr-FR"/>
                  </w:rPr>
                </w:rPrChange>
              </w:rPr>
              <w:t>]</w:t>
            </w:r>
          </w:p>
          <w:p w14:paraId="193AA891" w14:textId="0B8C4BFA" w:rsidR="00EF4CB3" w:rsidRPr="005205FF" w:rsidRDefault="00EF4CB3" w:rsidP="007F23EE">
            <w:pPr>
              <w:pStyle w:val="TableCarCarCarCarCarCarCarCarCar"/>
              <w:keepNext w:val="0"/>
              <w:keepLines w:val="0"/>
              <w:tabs>
                <w:tab w:val="clear" w:pos="284"/>
              </w:tabs>
              <w:spacing w:before="0"/>
              <w:ind w:left="709" w:hanging="709"/>
              <w:rPr>
                <w:rFonts w:ascii="Times New Roman" w:hAnsi="Times New Roman"/>
                <w:color w:val="000000"/>
                <w:sz w:val="20"/>
                <w:lang w:val="fr-FR"/>
                <w:rPrChange w:id="409" w:author="Author">
                  <w:rPr>
                    <w:rFonts w:ascii="Times New Roman" w:hAnsi="Times New Roman"/>
                    <w:color w:val="000000"/>
                    <w:szCs w:val="22"/>
                    <w:lang w:val="fr-FR"/>
                  </w:rPr>
                </w:rPrChange>
              </w:rPr>
            </w:pPr>
            <w:smartTag w:uri="urn:schemas-microsoft-com:office:smarttags" w:element="stockticker">
              <w:r w:rsidRPr="005205FF">
                <w:rPr>
                  <w:rFonts w:ascii="Times New Roman" w:hAnsi="Times New Roman"/>
                  <w:color w:val="000000"/>
                  <w:sz w:val="20"/>
                  <w:lang w:val="fr-FR"/>
                  <w:rPrChange w:id="410" w:author="Author">
                    <w:rPr>
                      <w:rFonts w:ascii="Times New Roman" w:hAnsi="Times New Roman"/>
                      <w:color w:val="000000"/>
                      <w:szCs w:val="22"/>
                      <w:lang w:val="fr-FR"/>
                    </w:rPr>
                  </w:rPrChange>
                </w:rPr>
                <w:t>ASL</w:t>
              </w:r>
            </w:smartTag>
            <w:r w:rsidRPr="005205FF">
              <w:rPr>
                <w:rFonts w:ascii="Times New Roman" w:hAnsi="Times New Roman"/>
                <w:color w:val="000000"/>
                <w:sz w:val="20"/>
                <w:lang w:val="fr-FR"/>
                <w:rPrChange w:id="411" w:author="Author">
                  <w:rPr>
                    <w:rFonts w:ascii="Times New Roman" w:hAnsi="Times New Roman"/>
                    <w:color w:val="000000"/>
                    <w:szCs w:val="22"/>
                    <w:lang w:val="fr-FR"/>
                  </w:rPr>
                </w:rPrChange>
              </w:rPr>
              <w:tab/>
              <w:t xml:space="preserve">Mêmes critères que pour RCH mais PN </w:t>
            </w:r>
            <w:r w:rsidRPr="005205FF">
              <w:rPr>
                <w:rFonts w:ascii="Times New Roman" w:hAnsi="Times New Roman"/>
                <w:color w:val="000000"/>
                <w:sz w:val="20"/>
                <w:lang w:val="fr-FR"/>
                <w:rPrChange w:id="412" w:author="Author">
                  <w:rPr>
                    <w:rFonts w:ascii="Times New Roman" w:hAnsi="Times New Roman"/>
                    <w:color w:val="000000"/>
                    <w:szCs w:val="22"/>
                    <w:lang w:val="fr-FR"/>
                  </w:rPr>
                </w:rPrChange>
              </w:rPr>
              <w:sym w:font="Symbol" w:char="F0B3"/>
            </w:r>
            <w:r w:rsidRPr="005205FF">
              <w:rPr>
                <w:rFonts w:ascii="Times New Roman" w:hAnsi="Times New Roman"/>
                <w:color w:val="000000"/>
                <w:sz w:val="20"/>
                <w:lang w:val="fr-FR"/>
                <w:rPrChange w:id="413" w:author="Author">
                  <w:rPr>
                    <w:rFonts w:ascii="Times New Roman" w:hAnsi="Times New Roman"/>
                    <w:color w:val="000000"/>
                    <w:szCs w:val="22"/>
                    <w:lang w:val="fr-FR"/>
                  </w:rPr>
                </w:rPrChange>
              </w:rPr>
              <w:t> 1 x 10</w:t>
            </w:r>
            <w:r w:rsidRPr="005205FF">
              <w:rPr>
                <w:rFonts w:ascii="Times New Roman" w:hAnsi="Times New Roman"/>
                <w:color w:val="000000"/>
                <w:sz w:val="20"/>
                <w:vertAlign w:val="superscript"/>
                <w:lang w:val="fr-FR"/>
                <w:rPrChange w:id="414" w:author="Author">
                  <w:rPr>
                    <w:rFonts w:ascii="Times New Roman" w:hAnsi="Times New Roman"/>
                    <w:color w:val="000000"/>
                    <w:szCs w:val="22"/>
                    <w:vertAlign w:val="superscript"/>
                    <w:lang w:val="fr-FR"/>
                  </w:rPr>
                </w:rPrChange>
              </w:rPr>
              <w:t>9</w:t>
            </w:r>
            <w:r w:rsidRPr="005205FF">
              <w:rPr>
                <w:rFonts w:ascii="Times New Roman" w:hAnsi="Times New Roman"/>
                <w:color w:val="000000"/>
                <w:sz w:val="20"/>
                <w:lang w:val="fr-FR"/>
                <w:rPrChange w:id="415" w:author="Author">
                  <w:rPr>
                    <w:rFonts w:ascii="Times New Roman" w:hAnsi="Times New Roman"/>
                    <w:color w:val="000000"/>
                    <w:szCs w:val="22"/>
                    <w:lang w:val="fr-FR"/>
                  </w:rPr>
                </w:rPrChange>
              </w:rPr>
              <w:t>/</w:t>
            </w:r>
            <w:ins w:id="416" w:author="Author">
              <w:r w:rsidR="00503B83" w:rsidRPr="005205FF">
                <w:rPr>
                  <w:rFonts w:ascii="Times New Roman" w:hAnsi="Times New Roman"/>
                  <w:color w:val="000000"/>
                  <w:sz w:val="20"/>
                  <w:lang w:val="fr-FR"/>
                  <w:rPrChange w:id="417" w:author="Author">
                    <w:rPr>
                      <w:rFonts w:ascii="Times New Roman" w:hAnsi="Times New Roman"/>
                      <w:color w:val="000000"/>
                      <w:szCs w:val="22"/>
                      <w:lang w:val="fr-FR"/>
                    </w:rPr>
                  </w:rPrChange>
                </w:rPr>
                <w:t>L</w:t>
              </w:r>
            </w:ins>
            <w:del w:id="418" w:author="Author">
              <w:r w:rsidRPr="005205FF" w:rsidDel="00503B83">
                <w:rPr>
                  <w:rFonts w:ascii="Times New Roman" w:hAnsi="Times New Roman"/>
                  <w:color w:val="000000"/>
                  <w:sz w:val="20"/>
                  <w:lang w:val="fr-FR"/>
                  <w:rPrChange w:id="419" w:author="Author">
                    <w:rPr>
                      <w:rFonts w:ascii="Times New Roman" w:hAnsi="Times New Roman"/>
                      <w:color w:val="000000"/>
                      <w:szCs w:val="22"/>
                      <w:lang w:val="fr-FR"/>
                    </w:rPr>
                  </w:rPrChange>
                </w:rPr>
                <w:delText>l</w:delText>
              </w:r>
            </w:del>
            <w:r w:rsidRPr="005205FF">
              <w:rPr>
                <w:rFonts w:ascii="Times New Roman" w:hAnsi="Times New Roman"/>
                <w:color w:val="000000"/>
                <w:sz w:val="20"/>
                <w:lang w:val="fr-FR"/>
                <w:rPrChange w:id="420" w:author="Author">
                  <w:rPr>
                    <w:rFonts w:ascii="Times New Roman" w:hAnsi="Times New Roman"/>
                    <w:color w:val="000000"/>
                    <w:szCs w:val="22"/>
                    <w:lang w:val="fr-FR"/>
                  </w:rPr>
                </w:rPrChange>
              </w:rPr>
              <w:t xml:space="preserve"> et plaquettes </w:t>
            </w:r>
            <w:r w:rsidRPr="005205FF">
              <w:rPr>
                <w:rFonts w:ascii="Times New Roman" w:hAnsi="Times New Roman"/>
                <w:color w:val="000000"/>
                <w:sz w:val="20"/>
                <w:lang w:val="fr-FR"/>
                <w:rPrChange w:id="421" w:author="Author">
                  <w:rPr>
                    <w:rFonts w:ascii="Times New Roman" w:hAnsi="Times New Roman"/>
                    <w:color w:val="000000"/>
                    <w:szCs w:val="22"/>
                    <w:lang w:val="fr-FR"/>
                  </w:rPr>
                </w:rPrChange>
              </w:rPr>
              <w:sym w:font="Symbol" w:char="F0B3"/>
            </w:r>
            <w:r w:rsidRPr="005205FF">
              <w:rPr>
                <w:rFonts w:ascii="Times New Roman" w:hAnsi="Times New Roman"/>
                <w:color w:val="000000"/>
                <w:sz w:val="20"/>
                <w:lang w:val="fr-FR"/>
                <w:rPrChange w:id="422" w:author="Author">
                  <w:rPr>
                    <w:rFonts w:ascii="Times New Roman" w:hAnsi="Times New Roman"/>
                    <w:color w:val="000000"/>
                    <w:szCs w:val="22"/>
                    <w:lang w:val="fr-FR"/>
                  </w:rPr>
                </w:rPrChange>
              </w:rPr>
              <w:t> 20 x 10</w:t>
            </w:r>
            <w:r w:rsidRPr="005205FF">
              <w:rPr>
                <w:rFonts w:ascii="Times New Roman" w:hAnsi="Times New Roman"/>
                <w:color w:val="000000"/>
                <w:sz w:val="20"/>
                <w:vertAlign w:val="superscript"/>
                <w:lang w:val="fr-FR"/>
                <w:rPrChange w:id="423" w:author="Author">
                  <w:rPr>
                    <w:rFonts w:ascii="Times New Roman" w:hAnsi="Times New Roman"/>
                    <w:color w:val="000000"/>
                    <w:szCs w:val="22"/>
                    <w:vertAlign w:val="superscript"/>
                    <w:lang w:val="fr-FR"/>
                  </w:rPr>
                </w:rPrChange>
              </w:rPr>
              <w:t>9</w:t>
            </w:r>
            <w:r w:rsidRPr="005205FF">
              <w:rPr>
                <w:rFonts w:ascii="Times New Roman" w:hAnsi="Times New Roman"/>
                <w:color w:val="000000"/>
                <w:sz w:val="20"/>
                <w:lang w:val="fr-FR"/>
                <w:rPrChange w:id="424" w:author="Author">
                  <w:rPr>
                    <w:rFonts w:ascii="Times New Roman" w:hAnsi="Times New Roman"/>
                    <w:color w:val="000000"/>
                    <w:szCs w:val="22"/>
                    <w:lang w:val="fr-FR"/>
                  </w:rPr>
                </w:rPrChange>
              </w:rPr>
              <w:t>/</w:t>
            </w:r>
            <w:ins w:id="425" w:author="Author">
              <w:r w:rsidR="00503B83" w:rsidRPr="005205FF">
                <w:rPr>
                  <w:rFonts w:ascii="Times New Roman" w:hAnsi="Times New Roman"/>
                  <w:color w:val="000000"/>
                  <w:sz w:val="20"/>
                  <w:lang w:val="fr-FR"/>
                  <w:rPrChange w:id="426" w:author="Author">
                    <w:rPr>
                      <w:rFonts w:ascii="Times New Roman" w:hAnsi="Times New Roman"/>
                      <w:color w:val="000000"/>
                      <w:szCs w:val="22"/>
                      <w:lang w:val="fr-FR"/>
                    </w:rPr>
                  </w:rPrChange>
                </w:rPr>
                <w:t>L</w:t>
              </w:r>
            </w:ins>
            <w:del w:id="427" w:author="Author">
              <w:r w:rsidRPr="005205FF" w:rsidDel="00503B83">
                <w:rPr>
                  <w:rFonts w:ascii="Times New Roman" w:hAnsi="Times New Roman"/>
                  <w:color w:val="000000"/>
                  <w:sz w:val="20"/>
                  <w:lang w:val="fr-FR"/>
                  <w:rPrChange w:id="428" w:author="Author">
                    <w:rPr>
                      <w:rFonts w:ascii="Times New Roman" w:hAnsi="Times New Roman"/>
                      <w:color w:val="000000"/>
                      <w:szCs w:val="22"/>
                      <w:lang w:val="fr-FR"/>
                    </w:rPr>
                  </w:rPrChange>
                </w:rPr>
                <w:delText>l</w:delText>
              </w:r>
            </w:del>
            <w:r w:rsidRPr="005205FF">
              <w:rPr>
                <w:rFonts w:ascii="Times New Roman" w:hAnsi="Times New Roman"/>
                <w:color w:val="000000"/>
                <w:sz w:val="20"/>
                <w:lang w:val="fr-FR"/>
                <w:rPrChange w:id="429" w:author="Author">
                  <w:rPr>
                    <w:rFonts w:ascii="Times New Roman" w:hAnsi="Times New Roman"/>
                    <w:color w:val="000000"/>
                    <w:szCs w:val="22"/>
                    <w:lang w:val="fr-FR"/>
                  </w:rPr>
                </w:rPrChange>
              </w:rPr>
              <w:t xml:space="preserve"> (uniquement pour les études 0102 et 0109)</w:t>
            </w:r>
          </w:p>
          <w:p w14:paraId="7A6191F2" w14:textId="24135AD7" w:rsidR="00EF4CB3" w:rsidRPr="005205FF" w:rsidRDefault="00EF4CB3" w:rsidP="007F23EE">
            <w:pPr>
              <w:pStyle w:val="TableCarCarCarCarCarCarCarCarCar"/>
              <w:keepNext w:val="0"/>
              <w:keepLines w:val="0"/>
              <w:tabs>
                <w:tab w:val="clear" w:pos="284"/>
              </w:tabs>
              <w:spacing w:before="0"/>
              <w:ind w:left="709" w:hanging="709"/>
              <w:rPr>
                <w:rFonts w:ascii="Times New Roman" w:hAnsi="Times New Roman"/>
                <w:color w:val="000000"/>
                <w:sz w:val="20"/>
                <w:lang w:val="fr-FR"/>
                <w:rPrChange w:id="430" w:author="Author">
                  <w:rPr>
                    <w:rFonts w:ascii="Times New Roman" w:hAnsi="Times New Roman"/>
                    <w:color w:val="000000"/>
                    <w:szCs w:val="22"/>
                    <w:lang w:val="fr-FR"/>
                  </w:rPr>
                </w:rPrChange>
              </w:rPr>
            </w:pPr>
            <w:r w:rsidRPr="005205FF">
              <w:rPr>
                <w:rFonts w:ascii="Times New Roman" w:hAnsi="Times New Roman"/>
                <w:color w:val="000000"/>
                <w:sz w:val="20"/>
                <w:lang w:val="fr-FR"/>
                <w:rPrChange w:id="431" w:author="Author">
                  <w:rPr>
                    <w:rFonts w:ascii="Times New Roman" w:hAnsi="Times New Roman"/>
                    <w:color w:val="000000"/>
                    <w:szCs w:val="22"/>
                    <w:lang w:val="fr-FR"/>
                  </w:rPr>
                </w:rPrChange>
              </w:rPr>
              <w:t>RPC</w:t>
            </w:r>
            <w:r w:rsidRPr="005205FF">
              <w:rPr>
                <w:rFonts w:ascii="Times New Roman" w:hAnsi="Times New Roman"/>
                <w:color w:val="000000"/>
                <w:sz w:val="20"/>
                <w:lang w:val="fr-FR"/>
                <w:rPrChange w:id="432" w:author="Author">
                  <w:rPr>
                    <w:rFonts w:ascii="Times New Roman" w:hAnsi="Times New Roman"/>
                    <w:color w:val="000000"/>
                    <w:szCs w:val="22"/>
                    <w:lang w:val="fr-FR"/>
                  </w:rPr>
                </w:rPrChange>
              </w:rPr>
              <w:tab/>
              <w:t xml:space="preserve">&lt; 15% de blastes dans la MO et le SP, &lt; 30% </w:t>
            </w:r>
            <w:proofErr w:type="spellStart"/>
            <w:r w:rsidRPr="005205FF">
              <w:rPr>
                <w:rFonts w:ascii="Times New Roman" w:hAnsi="Times New Roman"/>
                <w:color w:val="000000"/>
                <w:sz w:val="20"/>
                <w:lang w:val="fr-FR"/>
                <w:rPrChange w:id="433" w:author="Author">
                  <w:rPr>
                    <w:rFonts w:ascii="Times New Roman" w:hAnsi="Times New Roman"/>
                    <w:color w:val="000000"/>
                    <w:szCs w:val="22"/>
                    <w:lang w:val="fr-FR"/>
                  </w:rPr>
                </w:rPrChange>
              </w:rPr>
              <w:t>blastes+promyélocytes</w:t>
            </w:r>
            <w:proofErr w:type="spellEnd"/>
            <w:r w:rsidRPr="005205FF">
              <w:rPr>
                <w:rFonts w:ascii="Times New Roman" w:hAnsi="Times New Roman"/>
                <w:color w:val="000000"/>
                <w:sz w:val="20"/>
                <w:lang w:val="fr-FR"/>
                <w:rPrChange w:id="434" w:author="Author">
                  <w:rPr>
                    <w:rFonts w:ascii="Times New Roman" w:hAnsi="Times New Roman"/>
                    <w:color w:val="000000"/>
                    <w:szCs w:val="22"/>
                    <w:lang w:val="fr-FR"/>
                  </w:rPr>
                </w:rPrChange>
              </w:rPr>
              <w:t xml:space="preserve"> dans la MO et le SP, &lt; 20% basophiles dans le SP, absence d</w:t>
            </w:r>
            <w:r w:rsidR="00813A7A">
              <w:rPr>
                <w:rFonts w:ascii="Times New Roman" w:hAnsi="Times New Roman"/>
                <w:color w:val="000000"/>
                <w:sz w:val="20"/>
                <w:lang w:val="fr-FR"/>
              </w:rPr>
              <w:t>’</w:t>
            </w:r>
            <w:r w:rsidRPr="005205FF">
              <w:rPr>
                <w:rFonts w:ascii="Times New Roman" w:hAnsi="Times New Roman"/>
                <w:color w:val="000000"/>
                <w:sz w:val="20"/>
                <w:lang w:val="fr-FR"/>
                <w:rPrChange w:id="435" w:author="Author">
                  <w:rPr>
                    <w:rFonts w:ascii="Times New Roman" w:hAnsi="Times New Roman"/>
                    <w:color w:val="000000"/>
                    <w:szCs w:val="22"/>
                    <w:lang w:val="fr-FR"/>
                  </w:rPr>
                </w:rPrChange>
              </w:rPr>
              <w:t xml:space="preserve">atteinte </w:t>
            </w:r>
            <w:proofErr w:type="spellStart"/>
            <w:r w:rsidRPr="005205FF">
              <w:rPr>
                <w:rFonts w:ascii="Times New Roman" w:hAnsi="Times New Roman"/>
                <w:color w:val="000000"/>
                <w:sz w:val="20"/>
                <w:lang w:val="fr-FR"/>
                <w:rPrChange w:id="436" w:author="Author">
                  <w:rPr>
                    <w:rFonts w:ascii="Times New Roman" w:hAnsi="Times New Roman"/>
                    <w:color w:val="000000"/>
                    <w:szCs w:val="22"/>
                    <w:lang w:val="fr-FR"/>
                  </w:rPr>
                </w:rPrChange>
              </w:rPr>
              <w:t>extramédullaire</w:t>
            </w:r>
            <w:proofErr w:type="spellEnd"/>
            <w:r w:rsidRPr="005205FF">
              <w:rPr>
                <w:rFonts w:ascii="Times New Roman" w:hAnsi="Times New Roman"/>
                <w:color w:val="000000"/>
                <w:sz w:val="20"/>
                <w:lang w:val="fr-FR"/>
                <w:rPrChange w:id="437" w:author="Author">
                  <w:rPr>
                    <w:rFonts w:ascii="Times New Roman" w:hAnsi="Times New Roman"/>
                    <w:color w:val="000000"/>
                    <w:szCs w:val="22"/>
                    <w:lang w:val="fr-FR"/>
                  </w:rPr>
                </w:rPrChange>
              </w:rPr>
              <w:t xml:space="preserve"> en dehors de la rate et du foie (uniquement pour les études 0102 et 0109).</w:t>
            </w:r>
          </w:p>
          <w:p w14:paraId="0C28F7DD" w14:textId="77777777" w:rsidR="00EF4CB3" w:rsidRPr="005205FF" w:rsidRDefault="00EF4CB3" w:rsidP="007F23EE">
            <w:pPr>
              <w:pStyle w:val="TableCarCarCarCarCarCarCarCarCar"/>
              <w:keepNext w:val="0"/>
              <w:keepLines w:val="0"/>
              <w:tabs>
                <w:tab w:val="clear" w:pos="284"/>
              </w:tabs>
              <w:spacing w:before="0"/>
              <w:ind w:left="567" w:hanging="567"/>
              <w:rPr>
                <w:rFonts w:ascii="Times New Roman" w:hAnsi="Times New Roman"/>
                <w:color w:val="000000"/>
                <w:sz w:val="20"/>
                <w:lang w:val="fr-FR"/>
                <w:rPrChange w:id="438" w:author="Author">
                  <w:rPr>
                    <w:rFonts w:ascii="Times New Roman" w:hAnsi="Times New Roman"/>
                    <w:color w:val="000000"/>
                    <w:szCs w:val="22"/>
                    <w:lang w:val="fr-FR"/>
                  </w:rPr>
                </w:rPrChange>
              </w:rPr>
            </w:pPr>
            <w:r w:rsidRPr="005205FF">
              <w:rPr>
                <w:rFonts w:ascii="Times New Roman" w:hAnsi="Times New Roman"/>
                <w:color w:val="000000"/>
                <w:sz w:val="20"/>
                <w:lang w:val="fr-FR"/>
                <w:rPrChange w:id="439" w:author="Author">
                  <w:rPr>
                    <w:rFonts w:ascii="Times New Roman" w:hAnsi="Times New Roman"/>
                    <w:color w:val="000000"/>
                    <w:szCs w:val="22"/>
                    <w:lang w:val="fr-FR"/>
                  </w:rPr>
                </w:rPrChange>
              </w:rPr>
              <w:t>MO = moelle osseuse, SP = sang périphérique</w:t>
            </w:r>
          </w:p>
          <w:p w14:paraId="1AB99202" w14:textId="61603421" w:rsidR="00EF4CB3" w:rsidRPr="005205FF" w:rsidRDefault="00EF4CB3" w:rsidP="007F23EE">
            <w:pPr>
              <w:pStyle w:val="TableCarCarCarCarCarCarCarCarCar"/>
              <w:keepNext w:val="0"/>
              <w:keepLines w:val="0"/>
              <w:tabs>
                <w:tab w:val="clear" w:pos="284"/>
              </w:tabs>
              <w:spacing w:before="0"/>
              <w:rPr>
                <w:rFonts w:ascii="Times New Roman" w:hAnsi="Times New Roman"/>
                <w:color w:val="000000"/>
                <w:sz w:val="20"/>
                <w:lang w:val="fr-FR"/>
                <w:rPrChange w:id="440" w:author="Author">
                  <w:rPr>
                    <w:rFonts w:ascii="Times New Roman" w:hAnsi="Times New Roman"/>
                    <w:color w:val="000000"/>
                    <w:szCs w:val="22"/>
                    <w:lang w:val="fr-FR"/>
                  </w:rPr>
                </w:rPrChange>
              </w:rPr>
            </w:pPr>
            <w:r w:rsidRPr="005205FF">
              <w:rPr>
                <w:rFonts w:ascii="Times New Roman" w:hAnsi="Times New Roman"/>
                <w:color w:val="000000"/>
                <w:sz w:val="20"/>
                <w:vertAlign w:val="superscript"/>
                <w:lang w:val="fr-FR"/>
                <w:rPrChange w:id="441" w:author="Author">
                  <w:rPr>
                    <w:rFonts w:ascii="Times New Roman" w:hAnsi="Times New Roman"/>
                    <w:color w:val="000000"/>
                    <w:szCs w:val="22"/>
                    <w:vertAlign w:val="superscript"/>
                    <w:lang w:val="fr-FR"/>
                  </w:rPr>
                </w:rPrChange>
              </w:rPr>
              <w:t>2</w:t>
            </w:r>
            <w:ins w:id="442" w:author="Author">
              <w:r w:rsidR="00653BF6">
                <w:rPr>
                  <w:rFonts w:ascii="Times New Roman" w:hAnsi="Times New Roman"/>
                  <w:color w:val="000000"/>
                  <w:sz w:val="20"/>
                  <w:vertAlign w:val="superscript"/>
                  <w:lang w:val="fr-FR"/>
                </w:rPr>
                <w:t xml:space="preserve"> </w:t>
              </w:r>
            </w:ins>
            <w:r w:rsidRPr="005205FF">
              <w:rPr>
                <w:rFonts w:ascii="Times New Roman" w:hAnsi="Times New Roman"/>
                <w:b/>
                <w:color w:val="000000"/>
                <w:sz w:val="20"/>
                <w:lang w:val="fr-FR"/>
                <w:rPrChange w:id="443" w:author="Author">
                  <w:rPr>
                    <w:rFonts w:ascii="Times New Roman" w:hAnsi="Times New Roman"/>
                    <w:b/>
                    <w:color w:val="000000"/>
                    <w:szCs w:val="22"/>
                    <w:lang w:val="fr-FR"/>
                  </w:rPr>
                </w:rPrChange>
              </w:rPr>
              <w:t>Critères de réponse cytogénétique :</w:t>
            </w:r>
          </w:p>
          <w:p w14:paraId="5C231D75" w14:textId="77777777" w:rsidR="00EF4CB3" w:rsidRPr="005205FF" w:rsidRDefault="00EF4CB3" w:rsidP="007F23EE">
            <w:pPr>
              <w:pStyle w:val="EndnoteText"/>
              <w:tabs>
                <w:tab w:val="clear" w:pos="567"/>
              </w:tabs>
              <w:rPr>
                <w:color w:val="000000"/>
                <w:sz w:val="20"/>
                <w:lang w:val="fr-FR"/>
                <w:rPrChange w:id="444" w:author="Author">
                  <w:rPr>
                    <w:color w:val="000000"/>
                    <w:szCs w:val="22"/>
                    <w:lang w:val="fr-FR"/>
                  </w:rPr>
                </w:rPrChange>
              </w:rPr>
            </w:pPr>
            <w:r w:rsidRPr="005205FF">
              <w:rPr>
                <w:color w:val="000000"/>
                <w:sz w:val="20"/>
                <w:lang w:val="fr-FR"/>
                <w:rPrChange w:id="445" w:author="Author">
                  <w:rPr>
                    <w:color w:val="000000"/>
                    <w:szCs w:val="22"/>
                    <w:lang w:val="fr-FR"/>
                  </w:rPr>
                </w:rPrChange>
              </w:rPr>
              <w:t>Une réponse majeure englobe les réponses complètes et partielles : Complète (0% métaphases Ph+), partielle (1–35%)</w:t>
            </w:r>
            <w:del w:id="446" w:author="Author">
              <w:r w:rsidRPr="005205FF" w:rsidDel="00AB5C43">
                <w:rPr>
                  <w:color w:val="000000"/>
                  <w:sz w:val="20"/>
                  <w:lang w:val="fr-FR"/>
                  <w:rPrChange w:id="447" w:author="Author">
                    <w:rPr>
                      <w:color w:val="000000"/>
                      <w:szCs w:val="22"/>
                      <w:lang w:val="fr-FR"/>
                    </w:rPr>
                  </w:rPrChange>
                </w:rPr>
                <w:delText>,.</w:delText>
              </w:r>
            </w:del>
          </w:p>
          <w:p w14:paraId="4A2DFD53" w14:textId="5CF43B59" w:rsidR="00EF4CB3" w:rsidRPr="00653BF6" w:rsidRDefault="00EF4CB3" w:rsidP="007F23EE">
            <w:pPr>
              <w:pStyle w:val="EndnoteText"/>
              <w:tabs>
                <w:tab w:val="clear" w:pos="567"/>
              </w:tabs>
              <w:rPr>
                <w:color w:val="000000"/>
                <w:szCs w:val="22"/>
                <w:lang w:val="fr-FR"/>
              </w:rPr>
            </w:pPr>
            <w:r w:rsidRPr="005205FF">
              <w:rPr>
                <w:color w:val="000000"/>
                <w:sz w:val="20"/>
                <w:vertAlign w:val="superscript"/>
                <w:lang w:val="fr-FR"/>
                <w:rPrChange w:id="448" w:author="Author">
                  <w:rPr>
                    <w:color w:val="000000"/>
                    <w:szCs w:val="22"/>
                    <w:vertAlign w:val="superscript"/>
                    <w:lang w:val="fr-FR"/>
                  </w:rPr>
                </w:rPrChange>
              </w:rPr>
              <w:t>3</w:t>
            </w:r>
            <w:ins w:id="449" w:author="Author">
              <w:r w:rsidR="00653BF6">
                <w:rPr>
                  <w:color w:val="000000"/>
                  <w:sz w:val="20"/>
                  <w:vertAlign w:val="superscript"/>
                  <w:lang w:val="fr-FR"/>
                </w:rPr>
                <w:t xml:space="preserve"> </w:t>
              </w:r>
            </w:ins>
            <w:r w:rsidRPr="005205FF">
              <w:rPr>
                <w:color w:val="000000"/>
                <w:sz w:val="20"/>
                <w:lang w:val="fr-FR"/>
                <w:rPrChange w:id="450" w:author="Author">
                  <w:rPr>
                    <w:color w:val="000000"/>
                    <w:szCs w:val="22"/>
                    <w:lang w:val="fr-FR"/>
                  </w:rPr>
                </w:rPrChange>
              </w:rPr>
              <w:t>Réponse complète cytogénétique confirmée par une seconde évaluation cytogénétique de la moelle osseuse réalisée au moins un mois après l’étude initiale de moelle osseuse.</w:t>
            </w:r>
          </w:p>
        </w:tc>
      </w:tr>
    </w:tbl>
    <w:p w14:paraId="2B4D92BA" w14:textId="77777777" w:rsidR="00EF4CB3" w:rsidRPr="00653BF6" w:rsidRDefault="00EF4CB3" w:rsidP="007F23EE">
      <w:pPr>
        <w:pStyle w:val="EndnoteText"/>
        <w:tabs>
          <w:tab w:val="clear" w:pos="567"/>
        </w:tabs>
        <w:rPr>
          <w:color w:val="000000"/>
          <w:szCs w:val="22"/>
          <w:lang w:val="fr-FR"/>
        </w:rPr>
      </w:pPr>
    </w:p>
    <w:p w14:paraId="220B5B57" w14:textId="55123137" w:rsidR="0028607D" w:rsidRPr="00653BF6" w:rsidRDefault="00EF4CB3" w:rsidP="007F23EE">
      <w:pPr>
        <w:pStyle w:val="EndnoteText"/>
        <w:keepNext/>
        <w:rPr>
          <w:i/>
          <w:color w:val="000000"/>
          <w:szCs w:val="22"/>
          <w:u w:val="single"/>
          <w:lang w:val="fr-FR"/>
        </w:rPr>
      </w:pPr>
      <w:r w:rsidRPr="00653BF6">
        <w:rPr>
          <w:i/>
          <w:color w:val="000000"/>
          <w:szCs w:val="22"/>
          <w:u w:val="single"/>
          <w:lang w:val="fr-FR"/>
        </w:rPr>
        <w:lastRenderedPageBreak/>
        <w:t>P</w:t>
      </w:r>
      <w:r w:rsidR="00A010F3" w:rsidRPr="00653BF6">
        <w:rPr>
          <w:i/>
          <w:color w:val="000000"/>
          <w:szCs w:val="22"/>
          <w:u w:val="single"/>
          <w:lang w:val="fr-FR"/>
        </w:rPr>
        <w:t>opulation</w:t>
      </w:r>
      <w:r w:rsidRPr="00653BF6">
        <w:rPr>
          <w:i/>
          <w:color w:val="000000"/>
          <w:szCs w:val="22"/>
          <w:u w:val="single"/>
          <w:lang w:val="fr-FR"/>
        </w:rPr>
        <w:t xml:space="preserve"> pédiatrique</w:t>
      </w:r>
    </w:p>
    <w:p w14:paraId="5A02C4FB" w14:textId="69754D56" w:rsidR="00EF4CB3" w:rsidRPr="00653BF6" w:rsidRDefault="00EF4CB3" w:rsidP="007F23EE">
      <w:pPr>
        <w:pStyle w:val="EndnoteText"/>
        <w:rPr>
          <w:color w:val="000000"/>
          <w:szCs w:val="22"/>
          <w:lang w:val="fr-FR"/>
        </w:rPr>
      </w:pPr>
      <w:r w:rsidRPr="00653BF6">
        <w:rPr>
          <w:color w:val="000000"/>
          <w:szCs w:val="22"/>
          <w:lang w:val="fr-FR"/>
        </w:rPr>
        <w:t>Un total de 26 patients pédiatriques âgés de moins de 18 ans, présentant une LMC en phase chronique (n</w:t>
      </w:r>
      <w:ins w:id="451" w:author="Author">
        <w:r w:rsidR="007D7517" w:rsidRPr="00653BF6">
          <w:rPr>
            <w:color w:val="000000"/>
            <w:szCs w:val="22"/>
            <w:lang w:val="fr-FR"/>
          </w:rPr>
          <w:t> </w:t>
        </w:r>
      </w:ins>
      <w:r w:rsidRPr="00653BF6">
        <w:rPr>
          <w:color w:val="000000"/>
          <w:szCs w:val="22"/>
          <w:lang w:val="fr-FR"/>
        </w:rPr>
        <w:t>=</w:t>
      </w:r>
      <w:ins w:id="452" w:author="Author">
        <w:r w:rsidR="007D7517" w:rsidRPr="00653BF6">
          <w:rPr>
            <w:color w:val="000000"/>
            <w:szCs w:val="22"/>
            <w:lang w:val="fr-FR"/>
          </w:rPr>
          <w:t> </w:t>
        </w:r>
      </w:ins>
      <w:r w:rsidRPr="00653BF6">
        <w:rPr>
          <w:color w:val="000000"/>
          <w:szCs w:val="22"/>
          <w:lang w:val="fr-FR"/>
        </w:rPr>
        <w:t>11) ou une LMC en crise blastique ou une leucémie aiguë Ph+ (n</w:t>
      </w:r>
      <w:ins w:id="453" w:author="Author">
        <w:r w:rsidR="007D7517" w:rsidRPr="00653BF6">
          <w:rPr>
            <w:color w:val="000000"/>
            <w:szCs w:val="22"/>
            <w:lang w:val="fr-FR"/>
          </w:rPr>
          <w:t> </w:t>
        </w:r>
      </w:ins>
      <w:r w:rsidRPr="00653BF6">
        <w:rPr>
          <w:color w:val="000000"/>
          <w:szCs w:val="22"/>
          <w:lang w:val="fr-FR"/>
        </w:rPr>
        <w:t>=</w:t>
      </w:r>
      <w:ins w:id="454" w:author="Author">
        <w:r w:rsidR="007D7517" w:rsidRPr="00653BF6">
          <w:rPr>
            <w:color w:val="000000"/>
            <w:szCs w:val="22"/>
            <w:lang w:val="fr-FR"/>
          </w:rPr>
          <w:t> </w:t>
        </w:r>
      </w:ins>
      <w:r w:rsidRPr="00653BF6">
        <w:rPr>
          <w:color w:val="000000"/>
          <w:szCs w:val="22"/>
          <w:lang w:val="fr-FR"/>
        </w:rPr>
        <w:t>15), ont été recrutés dans une étude de phase I avec escalade de doses. Il s'agissait d</w:t>
      </w:r>
      <w:r w:rsidR="00813A7A">
        <w:rPr>
          <w:color w:val="000000"/>
          <w:szCs w:val="22"/>
          <w:lang w:val="fr-FR"/>
        </w:rPr>
        <w:t>’</w:t>
      </w:r>
      <w:r w:rsidRPr="00653BF6">
        <w:rPr>
          <w:color w:val="000000"/>
          <w:szCs w:val="22"/>
          <w:lang w:val="fr-FR"/>
        </w:rPr>
        <w:t>une population de patients lourdement prétraités, dans la mesure où 46% avaient déjà bénéficié d</w:t>
      </w:r>
      <w:r w:rsidR="00813A7A">
        <w:rPr>
          <w:color w:val="000000"/>
          <w:szCs w:val="22"/>
          <w:lang w:val="fr-FR"/>
        </w:rPr>
        <w:t>’</w:t>
      </w:r>
      <w:r w:rsidRPr="00653BF6">
        <w:rPr>
          <w:color w:val="000000"/>
          <w:szCs w:val="22"/>
          <w:lang w:val="fr-FR"/>
        </w:rPr>
        <w:t>une transplantation médullaire et 73% d</w:t>
      </w:r>
      <w:r w:rsidR="00813A7A">
        <w:rPr>
          <w:color w:val="000000"/>
          <w:szCs w:val="22"/>
          <w:lang w:val="fr-FR"/>
        </w:rPr>
        <w:t>’</w:t>
      </w:r>
      <w:r w:rsidRPr="00653BF6">
        <w:rPr>
          <w:color w:val="000000"/>
          <w:szCs w:val="22"/>
          <w:lang w:val="fr-FR"/>
        </w:rPr>
        <w:t>une polychimiothérapie. Les doses de Glivec administrées étaient de 260 mg/m</w:t>
      </w:r>
      <w:r w:rsidRPr="00653BF6">
        <w:rPr>
          <w:color w:val="000000"/>
          <w:szCs w:val="22"/>
          <w:vertAlign w:val="superscript"/>
          <w:lang w:val="fr-FR"/>
        </w:rPr>
        <w:t>2</w:t>
      </w:r>
      <w:r w:rsidRPr="00653BF6">
        <w:rPr>
          <w:color w:val="000000"/>
          <w:szCs w:val="22"/>
          <w:lang w:val="fr-FR"/>
        </w:rPr>
        <w:t>/jour (n</w:t>
      </w:r>
      <w:ins w:id="455" w:author="Author">
        <w:r w:rsidR="007D7517" w:rsidRPr="00653BF6">
          <w:rPr>
            <w:color w:val="000000"/>
            <w:szCs w:val="22"/>
            <w:lang w:val="fr-FR"/>
          </w:rPr>
          <w:t> </w:t>
        </w:r>
      </w:ins>
      <w:r w:rsidRPr="00653BF6">
        <w:rPr>
          <w:color w:val="000000"/>
          <w:szCs w:val="22"/>
          <w:lang w:val="fr-FR"/>
        </w:rPr>
        <w:t>=</w:t>
      </w:r>
      <w:ins w:id="456" w:author="Author">
        <w:r w:rsidR="007D7517" w:rsidRPr="00653BF6">
          <w:rPr>
            <w:color w:val="000000"/>
            <w:szCs w:val="22"/>
            <w:lang w:val="fr-FR"/>
          </w:rPr>
          <w:t> </w:t>
        </w:r>
      </w:ins>
      <w:r w:rsidRPr="00653BF6">
        <w:rPr>
          <w:color w:val="000000"/>
          <w:szCs w:val="22"/>
          <w:lang w:val="fr-FR"/>
        </w:rPr>
        <w:t>5), 340 mg/m</w:t>
      </w:r>
      <w:r w:rsidRPr="00653BF6">
        <w:rPr>
          <w:color w:val="000000"/>
          <w:szCs w:val="22"/>
          <w:vertAlign w:val="superscript"/>
          <w:lang w:val="fr-FR"/>
        </w:rPr>
        <w:t>2</w:t>
      </w:r>
      <w:r w:rsidRPr="00653BF6">
        <w:rPr>
          <w:color w:val="000000"/>
          <w:szCs w:val="22"/>
          <w:lang w:val="fr-FR"/>
        </w:rPr>
        <w:t>/jour (n</w:t>
      </w:r>
      <w:ins w:id="457" w:author="Author">
        <w:r w:rsidR="007D7517" w:rsidRPr="00653BF6">
          <w:rPr>
            <w:color w:val="000000"/>
            <w:szCs w:val="22"/>
            <w:lang w:val="fr-FR"/>
          </w:rPr>
          <w:t> </w:t>
        </w:r>
      </w:ins>
      <w:r w:rsidRPr="00653BF6">
        <w:rPr>
          <w:color w:val="000000"/>
          <w:szCs w:val="22"/>
          <w:lang w:val="fr-FR"/>
        </w:rPr>
        <w:t>=</w:t>
      </w:r>
      <w:ins w:id="458" w:author="Author">
        <w:r w:rsidR="007D7517" w:rsidRPr="00653BF6">
          <w:rPr>
            <w:color w:val="000000"/>
            <w:szCs w:val="22"/>
            <w:lang w:val="fr-FR"/>
          </w:rPr>
          <w:t> </w:t>
        </w:r>
      </w:ins>
      <w:r w:rsidRPr="00653BF6">
        <w:rPr>
          <w:color w:val="000000"/>
          <w:szCs w:val="22"/>
          <w:lang w:val="fr-FR"/>
        </w:rPr>
        <w:t>9), 440 mg/m</w:t>
      </w:r>
      <w:r w:rsidRPr="00653BF6">
        <w:rPr>
          <w:color w:val="000000"/>
          <w:szCs w:val="22"/>
          <w:vertAlign w:val="superscript"/>
          <w:lang w:val="fr-FR"/>
        </w:rPr>
        <w:t>2</w:t>
      </w:r>
      <w:r w:rsidRPr="00653BF6">
        <w:rPr>
          <w:color w:val="000000"/>
          <w:szCs w:val="22"/>
          <w:lang w:val="fr-FR"/>
        </w:rPr>
        <w:t>/jour (n</w:t>
      </w:r>
      <w:ins w:id="459" w:author="Author">
        <w:r w:rsidR="007D7517" w:rsidRPr="00653BF6">
          <w:rPr>
            <w:color w:val="000000"/>
            <w:szCs w:val="22"/>
            <w:lang w:val="fr-FR"/>
          </w:rPr>
          <w:t> </w:t>
        </w:r>
      </w:ins>
      <w:r w:rsidRPr="00653BF6">
        <w:rPr>
          <w:color w:val="000000"/>
          <w:szCs w:val="22"/>
          <w:lang w:val="fr-FR"/>
        </w:rPr>
        <w:t>=</w:t>
      </w:r>
      <w:ins w:id="460" w:author="Author">
        <w:r w:rsidR="007D7517" w:rsidRPr="00653BF6">
          <w:rPr>
            <w:color w:val="000000"/>
            <w:szCs w:val="22"/>
            <w:lang w:val="fr-FR"/>
          </w:rPr>
          <w:t> </w:t>
        </w:r>
      </w:ins>
      <w:r w:rsidRPr="00653BF6">
        <w:rPr>
          <w:color w:val="000000"/>
          <w:szCs w:val="22"/>
          <w:lang w:val="fr-FR"/>
        </w:rPr>
        <w:t>7) et 570 mg/m</w:t>
      </w:r>
      <w:r w:rsidRPr="00653BF6">
        <w:rPr>
          <w:color w:val="000000"/>
          <w:szCs w:val="22"/>
          <w:vertAlign w:val="superscript"/>
          <w:lang w:val="fr-FR"/>
        </w:rPr>
        <w:t>2</w:t>
      </w:r>
      <w:r w:rsidRPr="00653BF6">
        <w:rPr>
          <w:color w:val="000000"/>
          <w:szCs w:val="22"/>
          <w:lang w:val="fr-FR"/>
        </w:rPr>
        <w:t>/jour (n</w:t>
      </w:r>
      <w:ins w:id="461" w:author="Author">
        <w:r w:rsidR="007D7517" w:rsidRPr="00653BF6">
          <w:rPr>
            <w:color w:val="000000"/>
            <w:szCs w:val="22"/>
            <w:lang w:val="fr-FR"/>
          </w:rPr>
          <w:t> </w:t>
        </w:r>
      </w:ins>
      <w:r w:rsidRPr="00653BF6">
        <w:rPr>
          <w:color w:val="000000"/>
          <w:szCs w:val="22"/>
          <w:lang w:val="fr-FR"/>
        </w:rPr>
        <w:t>=</w:t>
      </w:r>
      <w:ins w:id="462" w:author="Author">
        <w:r w:rsidR="007D7517" w:rsidRPr="00653BF6">
          <w:rPr>
            <w:color w:val="000000"/>
            <w:szCs w:val="22"/>
            <w:lang w:val="fr-FR"/>
          </w:rPr>
          <w:t> </w:t>
        </w:r>
      </w:ins>
      <w:r w:rsidRPr="00653BF6">
        <w:rPr>
          <w:color w:val="000000"/>
          <w:szCs w:val="22"/>
          <w:lang w:val="fr-FR"/>
        </w:rPr>
        <w:t xml:space="preserve">5). Parmi les 9 patients atteints de LMC en phase chronique dont les données cytogénétiques sont disponibles, 4 (44%) ont obtenu une réponse cytogénétique complète et 3 (33%) une réponse cytogénétique partielle, pour un taux de </w:t>
      </w:r>
      <w:proofErr w:type="spellStart"/>
      <w:r w:rsidRPr="00653BF6">
        <w:rPr>
          <w:color w:val="000000"/>
          <w:szCs w:val="22"/>
          <w:lang w:val="fr-FR"/>
        </w:rPr>
        <w:t>RCyM</w:t>
      </w:r>
      <w:proofErr w:type="spellEnd"/>
      <w:r w:rsidRPr="00653BF6">
        <w:rPr>
          <w:color w:val="000000"/>
          <w:szCs w:val="22"/>
          <w:lang w:val="fr-FR"/>
        </w:rPr>
        <w:t xml:space="preserve"> de 77%.</w:t>
      </w:r>
    </w:p>
    <w:p w14:paraId="374BC21A" w14:textId="77777777" w:rsidR="00EF4CB3" w:rsidRPr="00653BF6" w:rsidRDefault="00EF4CB3" w:rsidP="007F23EE">
      <w:pPr>
        <w:pStyle w:val="EndnoteText"/>
        <w:rPr>
          <w:color w:val="000000"/>
          <w:szCs w:val="22"/>
          <w:lang w:val="fr-FR"/>
        </w:rPr>
      </w:pPr>
    </w:p>
    <w:p w14:paraId="70622F04" w14:textId="77777777" w:rsidR="00EF4CB3" w:rsidRPr="00653BF6" w:rsidRDefault="00EF4CB3" w:rsidP="007F23EE">
      <w:pPr>
        <w:pStyle w:val="EndnoteText"/>
        <w:rPr>
          <w:color w:val="000000"/>
          <w:szCs w:val="22"/>
          <w:lang w:val="fr-FR"/>
        </w:rPr>
      </w:pPr>
      <w:r w:rsidRPr="00653BF6">
        <w:rPr>
          <w:color w:val="000000"/>
          <w:szCs w:val="22"/>
          <w:lang w:val="fr-FR"/>
        </w:rPr>
        <w:t xml:space="preserve">Un total de 51 patients pédiatriques atteints d’une LMC en phase chronique nouvellement diagnostiquée non traitée </w:t>
      </w:r>
      <w:proofErr w:type="gramStart"/>
      <w:r w:rsidRPr="00653BF6">
        <w:rPr>
          <w:color w:val="000000"/>
          <w:szCs w:val="22"/>
          <w:lang w:val="fr-FR"/>
        </w:rPr>
        <w:t>ont</w:t>
      </w:r>
      <w:proofErr w:type="gramEnd"/>
      <w:r w:rsidRPr="00653BF6">
        <w:rPr>
          <w:color w:val="000000"/>
          <w:szCs w:val="22"/>
          <w:lang w:val="fr-FR"/>
        </w:rPr>
        <w:t xml:space="preserve"> été inclus dans une étude de phase II avec un seul bras, multicentrique en ouvert. Ces enfants étaient traités par Glivec à la dose de 340 mg/m</w:t>
      </w:r>
      <w:r w:rsidRPr="00653BF6">
        <w:rPr>
          <w:color w:val="000000"/>
          <w:szCs w:val="22"/>
          <w:vertAlign w:val="superscript"/>
          <w:lang w:val="fr-FR"/>
        </w:rPr>
        <w:t>2</w:t>
      </w:r>
      <w:r w:rsidRPr="00653BF6">
        <w:rPr>
          <w:color w:val="000000"/>
          <w:szCs w:val="22"/>
          <w:lang w:val="fr-FR"/>
        </w:rPr>
        <w:t>/jour, sans interruption de traitement due à une toxicité dose limitante. Le traitement par Glivec induit une réponse rapide chez les patients pédiatriques atteints de LMC nouvellement diagnostiqués avec une RCH de 78% après 8 semaines de traitement. Le taux élevé de RCH s’accompagne d’une réponse complète cytogénétique de 65% qui est comparable aux résultats observés chez les adultes. De plus, une réponse cytogénétique partielle était observée à un taux de 16% pour un taux de 81% de réponses cytogénétiques majeures. La majorité des patients qui ont atteint une réponse cytogénétique complète ont développé cette réponse entre 3 et 10 mois avec une estimation selon Kaplan-Meier de la durée médiane de réponse à 5,6 mois.</w:t>
      </w:r>
    </w:p>
    <w:p w14:paraId="01B2A8EA" w14:textId="77777777" w:rsidR="00EF4CB3" w:rsidRPr="00653BF6" w:rsidRDefault="00EF4CB3" w:rsidP="007F23EE">
      <w:pPr>
        <w:pStyle w:val="EndnoteText"/>
        <w:rPr>
          <w:color w:val="000000"/>
          <w:szCs w:val="22"/>
          <w:lang w:val="fr-FR"/>
        </w:rPr>
      </w:pPr>
    </w:p>
    <w:p w14:paraId="3E06C13F" w14:textId="570D1BCB" w:rsidR="00EF4CB3" w:rsidRPr="00653BF6" w:rsidRDefault="00EF4CB3" w:rsidP="007F23EE">
      <w:pPr>
        <w:pStyle w:val="EndnoteText"/>
        <w:rPr>
          <w:color w:val="000000"/>
          <w:szCs w:val="22"/>
          <w:lang w:val="fr-FR"/>
        </w:rPr>
      </w:pPr>
      <w:r w:rsidRPr="00653BF6">
        <w:rPr>
          <w:color w:val="000000"/>
          <w:szCs w:val="22"/>
          <w:lang w:val="fr-FR"/>
        </w:rPr>
        <w:t xml:space="preserve">L’Agence européenne des médicaments a accordé une dérogation à l’obligation de soumettre les résultats d’études réalisées avec Glivec dans tous les sous-groupes de la population pédiatrique atteinte de leucémie myéloïde chronique chromosome Philadelphie positive (translocation </w:t>
      </w:r>
      <w:proofErr w:type="spellStart"/>
      <w:r w:rsidRPr="00653BF6">
        <w:rPr>
          <w:color w:val="000000"/>
          <w:szCs w:val="22"/>
          <w:lang w:val="fr-FR"/>
        </w:rPr>
        <w:t>bcr-abl</w:t>
      </w:r>
      <w:proofErr w:type="spellEnd"/>
      <w:r w:rsidRPr="00653BF6">
        <w:rPr>
          <w:color w:val="000000"/>
          <w:szCs w:val="22"/>
          <w:lang w:val="fr-FR"/>
        </w:rPr>
        <w:t>) (voir rubrique</w:t>
      </w:r>
      <w:r w:rsidR="002F003A" w:rsidRPr="00653BF6">
        <w:rPr>
          <w:color w:val="000000"/>
          <w:szCs w:val="22"/>
          <w:lang w:val="fr-FR"/>
        </w:rPr>
        <w:t> </w:t>
      </w:r>
      <w:r w:rsidRPr="00653BF6">
        <w:rPr>
          <w:color w:val="000000"/>
          <w:szCs w:val="22"/>
          <w:lang w:val="fr-FR"/>
        </w:rPr>
        <w:t>4.2 pour les informations concernant l’usage pédiatrique).</w:t>
      </w:r>
    </w:p>
    <w:p w14:paraId="2430561F" w14:textId="77777777" w:rsidR="00EF4CB3" w:rsidRPr="00653BF6" w:rsidRDefault="00EF4CB3" w:rsidP="007F23EE">
      <w:pPr>
        <w:pStyle w:val="EndnoteText"/>
        <w:rPr>
          <w:color w:val="000000"/>
          <w:szCs w:val="22"/>
          <w:lang w:val="fr-FR"/>
        </w:rPr>
      </w:pPr>
    </w:p>
    <w:p w14:paraId="6D64B1A2" w14:textId="7DF0B535" w:rsidR="00EF4CB3" w:rsidRPr="00653BF6" w:rsidRDefault="00EF4CB3" w:rsidP="007F23EE">
      <w:pPr>
        <w:pStyle w:val="EndnoteText"/>
        <w:keepNext/>
        <w:rPr>
          <w:color w:val="000000"/>
          <w:szCs w:val="22"/>
          <w:u w:val="single"/>
          <w:lang w:val="fr-FR"/>
        </w:rPr>
      </w:pPr>
      <w:r w:rsidRPr="00653BF6">
        <w:rPr>
          <w:color w:val="000000"/>
          <w:szCs w:val="22"/>
          <w:u w:val="single"/>
          <w:lang w:val="fr-FR"/>
        </w:rPr>
        <w:t>Etudes cliniques dans la LAL Ph+</w:t>
      </w:r>
    </w:p>
    <w:p w14:paraId="1664AC2A" w14:textId="77777777" w:rsidR="0028607D" w:rsidRPr="00653BF6" w:rsidRDefault="0028607D" w:rsidP="007F23EE">
      <w:pPr>
        <w:pStyle w:val="EndnoteText"/>
        <w:keepNext/>
        <w:rPr>
          <w:color w:val="000000"/>
          <w:szCs w:val="22"/>
          <w:u w:val="single"/>
          <w:lang w:val="fr-FR"/>
        </w:rPr>
      </w:pPr>
    </w:p>
    <w:p w14:paraId="01D82CCC" w14:textId="1CCD2874" w:rsidR="0028607D" w:rsidRPr="00653BF6" w:rsidRDefault="00EF4CB3" w:rsidP="007F23EE">
      <w:pPr>
        <w:pStyle w:val="EndnoteText"/>
        <w:keepNext/>
        <w:rPr>
          <w:color w:val="000000"/>
          <w:szCs w:val="22"/>
          <w:u w:val="single"/>
          <w:lang w:val="fr-FR"/>
        </w:rPr>
      </w:pPr>
      <w:r w:rsidRPr="00653BF6">
        <w:rPr>
          <w:i/>
          <w:color w:val="000000"/>
          <w:szCs w:val="22"/>
          <w:u w:val="single"/>
          <w:lang w:val="fr-FR"/>
        </w:rPr>
        <w:t>LAL Ph+ nouvellement diagnostiquée</w:t>
      </w:r>
    </w:p>
    <w:p w14:paraId="4AFF93E7" w14:textId="1395F9EA" w:rsidR="00EF4CB3" w:rsidRPr="00653BF6" w:rsidRDefault="0028607D" w:rsidP="007F23EE">
      <w:pPr>
        <w:pStyle w:val="EndnoteText"/>
        <w:rPr>
          <w:color w:val="000000"/>
          <w:szCs w:val="22"/>
          <w:lang w:val="fr-FR"/>
        </w:rPr>
      </w:pPr>
      <w:r w:rsidRPr="00653BF6">
        <w:rPr>
          <w:color w:val="000000"/>
          <w:szCs w:val="22"/>
          <w:lang w:val="fr-FR"/>
        </w:rPr>
        <w:t>D</w:t>
      </w:r>
      <w:r w:rsidR="00EF4CB3" w:rsidRPr="00653BF6">
        <w:rPr>
          <w:color w:val="000000"/>
          <w:szCs w:val="22"/>
          <w:lang w:val="fr-FR"/>
        </w:rPr>
        <w:t>ans une étude contrôlée (ADE10) comparant l’imatinib versus chimiothérapie d’induction, chez 55 patients nouvellement diagnostiqués âgés de 55 ans et plus, l’imatinib utilisé seul a induit un taux significativement plus élevé de réponse hématologique complète par rapport à la chimiothérapie (96,3% versus 50% ; p</w:t>
      </w:r>
      <w:del w:id="463" w:author="Author">
        <w:r w:rsidR="00EF4CB3" w:rsidRPr="00653BF6" w:rsidDel="00653BF6">
          <w:rPr>
            <w:color w:val="000000"/>
            <w:szCs w:val="22"/>
            <w:lang w:val="fr-FR"/>
          </w:rPr>
          <w:delText xml:space="preserve"> </w:delText>
        </w:r>
      </w:del>
      <w:ins w:id="464" w:author="Author">
        <w:r w:rsidR="00653BF6">
          <w:rPr>
            <w:color w:val="000000"/>
            <w:szCs w:val="22"/>
            <w:lang w:val="fr-FR"/>
          </w:rPr>
          <w:t> </w:t>
        </w:r>
      </w:ins>
      <w:r w:rsidR="00EF4CB3" w:rsidRPr="00653BF6">
        <w:rPr>
          <w:color w:val="000000"/>
          <w:szCs w:val="22"/>
          <w:lang w:val="fr-FR"/>
        </w:rPr>
        <w:t>=</w:t>
      </w:r>
      <w:ins w:id="465" w:author="Author">
        <w:r w:rsidR="00653BF6">
          <w:rPr>
            <w:color w:val="000000"/>
            <w:szCs w:val="22"/>
            <w:lang w:val="fr-FR"/>
          </w:rPr>
          <w:t> </w:t>
        </w:r>
      </w:ins>
      <w:del w:id="466" w:author="Author">
        <w:r w:rsidR="00EF4CB3" w:rsidRPr="00653BF6" w:rsidDel="00653BF6">
          <w:rPr>
            <w:color w:val="000000"/>
            <w:szCs w:val="22"/>
            <w:lang w:val="fr-FR"/>
          </w:rPr>
          <w:delText xml:space="preserve"> </w:delText>
        </w:r>
      </w:del>
      <w:r w:rsidR="00EF4CB3" w:rsidRPr="00653BF6">
        <w:rPr>
          <w:color w:val="000000"/>
          <w:szCs w:val="22"/>
          <w:lang w:val="fr-FR"/>
        </w:rPr>
        <w:t xml:space="preserve">0,0001). Lorsque le traitement de rattrapage par l’imatinib a été administré aux patients qui n’avaient pas répondu ou avaient mal répondu à la chimiothérapie, 9 patients (81,8%) sur les 11 ont atteint une réponse hématologique complète. Cet effet clinique était associé à une plus forte réduction des taux de transcrits </w:t>
      </w:r>
      <w:proofErr w:type="spellStart"/>
      <w:r w:rsidR="00EF4CB3" w:rsidRPr="00653BF6">
        <w:rPr>
          <w:color w:val="000000"/>
          <w:szCs w:val="22"/>
          <w:lang w:val="fr-FR"/>
        </w:rPr>
        <w:t>bcr-abl</w:t>
      </w:r>
      <w:proofErr w:type="spellEnd"/>
      <w:r w:rsidR="00EF4CB3" w:rsidRPr="00653BF6">
        <w:rPr>
          <w:color w:val="000000"/>
          <w:szCs w:val="22"/>
          <w:lang w:val="fr-FR"/>
        </w:rPr>
        <w:t xml:space="preserve"> après deux semaines de traitement (p = 0,02) chez les patients traités par l’imatinib par rapport aux patients traités par chimiothérapie. Tous les patients ont reçu l’imatinib et une chimiothérapie de consolidation (voir Tableau </w:t>
      </w:r>
      <w:r w:rsidR="00A239AE" w:rsidRPr="00653BF6">
        <w:rPr>
          <w:color w:val="000000"/>
          <w:szCs w:val="22"/>
          <w:lang w:val="fr-FR"/>
        </w:rPr>
        <w:t>4</w:t>
      </w:r>
      <w:r w:rsidR="00EF4CB3" w:rsidRPr="00653BF6">
        <w:rPr>
          <w:color w:val="000000"/>
          <w:szCs w:val="22"/>
          <w:lang w:val="fr-FR"/>
        </w:rPr>
        <w:t xml:space="preserve">) après le traitement d’induction, et les taux de transcrits </w:t>
      </w:r>
      <w:proofErr w:type="spellStart"/>
      <w:r w:rsidR="00EF4CB3" w:rsidRPr="00653BF6">
        <w:rPr>
          <w:color w:val="000000"/>
          <w:szCs w:val="22"/>
          <w:lang w:val="fr-FR"/>
        </w:rPr>
        <w:t>bcr-abl</w:t>
      </w:r>
      <w:proofErr w:type="spellEnd"/>
      <w:r w:rsidR="00EF4CB3" w:rsidRPr="00653BF6">
        <w:rPr>
          <w:color w:val="000000"/>
          <w:szCs w:val="22"/>
          <w:lang w:val="fr-FR"/>
        </w:rPr>
        <w:t xml:space="preserve"> étaient identiques entre les deux bras après huit semaines de traitement. Comme on pouvait s’y attendre compte tenu du schéma de l’étude, aucune différence n’a été observée en termes de durée de rémission, de survie sans maladie ou de survie globale, même s’il faut noter que les patients en réponse moléculaire complète chez qui persistait une maladie résiduelle minime avait un pronostic plus favorable tant en termes de durée de rémission (p</w:t>
      </w:r>
      <w:del w:id="467" w:author="Author">
        <w:r w:rsidR="00EF4CB3" w:rsidRPr="00653BF6" w:rsidDel="00653BF6">
          <w:rPr>
            <w:color w:val="000000"/>
            <w:szCs w:val="22"/>
            <w:lang w:val="fr-FR"/>
          </w:rPr>
          <w:delText xml:space="preserve"> </w:delText>
        </w:r>
      </w:del>
      <w:ins w:id="468" w:author="Author">
        <w:r w:rsidR="00653BF6">
          <w:rPr>
            <w:color w:val="000000"/>
            <w:szCs w:val="22"/>
            <w:lang w:val="fr-FR"/>
          </w:rPr>
          <w:t> </w:t>
        </w:r>
      </w:ins>
      <w:r w:rsidR="00EF4CB3" w:rsidRPr="00653BF6">
        <w:rPr>
          <w:color w:val="000000"/>
          <w:szCs w:val="22"/>
          <w:lang w:val="fr-FR"/>
        </w:rPr>
        <w:t>=</w:t>
      </w:r>
      <w:ins w:id="469" w:author="Author">
        <w:r w:rsidR="00653BF6">
          <w:rPr>
            <w:color w:val="000000"/>
            <w:szCs w:val="22"/>
            <w:lang w:val="fr-FR"/>
          </w:rPr>
          <w:t> </w:t>
        </w:r>
      </w:ins>
      <w:del w:id="470" w:author="Author">
        <w:r w:rsidR="00EF4CB3" w:rsidRPr="00653BF6" w:rsidDel="00653BF6">
          <w:rPr>
            <w:color w:val="000000"/>
            <w:szCs w:val="22"/>
            <w:lang w:val="fr-FR"/>
          </w:rPr>
          <w:delText xml:space="preserve"> </w:delText>
        </w:r>
      </w:del>
      <w:r w:rsidR="00EF4CB3" w:rsidRPr="00653BF6">
        <w:rPr>
          <w:color w:val="000000"/>
          <w:szCs w:val="22"/>
          <w:lang w:val="fr-FR"/>
        </w:rPr>
        <w:t>0,01) que de survie sans maladie (p</w:t>
      </w:r>
      <w:del w:id="471" w:author="Author">
        <w:r w:rsidR="00EF4CB3" w:rsidRPr="00653BF6" w:rsidDel="00653BF6">
          <w:rPr>
            <w:color w:val="000000"/>
            <w:szCs w:val="22"/>
            <w:lang w:val="fr-FR"/>
          </w:rPr>
          <w:delText xml:space="preserve"> </w:delText>
        </w:r>
      </w:del>
      <w:ins w:id="472" w:author="Author">
        <w:r w:rsidR="00653BF6">
          <w:rPr>
            <w:color w:val="000000"/>
            <w:szCs w:val="22"/>
            <w:lang w:val="fr-FR"/>
          </w:rPr>
          <w:t> </w:t>
        </w:r>
      </w:ins>
      <w:r w:rsidR="00EF4CB3" w:rsidRPr="00653BF6">
        <w:rPr>
          <w:color w:val="000000"/>
          <w:szCs w:val="22"/>
          <w:lang w:val="fr-FR"/>
        </w:rPr>
        <w:t>=</w:t>
      </w:r>
      <w:ins w:id="473" w:author="Author">
        <w:r w:rsidR="00653BF6">
          <w:rPr>
            <w:color w:val="000000"/>
            <w:szCs w:val="22"/>
            <w:lang w:val="fr-FR"/>
          </w:rPr>
          <w:t> </w:t>
        </w:r>
      </w:ins>
      <w:del w:id="474" w:author="Author">
        <w:r w:rsidR="00EF4CB3" w:rsidRPr="00653BF6" w:rsidDel="00653BF6">
          <w:rPr>
            <w:color w:val="000000"/>
            <w:szCs w:val="22"/>
            <w:lang w:val="fr-FR"/>
          </w:rPr>
          <w:delText xml:space="preserve"> </w:delText>
        </w:r>
      </w:del>
      <w:r w:rsidR="00EF4CB3" w:rsidRPr="00653BF6">
        <w:rPr>
          <w:color w:val="000000"/>
          <w:szCs w:val="22"/>
          <w:lang w:val="fr-FR"/>
        </w:rPr>
        <w:t>0,02).</w:t>
      </w:r>
    </w:p>
    <w:p w14:paraId="49D9EF17" w14:textId="77777777" w:rsidR="00EF4CB3" w:rsidRPr="00653BF6" w:rsidRDefault="00EF4CB3" w:rsidP="007F23EE">
      <w:pPr>
        <w:pStyle w:val="EndnoteText"/>
        <w:rPr>
          <w:color w:val="000000"/>
          <w:szCs w:val="22"/>
          <w:lang w:val="fr-FR"/>
        </w:rPr>
      </w:pPr>
    </w:p>
    <w:p w14:paraId="48B62DF5" w14:textId="2F478B25" w:rsidR="00EF4CB3" w:rsidRPr="00653BF6" w:rsidRDefault="00EF4CB3" w:rsidP="007F23EE">
      <w:pPr>
        <w:pStyle w:val="EndnoteText"/>
        <w:rPr>
          <w:color w:val="000000"/>
          <w:szCs w:val="22"/>
          <w:lang w:val="fr-FR"/>
        </w:rPr>
      </w:pPr>
      <w:r w:rsidRPr="00653BF6">
        <w:rPr>
          <w:color w:val="000000"/>
          <w:szCs w:val="22"/>
          <w:lang w:val="fr-FR"/>
        </w:rPr>
        <w:t>Les résultats observés dans quatre études cliniques non contrôlées (AAU02, ADE04, AJP01 et AUS01), dans une population de 211 patients atteints de LAL Ph+ nouvellement diagnostiquée, sont consistants avec les résultats décrits ci-dessus. L’imatinib en association avec la chimiothérapie d’induction (voir Tableau </w:t>
      </w:r>
      <w:r w:rsidR="00A239AE" w:rsidRPr="00653BF6">
        <w:rPr>
          <w:color w:val="000000"/>
          <w:szCs w:val="22"/>
          <w:lang w:val="fr-FR"/>
        </w:rPr>
        <w:t>4</w:t>
      </w:r>
      <w:r w:rsidRPr="00653BF6">
        <w:rPr>
          <w:color w:val="000000"/>
          <w:szCs w:val="22"/>
          <w:lang w:val="fr-FR"/>
        </w:rPr>
        <w:t xml:space="preserve">) a permis d’obtenir un taux de réponse complète hématologique de 93% (147 sur 158 patients évaluables) et un taux de réponse </w:t>
      </w:r>
      <w:proofErr w:type="spellStart"/>
      <w:r w:rsidRPr="00653BF6">
        <w:rPr>
          <w:color w:val="000000"/>
          <w:szCs w:val="22"/>
          <w:lang w:val="fr-FR"/>
        </w:rPr>
        <w:t>cytogénique</w:t>
      </w:r>
      <w:proofErr w:type="spellEnd"/>
      <w:r w:rsidRPr="00653BF6">
        <w:rPr>
          <w:color w:val="000000"/>
          <w:szCs w:val="22"/>
          <w:lang w:val="fr-FR"/>
        </w:rPr>
        <w:t xml:space="preserve"> majeure de 90% (19 sur 21 patients évaluables). Le taux de réponse moléculaire complète était de 48% (49 sur 102 patients évaluables). La survie sans maladie et la survie globale ont constamment dépassé un an et elles étaient supérieures aux données historiques des groupes contrôles (survie sans maladie p</w:t>
      </w:r>
      <w:ins w:id="475" w:author="Author">
        <w:r w:rsidR="007D7517" w:rsidRPr="00653BF6">
          <w:rPr>
            <w:color w:val="000000"/>
            <w:szCs w:val="22"/>
            <w:lang w:val="fr-FR"/>
          </w:rPr>
          <w:t> </w:t>
        </w:r>
      </w:ins>
      <w:r w:rsidRPr="00653BF6">
        <w:rPr>
          <w:color w:val="000000"/>
          <w:szCs w:val="22"/>
          <w:lang w:val="fr-FR"/>
        </w:rPr>
        <w:t>&lt;</w:t>
      </w:r>
      <w:ins w:id="476" w:author="Author">
        <w:r w:rsidR="007D7517" w:rsidRPr="00653BF6">
          <w:rPr>
            <w:color w:val="000000"/>
            <w:szCs w:val="22"/>
            <w:lang w:val="fr-FR"/>
          </w:rPr>
          <w:t> </w:t>
        </w:r>
      </w:ins>
      <w:r w:rsidRPr="00653BF6">
        <w:rPr>
          <w:color w:val="000000"/>
          <w:szCs w:val="22"/>
          <w:lang w:val="fr-FR"/>
        </w:rPr>
        <w:t>0,001 ; survie globale p</w:t>
      </w:r>
      <w:ins w:id="477" w:author="Author">
        <w:r w:rsidR="007D7517" w:rsidRPr="00653BF6">
          <w:rPr>
            <w:color w:val="000000"/>
            <w:szCs w:val="22"/>
            <w:lang w:val="fr-FR"/>
          </w:rPr>
          <w:t> </w:t>
        </w:r>
      </w:ins>
      <w:r w:rsidRPr="00653BF6">
        <w:rPr>
          <w:color w:val="000000"/>
          <w:szCs w:val="22"/>
          <w:lang w:val="fr-FR"/>
        </w:rPr>
        <w:t>&lt;</w:t>
      </w:r>
      <w:ins w:id="478" w:author="Author">
        <w:r w:rsidR="007D7517" w:rsidRPr="00653BF6">
          <w:rPr>
            <w:color w:val="000000"/>
            <w:szCs w:val="22"/>
            <w:lang w:val="fr-FR"/>
          </w:rPr>
          <w:t> </w:t>
        </w:r>
      </w:ins>
      <w:r w:rsidRPr="00653BF6">
        <w:rPr>
          <w:color w:val="000000"/>
          <w:szCs w:val="22"/>
          <w:lang w:val="fr-FR"/>
        </w:rPr>
        <w:t>0,0001) dans les deux études (AJP01 et AUS01).</w:t>
      </w:r>
    </w:p>
    <w:p w14:paraId="100DD95D" w14:textId="77777777" w:rsidR="00EF4CB3" w:rsidRPr="00653BF6" w:rsidRDefault="00EF4CB3" w:rsidP="007F23EE">
      <w:pPr>
        <w:pStyle w:val="EndnoteText"/>
        <w:rPr>
          <w:color w:val="000000"/>
          <w:szCs w:val="22"/>
          <w:lang w:val="fr-FR"/>
        </w:rPr>
      </w:pPr>
    </w:p>
    <w:p w14:paraId="7E587197" w14:textId="77777777" w:rsidR="00EF4CB3" w:rsidRPr="00653BF6" w:rsidRDefault="00EF4CB3" w:rsidP="007F23EE">
      <w:pPr>
        <w:pStyle w:val="EndnoteText"/>
        <w:keepNext/>
        <w:tabs>
          <w:tab w:val="clear" w:pos="567"/>
        </w:tabs>
        <w:ind w:left="1134" w:hanging="1134"/>
        <w:rPr>
          <w:b/>
          <w:bCs/>
          <w:color w:val="000000"/>
          <w:szCs w:val="22"/>
          <w:lang w:val="fr-FR"/>
        </w:rPr>
      </w:pPr>
      <w:r w:rsidRPr="00653BF6">
        <w:rPr>
          <w:b/>
          <w:bCs/>
          <w:color w:val="000000"/>
          <w:szCs w:val="22"/>
          <w:lang w:val="fr-FR"/>
        </w:rPr>
        <w:lastRenderedPageBreak/>
        <w:t>Tableau </w:t>
      </w:r>
      <w:r w:rsidR="00A239AE" w:rsidRPr="00653BF6">
        <w:rPr>
          <w:b/>
          <w:bCs/>
          <w:color w:val="000000"/>
          <w:szCs w:val="22"/>
          <w:lang w:val="fr-FR"/>
        </w:rPr>
        <w:t>4</w:t>
      </w:r>
      <w:r w:rsidRPr="00653BF6">
        <w:rPr>
          <w:b/>
          <w:bCs/>
          <w:color w:val="000000"/>
          <w:szCs w:val="22"/>
          <w:lang w:val="fr-FR"/>
        </w:rPr>
        <w:tab/>
        <w:t>Schéma des chimiothérapies</w:t>
      </w:r>
      <w:r w:rsidRPr="00653BF6">
        <w:rPr>
          <w:b/>
          <w:color w:val="000000"/>
          <w:szCs w:val="22"/>
          <w:lang w:val="fr-FR"/>
        </w:rPr>
        <w:t xml:space="preserve"> utilisées en association avec l’imatinib</w:t>
      </w:r>
    </w:p>
    <w:p w14:paraId="220A9F86" w14:textId="77777777" w:rsidR="00EF4CB3" w:rsidRPr="00653BF6" w:rsidRDefault="00EF4CB3" w:rsidP="007F23EE">
      <w:pPr>
        <w:pStyle w:val="EndnoteText"/>
        <w:keepNext/>
        <w:rPr>
          <w:color w:val="000000"/>
          <w:szCs w:val="22"/>
          <w:lang w:val="fr-FR"/>
        </w:rPr>
      </w:pPr>
    </w:p>
    <w:tbl>
      <w:tblPr>
        <w:tblW w:w="8880" w:type="dxa"/>
        <w:tblInd w:w="228" w:type="dxa"/>
        <w:tblBorders>
          <w:top w:val="single" w:sz="4" w:space="0" w:color="auto"/>
          <w:bottom w:val="single" w:sz="4" w:space="0" w:color="auto"/>
        </w:tblBorders>
        <w:tblLayout w:type="fixed"/>
        <w:tblLook w:val="0000" w:firstRow="0" w:lastRow="0" w:firstColumn="0" w:lastColumn="0" w:noHBand="0" w:noVBand="0"/>
      </w:tblPr>
      <w:tblGrid>
        <w:gridCol w:w="2148"/>
        <w:gridCol w:w="2652"/>
        <w:gridCol w:w="1080"/>
        <w:gridCol w:w="1380"/>
        <w:gridCol w:w="1620"/>
      </w:tblGrid>
      <w:tr w:rsidR="00EF4CB3" w:rsidRPr="00653BF6" w14:paraId="712CFC72" w14:textId="77777777" w:rsidTr="004B2956">
        <w:trPr>
          <w:cantSplit/>
        </w:trPr>
        <w:tc>
          <w:tcPr>
            <w:tcW w:w="2148" w:type="dxa"/>
            <w:tcBorders>
              <w:top w:val="single" w:sz="4" w:space="0" w:color="auto"/>
              <w:bottom w:val="single" w:sz="4" w:space="0" w:color="auto"/>
            </w:tcBorders>
          </w:tcPr>
          <w:p w14:paraId="0C96A04A"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b/>
                <w:color w:val="000000"/>
                <w:szCs w:val="22"/>
                <w:lang w:val="fr-FR"/>
              </w:rPr>
              <w:t>Etude ADE10</w:t>
            </w:r>
          </w:p>
        </w:tc>
        <w:tc>
          <w:tcPr>
            <w:tcW w:w="6732" w:type="dxa"/>
            <w:gridSpan w:val="4"/>
            <w:tcBorders>
              <w:top w:val="single" w:sz="4" w:space="0" w:color="auto"/>
              <w:bottom w:val="single" w:sz="4" w:space="0" w:color="auto"/>
            </w:tcBorders>
          </w:tcPr>
          <w:p w14:paraId="098FEABD" w14:textId="77777777" w:rsidR="00EF4CB3" w:rsidRPr="00653BF6" w:rsidRDefault="00EF4CB3" w:rsidP="007F23EE">
            <w:pPr>
              <w:pStyle w:val="TableCarCarCarCarCarCarCarCarCar"/>
              <w:keepLines w:val="0"/>
              <w:rPr>
                <w:rFonts w:ascii="Times New Roman" w:hAnsi="Times New Roman"/>
                <w:color w:val="000000"/>
                <w:szCs w:val="22"/>
                <w:lang w:val="fr-FR"/>
              </w:rPr>
            </w:pPr>
          </w:p>
        </w:tc>
      </w:tr>
      <w:tr w:rsidR="00EF4CB3" w:rsidRPr="00653BF6" w14:paraId="091DCC27" w14:textId="77777777" w:rsidTr="004B2956">
        <w:trPr>
          <w:cantSplit/>
        </w:trPr>
        <w:tc>
          <w:tcPr>
            <w:tcW w:w="2148" w:type="dxa"/>
            <w:tcBorders>
              <w:top w:val="single" w:sz="4" w:space="0" w:color="auto"/>
              <w:bottom w:val="single" w:sz="4" w:space="0" w:color="auto"/>
            </w:tcBorders>
          </w:tcPr>
          <w:p w14:paraId="65DD8C8F"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Pré-phase</w:t>
            </w:r>
          </w:p>
        </w:tc>
        <w:tc>
          <w:tcPr>
            <w:tcW w:w="6732" w:type="dxa"/>
            <w:gridSpan w:val="4"/>
            <w:tcBorders>
              <w:top w:val="single" w:sz="4" w:space="0" w:color="auto"/>
              <w:bottom w:val="single" w:sz="4" w:space="0" w:color="auto"/>
            </w:tcBorders>
          </w:tcPr>
          <w:p w14:paraId="7F66408F"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DEX 10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oral, jours 1 à 5 ;</w:t>
            </w:r>
          </w:p>
          <w:p w14:paraId="10C79C66"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CP 200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jours 3, 4, 5 ;</w:t>
            </w:r>
          </w:p>
          <w:p w14:paraId="54C79EA4" w14:textId="23575897" w:rsidR="00EF4CB3" w:rsidRPr="00653BF6" w:rsidRDefault="00EF4CB3" w:rsidP="007F23EE">
            <w:pPr>
              <w:pStyle w:val="TableCarCarCarCarCarCarCarCarCar"/>
              <w:keepLines w:val="0"/>
              <w:rPr>
                <w:rFonts w:ascii="Times New Roman" w:hAnsi="Times New Roman"/>
                <w:color w:val="000000"/>
                <w:szCs w:val="22"/>
                <w:lang w:val="fr-FR"/>
              </w:rPr>
            </w:pPr>
            <w:smartTag w:uri="urn:schemas-microsoft-com:office:smarttags" w:element="stockticker">
              <w:r w:rsidRPr="00653BF6">
                <w:rPr>
                  <w:rFonts w:ascii="Times New Roman" w:hAnsi="Times New Roman"/>
                  <w:color w:val="000000"/>
                  <w:szCs w:val="22"/>
                  <w:lang w:val="fr-FR"/>
                </w:rPr>
                <w:t>MTX</w:t>
              </w:r>
            </w:smartTag>
            <w:r w:rsidRPr="00653BF6">
              <w:rPr>
                <w:rFonts w:ascii="Times New Roman" w:hAnsi="Times New Roman"/>
                <w:color w:val="000000"/>
                <w:szCs w:val="22"/>
                <w:lang w:val="fr-FR"/>
              </w:rPr>
              <w:t xml:space="preserve"> 12 mg </w:t>
            </w:r>
            <w:r w:rsidR="009A7FB9" w:rsidRPr="00653BF6">
              <w:rPr>
                <w:rFonts w:ascii="Times New Roman" w:hAnsi="Times New Roman"/>
                <w:color w:val="000000"/>
                <w:szCs w:val="22"/>
                <w:lang w:val="fr-FR"/>
              </w:rPr>
              <w:t>intrathécale</w:t>
            </w:r>
            <w:r w:rsidRPr="00653BF6">
              <w:rPr>
                <w:rFonts w:ascii="Times New Roman" w:hAnsi="Times New Roman"/>
                <w:color w:val="000000"/>
                <w:szCs w:val="22"/>
                <w:lang w:val="fr-FR"/>
              </w:rPr>
              <w:t>, jour 1</w:t>
            </w:r>
          </w:p>
        </w:tc>
      </w:tr>
      <w:tr w:rsidR="00EF4CB3" w:rsidRPr="00653BF6" w14:paraId="353004A5" w14:textId="77777777" w:rsidTr="004B2956">
        <w:trPr>
          <w:cantSplit/>
        </w:trPr>
        <w:tc>
          <w:tcPr>
            <w:tcW w:w="2148" w:type="dxa"/>
            <w:tcBorders>
              <w:top w:val="single" w:sz="4" w:space="0" w:color="auto"/>
              <w:bottom w:val="single" w:sz="4" w:space="0" w:color="auto"/>
            </w:tcBorders>
          </w:tcPr>
          <w:p w14:paraId="572DAE16"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Traitement d’induction (</w:t>
            </w:r>
            <w:proofErr w:type="spellStart"/>
            <w:r w:rsidRPr="00653BF6">
              <w:rPr>
                <w:rFonts w:ascii="Times New Roman" w:hAnsi="Times New Roman"/>
                <w:color w:val="000000"/>
                <w:szCs w:val="22"/>
                <w:lang w:val="fr-FR"/>
              </w:rPr>
              <w:t>remission</w:t>
            </w:r>
            <w:proofErr w:type="spellEnd"/>
            <w:r w:rsidRPr="00653BF6">
              <w:rPr>
                <w:rFonts w:ascii="Times New Roman" w:hAnsi="Times New Roman"/>
                <w:color w:val="000000"/>
                <w:szCs w:val="22"/>
                <w:lang w:val="fr-FR"/>
              </w:rPr>
              <w:t>)</w:t>
            </w:r>
          </w:p>
        </w:tc>
        <w:tc>
          <w:tcPr>
            <w:tcW w:w="6732" w:type="dxa"/>
            <w:gridSpan w:val="4"/>
            <w:tcBorders>
              <w:top w:val="single" w:sz="4" w:space="0" w:color="auto"/>
              <w:bottom w:val="single" w:sz="4" w:space="0" w:color="auto"/>
            </w:tcBorders>
          </w:tcPr>
          <w:p w14:paraId="0E7C6B7F"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DEX 10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oral, jours 6 et 7, 13 à 16 ;</w:t>
            </w:r>
          </w:p>
          <w:p w14:paraId="56349105"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 xml:space="preserve">VCR 1 mg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jours 7, 14 ;</w:t>
            </w:r>
          </w:p>
          <w:p w14:paraId="39AC5B43" w14:textId="77777777" w:rsidR="00EF4CB3" w:rsidRPr="00653BF6" w:rsidRDefault="00EF4CB3" w:rsidP="007F23EE">
            <w:pPr>
              <w:pStyle w:val="TableCarCarCarCarCarCarCarCarCar"/>
              <w:keepLines w:val="0"/>
              <w:rPr>
                <w:rFonts w:ascii="Times New Roman" w:hAnsi="Times New Roman"/>
                <w:color w:val="000000"/>
                <w:szCs w:val="22"/>
                <w:lang w:val="fr-FR"/>
              </w:rPr>
            </w:pPr>
            <w:smartTag w:uri="urn:schemas-microsoft-com:office:smarttags" w:element="stockticker">
              <w:r w:rsidRPr="00653BF6">
                <w:rPr>
                  <w:rFonts w:ascii="Times New Roman" w:hAnsi="Times New Roman"/>
                  <w:color w:val="000000"/>
                  <w:szCs w:val="22"/>
                  <w:lang w:val="fr-FR"/>
                </w:rPr>
                <w:t>IDA</w:t>
              </w:r>
            </w:smartTag>
            <w:r w:rsidRPr="00653BF6">
              <w:rPr>
                <w:rFonts w:ascii="Times New Roman" w:hAnsi="Times New Roman"/>
                <w:color w:val="000000"/>
                <w:szCs w:val="22"/>
                <w:lang w:val="fr-FR"/>
              </w:rPr>
              <w:t xml:space="preserve"> 8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(0,5 h), jours 7, 8, 14, 15 ;</w:t>
            </w:r>
          </w:p>
          <w:p w14:paraId="2435E924"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CP 500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proofErr w:type="gram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w:t>
            </w:r>
            <w:proofErr w:type="gramEnd"/>
            <w:r w:rsidRPr="00653BF6">
              <w:rPr>
                <w:rFonts w:ascii="Times New Roman" w:hAnsi="Times New Roman"/>
                <w:color w:val="000000"/>
                <w:szCs w:val="22"/>
                <w:lang w:val="fr-FR"/>
              </w:rPr>
              <w:t>1 h) jour 1 ;</w:t>
            </w:r>
          </w:p>
          <w:p w14:paraId="433DCEB6" w14:textId="77777777" w:rsidR="00EF4CB3" w:rsidRPr="00653BF6" w:rsidRDefault="00EF4CB3" w:rsidP="007F23EE">
            <w:pPr>
              <w:pStyle w:val="TableCarCarCarCarCarCarCarCarCar"/>
              <w:keepLines w:val="0"/>
              <w:rPr>
                <w:rFonts w:ascii="Times New Roman" w:hAnsi="Times New Roman"/>
                <w:color w:val="000000"/>
                <w:szCs w:val="22"/>
                <w:lang w:val="fr-FR"/>
              </w:rPr>
            </w:pPr>
            <w:proofErr w:type="spellStart"/>
            <w:r w:rsidRPr="00653BF6">
              <w:rPr>
                <w:rFonts w:ascii="Times New Roman" w:hAnsi="Times New Roman"/>
                <w:color w:val="000000"/>
                <w:szCs w:val="22"/>
                <w:lang w:val="fr-FR"/>
              </w:rPr>
              <w:t>Ara-C</w:t>
            </w:r>
            <w:proofErr w:type="spellEnd"/>
            <w:r w:rsidRPr="00653BF6">
              <w:rPr>
                <w:rFonts w:ascii="Times New Roman" w:hAnsi="Times New Roman"/>
                <w:color w:val="000000"/>
                <w:szCs w:val="22"/>
                <w:lang w:val="fr-FR"/>
              </w:rPr>
              <w:t xml:space="preserve"> 60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jours 22 à 25, 29 à 32</w:t>
            </w:r>
          </w:p>
        </w:tc>
      </w:tr>
      <w:tr w:rsidR="00EF4CB3" w:rsidRPr="00653BF6" w14:paraId="1CB6930B" w14:textId="77777777" w:rsidTr="004B2956">
        <w:trPr>
          <w:cantSplit/>
        </w:trPr>
        <w:tc>
          <w:tcPr>
            <w:tcW w:w="2148" w:type="dxa"/>
            <w:tcBorders>
              <w:top w:val="single" w:sz="4" w:space="0" w:color="auto"/>
              <w:bottom w:val="single" w:sz="4" w:space="0" w:color="auto"/>
            </w:tcBorders>
          </w:tcPr>
          <w:p w14:paraId="0E2EF055"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 xml:space="preserve">Traitement de consolidation I, </w:t>
            </w:r>
            <w:smartTag w:uri="urn:schemas-microsoft-com:office:smarttags" w:element="stockticker">
              <w:r w:rsidRPr="00653BF6">
                <w:rPr>
                  <w:rFonts w:ascii="Times New Roman" w:hAnsi="Times New Roman"/>
                  <w:color w:val="000000"/>
                  <w:szCs w:val="22"/>
                  <w:lang w:val="fr-FR"/>
                </w:rPr>
                <w:t>III</w:t>
              </w:r>
            </w:smartTag>
            <w:r w:rsidRPr="00653BF6">
              <w:rPr>
                <w:rFonts w:ascii="Times New Roman" w:hAnsi="Times New Roman"/>
                <w:color w:val="000000"/>
                <w:szCs w:val="22"/>
                <w:lang w:val="fr-FR"/>
              </w:rPr>
              <w:t>, V</w:t>
            </w:r>
          </w:p>
        </w:tc>
        <w:tc>
          <w:tcPr>
            <w:tcW w:w="6732" w:type="dxa"/>
            <w:gridSpan w:val="4"/>
            <w:tcBorders>
              <w:top w:val="single" w:sz="4" w:space="0" w:color="auto"/>
              <w:bottom w:val="single" w:sz="4" w:space="0" w:color="auto"/>
            </w:tcBorders>
          </w:tcPr>
          <w:p w14:paraId="39C69DCF" w14:textId="77777777" w:rsidR="00EF4CB3" w:rsidRPr="00653BF6" w:rsidRDefault="00EF4CB3" w:rsidP="007F23EE">
            <w:pPr>
              <w:pStyle w:val="TableCarCarCarCarCarCarCarCarCar"/>
              <w:keepLines w:val="0"/>
              <w:rPr>
                <w:rFonts w:ascii="Times New Roman" w:hAnsi="Times New Roman"/>
                <w:color w:val="000000"/>
                <w:szCs w:val="22"/>
                <w:lang w:val="fr-FR"/>
              </w:rPr>
            </w:pPr>
            <w:smartTag w:uri="urn:schemas-microsoft-com:office:smarttags" w:element="stockticker">
              <w:r w:rsidRPr="00653BF6">
                <w:rPr>
                  <w:rFonts w:ascii="Times New Roman" w:hAnsi="Times New Roman"/>
                  <w:color w:val="000000"/>
                  <w:szCs w:val="22"/>
                  <w:lang w:val="fr-FR"/>
                </w:rPr>
                <w:t>MTX</w:t>
              </w:r>
            </w:smartTag>
            <w:r w:rsidRPr="00653BF6">
              <w:rPr>
                <w:rFonts w:ascii="Times New Roman" w:hAnsi="Times New Roman"/>
                <w:color w:val="000000"/>
                <w:szCs w:val="22"/>
                <w:lang w:val="fr-FR"/>
              </w:rPr>
              <w:t xml:space="preserve"> 500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(24 h), jours 1, 15 ;</w:t>
            </w:r>
          </w:p>
          <w:p w14:paraId="13A0D921"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6-MP 25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oral, jours 1 à 20</w:t>
            </w:r>
          </w:p>
        </w:tc>
      </w:tr>
      <w:tr w:rsidR="00EF4CB3" w:rsidRPr="00653BF6" w14:paraId="2D081BE2" w14:textId="77777777" w:rsidTr="004B2956">
        <w:trPr>
          <w:cantSplit/>
        </w:trPr>
        <w:tc>
          <w:tcPr>
            <w:tcW w:w="2148" w:type="dxa"/>
            <w:tcBorders>
              <w:top w:val="single" w:sz="4" w:space="0" w:color="auto"/>
              <w:bottom w:val="single" w:sz="4" w:space="0" w:color="auto"/>
            </w:tcBorders>
          </w:tcPr>
          <w:p w14:paraId="2333CE7C" w14:textId="77777777" w:rsidR="00EF4CB3" w:rsidRPr="00653BF6" w:rsidRDefault="00EF4CB3" w:rsidP="007F23EE">
            <w:pPr>
              <w:pStyle w:val="TableCarCarCarCarCarCarCarCarCar"/>
              <w:keepNext w:val="0"/>
              <w:keepLines w:val="0"/>
              <w:rPr>
                <w:rFonts w:ascii="Times New Roman" w:hAnsi="Times New Roman"/>
                <w:color w:val="000000"/>
                <w:szCs w:val="22"/>
                <w:lang w:val="fr-FR"/>
              </w:rPr>
            </w:pPr>
            <w:r w:rsidRPr="00653BF6">
              <w:rPr>
                <w:rFonts w:ascii="Times New Roman" w:hAnsi="Times New Roman"/>
                <w:color w:val="000000"/>
                <w:szCs w:val="22"/>
                <w:lang w:val="fr-FR"/>
              </w:rPr>
              <w:t>Traitement de consolidation II, IV</w:t>
            </w:r>
          </w:p>
        </w:tc>
        <w:tc>
          <w:tcPr>
            <w:tcW w:w="6732" w:type="dxa"/>
            <w:gridSpan w:val="4"/>
            <w:tcBorders>
              <w:top w:val="single" w:sz="4" w:space="0" w:color="auto"/>
              <w:bottom w:val="single" w:sz="4" w:space="0" w:color="auto"/>
            </w:tcBorders>
          </w:tcPr>
          <w:p w14:paraId="15853B73" w14:textId="77777777" w:rsidR="00EF4CB3" w:rsidRPr="00653BF6" w:rsidRDefault="00EF4CB3" w:rsidP="007F23EE">
            <w:pPr>
              <w:pStyle w:val="TableCarCarCarCarCarCarCarCarCar"/>
              <w:keepNext w:val="0"/>
              <w:keepLines w:val="0"/>
              <w:rPr>
                <w:rFonts w:ascii="Times New Roman" w:hAnsi="Times New Roman"/>
                <w:color w:val="000000"/>
                <w:szCs w:val="22"/>
                <w:lang w:val="fr-FR"/>
              </w:rPr>
            </w:pPr>
            <w:proofErr w:type="spellStart"/>
            <w:r w:rsidRPr="00653BF6">
              <w:rPr>
                <w:rFonts w:ascii="Times New Roman" w:hAnsi="Times New Roman"/>
                <w:color w:val="000000"/>
                <w:szCs w:val="22"/>
                <w:lang w:val="fr-FR"/>
              </w:rPr>
              <w:t>Ara-C</w:t>
            </w:r>
            <w:proofErr w:type="spellEnd"/>
            <w:r w:rsidRPr="00653BF6">
              <w:rPr>
                <w:rFonts w:ascii="Times New Roman" w:hAnsi="Times New Roman"/>
                <w:color w:val="000000"/>
                <w:szCs w:val="22"/>
                <w:lang w:val="fr-FR"/>
              </w:rPr>
              <w:t xml:space="preserve"> 75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(1 h), jours 1 à 5 ;</w:t>
            </w:r>
          </w:p>
          <w:p w14:paraId="33465A6F" w14:textId="77777777" w:rsidR="00EF4CB3" w:rsidRPr="00653BF6" w:rsidRDefault="00EF4CB3" w:rsidP="007F23EE">
            <w:pPr>
              <w:pStyle w:val="TableCarCarCarCarCarCarCarCarCar"/>
              <w:keepNext w:val="0"/>
              <w:keepLines w:val="0"/>
              <w:rPr>
                <w:rFonts w:ascii="Times New Roman" w:hAnsi="Times New Roman"/>
                <w:color w:val="000000"/>
                <w:szCs w:val="22"/>
                <w:lang w:val="fr-FR"/>
              </w:rPr>
            </w:pPr>
            <w:r w:rsidRPr="00653BF6">
              <w:rPr>
                <w:rFonts w:ascii="Times New Roman" w:hAnsi="Times New Roman"/>
                <w:color w:val="000000"/>
                <w:szCs w:val="22"/>
                <w:lang w:val="fr-FR"/>
              </w:rPr>
              <w:t>VM26 60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(1 h), jours 1 à 5</w:t>
            </w:r>
          </w:p>
        </w:tc>
      </w:tr>
      <w:tr w:rsidR="00EF4CB3" w:rsidRPr="00653BF6" w14:paraId="5B2F6487" w14:textId="77777777" w:rsidTr="004B2956">
        <w:trPr>
          <w:cantSplit/>
        </w:trPr>
        <w:tc>
          <w:tcPr>
            <w:tcW w:w="2148" w:type="dxa"/>
            <w:tcBorders>
              <w:top w:val="single" w:sz="4" w:space="0" w:color="auto"/>
              <w:bottom w:val="single" w:sz="4" w:space="0" w:color="auto"/>
            </w:tcBorders>
          </w:tcPr>
          <w:p w14:paraId="2B22727D" w14:textId="77777777" w:rsidR="00EF4CB3" w:rsidRPr="00653BF6" w:rsidRDefault="00EF4CB3" w:rsidP="007F23EE">
            <w:pPr>
              <w:pStyle w:val="TableCarCarCarCarCarCarCarCarCar"/>
              <w:keepLines w:val="0"/>
              <w:rPr>
                <w:rFonts w:ascii="Times New Roman" w:hAnsi="Times New Roman"/>
                <w:b/>
                <w:color w:val="000000"/>
                <w:szCs w:val="22"/>
                <w:lang w:val="fr-FR"/>
              </w:rPr>
            </w:pPr>
            <w:r w:rsidRPr="00653BF6">
              <w:rPr>
                <w:rFonts w:ascii="Times New Roman" w:hAnsi="Times New Roman"/>
                <w:b/>
                <w:color w:val="000000"/>
                <w:szCs w:val="22"/>
                <w:lang w:val="fr-FR"/>
              </w:rPr>
              <w:t>Etude AAU02</w:t>
            </w:r>
          </w:p>
        </w:tc>
        <w:tc>
          <w:tcPr>
            <w:tcW w:w="2652" w:type="dxa"/>
            <w:tcBorders>
              <w:top w:val="single" w:sz="4" w:space="0" w:color="auto"/>
              <w:bottom w:val="single" w:sz="4" w:space="0" w:color="auto"/>
            </w:tcBorders>
          </w:tcPr>
          <w:p w14:paraId="638EE087" w14:textId="77777777" w:rsidR="00EF4CB3" w:rsidRPr="00653BF6" w:rsidRDefault="00EF4CB3" w:rsidP="007F23EE">
            <w:pPr>
              <w:pStyle w:val="TableCarCarCarCarCarCarCarCarCar"/>
              <w:keepLines w:val="0"/>
              <w:rPr>
                <w:rFonts w:ascii="Times New Roman" w:hAnsi="Times New Roman"/>
                <w:color w:val="000000"/>
                <w:szCs w:val="22"/>
                <w:lang w:val="fr-FR"/>
              </w:rPr>
            </w:pPr>
          </w:p>
        </w:tc>
        <w:tc>
          <w:tcPr>
            <w:tcW w:w="1080" w:type="dxa"/>
            <w:tcBorders>
              <w:top w:val="single" w:sz="4" w:space="0" w:color="auto"/>
              <w:bottom w:val="single" w:sz="4" w:space="0" w:color="auto"/>
            </w:tcBorders>
          </w:tcPr>
          <w:p w14:paraId="7B4880F1" w14:textId="77777777" w:rsidR="00EF4CB3" w:rsidRPr="00653BF6" w:rsidRDefault="00EF4CB3" w:rsidP="007F23EE">
            <w:pPr>
              <w:pStyle w:val="TableCarCarCarCarCarCarCarCarCar"/>
              <w:keepLines w:val="0"/>
              <w:rPr>
                <w:rFonts w:ascii="Times New Roman" w:hAnsi="Times New Roman"/>
                <w:color w:val="000000"/>
                <w:szCs w:val="22"/>
                <w:lang w:val="fr-FR"/>
              </w:rPr>
            </w:pPr>
          </w:p>
        </w:tc>
        <w:tc>
          <w:tcPr>
            <w:tcW w:w="1380" w:type="dxa"/>
            <w:tcBorders>
              <w:top w:val="single" w:sz="4" w:space="0" w:color="auto"/>
              <w:bottom w:val="single" w:sz="4" w:space="0" w:color="auto"/>
            </w:tcBorders>
          </w:tcPr>
          <w:p w14:paraId="27879EF4" w14:textId="77777777" w:rsidR="00EF4CB3" w:rsidRPr="00653BF6" w:rsidRDefault="00EF4CB3" w:rsidP="007F23EE">
            <w:pPr>
              <w:pStyle w:val="TableCarCarCarCarCarCarCarCarCar"/>
              <w:keepLines w:val="0"/>
              <w:rPr>
                <w:rFonts w:ascii="Times New Roman" w:hAnsi="Times New Roman"/>
                <w:color w:val="000000"/>
                <w:szCs w:val="22"/>
                <w:lang w:val="fr-FR"/>
              </w:rPr>
            </w:pPr>
          </w:p>
        </w:tc>
        <w:tc>
          <w:tcPr>
            <w:tcW w:w="1620" w:type="dxa"/>
            <w:tcBorders>
              <w:top w:val="single" w:sz="4" w:space="0" w:color="auto"/>
              <w:bottom w:val="single" w:sz="4" w:space="0" w:color="auto"/>
            </w:tcBorders>
          </w:tcPr>
          <w:p w14:paraId="18E9C4CB" w14:textId="77777777" w:rsidR="00EF4CB3" w:rsidRPr="00653BF6" w:rsidRDefault="00EF4CB3" w:rsidP="007F23EE">
            <w:pPr>
              <w:pStyle w:val="TableCarCarCarCarCarCarCarCarCar"/>
              <w:keepLines w:val="0"/>
              <w:rPr>
                <w:rFonts w:ascii="Times New Roman" w:hAnsi="Times New Roman"/>
                <w:color w:val="000000"/>
                <w:szCs w:val="22"/>
                <w:lang w:val="fr-FR"/>
              </w:rPr>
            </w:pPr>
          </w:p>
        </w:tc>
      </w:tr>
      <w:tr w:rsidR="00EF4CB3" w:rsidRPr="00653BF6" w14:paraId="3DD9B027" w14:textId="77777777" w:rsidTr="004B2956">
        <w:trPr>
          <w:cantSplit/>
        </w:trPr>
        <w:tc>
          <w:tcPr>
            <w:tcW w:w="2148" w:type="dxa"/>
            <w:tcBorders>
              <w:top w:val="single" w:sz="4" w:space="0" w:color="auto"/>
              <w:bottom w:val="single" w:sz="4" w:space="0" w:color="auto"/>
            </w:tcBorders>
          </w:tcPr>
          <w:p w14:paraId="44308581"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Traitement d’induction (LAL Ph+</w:t>
            </w:r>
            <w:r w:rsidRPr="00653BF6">
              <w:rPr>
                <w:rFonts w:ascii="Times New Roman" w:hAnsi="Times New Roman"/>
                <w:i/>
                <w:color w:val="000000"/>
                <w:szCs w:val="22"/>
                <w:lang w:val="fr-FR"/>
              </w:rPr>
              <w:t xml:space="preserve"> de novo)</w:t>
            </w:r>
          </w:p>
        </w:tc>
        <w:tc>
          <w:tcPr>
            <w:tcW w:w="6732" w:type="dxa"/>
            <w:gridSpan w:val="4"/>
            <w:tcBorders>
              <w:top w:val="single" w:sz="4" w:space="0" w:color="auto"/>
              <w:bottom w:val="single" w:sz="4" w:space="0" w:color="auto"/>
            </w:tcBorders>
          </w:tcPr>
          <w:p w14:paraId="147E8660" w14:textId="77777777" w:rsidR="00EF4CB3" w:rsidRPr="00653BF6" w:rsidRDefault="00EF4CB3" w:rsidP="007F23EE">
            <w:pPr>
              <w:pStyle w:val="TableCarCarCarCarCarCarCarCarCar"/>
              <w:keepLines w:val="0"/>
              <w:rPr>
                <w:rFonts w:ascii="Times New Roman" w:hAnsi="Times New Roman"/>
                <w:color w:val="000000"/>
                <w:szCs w:val="22"/>
                <w:lang w:val="fr-FR"/>
              </w:rPr>
            </w:pPr>
            <w:proofErr w:type="spellStart"/>
            <w:r w:rsidRPr="00653BF6">
              <w:rPr>
                <w:rFonts w:ascii="Times New Roman" w:hAnsi="Times New Roman"/>
                <w:color w:val="000000"/>
                <w:szCs w:val="22"/>
                <w:lang w:val="fr-FR"/>
              </w:rPr>
              <w:t>Daunorubicine</w:t>
            </w:r>
            <w:proofErr w:type="spellEnd"/>
            <w:r w:rsidRPr="00653BF6">
              <w:rPr>
                <w:rFonts w:ascii="Times New Roman" w:hAnsi="Times New Roman"/>
                <w:color w:val="000000"/>
                <w:szCs w:val="22"/>
                <w:lang w:val="fr-FR"/>
              </w:rPr>
              <w:t xml:space="preserve"> 30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jours 1 à 3, 15 et 16 ;</w:t>
            </w:r>
          </w:p>
          <w:p w14:paraId="54F5C28D" w14:textId="77777777" w:rsidR="00EF4CB3" w:rsidRPr="00653BF6" w:rsidRDefault="00EF4CB3" w:rsidP="007F23EE">
            <w:pPr>
              <w:pStyle w:val="TableCarCarCarCarCarCarCarCarCar"/>
              <w:keepLines w:val="0"/>
              <w:rPr>
                <w:rFonts w:ascii="Times New Roman" w:hAnsi="Times New Roman"/>
                <w:color w:val="000000"/>
                <w:szCs w:val="22"/>
                <w:lang w:val="fr-FR"/>
              </w:rPr>
            </w:pPr>
            <w:smartTag w:uri="urn:schemas-microsoft-com:office:smarttags" w:element="stockticker">
              <w:r w:rsidRPr="00653BF6">
                <w:rPr>
                  <w:rFonts w:ascii="Times New Roman" w:hAnsi="Times New Roman"/>
                  <w:color w:val="000000"/>
                  <w:szCs w:val="22"/>
                  <w:lang w:val="fr-FR"/>
                </w:rPr>
                <w:t>VCR</w:t>
              </w:r>
            </w:smartTag>
            <w:r w:rsidRPr="00653BF6">
              <w:rPr>
                <w:rFonts w:ascii="Times New Roman" w:hAnsi="Times New Roman"/>
                <w:color w:val="000000"/>
                <w:szCs w:val="22"/>
                <w:lang w:val="fr-FR"/>
              </w:rPr>
              <w:t xml:space="preserve"> dose totale 2 mg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jours 1, 8, 15, 22 ;</w:t>
            </w:r>
          </w:p>
          <w:p w14:paraId="73358578"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CP 750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jours 1, 8 ;</w:t>
            </w:r>
          </w:p>
          <w:p w14:paraId="674E3C29" w14:textId="68EE4B0E"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Pr</w:t>
            </w:r>
            <w:r w:rsidR="009A7FB9" w:rsidRPr="00653BF6">
              <w:rPr>
                <w:rFonts w:ascii="Times New Roman" w:hAnsi="Times New Roman"/>
                <w:color w:val="000000"/>
                <w:szCs w:val="22"/>
                <w:lang w:val="fr-FR"/>
              </w:rPr>
              <w:t>e</w:t>
            </w:r>
            <w:r w:rsidRPr="00653BF6">
              <w:rPr>
                <w:rFonts w:ascii="Times New Roman" w:hAnsi="Times New Roman"/>
                <w:color w:val="000000"/>
                <w:szCs w:val="22"/>
                <w:lang w:val="fr-FR"/>
              </w:rPr>
              <w:t>dnisone 60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oral, jours 1 à 7, 15 à 21 ;</w:t>
            </w:r>
          </w:p>
          <w:p w14:paraId="3F66DC91"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IDA 9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oral, jours 1 à 28 ;</w:t>
            </w:r>
          </w:p>
          <w:p w14:paraId="68288130" w14:textId="18C24CC1"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MTX 15 mg intrath</w:t>
            </w:r>
            <w:r w:rsidR="009A7FB9" w:rsidRPr="00653BF6">
              <w:rPr>
                <w:rFonts w:ascii="Times New Roman" w:hAnsi="Times New Roman"/>
                <w:color w:val="000000"/>
                <w:szCs w:val="22"/>
                <w:lang w:val="fr-FR"/>
              </w:rPr>
              <w:t>é</w:t>
            </w:r>
            <w:r w:rsidRPr="00653BF6">
              <w:rPr>
                <w:rFonts w:ascii="Times New Roman" w:hAnsi="Times New Roman"/>
                <w:color w:val="000000"/>
                <w:szCs w:val="22"/>
                <w:lang w:val="fr-FR"/>
              </w:rPr>
              <w:t>cal</w:t>
            </w:r>
            <w:r w:rsidR="009A7FB9" w:rsidRPr="00653BF6">
              <w:rPr>
                <w:rFonts w:ascii="Times New Roman" w:hAnsi="Times New Roman"/>
                <w:color w:val="000000"/>
                <w:szCs w:val="22"/>
                <w:lang w:val="fr-FR"/>
              </w:rPr>
              <w:t>e</w:t>
            </w:r>
            <w:r w:rsidRPr="00653BF6">
              <w:rPr>
                <w:rFonts w:ascii="Times New Roman" w:hAnsi="Times New Roman"/>
                <w:color w:val="000000"/>
                <w:szCs w:val="22"/>
                <w:lang w:val="fr-FR"/>
              </w:rPr>
              <w:t>, jours 1, 8, 15, 22 ;</w:t>
            </w:r>
          </w:p>
          <w:p w14:paraId="74F0F875" w14:textId="71073478" w:rsidR="00EF4CB3" w:rsidRPr="00653BF6" w:rsidRDefault="00EF4CB3" w:rsidP="007F23EE">
            <w:pPr>
              <w:pStyle w:val="TableCarCarCarCarCarCarCarCarCar"/>
              <w:keepLines w:val="0"/>
              <w:rPr>
                <w:rFonts w:ascii="Times New Roman" w:hAnsi="Times New Roman"/>
                <w:color w:val="000000"/>
                <w:szCs w:val="22"/>
                <w:lang w:val="fr-FR"/>
              </w:rPr>
            </w:pPr>
            <w:proofErr w:type="spellStart"/>
            <w:r w:rsidRPr="00653BF6">
              <w:rPr>
                <w:rFonts w:ascii="Times New Roman" w:hAnsi="Times New Roman"/>
                <w:color w:val="000000"/>
                <w:szCs w:val="22"/>
                <w:lang w:val="fr-FR"/>
              </w:rPr>
              <w:t>Ara-C</w:t>
            </w:r>
            <w:proofErr w:type="spellEnd"/>
            <w:r w:rsidRPr="00653BF6">
              <w:rPr>
                <w:rFonts w:ascii="Times New Roman" w:hAnsi="Times New Roman"/>
                <w:color w:val="000000"/>
                <w:szCs w:val="22"/>
                <w:lang w:val="fr-FR"/>
              </w:rPr>
              <w:t xml:space="preserve"> 40 mg intrath</w:t>
            </w:r>
            <w:r w:rsidR="009A7FB9" w:rsidRPr="00653BF6">
              <w:rPr>
                <w:rFonts w:ascii="Times New Roman" w:hAnsi="Times New Roman"/>
                <w:color w:val="000000"/>
                <w:szCs w:val="22"/>
                <w:lang w:val="fr-FR"/>
              </w:rPr>
              <w:t>é</w:t>
            </w:r>
            <w:r w:rsidRPr="00653BF6">
              <w:rPr>
                <w:rFonts w:ascii="Times New Roman" w:hAnsi="Times New Roman"/>
                <w:color w:val="000000"/>
                <w:szCs w:val="22"/>
                <w:lang w:val="fr-FR"/>
              </w:rPr>
              <w:t>cal</w:t>
            </w:r>
            <w:r w:rsidR="009A7FB9" w:rsidRPr="00653BF6">
              <w:rPr>
                <w:rFonts w:ascii="Times New Roman" w:hAnsi="Times New Roman"/>
                <w:color w:val="000000"/>
                <w:szCs w:val="22"/>
                <w:lang w:val="fr-FR"/>
              </w:rPr>
              <w:t>e</w:t>
            </w:r>
            <w:r w:rsidRPr="00653BF6">
              <w:rPr>
                <w:rFonts w:ascii="Times New Roman" w:hAnsi="Times New Roman"/>
                <w:color w:val="000000"/>
                <w:szCs w:val="22"/>
                <w:lang w:val="fr-FR"/>
              </w:rPr>
              <w:t>, jours 1, 8, 15, 22 ;</w:t>
            </w:r>
          </w:p>
          <w:p w14:paraId="5B78A187" w14:textId="2A057A29"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M</w:t>
            </w:r>
            <w:r w:rsidR="003A71E7" w:rsidRPr="00653BF6">
              <w:rPr>
                <w:rFonts w:ascii="Times New Roman" w:hAnsi="Times New Roman"/>
                <w:color w:val="000000"/>
                <w:szCs w:val="22"/>
                <w:lang w:val="fr-FR"/>
              </w:rPr>
              <w:t>é</w:t>
            </w:r>
            <w:r w:rsidRPr="00653BF6">
              <w:rPr>
                <w:rFonts w:ascii="Times New Roman" w:hAnsi="Times New Roman"/>
                <w:color w:val="000000"/>
                <w:szCs w:val="22"/>
                <w:lang w:val="fr-FR"/>
              </w:rPr>
              <w:t>thylpr</w:t>
            </w:r>
            <w:r w:rsidR="009A7FB9" w:rsidRPr="00653BF6">
              <w:rPr>
                <w:rFonts w:ascii="Times New Roman" w:hAnsi="Times New Roman"/>
                <w:color w:val="000000"/>
                <w:szCs w:val="22"/>
                <w:lang w:val="fr-FR"/>
              </w:rPr>
              <w:t>e</w:t>
            </w:r>
            <w:r w:rsidRPr="00653BF6">
              <w:rPr>
                <w:rFonts w:ascii="Times New Roman" w:hAnsi="Times New Roman"/>
                <w:color w:val="000000"/>
                <w:szCs w:val="22"/>
                <w:lang w:val="fr-FR"/>
              </w:rPr>
              <w:t xml:space="preserve">dnisolone 40 mg </w:t>
            </w:r>
            <w:r w:rsidR="009A7FB9" w:rsidRPr="00653BF6">
              <w:rPr>
                <w:rFonts w:ascii="Times New Roman" w:hAnsi="Times New Roman"/>
                <w:color w:val="000000"/>
                <w:szCs w:val="22"/>
                <w:lang w:val="fr-FR"/>
              </w:rPr>
              <w:t>intrathécale</w:t>
            </w:r>
            <w:r w:rsidRPr="00653BF6">
              <w:rPr>
                <w:rFonts w:ascii="Times New Roman" w:hAnsi="Times New Roman"/>
                <w:color w:val="000000"/>
                <w:szCs w:val="22"/>
                <w:lang w:val="fr-FR"/>
              </w:rPr>
              <w:t>, jours 1, 8, 15, 22</w:t>
            </w:r>
          </w:p>
        </w:tc>
      </w:tr>
      <w:tr w:rsidR="00EF4CB3" w:rsidRPr="00653BF6" w14:paraId="1BC325DE" w14:textId="77777777" w:rsidTr="004B2956">
        <w:trPr>
          <w:cantSplit/>
        </w:trPr>
        <w:tc>
          <w:tcPr>
            <w:tcW w:w="2148" w:type="dxa"/>
            <w:tcBorders>
              <w:top w:val="single" w:sz="4" w:space="0" w:color="auto"/>
              <w:bottom w:val="single" w:sz="4" w:space="0" w:color="auto"/>
            </w:tcBorders>
          </w:tcPr>
          <w:p w14:paraId="6347A886" w14:textId="77777777" w:rsidR="00EF4CB3" w:rsidRPr="00653BF6" w:rsidRDefault="00EF4CB3" w:rsidP="007F23EE">
            <w:pPr>
              <w:pStyle w:val="TableCarCarCarCarCarCarCarCarCar"/>
              <w:keepNext w:val="0"/>
              <w:keepLines w:val="0"/>
              <w:rPr>
                <w:rFonts w:ascii="Times New Roman" w:hAnsi="Times New Roman"/>
                <w:color w:val="000000"/>
                <w:szCs w:val="22"/>
                <w:lang w:val="fr-FR"/>
              </w:rPr>
            </w:pPr>
            <w:r w:rsidRPr="00653BF6">
              <w:rPr>
                <w:rFonts w:ascii="Times New Roman" w:hAnsi="Times New Roman"/>
                <w:color w:val="000000"/>
                <w:szCs w:val="22"/>
                <w:lang w:val="fr-FR"/>
              </w:rPr>
              <w:t>Consolidation (LAL Ph+</w:t>
            </w:r>
            <w:r w:rsidRPr="00653BF6">
              <w:rPr>
                <w:rFonts w:ascii="Times New Roman" w:hAnsi="Times New Roman"/>
                <w:i/>
                <w:color w:val="000000"/>
                <w:szCs w:val="22"/>
                <w:lang w:val="fr-FR"/>
              </w:rPr>
              <w:t xml:space="preserve"> de novo)</w:t>
            </w:r>
          </w:p>
        </w:tc>
        <w:tc>
          <w:tcPr>
            <w:tcW w:w="6732" w:type="dxa"/>
            <w:gridSpan w:val="4"/>
            <w:tcBorders>
              <w:top w:val="single" w:sz="4" w:space="0" w:color="auto"/>
              <w:bottom w:val="single" w:sz="4" w:space="0" w:color="auto"/>
            </w:tcBorders>
          </w:tcPr>
          <w:p w14:paraId="4F190D25" w14:textId="4BC84C13" w:rsidR="00EF4CB3" w:rsidRPr="00653BF6" w:rsidRDefault="00EF4CB3" w:rsidP="007F23EE">
            <w:pPr>
              <w:pStyle w:val="TableCarCarCarCarCarCarCarCarCar"/>
              <w:keepNext w:val="0"/>
              <w:keepLines w:val="0"/>
              <w:rPr>
                <w:rFonts w:ascii="Times New Roman" w:hAnsi="Times New Roman"/>
                <w:color w:val="000000"/>
                <w:szCs w:val="22"/>
                <w:lang w:val="fr-FR"/>
              </w:rPr>
            </w:pPr>
            <w:proofErr w:type="spellStart"/>
            <w:r w:rsidRPr="00653BF6">
              <w:rPr>
                <w:rFonts w:ascii="Times New Roman" w:hAnsi="Times New Roman"/>
                <w:color w:val="000000"/>
                <w:szCs w:val="22"/>
                <w:lang w:val="fr-FR"/>
              </w:rPr>
              <w:t>Ara-C</w:t>
            </w:r>
            <w:proofErr w:type="spellEnd"/>
            <w:r w:rsidRPr="00653BF6">
              <w:rPr>
                <w:rFonts w:ascii="Times New Roman" w:hAnsi="Times New Roman"/>
                <w:color w:val="000000"/>
                <w:szCs w:val="22"/>
                <w:lang w:val="fr-FR"/>
              </w:rPr>
              <w:t xml:space="preserve"> 1</w:t>
            </w:r>
            <w:ins w:id="479" w:author="Author">
              <w:r w:rsidR="00A66FF1" w:rsidRPr="00653BF6">
                <w:rPr>
                  <w:rFonts w:ascii="Times New Roman" w:hAnsi="Times New Roman"/>
                  <w:color w:val="000000"/>
                  <w:szCs w:val="22"/>
                  <w:lang w:val="fr-FR"/>
                </w:rPr>
                <w:t> 000</w:t>
              </w:r>
            </w:ins>
            <w:r w:rsidRPr="00653BF6">
              <w:rPr>
                <w:rFonts w:ascii="Times New Roman" w:hAnsi="Times New Roman"/>
                <w:color w:val="000000"/>
                <w:szCs w:val="22"/>
                <w:lang w:val="fr-FR"/>
              </w:rPr>
              <w:t> </w:t>
            </w:r>
            <w:ins w:id="480" w:author="Author">
              <w:r w:rsidR="00A66FF1" w:rsidRPr="00653BF6">
                <w:rPr>
                  <w:rFonts w:ascii="Times New Roman" w:hAnsi="Times New Roman"/>
                  <w:color w:val="000000"/>
                  <w:szCs w:val="22"/>
                  <w:lang w:val="fr-FR"/>
                </w:rPr>
                <w:t>m</w:t>
              </w:r>
            </w:ins>
            <w:r w:rsidRPr="00653BF6">
              <w:rPr>
                <w:rFonts w:ascii="Times New Roman" w:hAnsi="Times New Roman"/>
                <w:color w:val="000000"/>
                <w:szCs w:val="22"/>
                <w:lang w:val="fr-FR"/>
              </w:rPr>
              <w:t>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toutes les 12 h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w:t>
            </w:r>
            <w:ins w:id="481" w:author="Author">
              <w:r w:rsidR="00A66FF1" w:rsidRPr="00653BF6">
                <w:rPr>
                  <w:rFonts w:ascii="Times New Roman" w:hAnsi="Times New Roman"/>
                  <w:color w:val="000000"/>
                  <w:szCs w:val="22"/>
                  <w:lang w:val="fr-FR"/>
                </w:rPr>
                <w:t xml:space="preserve"> </w:t>
              </w:r>
            </w:ins>
            <w:r w:rsidRPr="00653BF6">
              <w:rPr>
                <w:rFonts w:ascii="Times New Roman" w:hAnsi="Times New Roman"/>
                <w:color w:val="000000"/>
                <w:szCs w:val="22"/>
                <w:lang w:val="fr-FR"/>
              </w:rPr>
              <w:t>(en 3 h), jours 1 à 4 ;</w:t>
            </w:r>
          </w:p>
          <w:p w14:paraId="0F1A36EF" w14:textId="77777777" w:rsidR="00EF4CB3" w:rsidRPr="00653BF6" w:rsidRDefault="00EF4CB3" w:rsidP="007F23EE">
            <w:pPr>
              <w:pStyle w:val="TableCarCarCarCarCarCarCarCarCar"/>
              <w:keepNext w:val="0"/>
              <w:keepLines w:val="0"/>
              <w:rPr>
                <w:rFonts w:ascii="Times New Roman" w:hAnsi="Times New Roman"/>
                <w:color w:val="000000"/>
                <w:szCs w:val="22"/>
                <w:lang w:val="fr-FR"/>
              </w:rPr>
            </w:pPr>
            <w:proofErr w:type="spellStart"/>
            <w:r w:rsidRPr="00653BF6">
              <w:rPr>
                <w:rFonts w:ascii="Times New Roman" w:hAnsi="Times New Roman"/>
                <w:color w:val="000000"/>
                <w:szCs w:val="22"/>
                <w:lang w:val="fr-FR"/>
              </w:rPr>
              <w:t>Mitoxantrone</w:t>
            </w:r>
            <w:proofErr w:type="spellEnd"/>
            <w:r w:rsidRPr="00653BF6">
              <w:rPr>
                <w:rFonts w:ascii="Times New Roman" w:hAnsi="Times New Roman"/>
                <w:color w:val="000000"/>
                <w:szCs w:val="22"/>
                <w:lang w:val="fr-FR"/>
              </w:rPr>
              <w:t xml:space="preserve"> 10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jours 3 à 5 ;</w:t>
            </w:r>
          </w:p>
          <w:p w14:paraId="7BBA3747" w14:textId="2F2C33D0" w:rsidR="00EF4CB3" w:rsidRPr="00653BF6" w:rsidRDefault="00EF4CB3" w:rsidP="007F23EE">
            <w:pPr>
              <w:pStyle w:val="TableCarCarCarCarCarCarCarCarCar"/>
              <w:keepNext w:val="0"/>
              <w:keepLines w:val="0"/>
              <w:rPr>
                <w:rFonts w:ascii="Times New Roman" w:hAnsi="Times New Roman"/>
                <w:color w:val="000000"/>
                <w:szCs w:val="22"/>
                <w:lang w:val="fr-FR"/>
              </w:rPr>
            </w:pPr>
            <w:r w:rsidRPr="00653BF6">
              <w:rPr>
                <w:rFonts w:ascii="Times New Roman" w:hAnsi="Times New Roman"/>
                <w:color w:val="000000"/>
                <w:szCs w:val="22"/>
                <w:lang w:val="fr-FR"/>
              </w:rPr>
              <w:t xml:space="preserve">MTX 15 mg </w:t>
            </w:r>
            <w:r w:rsidR="009A7FB9" w:rsidRPr="00653BF6">
              <w:rPr>
                <w:rFonts w:ascii="Times New Roman" w:hAnsi="Times New Roman"/>
                <w:color w:val="000000"/>
                <w:szCs w:val="22"/>
                <w:lang w:val="fr-FR"/>
              </w:rPr>
              <w:t>intrathécale</w:t>
            </w:r>
            <w:r w:rsidRPr="00653BF6">
              <w:rPr>
                <w:rFonts w:ascii="Times New Roman" w:hAnsi="Times New Roman"/>
                <w:color w:val="000000"/>
                <w:szCs w:val="22"/>
                <w:lang w:val="fr-FR"/>
              </w:rPr>
              <w:t>, jour 1 ;</w:t>
            </w:r>
          </w:p>
          <w:p w14:paraId="31E7916F" w14:textId="4300C101" w:rsidR="00EF4CB3" w:rsidRPr="00653BF6" w:rsidRDefault="00EF4CB3" w:rsidP="007F23EE">
            <w:pPr>
              <w:pStyle w:val="TableCarCarCarCarCarCarCarCarCar"/>
              <w:keepNext w:val="0"/>
              <w:keepLines w:val="0"/>
              <w:rPr>
                <w:rFonts w:ascii="Times New Roman" w:hAnsi="Times New Roman"/>
                <w:color w:val="000000"/>
                <w:szCs w:val="22"/>
                <w:lang w:val="fr-FR"/>
              </w:rPr>
            </w:pPr>
            <w:r w:rsidRPr="00653BF6">
              <w:rPr>
                <w:rFonts w:ascii="Times New Roman" w:hAnsi="Times New Roman"/>
                <w:color w:val="000000"/>
                <w:szCs w:val="22"/>
                <w:lang w:val="fr-FR"/>
              </w:rPr>
              <w:t>M</w:t>
            </w:r>
            <w:r w:rsidR="003A71E7" w:rsidRPr="00653BF6">
              <w:rPr>
                <w:rFonts w:ascii="Times New Roman" w:hAnsi="Times New Roman"/>
                <w:color w:val="000000"/>
                <w:szCs w:val="22"/>
                <w:lang w:val="fr-FR"/>
              </w:rPr>
              <w:t>é</w:t>
            </w:r>
            <w:r w:rsidRPr="00653BF6">
              <w:rPr>
                <w:rFonts w:ascii="Times New Roman" w:hAnsi="Times New Roman"/>
                <w:color w:val="000000"/>
                <w:szCs w:val="22"/>
                <w:lang w:val="fr-FR"/>
              </w:rPr>
              <w:t>thylpr</w:t>
            </w:r>
            <w:r w:rsidR="009A7FB9" w:rsidRPr="00653BF6">
              <w:rPr>
                <w:rFonts w:ascii="Times New Roman" w:hAnsi="Times New Roman"/>
                <w:color w:val="000000"/>
                <w:szCs w:val="22"/>
                <w:lang w:val="fr-FR"/>
              </w:rPr>
              <w:t>e</w:t>
            </w:r>
            <w:r w:rsidRPr="00653BF6">
              <w:rPr>
                <w:rFonts w:ascii="Times New Roman" w:hAnsi="Times New Roman"/>
                <w:color w:val="000000"/>
                <w:szCs w:val="22"/>
                <w:lang w:val="fr-FR"/>
              </w:rPr>
              <w:t xml:space="preserve">dnisolone 40 mg </w:t>
            </w:r>
            <w:r w:rsidR="009A7FB9" w:rsidRPr="00653BF6">
              <w:rPr>
                <w:rFonts w:ascii="Times New Roman" w:hAnsi="Times New Roman"/>
                <w:color w:val="000000"/>
                <w:szCs w:val="22"/>
                <w:lang w:val="fr-FR"/>
              </w:rPr>
              <w:t>intrathécale</w:t>
            </w:r>
            <w:r w:rsidRPr="00653BF6">
              <w:rPr>
                <w:rFonts w:ascii="Times New Roman" w:hAnsi="Times New Roman"/>
                <w:color w:val="000000"/>
                <w:szCs w:val="22"/>
                <w:lang w:val="fr-FR"/>
              </w:rPr>
              <w:t>, jour 1</w:t>
            </w:r>
          </w:p>
        </w:tc>
      </w:tr>
      <w:tr w:rsidR="00EF4CB3" w:rsidRPr="00653BF6" w14:paraId="163C6902" w14:textId="77777777" w:rsidTr="004B2956">
        <w:trPr>
          <w:cantSplit/>
        </w:trPr>
        <w:tc>
          <w:tcPr>
            <w:tcW w:w="4800" w:type="dxa"/>
            <w:gridSpan w:val="2"/>
            <w:tcBorders>
              <w:top w:val="single" w:sz="4" w:space="0" w:color="auto"/>
              <w:bottom w:val="single" w:sz="4" w:space="0" w:color="auto"/>
            </w:tcBorders>
          </w:tcPr>
          <w:p w14:paraId="2890879F" w14:textId="77777777" w:rsidR="00EF4CB3" w:rsidRPr="00653BF6" w:rsidRDefault="00EF4CB3" w:rsidP="007F23EE">
            <w:pPr>
              <w:pStyle w:val="TableCarCarCarCarCarCarCarCarCar"/>
              <w:keepLines w:val="0"/>
              <w:rPr>
                <w:rFonts w:ascii="Times New Roman" w:hAnsi="Times New Roman"/>
                <w:b/>
                <w:color w:val="000000"/>
                <w:szCs w:val="22"/>
                <w:lang w:val="fr-FR"/>
              </w:rPr>
            </w:pPr>
            <w:r w:rsidRPr="00653BF6">
              <w:rPr>
                <w:rFonts w:ascii="Times New Roman" w:hAnsi="Times New Roman"/>
                <w:b/>
                <w:color w:val="000000"/>
                <w:szCs w:val="22"/>
                <w:lang w:val="fr-FR"/>
              </w:rPr>
              <w:t>Etude ADE04</w:t>
            </w:r>
          </w:p>
        </w:tc>
        <w:tc>
          <w:tcPr>
            <w:tcW w:w="1080" w:type="dxa"/>
            <w:tcBorders>
              <w:top w:val="single" w:sz="4" w:space="0" w:color="auto"/>
              <w:bottom w:val="single" w:sz="4" w:space="0" w:color="auto"/>
            </w:tcBorders>
          </w:tcPr>
          <w:p w14:paraId="4BAFADA9" w14:textId="77777777" w:rsidR="00EF4CB3" w:rsidRPr="00653BF6" w:rsidRDefault="00EF4CB3" w:rsidP="007F23EE">
            <w:pPr>
              <w:pStyle w:val="TableCarCarCarCarCarCarCarCarCar"/>
              <w:keepLines w:val="0"/>
              <w:rPr>
                <w:rFonts w:ascii="Times New Roman" w:hAnsi="Times New Roman"/>
                <w:color w:val="000000"/>
                <w:szCs w:val="22"/>
                <w:lang w:val="fr-FR"/>
              </w:rPr>
            </w:pPr>
          </w:p>
        </w:tc>
        <w:tc>
          <w:tcPr>
            <w:tcW w:w="1380" w:type="dxa"/>
            <w:tcBorders>
              <w:top w:val="single" w:sz="4" w:space="0" w:color="auto"/>
              <w:bottom w:val="single" w:sz="4" w:space="0" w:color="auto"/>
            </w:tcBorders>
          </w:tcPr>
          <w:p w14:paraId="2DA61080" w14:textId="77777777" w:rsidR="00EF4CB3" w:rsidRPr="00653BF6" w:rsidRDefault="00EF4CB3" w:rsidP="007F23EE">
            <w:pPr>
              <w:pStyle w:val="TableCarCarCarCarCarCarCarCarCar"/>
              <w:keepLines w:val="0"/>
              <w:rPr>
                <w:rFonts w:ascii="Times New Roman" w:hAnsi="Times New Roman"/>
                <w:color w:val="000000"/>
                <w:szCs w:val="22"/>
                <w:lang w:val="fr-FR"/>
              </w:rPr>
            </w:pPr>
          </w:p>
        </w:tc>
        <w:tc>
          <w:tcPr>
            <w:tcW w:w="1620" w:type="dxa"/>
            <w:tcBorders>
              <w:top w:val="single" w:sz="4" w:space="0" w:color="auto"/>
              <w:bottom w:val="single" w:sz="4" w:space="0" w:color="auto"/>
            </w:tcBorders>
          </w:tcPr>
          <w:p w14:paraId="56D3CBC0" w14:textId="77777777" w:rsidR="00EF4CB3" w:rsidRPr="00653BF6" w:rsidRDefault="00EF4CB3" w:rsidP="007F23EE">
            <w:pPr>
              <w:pStyle w:val="TableCarCarCarCarCarCarCarCarCar"/>
              <w:keepLines w:val="0"/>
              <w:rPr>
                <w:rFonts w:ascii="Times New Roman" w:hAnsi="Times New Roman"/>
                <w:color w:val="000000"/>
                <w:szCs w:val="22"/>
                <w:lang w:val="fr-FR"/>
              </w:rPr>
            </w:pPr>
          </w:p>
        </w:tc>
      </w:tr>
      <w:tr w:rsidR="00EF4CB3" w:rsidRPr="00653BF6" w14:paraId="39DEBECB" w14:textId="77777777" w:rsidTr="004B2956">
        <w:trPr>
          <w:cantSplit/>
        </w:trPr>
        <w:tc>
          <w:tcPr>
            <w:tcW w:w="2148" w:type="dxa"/>
            <w:tcBorders>
              <w:top w:val="single" w:sz="4" w:space="0" w:color="auto"/>
              <w:bottom w:val="single" w:sz="4" w:space="0" w:color="auto"/>
            </w:tcBorders>
          </w:tcPr>
          <w:p w14:paraId="2695268E"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Pré-phase</w:t>
            </w:r>
          </w:p>
        </w:tc>
        <w:tc>
          <w:tcPr>
            <w:tcW w:w="6732" w:type="dxa"/>
            <w:gridSpan w:val="4"/>
            <w:tcBorders>
              <w:top w:val="single" w:sz="4" w:space="0" w:color="auto"/>
              <w:bottom w:val="single" w:sz="4" w:space="0" w:color="auto"/>
            </w:tcBorders>
          </w:tcPr>
          <w:p w14:paraId="42F4CB3C"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DEX 10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oral, jours 1 à 5 ;</w:t>
            </w:r>
          </w:p>
          <w:p w14:paraId="442598BC"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CP 200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jours 3 à 5 ;</w:t>
            </w:r>
          </w:p>
          <w:p w14:paraId="71613943" w14:textId="0EF91FC1"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 xml:space="preserve">MTX 15 mg </w:t>
            </w:r>
            <w:r w:rsidR="009A7FB9" w:rsidRPr="00653BF6">
              <w:rPr>
                <w:rFonts w:ascii="Times New Roman" w:hAnsi="Times New Roman"/>
                <w:color w:val="000000"/>
                <w:szCs w:val="22"/>
                <w:lang w:val="fr-FR"/>
              </w:rPr>
              <w:t>intrathécale</w:t>
            </w:r>
            <w:r w:rsidRPr="00653BF6">
              <w:rPr>
                <w:rFonts w:ascii="Times New Roman" w:hAnsi="Times New Roman"/>
                <w:color w:val="000000"/>
                <w:szCs w:val="22"/>
                <w:lang w:val="fr-FR"/>
              </w:rPr>
              <w:t>, jour 1</w:t>
            </w:r>
          </w:p>
        </w:tc>
      </w:tr>
      <w:tr w:rsidR="00EF4CB3" w:rsidRPr="00653BF6" w14:paraId="335996FE" w14:textId="77777777" w:rsidTr="004B2956">
        <w:trPr>
          <w:cantSplit/>
        </w:trPr>
        <w:tc>
          <w:tcPr>
            <w:tcW w:w="2148" w:type="dxa"/>
            <w:tcBorders>
              <w:top w:val="single" w:sz="4" w:space="0" w:color="auto"/>
              <w:bottom w:val="single" w:sz="4" w:space="0" w:color="auto"/>
            </w:tcBorders>
          </w:tcPr>
          <w:p w14:paraId="314A4A8A"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Traitement d’induction I</w:t>
            </w:r>
          </w:p>
        </w:tc>
        <w:tc>
          <w:tcPr>
            <w:tcW w:w="6732" w:type="dxa"/>
            <w:gridSpan w:val="4"/>
            <w:tcBorders>
              <w:top w:val="single" w:sz="4" w:space="0" w:color="auto"/>
              <w:bottom w:val="single" w:sz="4" w:space="0" w:color="auto"/>
            </w:tcBorders>
          </w:tcPr>
          <w:p w14:paraId="0A1A4CFA"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DEX 10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oral, jours 1 à 5 ;</w:t>
            </w:r>
          </w:p>
          <w:p w14:paraId="2E07D92E"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 xml:space="preserve">VCR 2 mg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jours 6, 13, 20 ;</w:t>
            </w:r>
          </w:p>
          <w:p w14:paraId="7E2382B0" w14:textId="77777777" w:rsidR="00EF4CB3" w:rsidRPr="00653BF6" w:rsidRDefault="00EF4CB3" w:rsidP="007F23EE">
            <w:pPr>
              <w:pStyle w:val="TableCarCarCarCarCarCarCarCarCar"/>
              <w:keepLines w:val="0"/>
              <w:rPr>
                <w:rFonts w:ascii="Times New Roman" w:hAnsi="Times New Roman"/>
                <w:color w:val="000000"/>
                <w:szCs w:val="22"/>
                <w:lang w:val="fr-FR"/>
              </w:rPr>
            </w:pPr>
            <w:proofErr w:type="spellStart"/>
            <w:r w:rsidRPr="00653BF6">
              <w:rPr>
                <w:rFonts w:ascii="Times New Roman" w:hAnsi="Times New Roman"/>
                <w:color w:val="000000"/>
                <w:szCs w:val="22"/>
                <w:lang w:val="fr-FR"/>
              </w:rPr>
              <w:t>Daunorubicine</w:t>
            </w:r>
            <w:proofErr w:type="spellEnd"/>
            <w:r w:rsidRPr="00653BF6">
              <w:rPr>
                <w:rFonts w:ascii="Times New Roman" w:hAnsi="Times New Roman"/>
                <w:color w:val="000000"/>
                <w:szCs w:val="22"/>
                <w:lang w:val="fr-FR"/>
              </w:rPr>
              <w:t xml:space="preserve"> 45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jours 6 à 7, 13-14</w:t>
            </w:r>
          </w:p>
        </w:tc>
      </w:tr>
      <w:tr w:rsidR="00EF4CB3" w:rsidRPr="00653BF6" w14:paraId="42D6D594" w14:textId="77777777" w:rsidTr="004B2956">
        <w:trPr>
          <w:cantSplit/>
        </w:trPr>
        <w:tc>
          <w:tcPr>
            <w:tcW w:w="2148" w:type="dxa"/>
            <w:tcBorders>
              <w:top w:val="single" w:sz="4" w:space="0" w:color="auto"/>
              <w:bottom w:val="single" w:sz="4" w:space="0" w:color="auto"/>
            </w:tcBorders>
          </w:tcPr>
          <w:p w14:paraId="0F026E43"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Traitement d’induction II</w:t>
            </w:r>
          </w:p>
        </w:tc>
        <w:tc>
          <w:tcPr>
            <w:tcW w:w="6732" w:type="dxa"/>
            <w:gridSpan w:val="4"/>
            <w:tcBorders>
              <w:top w:val="single" w:sz="4" w:space="0" w:color="auto"/>
              <w:bottom w:val="single" w:sz="4" w:space="0" w:color="auto"/>
            </w:tcBorders>
          </w:tcPr>
          <w:p w14:paraId="6B4CA79A"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CP 1 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(1 h), jours 26, 46 ;</w:t>
            </w:r>
          </w:p>
          <w:p w14:paraId="76C69FAD" w14:textId="77777777" w:rsidR="00EF4CB3" w:rsidRPr="00653BF6" w:rsidRDefault="00EF4CB3" w:rsidP="007F23EE">
            <w:pPr>
              <w:pStyle w:val="TableCarCarCarCarCarCarCarCarCar"/>
              <w:keepLines w:val="0"/>
              <w:rPr>
                <w:rFonts w:ascii="Times New Roman" w:hAnsi="Times New Roman"/>
                <w:color w:val="000000"/>
                <w:szCs w:val="22"/>
                <w:lang w:val="fr-FR"/>
              </w:rPr>
            </w:pPr>
            <w:proofErr w:type="spellStart"/>
            <w:r w:rsidRPr="00653BF6">
              <w:rPr>
                <w:rFonts w:ascii="Times New Roman" w:hAnsi="Times New Roman"/>
                <w:color w:val="000000"/>
                <w:szCs w:val="22"/>
                <w:lang w:val="fr-FR"/>
              </w:rPr>
              <w:t>Ara-C</w:t>
            </w:r>
            <w:proofErr w:type="spellEnd"/>
            <w:r w:rsidRPr="00653BF6">
              <w:rPr>
                <w:rFonts w:ascii="Times New Roman" w:hAnsi="Times New Roman"/>
                <w:color w:val="000000"/>
                <w:szCs w:val="22"/>
                <w:lang w:val="fr-FR"/>
              </w:rPr>
              <w:t xml:space="preserve"> 75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(1 h), jours 28 à 31, 35 à 38, 42 à 45 ;</w:t>
            </w:r>
          </w:p>
          <w:p w14:paraId="3CE89CDE"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6-MP 60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oral, jours 26 à 46</w:t>
            </w:r>
          </w:p>
        </w:tc>
      </w:tr>
      <w:tr w:rsidR="00EF4CB3" w:rsidRPr="00653BF6" w14:paraId="469B5547" w14:textId="77777777" w:rsidTr="00575BD1">
        <w:trPr>
          <w:cantSplit/>
        </w:trPr>
        <w:tc>
          <w:tcPr>
            <w:tcW w:w="2148" w:type="dxa"/>
            <w:tcBorders>
              <w:top w:val="nil"/>
              <w:bottom w:val="single" w:sz="4" w:space="0" w:color="auto"/>
            </w:tcBorders>
          </w:tcPr>
          <w:p w14:paraId="46CC5BF1" w14:textId="77777777" w:rsidR="00EF4CB3" w:rsidRPr="00653BF6" w:rsidRDefault="00EF4CB3" w:rsidP="007F23EE">
            <w:pPr>
              <w:pStyle w:val="TableCarCarCarCarCarCarCarCarCar"/>
              <w:keepNext w:val="0"/>
              <w:keepLines w:val="0"/>
              <w:rPr>
                <w:rFonts w:ascii="Times New Roman" w:hAnsi="Times New Roman"/>
                <w:color w:val="000000"/>
                <w:szCs w:val="22"/>
                <w:lang w:val="fr-FR"/>
              </w:rPr>
            </w:pPr>
            <w:r w:rsidRPr="00653BF6">
              <w:rPr>
                <w:rFonts w:ascii="Times New Roman" w:hAnsi="Times New Roman"/>
                <w:color w:val="000000"/>
                <w:szCs w:val="22"/>
                <w:lang w:val="fr-FR"/>
              </w:rPr>
              <w:t>Traitement de consolidation</w:t>
            </w:r>
          </w:p>
        </w:tc>
        <w:tc>
          <w:tcPr>
            <w:tcW w:w="6732" w:type="dxa"/>
            <w:gridSpan w:val="4"/>
            <w:tcBorders>
              <w:top w:val="nil"/>
              <w:bottom w:val="single" w:sz="4" w:space="0" w:color="auto"/>
            </w:tcBorders>
          </w:tcPr>
          <w:p w14:paraId="28F009D7" w14:textId="77777777" w:rsidR="00EF4CB3" w:rsidRPr="00653BF6" w:rsidRDefault="00EF4CB3" w:rsidP="007F23EE">
            <w:pPr>
              <w:pStyle w:val="TableCarCarCarCarCarCarCarCarCar"/>
              <w:keepNext w:val="0"/>
              <w:keepLines w:val="0"/>
              <w:rPr>
                <w:rFonts w:ascii="Times New Roman" w:hAnsi="Times New Roman"/>
                <w:color w:val="000000"/>
                <w:szCs w:val="22"/>
                <w:lang w:val="fr-FR"/>
              </w:rPr>
            </w:pPr>
            <w:r w:rsidRPr="00653BF6">
              <w:rPr>
                <w:rFonts w:ascii="Times New Roman" w:hAnsi="Times New Roman"/>
                <w:color w:val="000000"/>
                <w:szCs w:val="22"/>
                <w:lang w:val="fr-FR"/>
              </w:rPr>
              <w:t>DEX 10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oral, jours 1 à 5 ;</w:t>
            </w:r>
          </w:p>
          <w:p w14:paraId="1BB6360E" w14:textId="77777777" w:rsidR="00EF4CB3" w:rsidRPr="00653BF6" w:rsidRDefault="00EF4CB3" w:rsidP="007F23EE">
            <w:pPr>
              <w:pStyle w:val="TableCarCarCarCarCarCarCarCarCar"/>
              <w:keepNext w:val="0"/>
              <w:keepLines w:val="0"/>
              <w:rPr>
                <w:rFonts w:ascii="Times New Roman" w:hAnsi="Times New Roman"/>
                <w:color w:val="000000"/>
                <w:szCs w:val="22"/>
                <w:lang w:val="fr-FR"/>
              </w:rPr>
            </w:pPr>
            <w:proofErr w:type="spellStart"/>
            <w:r w:rsidRPr="00653BF6">
              <w:rPr>
                <w:rFonts w:ascii="Times New Roman" w:hAnsi="Times New Roman"/>
                <w:color w:val="000000"/>
                <w:szCs w:val="22"/>
                <w:lang w:val="fr-FR"/>
              </w:rPr>
              <w:t>Vindésine</w:t>
            </w:r>
            <w:proofErr w:type="spellEnd"/>
            <w:r w:rsidRPr="00653BF6">
              <w:rPr>
                <w:rFonts w:ascii="Times New Roman" w:hAnsi="Times New Roman"/>
                <w:color w:val="000000"/>
                <w:szCs w:val="22"/>
                <w:lang w:val="fr-FR"/>
              </w:rPr>
              <w:t xml:space="preserve"> 3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jour 1 ;</w:t>
            </w:r>
          </w:p>
          <w:p w14:paraId="38446C5C" w14:textId="77777777" w:rsidR="00EF4CB3" w:rsidRPr="00653BF6" w:rsidRDefault="00EF4CB3" w:rsidP="007F23EE">
            <w:pPr>
              <w:pStyle w:val="TableCarCarCarCarCarCarCarCarCar"/>
              <w:keepNext w:val="0"/>
              <w:keepLines w:val="0"/>
              <w:rPr>
                <w:rFonts w:ascii="Times New Roman" w:hAnsi="Times New Roman"/>
                <w:color w:val="000000"/>
                <w:szCs w:val="22"/>
                <w:lang w:val="fr-FR"/>
              </w:rPr>
            </w:pPr>
            <w:smartTag w:uri="urn:schemas-microsoft-com:office:smarttags" w:element="stockticker">
              <w:r w:rsidRPr="00653BF6">
                <w:rPr>
                  <w:rFonts w:ascii="Times New Roman" w:hAnsi="Times New Roman"/>
                  <w:color w:val="000000"/>
                  <w:szCs w:val="22"/>
                  <w:lang w:val="fr-FR"/>
                </w:rPr>
                <w:t>MTX</w:t>
              </w:r>
            </w:smartTag>
            <w:r w:rsidRPr="00653BF6">
              <w:rPr>
                <w:rFonts w:ascii="Times New Roman" w:hAnsi="Times New Roman"/>
                <w:color w:val="000000"/>
                <w:szCs w:val="22"/>
                <w:lang w:val="fr-FR"/>
              </w:rPr>
              <w:t xml:space="preserve"> 1,5 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(24 h), jour 1 ;</w:t>
            </w:r>
          </w:p>
          <w:p w14:paraId="33FDE4E2" w14:textId="77777777" w:rsidR="00EF4CB3" w:rsidRPr="00653BF6" w:rsidRDefault="00EF4CB3" w:rsidP="007F23EE">
            <w:pPr>
              <w:pStyle w:val="TableCarCarCarCarCarCarCarCarCar"/>
              <w:keepNext w:val="0"/>
              <w:keepLines w:val="0"/>
              <w:rPr>
                <w:rFonts w:ascii="Times New Roman" w:hAnsi="Times New Roman"/>
                <w:color w:val="000000"/>
                <w:szCs w:val="22"/>
                <w:lang w:val="fr-FR"/>
              </w:rPr>
            </w:pPr>
            <w:proofErr w:type="spellStart"/>
            <w:r w:rsidRPr="00653BF6">
              <w:rPr>
                <w:rFonts w:ascii="Times New Roman" w:hAnsi="Times New Roman"/>
                <w:color w:val="000000"/>
                <w:szCs w:val="22"/>
                <w:lang w:val="fr-FR"/>
              </w:rPr>
              <w:t>Etoposide</w:t>
            </w:r>
            <w:proofErr w:type="spellEnd"/>
            <w:r w:rsidRPr="00653BF6">
              <w:rPr>
                <w:rFonts w:ascii="Times New Roman" w:hAnsi="Times New Roman"/>
                <w:color w:val="000000"/>
                <w:szCs w:val="22"/>
                <w:lang w:val="fr-FR"/>
              </w:rPr>
              <w:t xml:space="preserve"> 250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(1 h) jours 4 à 5 ;</w:t>
            </w:r>
          </w:p>
          <w:p w14:paraId="2E427550" w14:textId="77777777" w:rsidR="00EF4CB3" w:rsidRPr="00653BF6" w:rsidRDefault="00EF4CB3" w:rsidP="007F23EE">
            <w:pPr>
              <w:pStyle w:val="TableCarCarCarCarCarCarCarCarCar"/>
              <w:keepNext w:val="0"/>
              <w:keepLines w:val="0"/>
              <w:rPr>
                <w:rFonts w:ascii="Times New Roman" w:hAnsi="Times New Roman"/>
                <w:color w:val="000000"/>
                <w:szCs w:val="22"/>
                <w:lang w:val="fr-FR"/>
              </w:rPr>
            </w:pPr>
            <w:proofErr w:type="spellStart"/>
            <w:r w:rsidRPr="00653BF6">
              <w:rPr>
                <w:rFonts w:ascii="Times New Roman" w:hAnsi="Times New Roman"/>
                <w:color w:val="000000"/>
                <w:szCs w:val="22"/>
                <w:lang w:val="fr-FR"/>
              </w:rPr>
              <w:t>Ara-C</w:t>
            </w:r>
            <w:proofErr w:type="spellEnd"/>
            <w:r w:rsidRPr="00653BF6">
              <w:rPr>
                <w:rFonts w:ascii="Times New Roman" w:hAnsi="Times New Roman"/>
                <w:color w:val="000000"/>
                <w:szCs w:val="22"/>
                <w:lang w:val="fr-FR"/>
              </w:rPr>
              <w:t xml:space="preserve"> 2x 2 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(en 3 h, toutes les 12 h), jour 5</w:t>
            </w:r>
          </w:p>
        </w:tc>
      </w:tr>
      <w:tr w:rsidR="00EF4CB3" w:rsidRPr="00653BF6" w14:paraId="21DD724A" w14:textId="77777777" w:rsidTr="00575BD1">
        <w:trPr>
          <w:cantSplit/>
        </w:trPr>
        <w:tc>
          <w:tcPr>
            <w:tcW w:w="2148" w:type="dxa"/>
            <w:tcBorders>
              <w:top w:val="single" w:sz="4" w:space="0" w:color="auto"/>
              <w:bottom w:val="single" w:sz="4" w:space="0" w:color="auto"/>
            </w:tcBorders>
          </w:tcPr>
          <w:p w14:paraId="50236F1E" w14:textId="77777777" w:rsidR="00EF4CB3" w:rsidRPr="00653BF6" w:rsidRDefault="00EF4CB3" w:rsidP="007F23EE">
            <w:pPr>
              <w:pStyle w:val="TableCarCarCarCarCarCarCarCarCar"/>
              <w:keepLines w:val="0"/>
              <w:rPr>
                <w:rFonts w:ascii="Times New Roman" w:hAnsi="Times New Roman"/>
                <w:b/>
                <w:color w:val="000000"/>
                <w:szCs w:val="22"/>
                <w:lang w:val="fr-FR"/>
              </w:rPr>
            </w:pPr>
            <w:r w:rsidRPr="00653BF6">
              <w:rPr>
                <w:rFonts w:ascii="Times New Roman" w:hAnsi="Times New Roman"/>
                <w:b/>
                <w:color w:val="000000"/>
                <w:szCs w:val="22"/>
                <w:lang w:val="fr-FR"/>
              </w:rPr>
              <w:lastRenderedPageBreak/>
              <w:t>Etude AJP01</w:t>
            </w:r>
          </w:p>
        </w:tc>
        <w:tc>
          <w:tcPr>
            <w:tcW w:w="2652" w:type="dxa"/>
            <w:tcBorders>
              <w:top w:val="single" w:sz="4" w:space="0" w:color="auto"/>
              <w:bottom w:val="single" w:sz="4" w:space="0" w:color="auto"/>
            </w:tcBorders>
          </w:tcPr>
          <w:p w14:paraId="7A6AA212" w14:textId="77777777" w:rsidR="00EF4CB3" w:rsidRPr="00653BF6" w:rsidRDefault="00EF4CB3" w:rsidP="007F23EE">
            <w:pPr>
              <w:pStyle w:val="TableCarCarCarCarCarCarCarCarCar"/>
              <w:keepLines w:val="0"/>
              <w:rPr>
                <w:rFonts w:ascii="Times New Roman" w:hAnsi="Times New Roman"/>
                <w:color w:val="000000"/>
                <w:szCs w:val="22"/>
                <w:lang w:val="fr-FR"/>
              </w:rPr>
            </w:pPr>
          </w:p>
        </w:tc>
        <w:tc>
          <w:tcPr>
            <w:tcW w:w="1080" w:type="dxa"/>
            <w:tcBorders>
              <w:top w:val="single" w:sz="4" w:space="0" w:color="auto"/>
              <w:bottom w:val="single" w:sz="4" w:space="0" w:color="auto"/>
            </w:tcBorders>
          </w:tcPr>
          <w:p w14:paraId="67D87403" w14:textId="77777777" w:rsidR="00EF4CB3" w:rsidRPr="00653BF6" w:rsidRDefault="00EF4CB3" w:rsidP="007F23EE">
            <w:pPr>
              <w:pStyle w:val="TableCarCarCarCarCarCarCarCarCar"/>
              <w:keepLines w:val="0"/>
              <w:rPr>
                <w:rFonts w:ascii="Times New Roman" w:hAnsi="Times New Roman"/>
                <w:color w:val="000000"/>
                <w:szCs w:val="22"/>
                <w:lang w:val="fr-FR"/>
              </w:rPr>
            </w:pPr>
          </w:p>
        </w:tc>
        <w:tc>
          <w:tcPr>
            <w:tcW w:w="1380" w:type="dxa"/>
            <w:tcBorders>
              <w:top w:val="single" w:sz="4" w:space="0" w:color="auto"/>
              <w:bottom w:val="single" w:sz="4" w:space="0" w:color="auto"/>
            </w:tcBorders>
          </w:tcPr>
          <w:p w14:paraId="75E79172" w14:textId="77777777" w:rsidR="00EF4CB3" w:rsidRPr="00653BF6" w:rsidRDefault="00EF4CB3" w:rsidP="007F23EE">
            <w:pPr>
              <w:pStyle w:val="TableCarCarCarCarCarCarCarCarCar"/>
              <w:keepLines w:val="0"/>
              <w:rPr>
                <w:rFonts w:ascii="Times New Roman" w:hAnsi="Times New Roman"/>
                <w:color w:val="000000"/>
                <w:szCs w:val="22"/>
                <w:lang w:val="fr-FR"/>
              </w:rPr>
            </w:pPr>
          </w:p>
        </w:tc>
        <w:tc>
          <w:tcPr>
            <w:tcW w:w="1620" w:type="dxa"/>
            <w:tcBorders>
              <w:top w:val="single" w:sz="4" w:space="0" w:color="auto"/>
              <w:bottom w:val="single" w:sz="4" w:space="0" w:color="auto"/>
            </w:tcBorders>
          </w:tcPr>
          <w:p w14:paraId="4FC3B401" w14:textId="77777777" w:rsidR="00EF4CB3" w:rsidRPr="00653BF6" w:rsidRDefault="00EF4CB3" w:rsidP="007F23EE">
            <w:pPr>
              <w:pStyle w:val="TableCarCarCarCarCarCarCarCarCar"/>
              <w:keepLines w:val="0"/>
              <w:rPr>
                <w:rFonts w:ascii="Times New Roman" w:hAnsi="Times New Roman"/>
                <w:color w:val="000000"/>
                <w:szCs w:val="22"/>
                <w:lang w:val="fr-FR"/>
              </w:rPr>
            </w:pPr>
          </w:p>
        </w:tc>
      </w:tr>
      <w:tr w:rsidR="00EF4CB3" w:rsidRPr="00653BF6" w14:paraId="3E1D2E5D" w14:textId="77777777" w:rsidTr="00575BD1">
        <w:trPr>
          <w:cantSplit/>
        </w:trPr>
        <w:tc>
          <w:tcPr>
            <w:tcW w:w="2148" w:type="dxa"/>
            <w:tcBorders>
              <w:top w:val="single" w:sz="4" w:space="0" w:color="auto"/>
              <w:bottom w:val="single" w:sz="4" w:space="0" w:color="auto"/>
            </w:tcBorders>
          </w:tcPr>
          <w:p w14:paraId="47765840" w14:textId="77777777" w:rsidR="00EF4CB3" w:rsidRPr="00653BF6" w:rsidRDefault="004B2956" w:rsidP="007F23EE">
            <w:pPr>
              <w:pStyle w:val="TableCarCarCarCarCarCarCarCarCar"/>
              <w:keepLines w:val="0"/>
              <w:jc w:val="both"/>
              <w:rPr>
                <w:rFonts w:ascii="Times New Roman" w:hAnsi="Times New Roman"/>
                <w:color w:val="000000"/>
                <w:szCs w:val="22"/>
                <w:lang w:val="fr-FR"/>
              </w:rPr>
            </w:pPr>
            <w:r w:rsidRPr="00653BF6">
              <w:rPr>
                <w:rFonts w:ascii="Times New Roman" w:hAnsi="Times New Roman"/>
                <w:color w:val="000000"/>
                <w:szCs w:val="22"/>
                <w:lang w:val="fr-FR"/>
              </w:rPr>
              <w:t>Traitement d’induction</w:t>
            </w:r>
          </w:p>
        </w:tc>
        <w:tc>
          <w:tcPr>
            <w:tcW w:w="6732" w:type="dxa"/>
            <w:gridSpan w:val="4"/>
            <w:tcBorders>
              <w:top w:val="single" w:sz="4" w:space="0" w:color="auto"/>
              <w:bottom w:val="single" w:sz="4" w:space="0" w:color="auto"/>
            </w:tcBorders>
          </w:tcPr>
          <w:p w14:paraId="22246126"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CP 1,2 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(3 h), jour 1 ;</w:t>
            </w:r>
          </w:p>
          <w:p w14:paraId="68AFB6BC" w14:textId="77777777" w:rsidR="00EF4CB3" w:rsidRPr="00653BF6" w:rsidRDefault="00EF4CB3" w:rsidP="007F23EE">
            <w:pPr>
              <w:pStyle w:val="TableCarCarCarCarCarCarCarCarCar"/>
              <w:keepLines w:val="0"/>
              <w:rPr>
                <w:rFonts w:ascii="Times New Roman" w:hAnsi="Times New Roman"/>
                <w:color w:val="000000"/>
                <w:szCs w:val="22"/>
                <w:lang w:val="fr-FR"/>
              </w:rPr>
            </w:pPr>
            <w:proofErr w:type="spellStart"/>
            <w:r w:rsidRPr="00653BF6">
              <w:rPr>
                <w:rFonts w:ascii="Times New Roman" w:hAnsi="Times New Roman"/>
                <w:color w:val="000000"/>
                <w:szCs w:val="22"/>
                <w:lang w:val="fr-FR"/>
              </w:rPr>
              <w:t>Daunorubicine</w:t>
            </w:r>
            <w:proofErr w:type="spellEnd"/>
            <w:r w:rsidRPr="00653BF6">
              <w:rPr>
                <w:rFonts w:ascii="Times New Roman" w:hAnsi="Times New Roman"/>
                <w:color w:val="000000"/>
                <w:szCs w:val="22"/>
                <w:lang w:val="fr-FR"/>
              </w:rPr>
              <w:t xml:space="preserve"> 60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(1 h), jours 1 à 3 ;</w:t>
            </w:r>
          </w:p>
          <w:p w14:paraId="38023286"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Vincristine 1,3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jours 1, 8, 15, 21 ;</w:t>
            </w:r>
          </w:p>
          <w:p w14:paraId="47590B8E" w14:textId="0643E12B"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Pr</w:t>
            </w:r>
            <w:r w:rsidR="009A7FB9" w:rsidRPr="00653BF6">
              <w:rPr>
                <w:rFonts w:ascii="Times New Roman" w:hAnsi="Times New Roman"/>
                <w:color w:val="000000"/>
                <w:szCs w:val="22"/>
                <w:lang w:val="fr-FR"/>
              </w:rPr>
              <w:t>e</w:t>
            </w:r>
            <w:r w:rsidRPr="00653BF6">
              <w:rPr>
                <w:rFonts w:ascii="Times New Roman" w:hAnsi="Times New Roman"/>
                <w:color w:val="000000"/>
                <w:szCs w:val="22"/>
                <w:lang w:val="fr-FR"/>
              </w:rPr>
              <w:t>dnisolone 60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/jour oral</w:t>
            </w:r>
          </w:p>
        </w:tc>
      </w:tr>
      <w:tr w:rsidR="00EF4CB3" w:rsidRPr="00653BF6" w14:paraId="095D4B73" w14:textId="77777777" w:rsidTr="004B2956">
        <w:trPr>
          <w:cantSplit/>
        </w:trPr>
        <w:tc>
          <w:tcPr>
            <w:tcW w:w="2148" w:type="dxa"/>
            <w:tcBorders>
              <w:top w:val="single" w:sz="4" w:space="0" w:color="auto"/>
              <w:bottom w:val="single" w:sz="4" w:space="0" w:color="auto"/>
            </w:tcBorders>
          </w:tcPr>
          <w:p w14:paraId="00886F38" w14:textId="77777777" w:rsidR="00EF4CB3" w:rsidRPr="00653BF6" w:rsidRDefault="00EF4CB3" w:rsidP="007F23EE">
            <w:pPr>
              <w:pStyle w:val="TableCarCarCarCarCarCarCarCarCar"/>
              <w:keepLines w:val="0"/>
              <w:tabs>
                <w:tab w:val="left" w:pos="0"/>
              </w:tabs>
              <w:rPr>
                <w:rFonts w:ascii="Times New Roman" w:hAnsi="Times New Roman"/>
                <w:color w:val="000000"/>
                <w:szCs w:val="22"/>
                <w:lang w:val="fr-FR"/>
              </w:rPr>
            </w:pPr>
            <w:r w:rsidRPr="00653BF6">
              <w:rPr>
                <w:rFonts w:ascii="Times New Roman" w:hAnsi="Times New Roman"/>
                <w:color w:val="000000"/>
                <w:szCs w:val="22"/>
                <w:lang w:val="fr-FR"/>
              </w:rPr>
              <w:t>Traitement de consolidation</w:t>
            </w:r>
          </w:p>
        </w:tc>
        <w:tc>
          <w:tcPr>
            <w:tcW w:w="6732" w:type="dxa"/>
            <w:gridSpan w:val="4"/>
            <w:tcBorders>
              <w:top w:val="single" w:sz="4" w:space="0" w:color="auto"/>
              <w:bottom w:val="single" w:sz="4" w:space="0" w:color="auto"/>
            </w:tcBorders>
          </w:tcPr>
          <w:p w14:paraId="0D1F6B1F"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 xml:space="preserve">Régime de chimiothérapie en alternance : chimiothérapie à hautes doses de </w:t>
            </w:r>
            <w:smartTag w:uri="urn:schemas-microsoft-com:office:smarttags" w:element="stockticker">
              <w:r w:rsidRPr="00653BF6">
                <w:rPr>
                  <w:rFonts w:ascii="Times New Roman" w:hAnsi="Times New Roman"/>
                  <w:color w:val="000000"/>
                  <w:szCs w:val="22"/>
                  <w:lang w:val="fr-FR"/>
                </w:rPr>
                <w:t>MTX</w:t>
              </w:r>
            </w:smartTag>
            <w:r w:rsidRPr="00653BF6">
              <w:rPr>
                <w:rFonts w:ascii="Times New Roman" w:hAnsi="Times New Roman"/>
                <w:color w:val="000000"/>
                <w:szCs w:val="22"/>
                <w:lang w:val="fr-FR"/>
              </w:rPr>
              <w:t xml:space="preserve"> 1 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xml:space="preserve">. (24 h), jour 1, et </w:t>
            </w:r>
            <w:proofErr w:type="spellStart"/>
            <w:r w:rsidRPr="00653BF6">
              <w:rPr>
                <w:rFonts w:ascii="Times New Roman" w:hAnsi="Times New Roman"/>
                <w:color w:val="000000"/>
                <w:szCs w:val="22"/>
                <w:lang w:val="fr-FR"/>
              </w:rPr>
              <w:t>Ara-C</w:t>
            </w:r>
            <w:proofErr w:type="spellEnd"/>
            <w:r w:rsidRPr="00653BF6">
              <w:rPr>
                <w:rFonts w:ascii="Times New Roman" w:hAnsi="Times New Roman"/>
                <w:color w:val="000000"/>
                <w:szCs w:val="22"/>
                <w:lang w:val="fr-FR"/>
              </w:rPr>
              <w:t xml:space="preserve"> 2 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(toutes les 12 h), jours 2 et 3, pour 4 cycles</w:t>
            </w:r>
          </w:p>
        </w:tc>
      </w:tr>
      <w:tr w:rsidR="00EF4CB3" w:rsidRPr="00653BF6" w14:paraId="5E79C43B" w14:textId="77777777" w:rsidTr="004B2956">
        <w:trPr>
          <w:cantSplit/>
        </w:trPr>
        <w:tc>
          <w:tcPr>
            <w:tcW w:w="2148" w:type="dxa"/>
            <w:tcBorders>
              <w:top w:val="single" w:sz="4" w:space="0" w:color="auto"/>
              <w:bottom w:val="single" w:sz="4" w:space="0" w:color="auto"/>
            </w:tcBorders>
          </w:tcPr>
          <w:p w14:paraId="5B2428D2" w14:textId="77777777" w:rsidR="00EF4CB3" w:rsidRPr="00653BF6" w:rsidRDefault="00EF4CB3" w:rsidP="007F23EE">
            <w:pPr>
              <w:pStyle w:val="TableCarCarCarCarCarCarCarCarCar"/>
              <w:keepNext w:val="0"/>
              <w:keepLines w:val="0"/>
              <w:tabs>
                <w:tab w:val="left" w:pos="0"/>
              </w:tabs>
              <w:rPr>
                <w:rFonts w:ascii="Times New Roman" w:hAnsi="Times New Roman"/>
                <w:color w:val="000000"/>
                <w:szCs w:val="22"/>
                <w:lang w:val="fr-FR"/>
              </w:rPr>
            </w:pPr>
            <w:r w:rsidRPr="00653BF6">
              <w:rPr>
                <w:rFonts w:ascii="Times New Roman" w:hAnsi="Times New Roman"/>
                <w:color w:val="000000"/>
                <w:szCs w:val="22"/>
                <w:lang w:val="fr-FR"/>
              </w:rPr>
              <w:t>Traitement d’entretien</w:t>
            </w:r>
          </w:p>
        </w:tc>
        <w:tc>
          <w:tcPr>
            <w:tcW w:w="6732" w:type="dxa"/>
            <w:gridSpan w:val="4"/>
            <w:tcBorders>
              <w:top w:val="single" w:sz="4" w:space="0" w:color="auto"/>
              <w:bottom w:val="single" w:sz="4" w:space="0" w:color="auto"/>
            </w:tcBorders>
          </w:tcPr>
          <w:p w14:paraId="153EDEAA" w14:textId="77777777" w:rsidR="00EF4CB3" w:rsidRPr="00653BF6" w:rsidRDefault="00EF4CB3" w:rsidP="007F23EE">
            <w:pPr>
              <w:pStyle w:val="TableCarCarCarCarCarCarCarCarCar"/>
              <w:keepNext w:val="0"/>
              <w:keepLines w:val="0"/>
              <w:rPr>
                <w:rFonts w:ascii="Times New Roman" w:hAnsi="Times New Roman"/>
                <w:color w:val="000000"/>
                <w:szCs w:val="22"/>
                <w:lang w:val="fr-FR"/>
              </w:rPr>
            </w:pPr>
            <w:smartTag w:uri="urn:schemas-microsoft-com:office:smarttags" w:element="stockticker">
              <w:r w:rsidRPr="00653BF6">
                <w:rPr>
                  <w:rFonts w:ascii="Times New Roman" w:hAnsi="Times New Roman"/>
                  <w:color w:val="000000"/>
                  <w:szCs w:val="22"/>
                  <w:lang w:val="fr-FR"/>
                </w:rPr>
                <w:t>VCR</w:t>
              </w:r>
            </w:smartTag>
            <w:r w:rsidRPr="00653BF6">
              <w:rPr>
                <w:rFonts w:ascii="Times New Roman" w:hAnsi="Times New Roman"/>
                <w:color w:val="000000"/>
                <w:szCs w:val="22"/>
                <w:lang w:val="fr-FR"/>
              </w:rPr>
              <w:t xml:space="preserve"> 1,3 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jour 1 ;</w:t>
            </w:r>
          </w:p>
          <w:p w14:paraId="27F0DDCD" w14:textId="7521EEFB" w:rsidR="00EF4CB3" w:rsidRPr="00653BF6" w:rsidRDefault="00EF4CB3" w:rsidP="007F23EE">
            <w:pPr>
              <w:pStyle w:val="TableCarCarCarCarCarCarCarCarCar"/>
              <w:keepNext w:val="0"/>
              <w:keepLines w:val="0"/>
              <w:rPr>
                <w:rFonts w:ascii="Times New Roman" w:hAnsi="Times New Roman"/>
                <w:color w:val="000000"/>
                <w:szCs w:val="22"/>
                <w:lang w:val="fr-FR"/>
              </w:rPr>
            </w:pPr>
            <w:r w:rsidRPr="00653BF6">
              <w:rPr>
                <w:rFonts w:ascii="Times New Roman" w:hAnsi="Times New Roman"/>
                <w:color w:val="000000"/>
                <w:szCs w:val="22"/>
                <w:lang w:val="fr-FR"/>
              </w:rPr>
              <w:t>Pr</w:t>
            </w:r>
            <w:r w:rsidR="009A7FB9" w:rsidRPr="00653BF6">
              <w:rPr>
                <w:rFonts w:ascii="Times New Roman" w:hAnsi="Times New Roman"/>
                <w:color w:val="000000"/>
                <w:szCs w:val="22"/>
                <w:lang w:val="fr-FR"/>
              </w:rPr>
              <w:t>e</w:t>
            </w:r>
            <w:r w:rsidRPr="00653BF6">
              <w:rPr>
                <w:rFonts w:ascii="Times New Roman" w:hAnsi="Times New Roman"/>
                <w:color w:val="000000"/>
                <w:szCs w:val="22"/>
                <w:lang w:val="fr-FR"/>
              </w:rPr>
              <w:t>dnisolone 60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oral, jours 1 à 5</w:t>
            </w:r>
          </w:p>
        </w:tc>
      </w:tr>
      <w:tr w:rsidR="00EF4CB3" w:rsidRPr="00653BF6" w14:paraId="18BA2621" w14:textId="77777777" w:rsidTr="004B2956">
        <w:trPr>
          <w:cantSplit/>
        </w:trPr>
        <w:tc>
          <w:tcPr>
            <w:tcW w:w="4800" w:type="dxa"/>
            <w:gridSpan w:val="2"/>
            <w:tcBorders>
              <w:top w:val="single" w:sz="4" w:space="0" w:color="auto"/>
              <w:bottom w:val="single" w:sz="4" w:space="0" w:color="auto"/>
            </w:tcBorders>
          </w:tcPr>
          <w:p w14:paraId="006A0592"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b/>
                <w:color w:val="000000"/>
                <w:szCs w:val="22"/>
                <w:lang w:val="fr-FR"/>
              </w:rPr>
              <w:t>Etude AUS01</w:t>
            </w:r>
          </w:p>
        </w:tc>
        <w:tc>
          <w:tcPr>
            <w:tcW w:w="1080" w:type="dxa"/>
            <w:tcBorders>
              <w:top w:val="single" w:sz="4" w:space="0" w:color="auto"/>
              <w:bottom w:val="single" w:sz="4" w:space="0" w:color="auto"/>
            </w:tcBorders>
          </w:tcPr>
          <w:p w14:paraId="7E64685C" w14:textId="77777777" w:rsidR="00EF4CB3" w:rsidRPr="00653BF6" w:rsidRDefault="00EF4CB3" w:rsidP="007F23EE">
            <w:pPr>
              <w:pStyle w:val="TableCarCarCarCarCarCarCarCarCar"/>
              <w:keepLines w:val="0"/>
              <w:rPr>
                <w:rFonts w:ascii="Times New Roman" w:hAnsi="Times New Roman"/>
                <w:color w:val="000000"/>
                <w:szCs w:val="22"/>
                <w:lang w:val="fr-FR"/>
              </w:rPr>
            </w:pPr>
          </w:p>
        </w:tc>
        <w:tc>
          <w:tcPr>
            <w:tcW w:w="1380" w:type="dxa"/>
            <w:tcBorders>
              <w:top w:val="single" w:sz="4" w:space="0" w:color="auto"/>
              <w:bottom w:val="single" w:sz="4" w:space="0" w:color="auto"/>
            </w:tcBorders>
          </w:tcPr>
          <w:p w14:paraId="6D0485B6" w14:textId="77777777" w:rsidR="00EF4CB3" w:rsidRPr="00653BF6" w:rsidRDefault="00EF4CB3" w:rsidP="007F23EE">
            <w:pPr>
              <w:pStyle w:val="TableCarCarCarCarCarCarCarCarCar"/>
              <w:keepLines w:val="0"/>
              <w:rPr>
                <w:rFonts w:ascii="Times New Roman" w:hAnsi="Times New Roman"/>
                <w:color w:val="000000"/>
                <w:szCs w:val="22"/>
                <w:lang w:val="fr-FR"/>
              </w:rPr>
            </w:pPr>
          </w:p>
        </w:tc>
        <w:tc>
          <w:tcPr>
            <w:tcW w:w="1620" w:type="dxa"/>
            <w:tcBorders>
              <w:top w:val="single" w:sz="4" w:space="0" w:color="auto"/>
              <w:bottom w:val="single" w:sz="4" w:space="0" w:color="auto"/>
            </w:tcBorders>
          </w:tcPr>
          <w:p w14:paraId="618A7BBF" w14:textId="77777777" w:rsidR="00EF4CB3" w:rsidRPr="00653BF6" w:rsidRDefault="00EF4CB3" w:rsidP="007F23EE">
            <w:pPr>
              <w:pStyle w:val="TableCarCarCarCarCarCarCarCarCar"/>
              <w:keepLines w:val="0"/>
              <w:rPr>
                <w:rFonts w:ascii="Times New Roman" w:hAnsi="Times New Roman"/>
                <w:color w:val="000000"/>
                <w:szCs w:val="22"/>
                <w:lang w:val="fr-FR"/>
              </w:rPr>
            </w:pPr>
          </w:p>
        </w:tc>
      </w:tr>
      <w:tr w:rsidR="00EF4CB3" w:rsidRPr="00653BF6" w14:paraId="7E8D1195" w14:textId="77777777" w:rsidTr="004B2956">
        <w:trPr>
          <w:cantSplit/>
        </w:trPr>
        <w:tc>
          <w:tcPr>
            <w:tcW w:w="2148" w:type="dxa"/>
            <w:tcBorders>
              <w:top w:val="single" w:sz="4" w:space="0" w:color="auto"/>
              <w:bottom w:val="single" w:sz="4" w:space="0" w:color="auto"/>
            </w:tcBorders>
          </w:tcPr>
          <w:p w14:paraId="38558E5D"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Traitement d’induction et de consolidation</w:t>
            </w:r>
          </w:p>
        </w:tc>
        <w:tc>
          <w:tcPr>
            <w:tcW w:w="6732" w:type="dxa"/>
            <w:gridSpan w:val="4"/>
            <w:tcBorders>
              <w:top w:val="single" w:sz="4" w:space="0" w:color="auto"/>
              <w:bottom w:val="single" w:sz="4" w:space="0" w:color="auto"/>
            </w:tcBorders>
          </w:tcPr>
          <w:p w14:paraId="45435F79"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Protocole Hyper-CVAD : CP 300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(en 3 h, toutes les 12 h), jours 1 à 3 ;</w:t>
            </w:r>
          </w:p>
          <w:p w14:paraId="44B28F0E"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 xml:space="preserve">Vincristine 2 mg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jours 4 et 11 ;</w:t>
            </w:r>
          </w:p>
          <w:p w14:paraId="1126EDB8" w14:textId="77777777" w:rsidR="00EF4CB3" w:rsidRPr="00653BF6" w:rsidRDefault="00EF4CB3" w:rsidP="007F23EE">
            <w:pPr>
              <w:pStyle w:val="TableCarCarCarCarCarCarCarCarCar"/>
              <w:keepLines w:val="0"/>
              <w:rPr>
                <w:rFonts w:ascii="Times New Roman" w:hAnsi="Times New Roman"/>
                <w:color w:val="000000"/>
                <w:szCs w:val="22"/>
                <w:lang w:val="fr-FR"/>
              </w:rPr>
            </w:pPr>
            <w:proofErr w:type="spellStart"/>
            <w:r w:rsidRPr="00653BF6">
              <w:rPr>
                <w:rFonts w:ascii="Times New Roman" w:hAnsi="Times New Roman"/>
                <w:color w:val="000000"/>
                <w:szCs w:val="22"/>
                <w:lang w:val="fr-FR"/>
              </w:rPr>
              <w:t>Doxorubicine</w:t>
            </w:r>
            <w:proofErr w:type="spellEnd"/>
            <w:r w:rsidRPr="00653BF6">
              <w:rPr>
                <w:rFonts w:ascii="Times New Roman" w:hAnsi="Times New Roman"/>
                <w:color w:val="000000"/>
                <w:szCs w:val="22"/>
                <w:lang w:val="fr-FR"/>
              </w:rPr>
              <w:t xml:space="preserve"> 50 mg/m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(24 h), jour 4 ;</w:t>
            </w:r>
          </w:p>
          <w:p w14:paraId="1D7A7952"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DEX 40 mg/</w:t>
            </w:r>
            <w:proofErr w:type="spellStart"/>
            <w:r w:rsidRPr="00653BF6">
              <w:rPr>
                <w:rFonts w:ascii="Times New Roman" w:hAnsi="Times New Roman"/>
                <w:color w:val="000000"/>
                <w:szCs w:val="22"/>
                <w:lang w:val="fr-FR"/>
              </w:rPr>
              <w:t>day</w:t>
            </w:r>
            <w:proofErr w:type="spellEnd"/>
            <w:r w:rsidRPr="00653BF6">
              <w:rPr>
                <w:rFonts w:ascii="Times New Roman" w:hAnsi="Times New Roman"/>
                <w:color w:val="000000"/>
                <w:szCs w:val="22"/>
                <w:lang w:val="fr-FR"/>
              </w:rPr>
              <w:t xml:space="preserve"> jours 1 à 4 et 11 à 14, en alternance avec </w:t>
            </w:r>
            <w:smartTag w:uri="urn:schemas-microsoft-com:office:smarttags" w:element="stockticker">
              <w:r w:rsidRPr="00653BF6">
                <w:rPr>
                  <w:rFonts w:ascii="Times New Roman" w:hAnsi="Times New Roman"/>
                  <w:color w:val="000000"/>
                  <w:szCs w:val="22"/>
                  <w:lang w:val="fr-FR"/>
                </w:rPr>
                <w:t>MTX</w:t>
              </w:r>
            </w:smartTag>
            <w:r w:rsidRPr="00653BF6">
              <w:rPr>
                <w:rFonts w:ascii="Times New Roman" w:hAnsi="Times New Roman"/>
                <w:color w:val="000000"/>
                <w:szCs w:val="22"/>
                <w:lang w:val="fr-FR"/>
              </w:rPr>
              <w:t xml:space="preserve"> 1 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xml:space="preserve">. (24 h), jour 1, </w:t>
            </w:r>
            <w:proofErr w:type="spellStart"/>
            <w:r w:rsidRPr="00653BF6">
              <w:rPr>
                <w:rFonts w:ascii="Times New Roman" w:hAnsi="Times New Roman"/>
                <w:color w:val="000000"/>
                <w:szCs w:val="22"/>
                <w:lang w:val="fr-FR"/>
              </w:rPr>
              <w:t>Ara-C</w:t>
            </w:r>
            <w:proofErr w:type="spellEnd"/>
            <w:r w:rsidRPr="00653BF6">
              <w:rPr>
                <w:rFonts w:ascii="Times New Roman" w:hAnsi="Times New Roman"/>
                <w:color w:val="000000"/>
                <w:szCs w:val="22"/>
                <w:lang w:val="fr-FR"/>
              </w:rPr>
              <w:t xml:space="preserve"> 1 g/m</w:t>
            </w:r>
            <w:r w:rsidRPr="00653BF6">
              <w:rPr>
                <w:rFonts w:ascii="Times New Roman" w:hAnsi="Times New Roman"/>
                <w:color w:val="000000"/>
                <w:szCs w:val="22"/>
                <w:vertAlign w:val="superscript"/>
                <w:lang w:val="fr-FR"/>
              </w:rPr>
              <w:t>2</w:t>
            </w:r>
            <w:r w:rsidRPr="00653BF6">
              <w:rPr>
                <w:rFonts w:ascii="Times New Roman" w:hAnsi="Times New Roman"/>
                <w:color w:val="000000"/>
                <w:szCs w:val="22"/>
                <w:lang w:val="fr-FR"/>
              </w:rPr>
              <w:t xml:space="preserve">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(en 2 h, toutes les 12 h), jours 2 et 3 (pour un total de 8 cycles)</w:t>
            </w:r>
          </w:p>
        </w:tc>
      </w:tr>
      <w:tr w:rsidR="00EF4CB3" w:rsidRPr="00653BF6" w14:paraId="43FF1C74" w14:textId="77777777" w:rsidTr="004B2956">
        <w:trPr>
          <w:cantSplit/>
        </w:trPr>
        <w:tc>
          <w:tcPr>
            <w:tcW w:w="2148" w:type="dxa"/>
            <w:tcBorders>
              <w:top w:val="single" w:sz="4" w:space="0" w:color="auto"/>
              <w:bottom w:val="single" w:sz="4" w:space="0" w:color="auto"/>
            </w:tcBorders>
          </w:tcPr>
          <w:p w14:paraId="04E87652"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Traitement d’entretien</w:t>
            </w:r>
          </w:p>
        </w:tc>
        <w:tc>
          <w:tcPr>
            <w:tcW w:w="6732" w:type="dxa"/>
            <w:gridSpan w:val="4"/>
            <w:tcBorders>
              <w:top w:val="single" w:sz="4" w:space="0" w:color="auto"/>
              <w:bottom w:val="single" w:sz="4" w:space="0" w:color="auto"/>
            </w:tcBorders>
          </w:tcPr>
          <w:p w14:paraId="650FDE8F" w14:textId="77777777" w:rsidR="00EF4CB3" w:rsidRPr="00653BF6" w:rsidRDefault="00EF4CB3" w:rsidP="007F23EE">
            <w:pPr>
              <w:pStyle w:val="TableCarCarCarCarCarCarCarCarCar"/>
              <w:keepLines w:val="0"/>
              <w:rPr>
                <w:rFonts w:ascii="Times New Roman" w:hAnsi="Times New Roman"/>
                <w:color w:val="000000"/>
                <w:szCs w:val="22"/>
                <w:lang w:val="fr-FR"/>
              </w:rPr>
            </w:pPr>
            <w:smartTag w:uri="urn:schemas-microsoft-com:office:smarttags" w:element="stockticker">
              <w:r w:rsidRPr="00653BF6">
                <w:rPr>
                  <w:rFonts w:ascii="Times New Roman" w:hAnsi="Times New Roman"/>
                  <w:color w:val="000000"/>
                  <w:szCs w:val="22"/>
                  <w:lang w:val="fr-FR"/>
                </w:rPr>
                <w:t>VCR</w:t>
              </w:r>
            </w:smartTag>
            <w:r w:rsidRPr="00653BF6">
              <w:rPr>
                <w:rFonts w:ascii="Times New Roman" w:hAnsi="Times New Roman"/>
                <w:color w:val="000000"/>
                <w:szCs w:val="22"/>
                <w:lang w:val="fr-FR"/>
              </w:rPr>
              <w:t xml:space="preserve"> 2 mg </w:t>
            </w:r>
            <w:proofErr w:type="spellStart"/>
            <w:r w:rsidRPr="00653BF6">
              <w:rPr>
                <w:rFonts w:ascii="Times New Roman" w:hAnsi="Times New Roman"/>
                <w:color w:val="000000"/>
                <w:szCs w:val="22"/>
                <w:lang w:val="fr-FR"/>
              </w:rPr>
              <w:t>i.v</w:t>
            </w:r>
            <w:proofErr w:type="spellEnd"/>
            <w:r w:rsidRPr="00653BF6">
              <w:rPr>
                <w:rFonts w:ascii="Times New Roman" w:hAnsi="Times New Roman"/>
                <w:color w:val="000000"/>
                <w:szCs w:val="22"/>
                <w:lang w:val="fr-FR"/>
              </w:rPr>
              <w:t>. une fois par mois pendant 13 mois ;</w:t>
            </w:r>
          </w:p>
          <w:p w14:paraId="2CDA0BB0" w14:textId="31DA1483"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Pr</w:t>
            </w:r>
            <w:r w:rsidR="009A7FB9" w:rsidRPr="00653BF6">
              <w:rPr>
                <w:rFonts w:ascii="Times New Roman" w:hAnsi="Times New Roman"/>
                <w:color w:val="000000"/>
                <w:szCs w:val="22"/>
                <w:lang w:val="fr-FR"/>
              </w:rPr>
              <w:t>e</w:t>
            </w:r>
            <w:r w:rsidRPr="00653BF6">
              <w:rPr>
                <w:rFonts w:ascii="Times New Roman" w:hAnsi="Times New Roman"/>
                <w:color w:val="000000"/>
                <w:szCs w:val="22"/>
                <w:lang w:val="fr-FR"/>
              </w:rPr>
              <w:t>dnisolone 200 mg oral, 5 jours par mois pendant 13 mois</w:t>
            </w:r>
          </w:p>
        </w:tc>
      </w:tr>
      <w:tr w:rsidR="00EF4CB3" w:rsidRPr="00653BF6" w14:paraId="11A3B174" w14:textId="77777777" w:rsidTr="004B2956">
        <w:trPr>
          <w:cantSplit/>
        </w:trPr>
        <w:tc>
          <w:tcPr>
            <w:tcW w:w="8880" w:type="dxa"/>
            <w:gridSpan w:val="5"/>
            <w:tcBorders>
              <w:top w:val="single" w:sz="4" w:space="0" w:color="auto"/>
              <w:bottom w:val="single" w:sz="4" w:space="0" w:color="auto"/>
            </w:tcBorders>
          </w:tcPr>
          <w:p w14:paraId="2CF36CDA" w14:textId="77777777" w:rsidR="00EF4CB3" w:rsidRPr="00653BF6" w:rsidRDefault="00EF4CB3" w:rsidP="007F23EE">
            <w:pPr>
              <w:pStyle w:val="TableCarCarCarCarCarCarCarCarCar"/>
              <w:keepLines w:val="0"/>
              <w:rPr>
                <w:rFonts w:ascii="Times New Roman" w:hAnsi="Times New Roman"/>
                <w:color w:val="000000"/>
                <w:szCs w:val="22"/>
                <w:lang w:val="fr-FR"/>
              </w:rPr>
            </w:pPr>
            <w:r w:rsidRPr="00653BF6">
              <w:rPr>
                <w:rFonts w:ascii="Times New Roman" w:hAnsi="Times New Roman"/>
                <w:color w:val="000000"/>
                <w:szCs w:val="22"/>
                <w:lang w:val="fr-FR"/>
              </w:rPr>
              <w:t>Tous les schémas thérapeutiques comprennent l’administration de corticoïdes en prophylaxie neuroméningée.</w:t>
            </w:r>
          </w:p>
        </w:tc>
      </w:tr>
      <w:tr w:rsidR="00EF4CB3" w:rsidRPr="00653BF6" w14:paraId="2E6BB8AF" w14:textId="77777777" w:rsidTr="004B2956">
        <w:trPr>
          <w:cantSplit/>
        </w:trPr>
        <w:tc>
          <w:tcPr>
            <w:tcW w:w="8880" w:type="dxa"/>
            <w:gridSpan w:val="5"/>
            <w:tcBorders>
              <w:top w:val="single" w:sz="4" w:space="0" w:color="auto"/>
              <w:bottom w:val="single" w:sz="4" w:space="0" w:color="auto"/>
            </w:tcBorders>
          </w:tcPr>
          <w:p w14:paraId="4FDB62D7" w14:textId="77777777" w:rsidR="00EF4CB3" w:rsidRPr="00653BF6" w:rsidRDefault="00EF4CB3" w:rsidP="007F23EE">
            <w:pPr>
              <w:pStyle w:val="TableCarCarCarCarCarCarCarCarCar"/>
              <w:keepNext w:val="0"/>
              <w:keepLines w:val="0"/>
              <w:rPr>
                <w:rFonts w:ascii="Times New Roman" w:hAnsi="Times New Roman"/>
                <w:color w:val="000000"/>
                <w:szCs w:val="22"/>
                <w:lang w:val="fr-FR"/>
              </w:rPr>
            </w:pPr>
            <w:proofErr w:type="spellStart"/>
            <w:r w:rsidRPr="005205FF">
              <w:rPr>
                <w:rFonts w:ascii="Times New Roman" w:hAnsi="Times New Roman"/>
                <w:color w:val="000000"/>
                <w:sz w:val="20"/>
                <w:lang w:val="fr-FR"/>
                <w:rPrChange w:id="482" w:author="Author">
                  <w:rPr>
                    <w:rFonts w:ascii="Times New Roman" w:hAnsi="Times New Roman"/>
                    <w:color w:val="000000"/>
                    <w:szCs w:val="22"/>
                    <w:lang w:val="fr-FR"/>
                  </w:rPr>
                </w:rPrChange>
              </w:rPr>
              <w:t>Ara-C</w:t>
            </w:r>
            <w:proofErr w:type="spellEnd"/>
            <w:r w:rsidRPr="005205FF">
              <w:rPr>
                <w:rFonts w:ascii="Times New Roman" w:hAnsi="Times New Roman"/>
                <w:color w:val="000000"/>
                <w:sz w:val="20"/>
                <w:lang w:val="fr-FR"/>
                <w:rPrChange w:id="483" w:author="Author">
                  <w:rPr>
                    <w:rFonts w:ascii="Times New Roman" w:hAnsi="Times New Roman"/>
                    <w:color w:val="000000"/>
                    <w:szCs w:val="22"/>
                    <w:lang w:val="fr-FR"/>
                  </w:rPr>
                </w:rPrChange>
              </w:rPr>
              <w:t xml:space="preserve"> : cytarabine ; CP : cyclophosphamide ; DEX : dexaméthasone ; </w:t>
            </w:r>
            <w:smartTag w:uri="urn:schemas-microsoft-com:office:smarttags" w:element="stockticker">
              <w:r w:rsidRPr="005205FF">
                <w:rPr>
                  <w:rFonts w:ascii="Times New Roman" w:hAnsi="Times New Roman"/>
                  <w:color w:val="000000"/>
                  <w:sz w:val="20"/>
                  <w:lang w:val="fr-FR"/>
                  <w:rPrChange w:id="484" w:author="Author">
                    <w:rPr>
                      <w:rFonts w:ascii="Times New Roman" w:hAnsi="Times New Roman"/>
                      <w:color w:val="000000"/>
                      <w:szCs w:val="22"/>
                      <w:lang w:val="fr-FR"/>
                    </w:rPr>
                  </w:rPrChange>
                </w:rPr>
                <w:t>MTX</w:t>
              </w:r>
            </w:smartTag>
            <w:r w:rsidRPr="005205FF">
              <w:rPr>
                <w:rFonts w:ascii="Times New Roman" w:hAnsi="Times New Roman"/>
                <w:color w:val="000000"/>
                <w:sz w:val="20"/>
                <w:lang w:val="fr-FR"/>
                <w:rPrChange w:id="485" w:author="Author">
                  <w:rPr>
                    <w:rFonts w:ascii="Times New Roman" w:hAnsi="Times New Roman"/>
                    <w:color w:val="000000"/>
                    <w:szCs w:val="22"/>
                    <w:lang w:val="fr-FR"/>
                  </w:rPr>
                </w:rPrChange>
              </w:rPr>
              <w:t xml:space="preserve"> : méthotrexate ; 6-MP : 6-mercaptopurine ; VM26 : </w:t>
            </w:r>
            <w:proofErr w:type="spellStart"/>
            <w:r w:rsidRPr="005205FF">
              <w:rPr>
                <w:rFonts w:ascii="Times New Roman" w:hAnsi="Times New Roman"/>
                <w:color w:val="000000"/>
                <w:sz w:val="20"/>
                <w:lang w:val="fr-FR"/>
                <w:rPrChange w:id="486" w:author="Author">
                  <w:rPr>
                    <w:rFonts w:ascii="Times New Roman" w:hAnsi="Times New Roman"/>
                    <w:color w:val="000000"/>
                    <w:szCs w:val="22"/>
                    <w:lang w:val="fr-FR"/>
                  </w:rPr>
                </w:rPrChange>
              </w:rPr>
              <w:t>téniposide</w:t>
            </w:r>
            <w:proofErr w:type="spellEnd"/>
            <w:r w:rsidRPr="005205FF">
              <w:rPr>
                <w:rFonts w:ascii="Times New Roman" w:hAnsi="Times New Roman"/>
                <w:color w:val="000000"/>
                <w:sz w:val="20"/>
                <w:lang w:val="fr-FR"/>
                <w:rPrChange w:id="487" w:author="Author">
                  <w:rPr>
                    <w:rFonts w:ascii="Times New Roman" w:hAnsi="Times New Roman"/>
                    <w:color w:val="000000"/>
                    <w:szCs w:val="22"/>
                    <w:lang w:val="fr-FR"/>
                  </w:rPr>
                </w:rPrChange>
              </w:rPr>
              <w:t xml:space="preserve"> ; </w:t>
            </w:r>
            <w:smartTag w:uri="urn:schemas-microsoft-com:office:smarttags" w:element="stockticker">
              <w:r w:rsidRPr="005205FF">
                <w:rPr>
                  <w:rFonts w:ascii="Times New Roman" w:hAnsi="Times New Roman"/>
                  <w:color w:val="000000"/>
                  <w:sz w:val="20"/>
                  <w:lang w:val="fr-FR"/>
                  <w:rPrChange w:id="488" w:author="Author">
                    <w:rPr>
                      <w:rFonts w:ascii="Times New Roman" w:hAnsi="Times New Roman"/>
                      <w:color w:val="000000"/>
                      <w:szCs w:val="22"/>
                      <w:lang w:val="fr-FR"/>
                    </w:rPr>
                  </w:rPrChange>
                </w:rPr>
                <w:t>VCR</w:t>
              </w:r>
            </w:smartTag>
            <w:r w:rsidRPr="005205FF">
              <w:rPr>
                <w:rFonts w:ascii="Times New Roman" w:hAnsi="Times New Roman"/>
                <w:color w:val="000000"/>
                <w:sz w:val="20"/>
                <w:lang w:val="fr-FR"/>
                <w:rPrChange w:id="489" w:author="Author">
                  <w:rPr>
                    <w:rFonts w:ascii="Times New Roman" w:hAnsi="Times New Roman"/>
                    <w:color w:val="000000"/>
                    <w:szCs w:val="22"/>
                    <w:lang w:val="fr-FR"/>
                  </w:rPr>
                </w:rPrChange>
              </w:rPr>
              <w:t xml:space="preserve"> : vincristine ; </w:t>
            </w:r>
            <w:smartTag w:uri="urn:schemas-microsoft-com:office:smarttags" w:element="stockticker">
              <w:r w:rsidRPr="005205FF">
                <w:rPr>
                  <w:rFonts w:ascii="Times New Roman" w:hAnsi="Times New Roman"/>
                  <w:color w:val="000000"/>
                  <w:sz w:val="20"/>
                  <w:lang w:val="fr-FR"/>
                  <w:rPrChange w:id="490" w:author="Author">
                    <w:rPr>
                      <w:rFonts w:ascii="Times New Roman" w:hAnsi="Times New Roman"/>
                      <w:color w:val="000000"/>
                      <w:szCs w:val="22"/>
                      <w:lang w:val="fr-FR"/>
                    </w:rPr>
                  </w:rPrChange>
                </w:rPr>
                <w:t>IDA</w:t>
              </w:r>
            </w:smartTag>
            <w:r w:rsidRPr="005205FF">
              <w:rPr>
                <w:rFonts w:ascii="Times New Roman" w:hAnsi="Times New Roman"/>
                <w:color w:val="000000"/>
                <w:sz w:val="20"/>
                <w:lang w:val="fr-FR"/>
                <w:rPrChange w:id="491" w:author="Author">
                  <w:rPr>
                    <w:rFonts w:ascii="Times New Roman" w:hAnsi="Times New Roman"/>
                    <w:color w:val="000000"/>
                    <w:szCs w:val="22"/>
                    <w:lang w:val="fr-FR"/>
                  </w:rPr>
                </w:rPrChange>
              </w:rPr>
              <w:t xml:space="preserve"> : </w:t>
            </w:r>
            <w:proofErr w:type="spellStart"/>
            <w:r w:rsidRPr="005205FF">
              <w:rPr>
                <w:rFonts w:ascii="Times New Roman" w:hAnsi="Times New Roman"/>
                <w:color w:val="000000"/>
                <w:sz w:val="20"/>
                <w:lang w:val="fr-FR"/>
                <w:rPrChange w:id="492" w:author="Author">
                  <w:rPr>
                    <w:rFonts w:ascii="Times New Roman" w:hAnsi="Times New Roman"/>
                    <w:color w:val="000000"/>
                    <w:szCs w:val="22"/>
                    <w:lang w:val="fr-FR"/>
                  </w:rPr>
                </w:rPrChange>
              </w:rPr>
              <w:t>idarubicine</w:t>
            </w:r>
            <w:proofErr w:type="spellEnd"/>
            <w:r w:rsidRPr="005205FF">
              <w:rPr>
                <w:rFonts w:ascii="Times New Roman" w:hAnsi="Times New Roman"/>
                <w:color w:val="000000"/>
                <w:sz w:val="20"/>
                <w:lang w:val="fr-FR"/>
                <w:rPrChange w:id="493" w:author="Author">
                  <w:rPr>
                    <w:rFonts w:ascii="Times New Roman" w:hAnsi="Times New Roman"/>
                    <w:color w:val="000000"/>
                    <w:szCs w:val="22"/>
                    <w:lang w:val="fr-FR"/>
                  </w:rPr>
                </w:rPrChange>
              </w:rPr>
              <w:t xml:space="preserve"> ; </w:t>
            </w:r>
            <w:proofErr w:type="spellStart"/>
            <w:r w:rsidRPr="005205FF">
              <w:rPr>
                <w:rFonts w:ascii="Times New Roman" w:hAnsi="Times New Roman"/>
                <w:color w:val="000000"/>
                <w:sz w:val="20"/>
                <w:lang w:val="fr-FR"/>
                <w:rPrChange w:id="494" w:author="Author">
                  <w:rPr>
                    <w:rFonts w:ascii="Times New Roman" w:hAnsi="Times New Roman"/>
                    <w:color w:val="000000"/>
                    <w:szCs w:val="22"/>
                    <w:lang w:val="fr-FR"/>
                  </w:rPr>
                </w:rPrChange>
              </w:rPr>
              <w:t>i.v</w:t>
            </w:r>
            <w:proofErr w:type="spellEnd"/>
            <w:r w:rsidRPr="005205FF">
              <w:rPr>
                <w:rFonts w:ascii="Times New Roman" w:hAnsi="Times New Roman"/>
                <w:color w:val="000000"/>
                <w:sz w:val="20"/>
                <w:lang w:val="fr-FR"/>
                <w:rPrChange w:id="495" w:author="Author">
                  <w:rPr>
                    <w:rFonts w:ascii="Times New Roman" w:hAnsi="Times New Roman"/>
                    <w:color w:val="000000"/>
                    <w:szCs w:val="22"/>
                    <w:lang w:val="fr-FR"/>
                  </w:rPr>
                </w:rPrChange>
              </w:rPr>
              <w:t>. : intraveineux</w:t>
            </w:r>
          </w:p>
        </w:tc>
      </w:tr>
    </w:tbl>
    <w:p w14:paraId="7598DE99" w14:textId="77777777" w:rsidR="00EF4CB3" w:rsidRPr="00653BF6" w:rsidRDefault="00EF4CB3" w:rsidP="007F23EE">
      <w:pPr>
        <w:pStyle w:val="EndnoteText"/>
        <w:rPr>
          <w:color w:val="000000"/>
          <w:szCs w:val="22"/>
          <w:lang w:val="fr-FR"/>
        </w:rPr>
      </w:pPr>
    </w:p>
    <w:p w14:paraId="60B21D6A" w14:textId="77777777" w:rsidR="0028607D" w:rsidRPr="00653BF6" w:rsidRDefault="00EF4CB3" w:rsidP="007F23EE">
      <w:pPr>
        <w:pStyle w:val="EndnoteText"/>
        <w:keepNext/>
        <w:rPr>
          <w:i/>
          <w:iCs/>
          <w:color w:val="000000"/>
          <w:szCs w:val="22"/>
          <w:u w:val="single"/>
          <w:lang w:val="fr-FR"/>
        </w:rPr>
      </w:pPr>
      <w:r w:rsidRPr="00653BF6">
        <w:rPr>
          <w:i/>
          <w:iCs/>
          <w:color w:val="000000"/>
          <w:szCs w:val="22"/>
          <w:u w:val="single"/>
          <w:lang w:val="fr-FR"/>
        </w:rPr>
        <w:t>Population pédiatrique</w:t>
      </w:r>
    </w:p>
    <w:p w14:paraId="04A0894C" w14:textId="5F352EE3" w:rsidR="00EF4CB3" w:rsidRPr="00653BF6" w:rsidRDefault="00EF4CB3" w:rsidP="007F23EE">
      <w:pPr>
        <w:pStyle w:val="EndnoteText"/>
        <w:rPr>
          <w:color w:val="000000"/>
          <w:szCs w:val="22"/>
          <w:lang w:val="fr-FR"/>
        </w:rPr>
      </w:pPr>
      <w:r w:rsidRPr="00653BF6">
        <w:rPr>
          <w:color w:val="000000"/>
          <w:szCs w:val="22"/>
          <w:lang w:val="fr-FR"/>
        </w:rPr>
        <w:t>Dans l’étude I2301, de phase</w:t>
      </w:r>
      <w:ins w:id="496" w:author="Author">
        <w:r w:rsidR="00653BF6">
          <w:rPr>
            <w:color w:val="000000"/>
            <w:szCs w:val="22"/>
            <w:lang w:val="fr-FR"/>
          </w:rPr>
          <w:t> </w:t>
        </w:r>
      </w:ins>
      <w:del w:id="497" w:author="Author">
        <w:r w:rsidRPr="00653BF6" w:rsidDel="00653BF6">
          <w:rPr>
            <w:color w:val="000000"/>
            <w:szCs w:val="22"/>
            <w:lang w:val="fr-FR"/>
          </w:rPr>
          <w:delText xml:space="preserve"> </w:delText>
        </w:r>
      </w:del>
      <w:r w:rsidRPr="00653BF6">
        <w:rPr>
          <w:color w:val="000000"/>
          <w:szCs w:val="22"/>
          <w:lang w:val="fr-FR"/>
        </w:rPr>
        <w:t>III, non randomisée, en ouvert, multicentrique, en cohortes séquentielles, un total de 93 enfants, adolescents et jeunes adultes (âgés de 1 à 22 ans) atteints d’une LAL Ph+ ont été inclus et traités par Glivec (340 mg/m²/jour) en association avec une chimiothérapie d’intensification après une thérapie d’induction. Glivec a été administré par intermit</w:t>
      </w:r>
      <w:r w:rsidR="003A71E7" w:rsidRPr="00653BF6">
        <w:rPr>
          <w:color w:val="000000"/>
          <w:szCs w:val="22"/>
          <w:lang w:val="fr-FR"/>
        </w:rPr>
        <w:t>t</w:t>
      </w:r>
      <w:r w:rsidRPr="00653BF6">
        <w:rPr>
          <w:color w:val="000000"/>
          <w:szCs w:val="22"/>
          <w:lang w:val="fr-FR"/>
        </w:rPr>
        <w:t xml:space="preserve">ence dans les cohortes 1 à 5, avec une augmentation de la durée et une administration plus précoce de cohorte en cohorte : la cohorte </w:t>
      </w:r>
      <w:smartTag w:uri="urn:schemas-microsoft-com:office:smarttags" w:element="metricconverter">
        <w:smartTagPr>
          <w:attr w:name="ProductID" w:val="1 a"/>
        </w:smartTagPr>
        <w:r w:rsidRPr="00653BF6">
          <w:rPr>
            <w:color w:val="000000"/>
            <w:szCs w:val="22"/>
            <w:lang w:val="fr-FR"/>
          </w:rPr>
          <w:t>1 a</w:t>
        </w:r>
      </w:smartTag>
      <w:r w:rsidRPr="00653BF6">
        <w:rPr>
          <w:color w:val="000000"/>
          <w:szCs w:val="22"/>
          <w:lang w:val="fr-FR"/>
        </w:rPr>
        <w:t xml:space="preserve"> reçu la plus faible intensité et la cohorte </w:t>
      </w:r>
      <w:smartTag w:uri="urn:schemas-microsoft-com:office:smarttags" w:element="metricconverter">
        <w:smartTagPr>
          <w:attr w:name="ProductID" w:val="5 a"/>
        </w:smartTagPr>
        <w:r w:rsidRPr="00653BF6">
          <w:rPr>
            <w:color w:val="000000"/>
            <w:szCs w:val="22"/>
            <w:lang w:val="fr-FR"/>
          </w:rPr>
          <w:t>5 a</w:t>
        </w:r>
      </w:smartTag>
      <w:r w:rsidRPr="00653BF6">
        <w:rPr>
          <w:color w:val="000000"/>
          <w:szCs w:val="22"/>
          <w:lang w:val="fr-FR"/>
        </w:rPr>
        <w:t xml:space="preserve"> reçu la plus forte intensité de Glivec (la plus longue durée en jours avec une administration continue de la dose de Glivec durant les premiers cycles de chimiothérapie). Comparativement aux groupes contrôles historiques (n</w:t>
      </w:r>
      <w:ins w:id="498" w:author="Author">
        <w:r w:rsidR="007D7517" w:rsidRPr="00653BF6">
          <w:rPr>
            <w:color w:val="000000"/>
            <w:szCs w:val="22"/>
            <w:lang w:val="fr-FR"/>
          </w:rPr>
          <w:t> </w:t>
        </w:r>
      </w:ins>
      <w:r w:rsidRPr="00653BF6">
        <w:rPr>
          <w:color w:val="000000"/>
          <w:szCs w:val="22"/>
          <w:lang w:val="fr-FR"/>
        </w:rPr>
        <w:t>=</w:t>
      </w:r>
      <w:ins w:id="499" w:author="Author">
        <w:r w:rsidR="007D7517" w:rsidRPr="00653BF6">
          <w:rPr>
            <w:color w:val="000000"/>
            <w:szCs w:val="22"/>
            <w:lang w:val="fr-FR"/>
          </w:rPr>
          <w:t> </w:t>
        </w:r>
      </w:ins>
      <w:r w:rsidRPr="00653BF6">
        <w:rPr>
          <w:color w:val="000000"/>
          <w:szCs w:val="22"/>
          <w:lang w:val="fr-FR"/>
        </w:rPr>
        <w:t>120) qui avaient reçu une chimiothérapie standard sans Glivec, l’exposition journalière continue et précoce à Glivec dans le cycle de traitement en association à la chimiothérapie chez les patients de la cohorte 5 (n</w:t>
      </w:r>
      <w:ins w:id="500" w:author="Author">
        <w:r w:rsidR="007D7517" w:rsidRPr="00653BF6">
          <w:rPr>
            <w:color w:val="000000"/>
            <w:szCs w:val="22"/>
            <w:lang w:val="fr-FR"/>
          </w:rPr>
          <w:t> </w:t>
        </w:r>
      </w:ins>
      <w:r w:rsidRPr="00653BF6">
        <w:rPr>
          <w:color w:val="000000"/>
          <w:szCs w:val="22"/>
          <w:lang w:val="fr-FR"/>
        </w:rPr>
        <w:t>=</w:t>
      </w:r>
      <w:ins w:id="501" w:author="Author">
        <w:r w:rsidR="007D7517" w:rsidRPr="00653BF6">
          <w:rPr>
            <w:color w:val="000000"/>
            <w:szCs w:val="22"/>
            <w:lang w:val="fr-FR"/>
          </w:rPr>
          <w:t> </w:t>
        </w:r>
      </w:ins>
      <w:r w:rsidRPr="00653BF6">
        <w:rPr>
          <w:color w:val="000000"/>
          <w:szCs w:val="22"/>
          <w:lang w:val="fr-FR"/>
        </w:rPr>
        <w:t>50) a augmenté la survie sans événement à 4 ans (69,6% vs. 31,6%, respectivement). La survie globale estimée à 4 ans était de 83,6% chez les patients de la cohorte 5 versus 44,8% chez ceux des groupes contrôles historiques. Vingt patients sur 50 (40%) de la cohorte 5 ont reçu une transplantation de cellules souches hématopoïétiques.</w:t>
      </w:r>
    </w:p>
    <w:p w14:paraId="1DBFE9E0" w14:textId="77777777" w:rsidR="00EF4CB3" w:rsidRPr="00653BF6" w:rsidRDefault="00EF4CB3" w:rsidP="007F23EE">
      <w:pPr>
        <w:pStyle w:val="EndnoteText"/>
        <w:rPr>
          <w:color w:val="000000"/>
          <w:szCs w:val="22"/>
          <w:lang w:val="fr-FR"/>
        </w:rPr>
      </w:pPr>
    </w:p>
    <w:p w14:paraId="667BF1DE" w14:textId="77777777" w:rsidR="00EF4CB3" w:rsidRPr="00653BF6" w:rsidRDefault="00EF4CB3" w:rsidP="007F23EE">
      <w:pPr>
        <w:pStyle w:val="EndnoteText"/>
        <w:keepNext/>
        <w:tabs>
          <w:tab w:val="clear" w:pos="567"/>
        </w:tabs>
        <w:ind w:left="1134" w:hanging="1134"/>
        <w:rPr>
          <w:b/>
          <w:color w:val="000000"/>
          <w:lang w:val="fr-FR"/>
        </w:rPr>
      </w:pPr>
      <w:r w:rsidRPr="00653BF6">
        <w:rPr>
          <w:b/>
          <w:color w:val="000000"/>
          <w:lang w:val="fr-FR"/>
        </w:rPr>
        <w:lastRenderedPageBreak/>
        <w:t>Tableau </w:t>
      </w:r>
      <w:r w:rsidR="00A239AE" w:rsidRPr="00653BF6">
        <w:rPr>
          <w:b/>
          <w:color w:val="000000"/>
          <w:lang w:val="fr-FR"/>
        </w:rPr>
        <w:t>5</w:t>
      </w:r>
      <w:r w:rsidRPr="00653BF6">
        <w:rPr>
          <w:b/>
          <w:color w:val="000000"/>
          <w:lang w:val="fr-FR"/>
        </w:rPr>
        <w:tab/>
      </w:r>
      <w:r w:rsidRPr="00653BF6">
        <w:rPr>
          <w:b/>
          <w:bCs/>
          <w:color w:val="000000"/>
          <w:szCs w:val="22"/>
          <w:lang w:val="fr-FR"/>
        </w:rPr>
        <w:t>Schéma des chimiothérapies</w:t>
      </w:r>
      <w:r w:rsidRPr="00653BF6">
        <w:rPr>
          <w:b/>
          <w:color w:val="000000"/>
          <w:szCs w:val="22"/>
          <w:lang w:val="fr-FR"/>
        </w:rPr>
        <w:t xml:space="preserve"> utilisées en association avec l’imatinib</w:t>
      </w:r>
      <w:r w:rsidRPr="00653BF6">
        <w:rPr>
          <w:b/>
          <w:color w:val="000000"/>
          <w:lang w:val="fr-FR"/>
        </w:rPr>
        <w:t xml:space="preserve"> dans l’étude I2301</w:t>
      </w:r>
    </w:p>
    <w:p w14:paraId="3BFAB408" w14:textId="77777777" w:rsidR="00EF4CB3" w:rsidRPr="00653BF6" w:rsidRDefault="00EF4CB3" w:rsidP="007F23EE">
      <w:pPr>
        <w:pStyle w:val="EndnoteText"/>
        <w:keepNext/>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502"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331"/>
        <w:gridCol w:w="6685"/>
        <w:gridCol w:w="44"/>
        <w:tblGridChange w:id="503">
          <w:tblGrid>
            <w:gridCol w:w="2331"/>
            <w:gridCol w:w="5"/>
            <w:gridCol w:w="6680"/>
            <w:gridCol w:w="44"/>
          </w:tblGrid>
        </w:tblGridChange>
      </w:tblGrid>
      <w:tr w:rsidR="00EF4CB3" w:rsidRPr="00653BF6" w14:paraId="4F7719BA" w14:textId="77777777" w:rsidTr="005205FF">
        <w:trPr>
          <w:cantSplit/>
          <w:trPrChange w:id="504" w:author="Author">
            <w:trPr>
              <w:cantSplit/>
            </w:trPr>
          </w:trPrChange>
        </w:trPr>
        <w:tc>
          <w:tcPr>
            <w:tcW w:w="2336" w:type="dxa"/>
            <w:tcPrChange w:id="505" w:author="Author">
              <w:tcPr>
                <w:tcW w:w="2358" w:type="dxa"/>
                <w:gridSpan w:val="2"/>
              </w:tcPr>
            </w:tcPrChange>
          </w:tcPr>
          <w:p w14:paraId="1BD95D57" w14:textId="77777777" w:rsidR="00EF4CB3" w:rsidRPr="00653BF6" w:rsidRDefault="00EF4CB3" w:rsidP="007F23EE">
            <w:pPr>
              <w:pStyle w:val="EndnoteText"/>
              <w:keepNext/>
              <w:rPr>
                <w:color w:val="000000"/>
                <w:lang w:val="fr-FR"/>
              </w:rPr>
              <w:pPrChange w:id="506" w:author="Author">
                <w:pPr>
                  <w:pStyle w:val="EndnoteText"/>
                </w:pPr>
              </w:pPrChange>
            </w:pPr>
            <w:r w:rsidRPr="00653BF6">
              <w:rPr>
                <w:color w:val="000000"/>
                <w:lang w:val="fr-FR"/>
              </w:rPr>
              <w:t>Bloc de consolidation 1 (3 semaines)</w:t>
            </w:r>
          </w:p>
        </w:tc>
        <w:tc>
          <w:tcPr>
            <w:tcW w:w="6724" w:type="dxa"/>
            <w:gridSpan w:val="2"/>
            <w:tcPrChange w:id="507" w:author="Author">
              <w:tcPr>
                <w:tcW w:w="6928" w:type="dxa"/>
                <w:gridSpan w:val="2"/>
              </w:tcPr>
            </w:tcPrChange>
          </w:tcPr>
          <w:p w14:paraId="7CDEA28D" w14:textId="77777777" w:rsidR="00EF4CB3" w:rsidRPr="00653BF6" w:rsidRDefault="00EF4CB3" w:rsidP="007F23EE">
            <w:pPr>
              <w:pStyle w:val="EndnoteText"/>
              <w:keepNext/>
              <w:rPr>
                <w:color w:val="000000"/>
                <w:lang w:val="fr-FR"/>
              </w:rPr>
              <w:pPrChange w:id="508" w:author="Author">
                <w:pPr>
                  <w:pStyle w:val="EndnoteText"/>
                </w:pPr>
              </w:pPrChange>
            </w:pPr>
            <w:r w:rsidRPr="00653BF6">
              <w:rPr>
                <w:color w:val="000000"/>
                <w:lang w:val="fr-FR"/>
              </w:rPr>
              <w:t>VP-16 (100 mg/m</w:t>
            </w:r>
            <w:r w:rsidRPr="00653BF6">
              <w:rPr>
                <w:color w:val="000000"/>
                <w:vertAlign w:val="superscript"/>
                <w:lang w:val="fr-FR"/>
              </w:rPr>
              <w:t>2</w:t>
            </w:r>
            <w:r w:rsidRPr="00653BF6">
              <w:rPr>
                <w:color w:val="000000"/>
                <w:lang w:val="fr-FR"/>
              </w:rPr>
              <w:t>/jour, IV) : jours 1</w:t>
            </w:r>
            <w:r w:rsidRPr="00653BF6">
              <w:rPr>
                <w:color w:val="000000"/>
                <w:lang w:val="fr-FR"/>
              </w:rPr>
              <w:noBreakHyphen/>
              <w:t>5</w:t>
            </w:r>
          </w:p>
          <w:p w14:paraId="040EF429" w14:textId="77777777" w:rsidR="00EF4CB3" w:rsidRPr="00653BF6" w:rsidRDefault="00EF4CB3" w:rsidP="007F23EE">
            <w:pPr>
              <w:pStyle w:val="EndnoteText"/>
              <w:keepNext/>
              <w:rPr>
                <w:color w:val="000000"/>
                <w:lang w:val="fr-FR"/>
              </w:rPr>
              <w:pPrChange w:id="509" w:author="Author">
                <w:pPr>
                  <w:pStyle w:val="EndnoteText"/>
                </w:pPr>
              </w:pPrChange>
            </w:pPr>
            <w:proofErr w:type="spellStart"/>
            <w:r w:rsidRPr="00653BF6">
              <w:rPr>
                <w:color w:val="000000"/>
                <w:lang w:val="fr-FR"/>
              </w:rPr>
              <w:t>Ifosfamide</w:t>
            </w:r>
            <w:proofErr w:type="spellEnd"/>
            <w:r w:rsidRPr="00653BF6">
              <w:rPr>
                <w:color w:val="000000"/>
                <w:lang w:val="fr-FR"/>
              </w:rPr>
              <w:t xml:space="preserve"> (1,8 g/m</w:t>
            </w:r>
            <w:r w:rsidRPr="00653BF6">
              <w:rPr>
                <w:color w:val="000000"/>
                <w:vertAlign w:val="superscript"/>
                <w:lang w:val="fr-FR"/>
              </w:rPr>
              <w:t>2</w:t>
            </w:r>
            <w:r w:rsidRPr="00653BF6">
              <w:rPr>
                <w:color w:val="000000"/>
                <w:lang w:val="fr-FR"/>
              </w:rPr>
              <w:t>/jour, IV) : jours 1</w:t>
            </w:r>
            <w:r w:rsidRPr="00653BF6">
              <w:rPr>
                <w:color w:val="000000"/>
                <w:lang w:val="fr-FR"/>
              </w:rPr>
              <w:noBreakHyphen/>
              <w:t>5</w:t>
            </w:r>
          </w:p>
          <w:p w14:paraId="4CB982F7" w14:textId="77777777" w:rsidR="00EF4CB3" w:rsidRPr="00653BF6" w:rsidRDefault="00EF4CB3" w:rsidP="007F23EE">
            <w:pPr>
              <w:pStyle w:val="EndnoteText"/>
              <w:keepNext/>
              <w:rPr>
                <w:color w:val="000000"/>
                <w:lang w:val="fr-FR"/>
              </w:rPr>
              <w:pPrChange w:id="510" w:author="Author">
                <w:pPr>
                  <w:pStyle w:val="EndnoteText"/>
                </w:pPr>
              </w:pPrChange>
            </w:pPr>
            <w:r w:rsidRPr="00653BF6">
              <w:rPr>
                <w:color w:val="000000"/>
                <w:lang w:val="fr-FR"/>
              </w:rPr>
              <w:t>MESNA (360 mg/m</w:t>
            </w:r>
            <w:r w:rsidRPr="00653BF6">
              <w:rPr>
                <w:color w:val="000000"/>
                <w:vertAlign w:val="superscript"/>
                <w:lang w:val="fr-FR"/>
              </w:rPr>
              <w:t>2</w:t>
            </w:r>
            <w:r w:rsidRPr="00653BF6">
              <w:rPr>
                <w:color w:val="000000"/>
                <w:lang w:val="fr-FR"/>
              </w:rPr>
              <w:t>/dose en 3 heures, x 8 doses/jour, IV) : jours 1</w:t>
            </w:r>
            <w:r w:rsidRPr="00653BF6">
              <w:rPr>
                <w:color w:val="000000"/>
                <w:lang w:val="fr-FR"/>
              </w:rPr>
              <w:noBreakHyphen/>
              <w:t>5</w:t>
            </w:r>
          </w:p>
          <w:p w14:paraId="03E20ECF" w14:textId="783A0D08" w:rsidR="00EF4CB3" w:rsidRPr="00653BF6" w:rsidRDefault="00EF4CB3" w:rsidP="007F23EE">
            <w:pPr>
              <w:pStyle w:val="EndnoteText"/>
              <w:keepNext/>
              <w:rPr>
                <w:color w:val="000000"/>
                <w:lang w:val="fr-FR"/>
              </w:rPr>
              <w:pPrChange w:id="511" w:author="Author">
                <w:pPr>
                  <w:pStyle w:val="EndnoteText"/>
                </w:pPr>
              </w:pPrChange>
            </w:pPr>
            <w:r w:rsidRPr="00653BF6">
              <w:rPr>
                <w:color w:val="000000"/>
                <w:lang w:val="fr-FR"/>
              </w:rPr>
              <w:t>G-CSF (5 μg/kg, SC) : jours 6</w:t>
            </w:r>
            <w:r w:rsidRPr="00653BF6">
              <w:rPr>
                <w:color w:val="000000"/>
                <w:lang w:val="fr-FR"/>
              </w:rPr>
              <w:noBreakHyphen/>
              <w:t>15 ou jusqu’à un taux de neutrophile absolu &gt; 1</w:t>
            </w:r>
            <w:ins w:id="512" w:author="Author">
              <w:r w:rsidR="00A66FF1" w:rsidRPr="00653BF6">
                <w:rPr>
                  <w:color w:val="000000"/>
                  <w:lang w:val="fr-FR"/>
                </w:rPr>
                <w:t> </w:t>
              </w:r>
            </w:ins>
            <w:r w:rsidRPr="00653BF6">
              <w:rPr>
                <w:color w:val="000000"/>
                <w:lang w:val="fr-FR"/>
              </w:rPr>
              <w:t>500 post nadir</w:t>
            </w:r>
          </w:p>
          <w:p w14:paraId="125EBCD8" w14:textId="1651ACD9" w:rsidR="00EF4CB3" w:rsidRPr="00653BF6" w:rsidRDefault="00EF4CB3" w:rsidP="007F23EE">
            <w:pPr>
              <w:pStyle w:val="EndnoteText"/>
              <w:keepNext/>
              <w:rPr>
                <w:color w:val="000000"/>
                <w:lang w:val="fr-FR"/>
              </w:rPr>
              <w:pPrChange w:id="513" w:author="Author">
                <w:pPr>
                  <w:pStyle w:val="EndnoteText"/>
                </w:pPr>
              </w:pPrChange>
            </w:pPr>
            <w:r w:rsidRPr="00653BF6">
              <w:rPr>
                <w:color w:val="000000"/>
                <w:lang w:val="fr-FR"/>
              </w:rPr>
              <w:t>M</w:t>
            </w:r>
            <w:r w:rsidR="003A71E7" w:rsidRPr="00653BF6">
              <w:rPr>
                <w:color w:val="000000"/>
                <w:lang w:val="fr-FR"/>
              </w:rPr>
              <w:t>é</w:t>
            </w:r>
            <w:r w:rsidRPr="00653BF6">
              <w:rPr>
                <w:color w:val="000000"/>
                <w:lang w:val="fr-FR"/>
              </w:rPr>
              <w:t>thotrexate IT (ajusté à l’âge) : jour 1 SEULEMENT</w:t>
            </w:r>
          </w:p>
          <w:p w14:paraId="577F734C" w14:textId="77777777" w:rsidR="00EF4CB3" w:rsidRPr="00653BF6" w:rsidRDefault="00EF4CB3" w:rsidP="007F23EE">
            <w:pPr>
              <w:pStyle w:val="EndnoteText"/>
              <w:keepNext/>
              <w:rPr>
                <w:color w:val="000000"/>
                <w:lang w:val="fr-FR"/>
              </w:rPr>
              <w:pPrChange w:id="514" w:author="Author">
                <w:pPr>
                  <w:pStyle w:val="EndnoteText"/>
                </w:pPr>
              </w:pPrChange>
            </w:pPr>
            <w:r w:rsidRPr="00653BF6">
              <w:rPr>
                <w:color w:val="000000"/>
                <w:lang w:val="fr-FR"/>
              </w:rPr>
              <w:t>Triple thérapie intrathécale (ajustée à l’âge) : jours 8 et 15</w:t>
            </w:r>
          </w:p>
        </w:tc>
      </w:tr>
      <w:tr w:rsidR="00EF4CB3" w:rsidRPr="00653BF6" w14:paraId="02F6DE01" w14:textId="77777777" w:rsidTr="005205FF">
        <w:trPr>
          <w:cantSplit/>
          <w:trPrChange w:id="515" w:author="Author">
            <w:trPr>
              <w:cantSplit/>
            </w:trPr>
          </w:trPrChange>
        </w:trPr>
        <w:tc>
          <w:tcPr>
            <w:tcW w:w="2336" w:type="dxa"/>
            <w:tcPrChange w:id="516" w:author="Author">
              <w:tcPr>
                <w:tcW w:w="2358" w:type="dxa"/>
                <w:gridSpan w:val="2"/>
              </w:tcPr>
            </w:tcPrChange>
          </w:tcPr>
          <w:p w14:paraId="2722DCB9" w14:textId="77777777" w:rsidR="00EF4CB3" w:rsidRPr="00653BF6" w:rsidRDefault="00EF4CB3" w:rsidP="007F23EE">
            <w:pPr>
              <w:pStyle w:val="EndnoteText"/>
              <w:rPr>
                <w:color w:val="000000"/>
                <w:lang w:val="fr-FR"/>
              </w:rPr>
            </w:pPr>
            <w:r w:rsidRPr="00653BF6">
              <w:rPr>
                <w:color w:val="000000"/>
                <w:lang w:val="fr-FR"/>
              </w:rPr>
              <w:t>Bloc de consolidation 2 (3 semaines)</w:t>
            </w:r>
          </w:p>
        </w:tc>
        <w:tc>
          <w:tcPr>
            <w:tcW w:w="6724" w:type="dxa"/>
            <w:gridSpan w:val="2"/>
            <w:tcPrChange w:id="517" w:author="Author">
              <w:tcPr>
                <w:tcW w:w="6928" w:type="dxa"/>
                <w:gridSpan w:val="2"/>
              </w:tcPr>
            </w:tcPrChange>
          </w:tcPr>
          <w:p w14:paraId="7F7A6B1D" w14:textId="5660D0B4" w:rsidR="00EF4CB3" w:rsidRPr="00653BF6" w:rsidRDefault="00EF4CB3" w:rsidP="007F23EE">
            <w:pPr>
              <w:pStyle w:val="EndnoteText"/>
              <w:rPr>
                <w:color w:val="000000"/>
                <w:lang w:val="fr-FR"/>
              </w:rPr>
            </w:pPr>
            <w:r w:rsidRPr="00653BF6">
              <w:rPr>
                <w:color w:val="000000"/>
                <w:lang w:val="fr-FR"/>
              </w:rPr>
              <w:t>M</w:t>
            </w:r>
            <w:r w:rsidR="003A71E7" w:rsidRPr="00653BF6">
              <w:rPr>
                <w:color w:val="000000"/>
                <w:lang w:val="fr-FR"/>
              </w:rPr>
              <w:t>é</w:t>
            </w:r>
            <w:r w:rsidRPr="00653BF6">
              <w:rPr>
                <w:color w:val="000000"/>
                <w:lang w:val="fr-FR"/>
              </w:rPr>
              <w:t>thotrexate (5 g/m</w:t>
            </w:r>
            <w:r w:rsidRPr="00653BF6">
              <w:rPr>
                <w:color w:val="000000"/>
                <w:vertAlign w:val="superscript"/>
                <w:lang w:val="fr-FR"/>
              </w:rPr>
              <w:t>2</w:t>
            </w:r>
            <w:r w:rsidRPr="00653BF6">
              <w:rPr>
                <w:color w:val="000000"/>
                <w:lang w:val="fr-FR"/>
              </w:rPr>
              <w:t xml:space="preserve"> sur 24 heures, IV) : jour 1</w:t>
            </w:r>
          </w:p>
          <w:p w14:paraId="166C236F" w14:textId="446BE531" w:rsidR="00EF4CB3" w:rsidRPr="00653BF6" w:rsidRDefault="00EF4CB3" w:rsidP="007F23EE">
            <w:pPr>
              <w:pStyle w:val="EndnoteText"/>
              <w:rPr>
                <w:color w:val="000000"/>
                <w:lang w:val="fr-FR"/>
              </w:rPr>
            </w:pPr>
            <w:proofErr w:type="spellStart"/>
            <w:r w:rsidRPr="00653BF6">
              <w:rPr>
                <w:color w:val="000000"/>
                <w:lang w:val="fr-FR"/>
              </w:rPr>
              <w:t>Leucovorin</w:t>
            </w:r>
            <w:proofErr w:type="spellEnd"/>
            <w:r w:rsidRPr="00653BF6">
              <w:rPr>
                <w:color w:val="000000"/>
                <w:lang w:val="fr-FR"/>
              </w:rPr>
              <w:t xml:space="preserve"> (75 mg/m</w:t>
            </w:r>
            <w:r w:rsidRPr="00653BF6">
              <w:rPr>
                <w:color w:val="000000"/>
                <w:vertAlign w:val="superscript"/>
                <w:lang w:val="fr-FR"/>
              </w:rPr>
              <w:t>2</w:t>
            </w:r>
            <w:r w:rsidRPr="00653BF6">
              <w:rPr>
                <w:color w:val="000000"/>
                <w:lang w:val="fr-FR"/>
              </w:rPr>
              <w:t xml:space="preserve"> à heure 36, IV</w:t>
            </w:r>
            <w:r w:rsidR="00AB5C43" w:rsidRPr="00653BF6">
              <w:rPr>
                <w:color w:val="000000"/>
                <w:lang w:val="fr-FR"/>
              </w:rPr>
              <w:t> </w:t>
            </w:r>
            <w:r w:rsidRPr="00653BF6">
              <w:rPr>
                <w:color w:val="000000"/>
                <w:lang w:val="fr-FR"/>
              </w:rPr>
              <w:t>; 15 mg/m</w:t>
            </w:r>
            <w:r w:rsidRPr="00653BF6">
              <w:rPr>
                <w:color w:val="000000"/>
                <w:vertAlign w:val="superscript"/>
                <w:lang w:val="fr-FR"/>
              </w:rPr>
              <w:t>2</w:t>
            </w:r>
            <w:r w:rsidRPr="00653BF6">
              <w:rPr>
                <w:color w:val="000000"/>
                <w:lang w:val="fr-FR"/>
              </w:rPr>
              <w:t xml:space="preserve"> IV ou PO toutes les 6 heures x 6 doses) iii</w:t>
            </w:r>
            <w:r w:rsidR="00AB5C43" w:rsidRPr="00653BF6">
              <w:rPr>
                <w:color w:val="000000"/>
                <w:lang w:val="fr-FR"/>
              </w:rPr>
              <w:t> </w:t>
            </w:r>
            <w:r w:rsidRPr="00653BF6">
              <w:rPr>
                <w:color w:val="000000"/>
                <w:lang w:val="fr-FR"/>
              </w:rPr>
              <w:t>: jour 2 et 3</w:t>
            </w:r>
          </w:p>
          <w:p w14:paraId="4D982261" w14:textId="77777777" w:rsidR="00EF4CB3" w:rsidRPr="00653BF6" w:rsidRDefault="00EF4CB3" w:rsidP="007F23EE">
            <w:pPr>
              <w:pStyle w:val="EndnoteText"/>
              <w:rPr>
                <w:color w:val="000000"/>
                <w:lang w:val="fr-FR"/>
              </w:rPr>
            </w:pPr>
            <w:r w:rsidRPr="00653BF6">
              <w:rPr>
                <w:color w:val="000000"/>
                <w:lang w:val="fr-FR"/>
              </w:rPr>
              <w:t>Triple thérapie intrathécale (ajustée à l’âge) : jour 1</w:t>
            </w:r>
          </w:p>
          <w:p w14:paraId="606BC0E6" w14:textId="77777777" w:rsidR="00EF4CB3" w:rsidRPr="00653BF6" w:rsidRDefault="00EF4CB3" w:rsidP="007F23EE">
            <w:pPr>
              <w:pStyle w:val="EndnoteText"/>
              <w:rPr>
                <w:color w:val="000000"/>
                <w:lang w:val="fr-FR"/>
              </w:rPr>
            </w:pPr>
            <w:r w:rsidRPr="00653BF6">
              <w:rPr>
                <w:color w:val="000000"/>
                <w:lang w:val="fr-FR"/>
              </w:rPr>
              <w:t>ARA-C (3 g/m</w:t>
            </w:r>
            <w:r w:rsidRPr="00653BF6">
              <w:rPr>
                <w:color w:val="000000"/>
                <w:vertAlign w:val="superscript"/>
                <w:lang w:val="fr-FR"/>
              </w:rPr>
              <w:t>2</w:t>
            </w:r>
            <w:r w:rsidRPr="00653BF6">
              <w:rPr>
                <w:color w:val="000000"/>
                <w:lang w:val="fr-FR"/>
              </w:rPr>
              <w:t>/dose toutes les 12 heures x 4, IV) : jours 2 et 3</w:t>
            </w:r>
          </w:p>
          <w:p w14:paraId="20D41358" w14:textId="47665893" w:rsidR="00EF4CB3" w:rsidRPr="00653BF6" w:rsidRDefault="00EF4CB3" w:rsidP="007F23EE">
            <w:pPr>
              <w:pStyle w:val="EndnoteText"/>
              <w:rPr>
                <w:color w:val="000000"/>
                <w:lang w:val="fr-FR"/>
              </w:rPr>
            </w:pPr>
            <w:r w:rsidRPr="00653BF6">
              <w:rPr>
                <w:color w:val="000000"/>
                <w:lang w:val="fr-FR"/>
              </w:rPr>
              <w:t>G-CSF (5 μg/kg, SC) : jours 4</w:t>
            </w:r>
            <w:r w:rsidRPr="00653BF6">
              <w:rPr>
                <w:color w:val="000000"/>
                <w:lang w:val="fr-FR"/>
              </w:rPr>
              <w:noBreakHyphen/>
              <w:t>13 ou jusqu’à un taux de neutrophile absolu &gt; 1</w:t>
            </w:r>
            <w:ins w:id="518" w:author="Author">
              <w:r w:rsidR="00A66FF1" w:rsidRPr="00653BF6">
                <w:rPr>
                  <w:color w:val="000000"/>
                  <w:lang w:val="fr-FR"/>
                </w:rPr>
                <w:t> </w:t>
              </w:r>
            </w:ins>
            <w:r w:rsidRPr="00653BF6">
              <w:rPr>
                <w:color w:val="000000"/>
                <w:lang w:val="fr-FR"/>
              </w:rPr>
              <w:t>500 post nadir</w:t>
            </w:r>
          </w:p>
        </w:tc>
      </w:tr>
      <w:tr w:rsidR="00EF4CB3" w:rsidRPr="00653BF6" w14:paraId="2A7C0F9A" w14:textId="77777777" w:rsidTr="005205FF">
        <w:trPr>
          <w:cantSplit/>
          <w:trPrChange w:id="519" w:author="Author">
            <w:trPr>
              <w:cantSplit/>
            </w:trPr>
          </w:trPrChange>
        </w:trPr>
        <w:tc>
          <w:tcPr>
            <w:tcW w:w="2336" w:type="dxa"/>
            <w:tcPrChange w:id="520" w:author="Author">
              <w:tcPr>
                <w:tcW w:w="2358" w:type="dxa"/>
                <w:gridSpan w:val="2"/>
              </w:tcPr>
            </w:tcPrChange>
          </w:tcPr>
          <w:p w14:paraId="53AF8755" w14:textId="77777777" w:rsidR="00EF4CB3" w:rsidRPr="00653BF6" w:rsidRDefault="00EF4CB3" w:rsidP="007F23EE">
            <w:pPr>
              <w:pStyle w:val="EndnoteText"/>
              <w:rPr>
                <w:color w:val="000000"/>
                <w:lang w:val="fr-FR"/>
              </w:rPr>
            </w:pPr>
            <w:r w:rsidRPr="00653BF6">
              <w:rPr>
                <w:color w:val="000000"/>
                <w:lang w:val="fr-FR"/>
              </w:rPr>
              <w:t>Bloc de réinduction 1 (3 semaines)</w:t>
            </w:r>
          </w:p>
        </w:tc>
        <w:tc>
          <w:tcPr>
            <w:tcW w:w="6724" w:type="dxa"/>
            <w:gridSpan w:val="2"/>
            <w:tcPrChange w:id="521" w:author="Author">
              <w:tcPr>
                <w:tcW w:w="6928" w:type="dxa"/>
                <w:gridSpan w:val="2"/>
              </w:tcPr>
            </w:tcPrChange>
          </w:tcPr>
          <w:p w14:paraId="0FE79FDA" w14:textId="77777777" w:rsidR="00EF4CB3" w:rsidRPr="00653BF6" w:rsidRDefault="00EF4CB3" w:rsidP="007F23EE">
            <w:pPr>
              <w:pStyle w:val="EndnoteText"/>
              <w:rPr>
                <w:color w:val="000000"/>
                <w:lang w:val="fr-FR"/>
              </w:rPr>
            </w:pPr>
            <w:r w:rsidRPr="00653BF6">
              <w:rPr>
                <w:color w:val="000000"/>
                <w:lang w:val="fr-FR"/>
              </w:rPr>
              <w:t>VCR (1,5 mg/m</w:t>
            </w:r>
            <w:r w:rsidRPr="00653BF6">
              <w:rPr>
                <w:color w:val="000000"/>
                <w:vertAlign w:val="superscript"/>
                <w:lang w:val="fr-FR"/>
              </w:rPr>
              <w:t>2</w:t>
            </w:r>
            <w:r w:rsidRPr="00653BF6">
              <w:rPr>
                <w:color w:val="000000"/>
                <w:lang w:val="fr-FR"/>
              </w:rPr>
              <w:t>/jour, IV) : jours 1, 8, et 15</w:t>
            </w:r>
          </w:p>
          <w:p w14:paraId="43EC1BC0" w14:textId="77777777" w:rsidR="00EF4CB3" w:rsidRPr="00653BF6" w:rsidRDefault="00EF4CB3" w:rsidP="007F23EE">
            <w:pPr>
              <w:pStyle w:val="EndnoteText"/>
              <w:rPr>
                <w:color w:val="000000"/>
                <w:lang w:val="fr-FR"/>
              </w:rPr>
            </w:pPr>
            <w:r w:rsidRPr="00653BF6">
              <w:rPr>
                <w:color w:val="000000"/>
                <w:lang w:val="fr-FR"/>
              </w:rPr>
              <w:t>DAUN (45 mg/m</w:t>
            </w:r>
            <w:r w:rsidRPr="00653BF6">
              <w:rPr>
                <w:color w:val="000000"/>
                <w:vertAlign w:val="superscript"/>
                <w:lang w:val="fr-FR"/>
              </w:rPr>
              <w:t>2</w:t>
            </w:r>
            <w:r w:rsidRPr="00653BF6">
              <w:rPr>
                <w:color w:val="000000"/>
                <w:lang w:val="fr-FR"/>
              </w:rPr>
              <w:t>/jour bolus, IV) : jours 1 et 2</w:t>
            </w:r>
          </w:p>
          <w:p w14:paraId="53F17F5F" w14:textId="77777777" w:rsidR="00EF4CB3" w:rsidRPr="00653BF6" w:rsidRDefault="00EF4CB3" w:rsidP="007F23EE">
            <w:pPr>
              <w:pStyle w:val="EndnoteText"/>
              <w:rPr>
                <w:color w:val="000000"/>
                <w:lang w:val="fr-FR"/>
              </w:rPr>
            </w:pPr>
            <w:r w:rsidRPr="00653BF6">
              <w:rPr>
                <w:color w:val="000000"/>
                <w:lang w:val="fr-FR"/>
              </w:rPr>
              <w:t>CPM (250 mg/m</w:t>
            </w:r>
            <w:r w:rsidRPr="00653BF6">
              <w:rPr>
                <w:color w:val="000000"/>
                <w:vertAlign w:val="superscript"/>
                <w:lang w:val="fr-FR"/>
              </w:rPr>
              <w:t>2</w:t>
            </w:r>
            <w:r w:rsidRPr="00653BF6">
              <w:rPr>
                <w:color w:val="000000"/>
                <w:lang w:val="fr-FR"/>
              </w:rPr>
              <w:t>/dose toutes les 12 heures x 4 doses, IV) : jours 3 and 4</w:t>
            </w:r>
          </w:p>
          <w:p w14:paraId="72B04B8E" w14:textId="77777777" w:rsidR="00EF4CB3" w:rsidRPr="00653BF6" w:rsidRDefault="00EF4CB3" w:rsidP="007F23EE">
            <w:pPr>
              <w:pStyle w:val="EndnoteText"/>
              <w:rPr>
                <w:color w:val="000000"/>
                <w:lang w:val="fr-FR"/>
              </w:rPr>
            </w:pPr>
            <w:r w:rsidRPr="00653BF6">
              <w:rPr>
                <w:color w:val="000000"/>
                <w:lang w:val="fr-FR"/>
              </w:rPr>
              <w:t>PEG-ASP (2500 UI/m</w:t>
            </w:r>
            <w:r w:rsidRPr="00653BF6">
              <w:rPr>
                <w:color w:val="000000"/>
                <w:vertAlign w:val="superscript"/>
                <w:lang w:val="fr-FR"/>
              </w:rPr>
              <w:t>2</w:t>
            </w:r>
            <w:r w:rsidRPr="00653BF6">
              <w:rPr>
                <w:color w:val="000000"/>
                <w:lang w:val="fr-FR"/>
              </w:rPr>
              <w:t>, IM) : jour 4</w:t>
            </w:r>
          </w:p>
          <w:p w14:paraId="704F83F0" w14:textId="1B915AA3" w:rsidR="00EF4CB3" w:rsidRPr="00653BF6" w:rsidRDefault="00EF4CB3" w:rsidP="007F23EE">
            <w:pPr>
              <w:pStyle w:val="EndnoteText"/>
              <w:rPr>
                <w:color w:val="000000"/>
                <w:lang w:val="fr-FR"/>
              </w:rPr>
            </w:pPr>
            <w:r w:rsidRPr="00653BF6">
              <w:rPr>
                <w:color w:val="000000"/>
                <w:lang w:val="fr-FR"/>
              </w:rPr>
              <w:t>G-CSF (5 μg/kg, SC) : jours 5</w:t>
            </w:r>
            <w:r w:rsidRPr="00653BF6">
              <w:rPr>
                <w:color w:val="000000"/>
                <w:lang w:val="fr-FR"/>
              </w:rPr>
              <w:noBreakHyphen/>
              <w:t>14 ou jusqu’à un taux de neutrophile absolu &gt; 1</w:t>
            </w:r>
            <w:ins w:id="522" w:author="Author">
              <w:r w:rsidR="00A66FF1" w:rsidRPr="00653BF6">
                <w:rPr>
                  <w:color w:val="000000"/>
                  <w:lang w:val="fr-FR"/>
                </w:rPr>
                <w:t> </w:t>
              </w:r>
            </w:ins>
            <w:r w:rsidRPr="00653BF6">
              <w:rPr>
                <w:color w:val="000000"/>
                <w:lang w:val="fr-FR"/>
              </w:rPr>
              <w:t>500 post nadir</w:t>
            </w:r>
          </w:p>
          <w:p w14:paraId="35858A0C" w14:textId="77777777" w:rsidR="00EF4CB3" w:rsidRPr="00653BF6" w:rsidRDefault="00EF4CB3" w:rsidP="007F23EE">
            <w:pPr>
              <w:pStyle w:val="EndnoteText"/>
              <w:rPr>
                <w:color w:val="000000"/>
                <w:lang w:val="fr-FR"/>
              </w:rPr>
            </w:pPr>
            <w:r w:rsidRPr="00653BF6">
              <w:rPr>
                <w:color w:val="000000"/>
                <w:lang w:val="fr-FR"/>
              </w:rPr>
              <w:t>Triple thérapie intrathécale (ajustée à l’âge) : jours 1 et 15</w:t>
            </w:r>
          </w:p>
          <w:p w14:paraId="5F0DAB93" w14:textId="77777777" w:rsidR="00EF4CB3" w:rsidRPr="00653BF6" w:rsidRDefault="00EF4CB3" w:rsidP="007F23EE">
            <w:pPr>
              <w:pStyle w:val="EndnoteText"/>
              <w:rPr>
                <w:color w:val="000000"/>
                <w:lang w:val="fr-FR"/>
              </w:rPr>
            </w:pPr>
            <w:r w:rsidRPr="00653BF6">
              <w:rPr>
                <w:color w:val="000000"/>
                <w:lang w:val="fr-FR"/>
              </w:rPr>
              <w:t>DEX (6 mg/m</w:t>
            </w:r>
            <w:r w:rsidRPr="00653BF6">
              <w:rPr>
                <w:color w:val="000000"/>
                <w:vertAlign w:val="superscript"/>
                <w:lang w:val="fr-FR"/>
              </w:rPr>
              <w:t>2</w:t>
            </w:r>
            <w:r w:rsidRPr="00653BF6">
              <w:rPr>
                <w:color w:val="000000"/>
                <w:lang w:val="fr-FR"/>
              </w:rPr>
              <w:t>/jour, PO) : jours 1</w:t>
            </w:r>
            <w:r w:rsidRPr="00653BF6">
              <w:rPr>
                <w:color w:val="000000"/>
                <w:lang w:val="fr-FR"/>
              </w:rPr>
              <w:noBreakHyphen/>
              <w:t>7 et 15</w:t>
            </w:r>
            <w:r w:rsidRPr="00653BF6">
              <w:rPr>
                <w:color w:val="000000"/>
                <w:lang w:val="fr-FR"/>
              </w:rPr>
              <w:noBreakHyphen/>
              <w:t>21</w:t>
            </w:r>
          </w:p>
        </w:tc>
      </w:tr>
      <w:tr w:rsidR="00EF4CB3" w:rsidRPr="00653BF6" w14:paraId="51EC3EC1" w14:textId="77777777" w:rsidTr="005205FF">
        <w:trPr>
          <w:cantSplit/>
          <w:trPrChange w:id="523" w:author="Author">
            <w:trPr>
              <w:cantSplit/>
            </w:trPr>
          </w:trPrChange>
        </w:trPr>
        <w:tc>
          <w:tcPr>
            <w:tcW w:w="2336" w:type="dxa"/>
            <w:tcPrChange w:id="524" w:author="Author">
              <w:tcPr>
                <w:tcW w:w="2358" w:type="dxa"/>
                <w:gridSpan w:val="2"/>
              </w:tcPr>
            </w:tcPrChange>
          </w:tcPr>
          <w:p w14:paraId="746F61AE" w14:textId="77777777" w:rsidR="00EF4CB3" w:rsidRPr="00653BF6" w:rsidRDefault="00EF4CB3" w:rsidP="007F23EE">
            <w:pPr>
              <w:pStyle w:val="EndnoteText"/>
              <w:rPr>
                <w:color w:val="000000"/>
                <w:lang w:val="fr-FR"/>
              </w:rPr>
            </w:pPr>
            <w:r w:rsidRPr="00653BF6">
              <w:rPr>
                <w:color w:val="000000"/>
                <w:lang w:val="fr-FR"/>
              </w:rPr>
              <w:t>Bloc d’intensification 1 (9 semaines)</w:t>
            </w:r>
          </w:p>
        </w:tc>
        <w:tc>
          <w:tcPr>
            <w:tcW w:w="6724" w:type="dxa"/>
            <w:gridSpan w:val="2"/>
            <w:tcPrChange w:id="525" w:author="Author">
              <w:tcPr>
                <w:tcW w:w="6928" w:type="dxa"/>
                <w:gridSpan w:val="2"/>
              </w:tcPr>
            </w:tcPrChange>
          </w:tcPr>
          <w:p w14:paraId="70034F23" w14:textId="5B337B5B" w:rsidR="00EF4CB3" w:rsidRPr="00653BF6" w:rsidRDefault="00EF4CB3" w:rsidP="007F23EE">
            <w:pPr>
              <w:pStyle w:val="EndnoteText"/>
              <w:rPr>
                <w:color w:val="000000"/>
                <w:lang w:val="fr-FR"/>
              </w:rPr>
            </w:pPr>
            <w:r w:rsidRPr="00653BF6">
              <w:rPr>
                <w:color w:val="000000"/>
                <w:lang w:val="fr-FR"/>
              </w:rPr>
              <w:t>M</w:t>
            </w:r>
            <w:r w:rsidR="003A71E7" w:rsidRPr="00653BF6">
              <w:rPr>
                <w:color w:val="000000"/>
                <w:lang w:val="fr-FR"/>
              </w:rPr>
              <w:t>é</w:t>
            </w:r>
            <w:r w:rsidRPr="00653BF6">
              <w:rPr>
                <w:color w:val="000000"/>
                <w:lang w:val="fr-FR"/>
              </w:rPr>
              <w:t>thotrexate (5 g/m</w:t>
            </w:r>
            <w:r w:rsidRPr="00653BF6">
              <w:rPr>
                <w:color w:val="000000"/>
                <w:vertAlign w:val="superscript"/>
                <w:lang w:val="fr-FR"/>
              </w:rPr>
              <w:t>2</w:t>
            </w:r>
            <w:r w:rsidRPr="00653BF6">
              <w:rPr>
                <w:color w:val="000000"/>
                <w:lang w:val="fr-FR"/>
              </w:rPr>
              <w:t xml:space="preserve"> sur 24 heures, IV) : jours 1 et 15</w:t>
            </w:r>
          </w:p>
          <w:p w14:paraId="49FFE687" w14:textId="1D1D9581" w:rsidR="00EF4CB3" w:rsidRPr="00653BF6" w:rsidRDefault="00EF4CB3" w:rsidP="007F23EE">
            <w:pPr>
              <w:pStyle w:val="EndnoteText"/>
              <w:rPr>
                <w:color w:val="000000"/>
                <w:lang w:val="fr-FR"/>
              </w:rPr>
            </w:pPr>
            <w:proofErr w:type="spellStart"/>
            <w:r w:rsidRPr="00653BF6">
              <w:rPr>
                <w:color w:val="000000"/>
                <w:lang w:val="fr-FR"/>
              </w:rPr>
              <w:t>Leucovorin</w:t>
            </w:r>
            <w:proofErr w:type="spellEnd"/>
            <w:r w:rsidRPr="00653BF6">
              <w:rPr>
                <w:color w:val="000000"/>
                <w:lang w:val="fr-FR"/>
              </w:rPr>
              <w:t xml:space="preserve"> (75 mg/m</w:t>
            </w:r>
            <w:r w:rsidRPr="00653BF6">
              <w:rPr>
                <w:color w:val="000000"/>
                <w:vertAlign w:val="superscript"/>
                <w:lang w:val="fr-FR"/>
              </w:rPr>
              <w:t>2</w:t>
            </w:r>
            <w:r w:rsidRPr="00653BF6">
              <w:rPr>
                <w:color w:val="000000"/>
                <w:lang w:val="fr-FR"/>
              </w:rPr>
              <w:t xml:space="preserve"> à heure 36, IV</w:t>
            </w:r>
            <w:r w:rsidR="00AB5C43" w:rsidRPr="00653BF6">
              <w:rPr>
                <w:color w:val="000000"/>
                <w:lang w:val="fr-FR"/>
              </w:rPr>
              <w:t> </w:t>
            </w:r>
            <w:r w:rsidRPr="00653BF6">
              <w:rPr>
                <w:color w:val="000000"/>
                <w:lang w:val="fr-FR"/>
              </w:rPr>
              <w:t>; 15 mg/m</w:t>
            </w:r>
            <w:r w:rsidRPr="00653BF6">
              <w:rPr>
                <w:color w:val="000000"/>
                <w:vertAlign w:val="superscript"/>
                <w:lang w:val="fr-FR"/>
              </w:rPr>
              <w:t>2</w:t>
            </w:r>
            <w:r w:rsidRPr="00653BF6">
              <w:rPr>
                <w:color w:val="000000"/>
                <w:lang w:val="fr-FR"/>
              </w:rPr>
              <w:t xml:space="preserve"> IV ou PO toutes les 6 heures x 6 doses) iii</w:t>
            </w:r>
            <w:r w:rsidR="00AB5C43" w:rsidRPr="00653BF6">
              <w:rPr>
                <w:color w:val="000000"/>
                <w:lang w:val="fr-FR"/>
              </w:rPr>
              <w:t> </w:t>
            </w:r>
            <w:r w:rsidRPr="00653BF6">
              <w:rPr>
                <w:color w:val="000000"/>
                <w:lang w:val="fr-FR"/>
              </w:rPr>
              <w:t>: jours 2, 3, 16, et 17</w:t>
            </w:r>
          </w:p>
          <w:p w14:paraId="793BA9C6" w14:textId="77777777" w:rsidR="00EF4CB3" w:rsidRPr="00653BF6" w:rsidRDefault="00EF4CB3" w:rsidP="007F23EE">
            <w:pPr>
              <w:pStyle w:val="EndnoteText"/>
              <w:rPr>
                <w:color w:val="000000"/>
                <w:lang w:val="fr-FR"/>
              </w:rPr>
            </w:pPr>
            <w:r w:rsidRPr="00653BF6">
              <w:rPr>
                <w:color w:val="000000"/>
                <w:lang w:val="fr-FR"/>
              </w:rPr>
              <w:t>Triple thérapie intrathécale (ajustée à l’âge) : jours 1 et 22</w:t>
            </w:r>
          </w:p>
          <w:p w14:paraId="00ECFDE1" w14:textId="77777777" w:rsidR="00EF4CB3" w:rsidRPr="00653BF6" w:rsidRDefault="00EF4CB3" w:rsidP="007F23EE">
            <w:pPr>
              <w:pStyle w:val="EndnoteText"/>
              <w:rPr>
                <w:color w:val="000000"/>
                <w:lang w:val="fr-FR"/>
              </w:rPr>
            </w:pPr>
            <w:r w:rsidRPr="00653BF6">
              <w:rPr>
                <w:color w:val="000000"/>
                <w:lang w:val="fr-FR"/>
              </w:rPr>
              <w:t>VP-16 (100 mg/m</w:t>
            </w:r>
            <w:r w:rsidRPr="00653BF6">
              <w:rPr>
                <w:color w:val="000000"/>
                <w:vertAlign w:val="superscript"/>
                <w:lang w:val="fr-FR"/>
              </w:rPr>
              <w:t>2</w:t>
            </w:r>
            <w:r w:rsidRPr="00653BF6">
              <w:rPr>
                <w:color w:val="000000"/>
                <w:lang w:val="fr-FR"/>
              </w:rPr>
              <w:t>/jour, IV) : jours 22</w:t>
            </w:r>
            <w:r w:rsidRPr="00653BF6">
              <w:rPr>
                <w:color w:val="000000"/>
                <w:lang w:val="fr-FR"/>
              </w:rPr>
              <w:noBreakHyphen/>
              <w:t>26</w:t>
            </w:r>
          </w:p>
          <w:p w14:paraId="1ED4586A" w14:textId="77777777" w:rsidR="00EF4CB3" w:rsidRPr="00653BF6" w:rsidRDefault="00EF4CB3" w:rsidP="007F23EE">
            <w:pPr>
              <w:pStyle w:val="EndnoteText"/>
              <w:rPr>
                <w:color w:val="000000"/>
                <w:lang w:val="fr-FR"/>
              </w:rPr>
            </w:pPr>
            <w:r w:rsidRPr="00653BF6">
              <w:rPr>
                <w:color w:val="000000"/>
                <w:lang w:val="fr-FR"/>
              </w:rPr>
              <w:t>CPM (300 mg/m</w:t>
            </w:r>
            <w:r w:rsidRPr="00653BF6">
              <w:rPr>
                <w:color w:val="000000"/>
                <w:vertAlign w:val="superscript"/>
                <w:lang w:val="fr-FR"/>
              </w:rPr>
              <w:t>2</w:t>
            </w:r>
            <w:r w:rsidRPr="00653BF6">
              <w:rPr>
                <w:color w:val="000000"/>
                <w:lang w:val="fr-FR"/>
              </w:rPr>
              <w:t>/jour, IV) : jours 22</w:t>
            </w:r>
            <w:r w:rsidRPr="00653BF6">
              <w:rPr>
                <w:color w:val="000000"/>
                <w:lang w:val="fr-FR"/>
              </w:rPr>
              <w:noBreakHyphen/>
              <w:t>26</w:t>
            </w:r>
          </w:p>
          <w:p w14:paraId="53508C69" w14:textId="77777777" w:rsidR="00EF4CB3" w:rsidRPr="00653BF6" w:rsidRDefault="00EF4CB3" w:rsidP="007F23EE">
            <w:pPr>
              <w:pStyle w:val="EndnoteText"/>
              <w:rPr>
                <w:color w:val="000000"/>
                <w:lang w:val="fr-FR"/>
              </w:rPr>
            </w:pPr>
            <w:r w:rsidRPr="00653BF6">
              <w:rPr>
                <w:color w:val="000000"/>
                <w:lang w:val="fr-FR"/>
              </w:rPr>
              <w:t>MESNA (150 mg/m</w:t>
            </w:r>
            <w:r w:rsidRPr="00653BF6">
              <w:rPr>
                <w:color w:val="000000"/>
                <w:vertAlign w:val="superscript"/>
                <w:lang w:val="fr-FR"/>
              </w:rPr>
              <w:t>2</w:t>
            </w:r>
            <w:r w:rsidRPr="00653BF6">
              <w:rPr>
                <w:color w:val="000000"/>
                <w:lang w:val="fr-FR"/>
              </w:rPr>
              <w:t>/jour, IV) : jours 22</w:t>
            </w:r>
            <w:r w:rsidRPr="00653BF6">
              <w:rPr>
                <w:color w:val="000000"/>
                <w:lang w:val="fr-FR"/>
              </w:rPr>
              <w:noBreakHyphen/>
              <w:t>26</w:t>
            </w:r>
          </w:p>
          <w:p w14:paraId="54277C6F" w14:textId="0038D104" w:rsidR="00EF4CB3" w:rsidRPr="00653BF6" w:rsidRDefault="00EF4CB3" w:rsidP="007F23EE">
            <w:pPr>
              <w:pStyle w:val="EndnoteText"/>
              <w:rPr>
                <w:color w:val="000000"/>
                <w:lang w:val="fr-FR"/>
              </w:rPr>
            </w:pPr>
            <w:r w:rsidRPr="00653BF6">
              <w:rPr>
                <w:color w:val="000000"/>
                <w:lang w:val="fr-FR"/>
              </w:rPr>
              <w:t>G-CSF (5 μg/kg, SC) : jours 27</w:t>
            </w:r>
            <w:r w:rsidRPr="00653BF6">
              <w:rPr>
                <w:color w:val="000000"/>
                <w:lang w:val="fr-FR"/>
              </w:rPr>
              <w:noBreakHyphen/>
              <w:t>36 ou jusqu’à un taux de neutrophile absolu &gt; 1</w:t>
            </w:r>
            <w:ins w:id="526" w:author="Author">
              <w:r w:rsidR="00A66FF1" w:rsidRPr="00653BF6">
                <w:rPr>
                  <w:color w:val="000000"/>
                  <w:lang w:val="fr-FR"/>
                </w:rPr>
                <w:t> </w:t>
              </w:r>
            </w:ins>
            <w:r w:rsidRPr="00653BF6">
              <w:rPr>
                <w:color w:val="000000"/>
                <w:lang w:val="fr-FR"/>
              </w:rPr>
              <w:t>500 post nadir</w:t>
            </w:r>
          </w:p>
          <w:p w14:paraId="09DDA038" w14:textId="77777777" w:rsidR="00EF4CB3" w:rsidRPr="00653BF6" w:rsidRDefault="00EF4CB3" w:rsidP="007F23EE">
            <w:pPr>
              <w:pStyle w:val="EndnoteText"/>
              <w:rPr>
                <w:color w:val="000000"/>
                <w:lang w:val="fr-FR"/>
              </w:rPr>
            </w:pPr>
            <w:r w:rsidRPr="00653BF6">
              <w:rPr>
                <w:color w:val="000000"/>
                <w:lang w:val="fr-FR"/>
              </w:rPr>
              <w:t>ARA-C (3 g/m</w:t>
            </w:r>
            <w:r w:rsidRPr="00653BF6">
              <w:rPr>
                <w:color w:val="000000"/>
                <w:vertAlign w:val="superscript"/>
                <w:lang w:val="fr-FR"/>
              </w:rPr>
              <w:t>2</w:t>
            </w:r>
            <w:r w:rsidRPr="00653BF6">
              <w:rPr>
                <w:color w:val="000000"/>
                <w:lang w:val="fr-FR"/>
              </w:rPr>
              <w:t>, toutes les 12 heures, IV) : jours 43 et 44</w:t>
            </w:r>
          </w:p>
          <w:p w14:paraId="16583B6B" w14:textId="77777777" w:rsidR="00EF4CB3" w:rsidRPr="00653BF6" w:rsidRDefault="00EF4CB3" w:rsidP="007F23EE">
            <w:pPr>
              <w:pStyle w:val="EndnoteText"/>
              <w:rPr>
                <w:color w:val="000000"/>
                <w:lang w:val="fr-FR"/>
              </w:rPr>
            </w:pPr>
            <w:r w:rsidRPr="00653BF6">
              <w:rPr>
                <w:color w:val="000000"/>
                <w:lang w:val="fr-FR"/>
              </w:rPr>
              <w:t>L-ASP (6000 UI/m</w:t>
            </w:r>
            <w:r w:rsidRPr="00653BF6">
              <w:rPr>
                <w:color w:val="000000"/>
                <w:vertAlign w:val="superscript"/>
                <w:lang w:val="fr-FR"/>
              </w:rPr>
              <w:t>2</w:t>
            </w:r>
            <w:r w:rsidRPr="00653BF6">
              <w:rPr>
                <w:color w:val="000000"/>
                <w:lang w:val="fr-FR"/>
              </w:rPr>
              <w:t>, IM) : jour 44</w:t>
            </w:r>
          </w:p>
        </w:tc>
      </w:tr>
      <w:tr w:rsidR="00EF4CB3" w:rsidRPr="00653BF6" w14:paraId="601F3643" w14:textId="77777777" w:rsidTr="005205FF">
        <w:trPr>
          <w:cantSplit/>
          <w:trPrChange w:id="527" w:author="Author">
            <w:trPr>
              <w:cantSplit/>
            </w:trPr>
          </w:trPrChange>
        </w:trPr>
        <w:tc>
          <w:tcPr>
            <w:tcW w:w="2336" w:type="dxa"/>
            <w:tcPrChange w:id="528" w:author="Author">
              <w:tcPr>
                <w:tcW w:w="2358" w:type="dxa"/>
                <w:gridSpan w:val="2"/>
              </w:tcPr>
            </w:tcPrChange>
          </w:tcPr>
          <w:p w14:paraId="6F304582" w14:textId="77777777" w:rsidR="00EF4CB3" w:rsidRPr="00653BF6" w:rsidRDefault="00EF4CB3" w:rsidP="007F23EE">
            <w:pPr>
              <w:pStyle w:val="EndnoteText"/>
              <w:rPr>
                <w:color w:val="000000"/>
                <w:lang w:val="fr-FR"/>
              </w:rPr>
            </w:pPr>
            <w:r w:rsidRPr="00653BF6">
              <w:rPr>
                <w:color w:val="000000"/>
                <w:lang w:val="fr-FR"/>
              </w:rPr>
              <w:t>Bloc de réinduction 2 (3 semaines)</w:t>
            </w:r>
          </w:p>
        </w:tc>
        <w:tc>
          <w:tcPr>
            <w:tcW w:w="6724" w:type="dxa"/>
            <w:gridSpan w:val="2"/>
            <w:tcPrChange w:id="529" w:author="Author">
              <w:tcPr>
                <w:tcW w:w="6928" w:type="dxa"/>
                <w:gridSpan w:val="2"/>
              </w:tcPr>
            </w:tcPrChange>
          </w:tcPr>
          <w:p w14:paraId="29E76C70" w14:textId="77777777" w:rsidR="00EF4CB3" w:rsidRPr="00653BF6" w:rsidRDefault="00EF4CB3" w:rsidP="007F23EE">
            <w:pPr>
              <w:pStyle w:val="EndnoteText"/>
              <w:rPr>
                <w:color w:val="000000"/>
                <w:lang w:val="fr-FR"/>
              </w:rPr>
            </w:pPr>
            <w:r w:rsidRPr="00653BF6">
              <w:rPr>
                <w:color w:val="000000"/>
                <w:lang w:val="fr-FR"/>
              </w:rPr>
              <w:t>VCR (1,5 mg/m</w:t>
            </w:r>
            <w:r w:rsidRPr="00653BF6">
              <w:rPr>
                <w:color w:val="000000"/>
                <w:vertAlign w:val="superscript"/>
                <w:lang w:val="fr-FR"/>
              </w:rPr>
              <w:t>2</w:t>
            </w:r>
            <w:r w:rsidRPr="00653BF6">
              <w:rPr>
                <w:color w:val="000000"/>
                <w:lang w:val="fr-FR"/>
              </w:rPr>
              <w:t>/jour, IV) : jours 1, 8 et 15</w:t>
            </w:r>
          </w:p>
          <w:p w14:paraId="2E37C0DB" w14:textId="77777777" w:rsidR="00EF4CB3" w:rsidRPr="00653BF6" w:rsidRDefault="00EF4CB3" w:rsidP="007F23EE">
            <w:pPr>
              <w:pStyle w:val="EndnoteText"/>
              <w:rPr>
                <w:color w:val="000000"/>
                <w:lang w:val="fr-FR"/>
              </w:rPr>
            </w:pPr>
            <w:r w:rsidRPr="00653BF6">
              <w:rPr>
                <w:color w:val="000000"/>
                <w:lang w:val="fr-FR"/>
              </w:rPr>
              <w:t>DAUN (45 mg/m</w:t>
            </w:r>
            <w:r w:rsidRPr="00653BF6">
              <w:rPr>
                <w:color w:val="000000"/>
                <w:vertAlign w:val="superscript"/>
                <w:lang w:val="fr-FR"/>
              </w:rPr>
              <w:t>2</w:t>
            </w:r>
            <w:r w:rsidRPr="00653BF6">
              <w:rPr>
                <w:color w:val="000000"/>
                <w:lang w:val="fr-FR"/>
              </w:rPr>
              <w:t>/jour bolus, IV) : jours 1 et 2</w:t>
            </w:r>
          </w:p>
          <w:p w14:paraId="2BEE65EE" w14:textId="77777777" w:rsidR="00EF4CB3" w:rsidRPr="00653BF6" w:rsidRDefault="00EF4CB3" w:rsidP="007F23EE">
            <w:pPr>
              <w:pStyle w:val="EndnoteText"/>
              <w:rPr>
                <w:color w:val="000000"/>
                <w:lang w:val="fr-FR"/>
              </w:rPr>
            </w:pPr>
            <w:r w:rsidRPr="00653BF6">
              <w:rPr>
                <w:color w:val="000000"/>
                <w:lang w:val="fr-FR"/>
              </w:rPr>
              <w:t>CPM (250 mg/m</w:t>
            </w:r>
            <w:r w:rsidRPr="00653BF6">
              <w:rPr>
                <w:color w:val="000000"/>
                <w:vertAlign w:val="superscript"/>
                <w:lang w:val="fr-FR"/>
              </w:rPr>
              <w:t>2</w:t>
            </w:r>
            <w:r w:rsidRPr="00653BF6">
              <w:rPr>
                <w:color w:val="000000"/>
                <w:lang w:val="fr-FR"/>
              </w:rPr>
              <w:t>/dose toutes les 12 heures x 4 doses, iv) : jours 3 et 4</w:t>
            </w:r>
          </w:p>
          <w:p w14:paraId="73C9232A" w14:textId="77777777" w:rsidR="00EF4CB3" w:rsidRPr="00653BF6" w:rsidRDefault="00EF4CB3" w:rsidP="007F23EE">
            <w:pPr>
              <w:pStyle w:val="EndnoteText"/>
              <w:rPr>
                <w:color w:val="000000"/>
                <w:lang w:val="fr-FR"/>
              </w:rPr>
            </w:pPr>
            <w:r w:rsidRPr="00653BF6">
              <w:rPr>
                <w:color w:val="000000"/>
                <w:lang w:val="fr-FR"/>
              </w:rPr>
              <w:t>PEG-ASP (2500 UI/m</w:t>
            </w:r>
            <w:r w:rsidRPr="00653BF6">
              <w:rPr>
                <w:color w:val="000000"/>
                <w:vertAlign w:val="superscript"/>
                <w:lang w:val="fr-FR"/>
              </w:rPr>
              <w:t>2</w:t>
            </w:r>
            <w:r w:rsidRPr="00653BF6">
              <w:rPr>
                <w:color w:val="000000"/>
                <w:lang w:val="fr-FR"/>
              </w:rPr>
              <w:t>, IM) : jour 4</w:t>
            </w:r>
          </w:p>
          <w:p w14:paraId="0656FBF2" w14:textId="7F4DB5D0" w:rsidR="00EF4CB3" w:rsidRPr="00653BF6" w:rsidRDefault="00EF4CB3" w:rsidP="007F23EE">
            <w:pPr>
              <w:pStyle w:val="EndnoteText"/>
              <w:rPr>
                <w:color w:val="000000"/>
                <w:lang w:val="fr-FR"/>
              </w:rPr>
            </w:pPr>
            <w:r w:rsidRPr="00653BF6">
              <w:rPr>
                <w:color w:val="000000"/>
                <w:lang w:val="fr-FR"/>
              </w:rPr>
              <w:t>G-CSF (5 μg/kg, SC) : jours 5</w:t>
            </w:r>
            <w:r w:rsidRPr="00653BF6">
              <w:rPr>
                <w:color w:val="000000"/>
                <w:lang w:val="fr-FR"/>
              </w:rPr>
              <w:noBreakHyphen/>
              <w:t>14 ou jusqu’à un taux de neutrophile absolu &gt; 1</w:t>
            </w:r>
            <w:ins w:id="530" w:author="Author">
              <w:r w:rsidR="00A66FF1" w:rsidRPr="00653BF6">
                <w:rPr>
                  <w:color w:val="000000"/>
                  <w:lang w:val="fr-FR"/>
                </w:rPr>
                <w:t> </w:t>
              </w:r>
            </w:ins>
            <w:r w:rsidRPr="00653BF6">
              <w:rPr>
                <w:color w:val="000000"/>
                <w:lang w:val="fr-FR"/>
              </w:rPr>
              <w:t>500 post nadir</w:t>
            </w:r>
          </w:p>
          <w:p w14:paraId="520C25CA" w14:textId="77777777" w:rsidR="00EF4CB3" w:rsidRPr="00653BF6" w:rsidRDefault="00EF4CB3" w:rsidP="007F23EE">
            <w:pPr>
              <w:pStyle w:val="EndnoteText"/>
              <w:rPr>
                <w:color w:val="000000"/>
                <w:lang w:val="fr-FR"/>
              </w:rPr>
            </w:pPr>
            <w:r w:rsidRPr="00653BF6">
              <w:rPr>
                <w:color w:val="000000"/>
                <w:lang w:val="fr-FR"/>
              </w:rPr>
              <w:t>Triple thérapie intrathécale (ajustée à l’âge) : jours 1 et 15</w:t>
            </w:r>
          </w:p>
          <w:p w14:paraId="37129D09" w14:textId="77777777" w:rsidR="00EF4CB3" w:rsidRPr="00653BF6" w:rsidRDefault="00EF4CB3" w:rsidP="007F23EE">
            <w:pPr>
              <w:pStyle w:val="EndnoteText"/>
              <w:rPr>
                <w:color w:val="000000"/>
                <w:lang w:val="fr-FR"/>
              </w:rPr>
            </w:pPr>
            <w:r w:rsidRPr="00653BF6">
              <w:rPr>
                <w:color w:val="000000"/>
                <w:lang w:val="fr-FR"/>
              </w:rPr>
              <w:t>DEX (6 mg/m</w:t>
            </w:r>
            <w:r w:rsidRPr="00653BF6">
              <w:rPr>
                <w:color w:val="000000"/>
                <w:vertAlign w:val="superscript"/>
                <w:lang w:val="fr-FR"/>
              </w:rPr>
              <w:t>2</w:t>
            </w:r>
            <w:r w:rsidRPr="00653BF6">
              <w:rPr>
                <w:color w:val="000000"/>
                <w:lang w:val="fr-FR"/>
              </w:rPr>
              <w:t>/jour, PO) : jours 1</w:t>
            </w:r>
            <w:r w:rsidRPr="00653BF6">
              <w:rPr>
                <w:color w:val="000000"/>
                <w:lang w:val="fr-FR"/>
              </w:rPr>
              <w:noBreakHyphen/>
              <w:t>7 et 15</w:t>
            </w:r>
            <w:r w:rsidRPr="00653BF6">
              <w:rPr>
                <w:color w:val="000000"/>
                <w:lang w:val="fr-FR"/>
              </w:rPr>
              <w:noBreakHyphen/>
              <w:t>21</w:t>
            </w:r>
          </w:p>
        </w:tc>
      </w:tr>
      <w:tr w:rsidR="00EF4CB3" w:rsidRPr="00653BF6" w14:paraId="56500AE6" w14:textId="77777777" w:rsidTr="005205FF">
        <w:trPr>
          <w:cantSplit/>
          <w:trPrChange w:id="531" w:author="Author">
            <w:trPr>
              <w:cantSplit/>
            </w:trPr>
          </w:trPrChange>
        </w:trPr>
        <w:tc>
          <w:tcPr>
            <w:tcW w:w="2336" w:type="dxa"/>
            <w:tcPrChange w:id="532" w:author="Author">
              <w:tcPr>
                <w:tcW w:w="2358" w:type="dxa"/>
                <w:gridSpan w:val="2"/>
              </w:tcPr>
            </w:tcPrChange>
          </w:tcPr>
          <w:p w14:paraId="287199EF" w14:textId="77777777" w:rsidR="00EF4CB3" w:rsidRPr="00653BF6" w:rsidRDefault="00EF4CB3" w:rsidP="007F23EE">
            <w:pPr>
              <w:pStyle w:val="EndnoteText"/>
              <w:rPr>
                <w:color w:val="000000"/>
                <w:lang w:val="fr-FR"/>
              </w:rPr>
            </w:pPr>
            <w:r w:rsidRPr="00653BF6">
              <w:rPr>
                <w:color w:val="000000"/>
                <w:lang w:val="fr-FR"/>
              </w:rPr>
              <w:t>Bloc d’intensification 2 (9 semaines)</w:t>
            </w:r>
          </w:p>
        </w:tc>
        <w:tc>
          <w:tcPr>
            <w:tcW w:w="6724" w:type="dxa"/>
            <w:gridSpan w:val="2"/>
            <w:tcPrChange w:id="533" w:author="Author">
              <w:tcPr>
                <w:tcW w:w="6928" w:type="dxa"/>
                <w:gridSpan w:val="2"/>
              </w:tcPr>
            </w:tcPrChange>
          </w:tcPr>
          <w:p w14:paraId="292B2763" w14:textId="61103676" w:rsidR="00EF4CB3" w:rsidRPr="00653BF6" w:rsidRDefault="00EF4CB3" w:rsidP="007F23EE">
            <w:pPr>
              <w:pStyle w:val="EndnoteText"/>
              <w:rPr>
                <w:color w:val="000000"/>
                <w:lang w:val="fr-FR"/>
              </w:rPr>
            </w:pPr>
            <w:r w:rsidRPr="00653BF6">
              <w:rPr>
                <w:color w:val="000000"/>
                <w:lang w:val="fr-FR"/>
              </w:rPr>
              <w:t>M</w:t>
            </w:r>
            <w:r w:rsidR="003A71E7" w:rsidRPr="00653BF6">
              <w:rPr>
                <w:color w:val="000000"/>
                <w:lang w:val="fr-FR"/>
              </w:rPr>
              <w:t>é</w:t>
            </w:r>
            <w:r w:rsidRPr="00653BF6">
              <w:rPr>
                <w:color w:val="000000"/>
                <w:lang w:val="fr-FR"/>
              </w:rPr>
              <w:t>thotrexate (5 g/m</w:t>
            </w:r>
            <w:r w:rsidRPr="00653BF6">
              <w:rPr>
                <w:color w:val="000000"/>
                <w:vertAlign w:val="superscript"/>
                <w:lang w:val="fr-FR"/>
              </w:rPr>
              <w:t>2</w:t>
            </w:r>
            <w:r w:rsidRPr="00653BF6">
              <w:rPr>
                <w:color w:val="000000"/>
                <w:lang w:val="fr-FR"/>
              </w:rPr>
              <w:t xml:space="preserve"> sur 24 heures, IV) : jours 1 et 15</w:t>
            </w:r>
          </w:p>
          <w:p w14:paraId="7792D854" w14:textId="7476A554" w:rsidR="00EF4CB3" w:rsidRPr="00653BF6" w:rsidRDefault="00EF4CB3" w:rsidP="007F23EE">
            <w:pPr>
              <w:pStyle w:val="EndnoteText"/>
              <w:rPr>
                <w:color w:val="000000"/>
                <w:lang w:val="fr-FR"/>
              </w:rPr>
            </w:pPr>
            <w:proofErr w:type="spellStart"/>
            <w:r w:rsidRPr="00653BF6">
              <w:rPr>
                <w:color w:val="000000"/>
                <w:lang w:val="fr-FR"/>
              </w:rPr>
              <w:t>Leucovorin</w:t>
            </w:r>
            <w:proofErr w:type="spellEnd"/>
            <w:r w:rsidRPr="00653BF6">
              <w:rPr>
                <w:color w:val="000000"/>
                <w:lang w:val="fr-FR"/>
              </w:rPr>
              <w:t xml:space="preserve"> (75 mg/m</w:t>
            </w:r>
            <w:r w:rsidRPr="00653BF6">
              <w:rPr>
                <w:color w:val="000000"/>
                <w:vertAlign w:val="superscript"/>
                <w:lang w:val="fr-FR"/>
              </w:rPr>
              <w:t>2</w:t>
            </w:r>
            <w:r w:rsidRPr="00653BF6">
              <w:rPr>
                <w:color w:val="000000"/>
                <w:lang w:val="fr-FR"/>
              </w:rPr>
              <w:t xml:space="preserve"> à heure 36, IV</w:t>
            </w:r>
            <w:r w:rsidR="00AB5C43" w:rsidRPr="00653BF6">
              <w:rPr>
                <w:color w:val="000000"/>
                <w:lang w:val="fr-FR"/>
              </w:rPr>
              <w:t> </w:t>
            </w:r>
            <w:r w:rsidRPr="00653BF6">
              <w:rPr>
                <w:color w:val="000000"/>
                <w:lang w:val="fr-FR"/>
              </w:rPr>
              <w:t>; 15 mg/m</w:t>
            </w:r>
            <w:r w:rsidRPr="00653BF6">
              <w:rPr>
                <w:color w:val="000000"/>
                <w:vertAlign w:val="superscript"/>
                <w:lang w:val="fr-FR"/>
              </w:rPr>
              <w:t>2</w:t>
            </w:r>
            <w:r w:rsidRPr="00653BF6">
              <w:rPr>
                <w:color w:val="000000"/>
                <w:lang w:val="fr-FR"/>
              </w:rPr>
              <w:t xml:space="preserve"> IV ou PO toutes les 6 heures x 6 doses) iii</w:t>
            </w:r>
            <w:r w:rsidR="00AB5C43" w:rsidRPr="00653BF6">
              <w:rPr>
                <w:color w:val="000000"/>
                <w:lang w:val="fr-FR"/>
              </w:rPr>
              <w:t> </w:t>
            </w:r>
            <w:r w:rsidRPr="00653BF6">
              <w:rPr>
                <w:color w:val="000000"/>
                <w:lang w:val="fr-FR"/>
              </w:rPr>
              <w:t>: jours 2, 3, 16, et 17</w:t>
            </w:r>
          </w:p>
          <w:p w14:paraId="578206C6" w14:textId="77777777" w:rsidR="00EF4CB3" w:rsidRPr="00653BF6" w:rsidRDefault="00EF4CB3" w:rsidP="007F23EE">
            <w:pPr>
              <w:pStyle w:val="EndnoteText"/>
              <w:rPr>
                <w:color w:val="000000"/>
                <w:lang w:val="fr-FR"/>
              </w:rPr>
            </w:pPr>
            <w:r w:rsidRPr="00653BF6">
              <w:rPr>
                <w:color w:val="000000"/>
                <w:lang w:val="fr-FR"/>
              </w:rPr>
              <w:t>Triple thérapie intrathécale (ajustée à l’âge) : jours 1 et 22</w:t>
            </w:r>
          </w:p>
          <w:p w14:paraId="324AC84D" w14:textId="77777777" w:rsidR="00EF4CB3" w:rsidRPr="00653BF6" w:rsidRDefault="00EF4CB3" w:rsidP="007F23EE">
            <w:pPr>
              <w:pStyle w:val="EndnoteText"/>
              <w:rPr>
                <w:color w:val="000000"/>
                <w:lang w:val="fr-FR"/>
              </w:rPr>
            </w:pPr>
            <w:r w:rsidRPr="00653BF6">
              <w:rPr>
                <w:color w:val="000000"/>
                <w:lang w:val="fr-FR"/>
              </w:rPr>
              <w:t>VP-16 (100 mg/m</w:t>
            </w:r>
            <w:r w:rsidRPr="00653BF6">
              <w:rPr>
                <w:color w:val="000000"/>
                <w:vertAlign w:val="superscript"/>
                <w:lang w:val="fr-FR"/>
              </w:rPr>
              <w:t>2</w:t>
            </w:r>
            <w:r w:rsidRPr="00653BF6">
              <w:rPr>
                <w:color w:val="000000"/>
                <w:lang w:val="fr-FR"/>
              </w:rPr>
              <w:t>/jour, IV) : jours 22</w:t>
            </w:r>
            <w:r w:rsidRPr="00653BF6">
              <w:rPr>
                <w:color w:val="000000"/>
                <w:lang w:val="fr-FR"/>
              </w:rPr>
              <w:noBreakHyphen/>
              <w:t>26</w:t>
            </w:r>
          </w:p>
          <w:p w14:paraId="79F2FACD" w14:textId="77777777" w:rsidR="00EF4CB3" w:rsidRPr="00653BF6" w:rsidRDefault="00EF4CB3" w:rsidP="007F23EE">
            <w:pPr>
              <w:pStyle w:val="EndnoteText"/>
              <w:rPr>
                <w:color w:val="000000"/>
                <w:lang w:val="fr-FR"/>
              </w:rPr>
            </w:pPr>
            <w:r w:rsidRPr="00653BF6">
              <w:rPr>
                <w:color w:val="000000"/>
                <w:lang w:val="fr-FR"/>
              </w:rPr>
              <w:t>CPM (300 mg/m</w:t>
            </w:r>
            <w:r w:rsidRPr="00653BF6">
              <w:rPr>
                <w:color w:val="000000"/>
                <w:vertAlign w:val="superscript"/>
                <w:lang w:val="fr-FR"/>
              </w:rPr>
              <w:t>2</w:t>
            </w:r>
            <w:r w:rsidRPr="00653BF6">
              <w:rPr>
                <w:color w:val="000000"/>
                <w:lang w:val="fr-FR"/>
              </w:rPr>
              <w:t>/jour, IV) : jours 22</w:t>
            </w:r>
            <w:r w:rsidRPr="00653BF6">
              <w:rPr>
                <w:color w:val="000000"/>
                <w:lang w:val="fr-FR"/>
              </w:rPr>
              <w:noBreakHyphen/>
              <w:t>26</w:t>
            </w:r>
          </w:p>
          <w:p w14:paraId="798C7997" w14:textId="77777777" w:rsidR="00EF4CB3" w:rsidRPr="00653BF6" w:rsidRDefault="00EF4CB3" w:rsidP="007F23EE">
            <w:pPr>
              <w:pStyle w:val="EndnoteText"/>
              <w:rPr>
                <w:color w:val="000000"/>
                <w:lang w:val="fr-FR"/>
              </w:rPr>
            </w:pPr>
            <w:r w:rsidRPr="00653BF6">
              <w:rPr>
                <w:color w:val="000000"/>
                <w:lang w:val="fr-FR"/>
              </w:rPr>
              <w:t>MESNA (150 mg/m</w:t>
            </w:r>
            <w:r w:rsidRPr="00653BF6">
              <w:rPr>
                <w:color w:val="000000"/>
                <w:vertAlign w:val="superscript"/>
                <w:lang w:val="fr-FR"/>
              </w:rPr>
              <w:t>2</w:t>
            </w:r>
            <w:r w:rsidRPr="00653BF6">
              <w:rPr>
                <w:color w:val="000000"/>
                <w:lang w:val="fr-FR"/>
              </w:rPr>
              <w:t>/jour, IV) : jours 22</w:t>
            </w:r>
            <w:r w:rsidRPr="00653BF6">
              <w:rPr>
                <w:color w:val="000000"/>
                <w:lang w:val="fr-FR"/>
              </w:rPr>
              <w:noBreakHyphen/>
              <w:t xml:space="preserve">26 </w:t>
            </w:r>
          </w:p>
          <w:p w14:paraId="1D217E15" w14:textId="336CC322" w:rsidR="00EF4CB3" w:rsidRPr="00653BF6" w:rsidRDefault="00EF4CB3" w:rsidP="007F23EE">
            <w:pPr>
              <w:pStyle w:val="EndnoteText"/>
              <w:rPr>
                <w:color w:val="000000"/>
                <w:lang w:val="fr-FR"/>
              </w:rPr>
            </w:pPr>
            <w:r w:rsidRPr="00653BF6">
              <w:rPr>
                <w:color w:val="000000"/>
                <w:lang w:val="fr-FR"/>
              </w:rPr>
              <w:t>G-CSF (5 μg/kg, SC) : jours 27</w:t>
            </w:r>
            <w:r w:rsidRPr="00653BF6">
              <w:rPr>
                <w:color w:val="000000"/>
                <w:lang w:val="fr-FR"/>
              </w:rPr>
              <w:noBreakHyphen/>
              <w:t>36 ou jusqu’à un taux de neutrophile absolu &gt; 1</w:t>
            </w:r>
            <w:ins w:id="534" w:author="Author">
              <w:r w:rsidR="00A66FF1" w:rsidRPr="00653BF6">
                <w:rPr>
                  <w:color w:val="000000"/>
                  <w:lang w:val="fr-FR"/>
                </w:rPr>
                <w:t> </w:t>
              </w:r>
            </w:ins>
            <w:r w:rsidRPr="00653BF6">
              <w:rPr>
                <w:color w:val="000000"/>
                <w:lang w:val="fr-FR"/>
              </w:rPr>
              <w:t>500 post nadir</w:t>
            </w:r>
          </w:p>
          <w:p w14:paraId="28EEB895" w14:textId="77777777" w:rsidR="00EF4CB3" w:rsidRPr="00653BF6" w:rsidRDefault="00EF4CB3" w:rsidP="007F23EE">
            <w:pPr>
              <w:pStyle w:val="EndnoteText"/>
              <w:rPr>
                <w:color w:val="000000"/>
                <w:lang w:val="fr-FR"/>
              </w:rPr>
            </w:pPr>
            <w:r w:rsidRPr="00653BF6">
              <w:rPr>
                <w:color w:val="000000"/>
                <w:lang w:val="fr-FR"/>
              </w:rPr>
              <w:t>ARA-C (3 g/m</w:t>
            </w:r>
            <w:r w:rsidRPr="00653BF6">
              <w:rPr>
                <w:color w:val="000000"/>
                <w:vertAlign w:val="superscript"/>
                <w:lang w:val="fr-FR"/>
              </w:rPr>
              <w:t>2</w:t>
            </w:r>
            <w:r w:rsidRPr="00653BF6">
              <w:rPr>
                <w:color w:val="000000"/>
                <w:lang w:val="fr-FR"/>
              </w:rPr>
              <w:t>, toutes les 12 heures, IV) : jours 43 et 44</w:t>
            </w:r>
          </w:p>
          <w:p w14:paraId="692BF482" w14:textId="1F53DFC9" w:rsidR="00EF4CB3" w:rsidRPr="00653BF6" w:rsidRDefault="00EF4CB3" w:rsidP="007F23EE">
            <w:pPr>
              <w:pStyle w:val="EndnoteText"/>
              <w:rPr>
                <w:color w:val="000000"/>
                <w:lang w:val="fr-FR"/>
              </w:rPr>
            </w:pPr>
            <w:r w:rsidRPr="00653BF6">
              <w:rPr>
                <w:color w:val="000000"/>
                <w:lang w:val="fr-FR"/>
              </w:rPr>
              <w:t>L-ASP (6</w:t>
            </w:r>
            <w:ins w:id="535" w:author="Author">
              <w:r w:rsidR="00A66FF1" w:rsidRPr="00653BF6">
                <w:rPr>
                  <w:color w:val="000000"/>
                  <w:lang w:val="fr-FR"/>
                </w:rPr>
                <w:t> </w:t>
              </w:r>
            </w:ins>
            <w:r w:rsidRPr="00653BF6">
              <w:rPr>
                <w:color w:val="000000"/>
                <w:lang w:val="fr-FR"/>
              </w:rPr>
              <w:t>000 UI/m</w:t>
            </w:r>
            <w:r w:rsidRPr="00653BF6">
              <w:rPr>
                <w:color w:val="000000"/>
                <w:vertAlign w:val="superscript"/>
                <w:lang w:val="fr-FR"/>
              </w:rPr>
              <w:t>2</w:t>
            </w:r>
            <w:r w:rsidRPr="00653BF6">
              <w:rPr>
                <w:color w:val="000000"/>
                <w:lang w:val="fr-FR"/>
              </w:rPr>
              <w:t>, IM) : jour 44</w:t>
            </w:r>
          </w:p>
        </w:tc>
      </w:tr>
      <w:tr w:rsidR="00EF4CB3" w:rsidRPr="00653BF6" w14:paraId="794A68AC" w14:textId="77777777" w:rsidTr="005205FF">
        <w:trPr>
          <w:cantSplit/>
          <w:trPrChange w:id="536" w:author="Author">
            <w:trPr>
              <w:cantSplit/>
            </w:trPr>
          </w:trPrChange>
        </w:trPr>
        <w:tc>
          <w:tcPr>
            <w:tcW w:w="2336" w:type="dxa"/>
            <w:tcPrChange w:id="537" w:author="Author">
              <w:tcPr>
                <w:tcW w:w="2358" w:type="dxa"/>
                <w:gridSpan w:val="2"/>
              </w:tcPr>
            </w:tcPrChange>
          </w:tcPr>
          <w:p w14:paraId="57BEF411" w14:textId="77777777" w:rsidR="00EF4CB3" w:rsidRPr="00653BF6" w:rsidRDefault="00EF4CB3" w:rsidP="007F23EE">
            <w:pPr>
              <w:pStyle w:val="EndnoteText"/>
              <w:rPr>
                <w:color w:val="000000"/>
                <w:lang w:val="fr-FR"/>
              </w:rPr>
            </w:pPr>
            <w:r w:rsidRPr="00653BF6">
              <w:rPr>
                <w:color w:val="000000"/>
                <w:lang w:val="fr-FR"/>
              </w:rPr>
              <w:lastRenderedPageBreak/>
              <w:t>Maintenance (cycles de 8 semaines)</w:t>
            </w:r>
          </w:p>
          <w:p w14:paraId="53A61A33" w14:textId="77777777" w:rsidR="00EF4CB3" w:rsidRPr="00653BF6" w:rsidRDefault="00EF4CB3" w:rsidP="007F23EE">
            <w:pPr>
              <w:pStyle w:val="EndnoteText"/>
              <w:rPr>
                <w:color w:val="000000"/>
                <w:lang w:val="fr-FR"/>
              </w:rPr>
            </w:pPr>
            <w:r w:rsidRPr="00653BF6">
              <w:rPr>
                <w:color w:val="000000"/>
                <w:lang w:val="fr-FR"/>
              </w:rPr>
              <w:t>Cycles 1-4</w:t>
            </w:r>
          </w:p>
        </w:tc>
        <w:tc>
          <w:tcPr>
            <w:tcW w:w="6724" w:type="dxa"/>
            <w:gridSpan w:val="2"/>
            <w:tcPrChange w:id="538" w:author="Author">
              <w:tcPr>
                <w:tcW w:w="6928" w:type="dxa"/>
                <w:gridSpan w:val="2"/>
              </w:tcPr>
            </w:tcPrChange>
          </w:tcPr>
          <w:p w14:paraId="2647F131" w14:textId="77777777" w:rsidR="00EF4CB3" w:rsidRPr="00653BF6" w:rsidRDefault="00EF4CB3" w:rsidP="007F23EE">
            <w:pPr>
              <w:pStyle w:val="EndnoteText"/>
              <w:rPr>
                <w:color w:val="000000"/>
                <w:lang w:val="fr-FR"/>
              </w:rPr>
            </w:pPr>
            <w:r w:rsidRPr="00653BF6">
              <w:rPr>
                <w:color w:val="000000"/>
                <w:lang w:val="fr-FR"/>
              </w:rPr>
              <w:t>MTX (5 g/m</w:t>
            </w:r>
            <w:r w:rsidRPr="00653BF6">
              <w:rPr>
                <w:color w:val="000000"/>
                <w:vertAlign w:val="superscript"/>
                <w:lang w:val="fr-FR"/>
              </w:rPr>
              <w:t>2</w:t>
            </w:r>
            <w:r w:rsidRPr="00653BF6">
              <w:rPr>
                <w:color w:val="000000"/>
                <w:lang w:val="fr-FR"/>
              </w:rPr>
              <w:t xml:space="preserve"> sur 24 heures, IV) : jour 1</w:t>
            </w:r>
          </w:p>
          <w:p w14:paraId="30FCB666" w14:textId="3900EBA2" w:rsidR="00EF4CB3" w:rsidRPr="00653BF6" w:rsidRDefault="00EF4CB3" w:rsidP="007F23EE">
            <w:pPr>
              <w:pStyle w:val="EndnoteText"/>
              <w:rPr>
                <w:color w:val="000000"/>
                <w:lang w:val="fr-FR"/>
              </w:rPr>
            </w:pPr>
            <w:proofErr w:type="spellStart"/>
            <w:r w:rsidRPr="00653BF6">
              <w:rPr>
                <w:color w:val="000000"/>
                <w:lang w:val="fr-FR"/>
              </w:rPr>
              <w:t>Leucovorin</w:t>
            </w:r>
            <w:proofErr w:type="spellEnd"/>
            <w:r w:rsidRPr="00653BF6">
              <w:rPr>
                <w:color w:val="000000"/>
                <w:lang w:val="fr-FR"/>
              </w:rPr>
              <w:t xml:space="preserve"> (75 mg/m</w:t>
            </w:r>
            <w:r w:rsidRPr="00653BF6">
              <w:rPr>
                <w:color w:val="000000"/>
                <w:vertAlign w:val="superscript"/>
                <w:lang w:val="fr-FR"/>
              </w:rPr>
              <w:t>2</w:t>
            </w:r>
            <w:r w:rsidRPr="00653BF6">
              <w:rPr>
                <w:color w:val="000000"/>
                <w:lang w:val="fr-FR"/>
              </w:rPr>
              <w:t xml:space="preserve"> à heure 36, IV</w:t>
            </w:r>
            <w:r w:rsidR="00AB5C43" w:rsidRPr="00653BF6">
              <w:rPr>
                <w:color w:val="000000"/>
                <w:lang w:val="fr-FR"/>
              </w:rPr>
              <w:t> </w:t>
            </w:r>
            <w:r w:rsidRPr="00653BF6">
              <w:rPr>
                <w:color w:val="000000"/>
                <w:lang w:val="fr-FR"/>
              </w:rPr>
              <w:t>; 15 mg/m</w:t>
            </w:r>
            <w:r w:rsidRPr="00653BF6">
              <w:rPr>
                <w:color w:val="000000"/>
                <w:vertAlign w:val="superscript"/>
                <w:lang w:val="fr-FR"/>
              </w:rPr>
              <w:t>2</w:t>
            </w:r>
            <w:r w:rsidRPr="00653BF6">
              <w:rPr>
                <w:color w:val="000000"/>
                <w:lang w:val="fr-FR"/>
              </w:rPr>
              <w:t xml:space="preserve"> IV ou PO toutes les 6 heures x 6 doses) iii</w:t>
            </w:r>
            <w:r w:rsidR="00AB5C43" w:rsidRPr="00653BF6">
              <w:rPr>
                <w:color w:val="000000"/>
                <w:lang w:val="fr-FR"/>
              </w:rPr>
              <w:t> </w:t>
            </w:r>
            <w:r w:rsidRPr="00653BF6">
              <w:rPr>
                <w:color w:val="000000"/>
                <w:lang w:val="fr-FR"/>
              </w:rPr>
              <w:t>: jours 2 et 3</w:t>
            </w:r>
          </w:p>
          <w:p w14:paraId="69EE3979" w14:textId="77777777" w:rsidR="00EF4CB3" w:rsidRPr="00653BF6" w:rsidRDefault="00EF4CB3" w:rsidP="007F23EE">
            <w:pPr>
              <w:pStyle w:val="EndnoteText"/>
              <w:rPr>
                <w:color w:val="000000"/>
                <w:lang w:val="fr-FR"/>
              </w:rPr>
            </w:pPr>
            <w:r w:rsidRPr="00653BF6">
              <w:rPr>
                <w:color w:val="000000"/>
                <w:lang w:val="fr-FR"/>
              </w:rPr>
              <w:t>Triple thérapie intrathécale (ajustée à l’âge) : jours 1 et 29</w:t>
            </w:r>
          </w:p>
          <w:p w14:paraId="731FCFAA" w14:textId="77777777" w:rsidR="00EF4CB3" w:rsidRPr="00653BF6" w:rsidRDefault="00EF4CB3" w:rsidP="007F23EE">
            <w:pPr>
              <w:pStyle w:val="EndnoteText"/>
              <w:rPr>
                <w:color w:val="000000"/>
                <w:lang w:val="fr-FR"/>
              </w:rPr>
            </w:pPr>
            <w:r w:rsidRPr="00653BF6">
              <w:rPr>
                <w:color w:val="000000"/>
                <w:lang w:val="fr-FR"/>
              </w:rPr>
              <w:t>VCR (1,5 mg/m</w:t>
            </w:r>
            <w:r w:rsidRPr="00653BF6">
              <w:rPr>
                <w:color w:val="000000"/>
                <w:vertAlign w:val="superscript"/>
                <w:lang w:val="fr-FR"/>
              </w:rPr>
              <w:t>2</w:t>
            </w:r>
            <w:r w:rsidRPr="00653BF6">
              <w:rPr>
                <w:color w:val="000000"/>
                <w:lang w:val="fr-FR"/>
              </w:rPr>
              <w:t>, IV) : jours 1 et 29</w:t>
            </w:r>
          </w:p>
          <w:p w14:paraId="266E9E80" w14:textId="79EEECBB" w:rsidR="00EF4CB3" w:rsidRPr="00653BF6" w:rsidRDefault="00EF4CB3" w:rsidP="007F23EE">
            <w:pPr>
              <w:pStyle w:val="EndnoteText"/>
              <w:rPr>
                <w:color w:val="000000"/>
                <w:lang w:val="fr-FR"/>
              </w:rPr>
            </w:pPr>
            <w:r w:rsidRPr="00653BF6">
              <w:rPr>
                <w:color w:val="000000"/>
                <w:lang w:val="fr-FR"/>
              </w:rPr>
              <w:t>DEX (6 mg/m</w:t>
            </w:r>
            <w:r w:rsidRPr="00653BF6">
              <w:rPr>
                <w:color w:val="000000"/>
                <w:vertAlign w:val="superscript"/>
                <w:lang w:val="fr-FR"/>
              </w:rPr>
              <w:t>2</w:t>
            </w:r>
            <w:r w:rsidRPr="00653BF6">
              <w:rPr>
                <w:color w:val="000000"/>
                <w:lang w:val="fr-FR"/>
              </w:rPr>
              <w:t>/jour PO) : jours 1</w:t>
            </w:r>
            <w:r w:rsidRPr="00653BF6">
              <w:rPr>
                <w:color w:val="000000"/>
                <w:lang w:val="fr-FR"/>
              </w:rPr>
              <w:noBreakHyphen/>
              <w:t>5</w:t>
            </w:r>
            <w:r w:rsidR="00AB5C43" w:rsidRPr="00653BF6">
              <w:rPr>
                <w:color w:val="000000"/>
                <w:lang w:val="fr-FR"/>
              </w:rPr>
              <w:t> </w:t>
            </w:r>
            <w:r w:rsidRPr="00653BF6">
              <w:rPr>
                <w:color w:val="000000"/>
                <w:lang w:val="fr-FR"/>
              </w:rPr>
              <w:t>; 29</w:t>
            </w:r>
            <w:r w:rsidRPr="00653BF6">
              <w:rPr>
                <w:color w:val="000000"/>
                <w:lang w:val="fr-FR"/>
              </w:rPr>
              <w:noBreakHyphen/>
              <w:t>33</w:t>
            </w:r>
          </w:p>
          <w:p w14:paraId="7CC36425" w14:textId="77777777" w:rsidR="00EF4CB3" w:rsidRPr="00653BF6" w:rsidRDefault="00EF4CB3" w:rsidP="007F23EE">
            <w:pPr>
              <w:pStyle w:val="EndnoteText"/>
              <w:rPr>
                <w:color w:val="000000"/>
                <w:lang w:val="fr-FR"/>
              </w:rPr>
            </w:pPr>
            <w:r w:rsidRPr="00653BF6">
              <w:rPr>
                <w:color w:val="000000"/>
                <w:lang w:val="fr-FR"/>
              </w:rPr>
              <w:t>6-MP (75 mg/m</w:t>
            </w:r>
            <w:r w:rsidRPr="00653BF6">
              <w:rPr>
                <w:color w:val="000000"/>
                <w:vertAlign w:val="superscript"/>
                <w:lang w:val="fr-FR"/>
              </w:rPr>
              <w:t>2</w:t>
            </w:r>
            <w:r w:rsidRPr="00653BF6">
              <w:rPr>
                <w:color w:val="000000"/>
                <w:lang w:val="fr-FR"/>
              </w:rPr>
              <w:t>/jour, PO) : jours 8-28</w:t>
            </w:r>
          </w:p>
          <w:p w14:paraId="6EE5E2DD" w14:textId="460635FE" w:rsidR="00EF4CB3" w:rsidRPr="00653BF6" w:rsidRDefault="00EF4CB3" w:rsidP="007F23EE">
            <w:pPr>
              <w:pStyle w:val="EndnoteText"/>
              <w:rPr>
                <w:color w:val="000000"/>
                <w:lang w:val="fr-FR"/>
              </w:rPr>
            </w:pPr>
            <w:r w:rsidRPr="00653BF6">
              <w:rPr>
                <w:color w:val="000000"/>
                <w:lang w:val="fr-FR"/>
              </w:rPr>
              <w:t>M</w:t>
            </w:r>
            <w:r w:rsidR="003A71E7" w:rsidRPr="00653BF6">
              <w:rPr>
                <w:color w:val="000000"/>
                <w:lang w:val="fr-FR"/>
              </w:rPr>
              <w:t>é</w:t>
            </w:r>
            <w:r w:rsidRPr="00653BF6">
              <w:rPr>
                <w:color w:val="000000"/>
                <w:lang w:val="fr-FR"/>
              </w:rPr>
              <w:t>thotrexate (20 mg/m</w:t>
            </w:r>
            <w:r w:rsidRPr="00653BF6">
              <w:rPr>
                <w:color w:val="000000"/>
                <w:vertAlign w:val="superscript"/>
                <w:lang w:val="fr-FR"/>
              </w:rPr>
              <w:t>2</w:t>
            </w:r>
            <w:r w:rsidRPr="00653BF6">
              <w:rPr>
                <w:color w:val="000000"/>
                <w:lang w:val="fr-FR"/>
              </w:rPr>
              <w:t>/semaine, PO) : jours 8, 15, 22</w:t>
            </w:r>
          </w:p>
          <w:p w14:paraId="043D2935" w14:textId="77777777" w:rsidR="00EF4CB3" w:rsidRPr="00653BF6" w:rsidRDefault="00EF4CB3" w:rsidP="007F23EE">
            <w:pPr>
              <w:pStyle w:val="EndnoteText"/>
              <w:rPr>
                <w:color w:val="000000"/>
                <w:lang w:val="fr-FR"/>
              </w:rPr>
            </w:pPr>
            <w:r w:rsidRPr="00653BF6">
              <w:rPr>
                <w:color w:val="000000"/>
                <w:lang w:val="fr-FR"/>
              </w:rPr>
              <w:t>VP-16 (100 mg/m</w:t>
            </w:r>
            <w:r w:rsidRPr="00653BF6">
              <w:rPr>
                <w:color w:val="000000"/>
                <w:vertAlign w:val="superscript"/>
                <w:lang w:val="fr-FR"/>
              </w:rPr>
              <w:t>2</w:t>
            </w:r>
            <w:r w:rsidRPr="00653BF6">
              <w:rPr>
                <w:color w:val="000000"/>
                <w:lang w:val="fr-FR"/>
              </w:rPr>
              <w:t>, IV) : jours 29</w:t>
            </w:r>
            <w:r w:rsidRPr="00653BF6">
              <w:rPr>
                <w:color w:val="000000"/>
                <w:lang w:val="fr-FR"/>
              </w:rPr>
              <w:noBreakHyphen/>
              <w:t>33</w:t>
            </w:r>
          </w:p>
          <w:p w14:paraId="39627F8A" w14:textId="77777777" w:rsidR="00EF4CB3" w:rsidRPr="00653BF6" w:rsidRDefault="00EF4CB3" w:rsidP="007F23EE">
            <w:pPr>
              <w:pStyle w:val="EndnoteText"/>
              <w:rPr>
                <w:color w:val="000000"/>
                <w:lang w:val="fr-FR"/>
              </w:rPr>
            </w:pPr>
            <w:r w:rsidRPr="00653BF6">
              <w:rPr>
                <w:color w:val="000000"/>
                <w:lang w:val="fr-FR"/>
              </w:rPr>
              <w:t>CPM (300 mg/m</w:t>
            </w:r>
            <w:r w:rsidRPr="00653BF6">
              <w:rPr>
                <w:color w:val="000000"/>
                <w:vertAlign w:val="superscript"/>
                <w:lang w:val="fr-FR"/>
              </w:rPr>
              <w:t>2</w:t>
            </w:r>
            <w:r w:rsidRPr="00653BF6">
              <w:rPr>
                <w:color w:val="000000"/>
                <w:lang w:val="fr-FR"/>
              </w:rPr>
              <w:t>, IV) : jours 29</w:t>
            </w:r>
            <w:r w:rsidRPr="00653BF6">
              <w:rPr>
                <w:color w:val="000000"/>
                <w:lang w:val="fr-FR"/>
              </w:rPr>
              <w:noBreakHyphen/>
              <w:t>33</w:t>
            </w:r>
          </w:p>
          <w:p w14:paraId="12C3AE32" w14:textId="77777777" w:rsidR="00EF4CB3" w:rsidRPr="00653BF6" w:rsidRDefault="00EF4CB3" w:rsidP="007F23EE">
            <w:pPr>
              <w:pStyle w:val="EndnoteText"/>
              <w:rPr>
                <w:color w:val="000000"/>
                <w:lang w:val="fr-FR"/>
              </w:rPr>
            </w:pPr>
            <w:r w:rsidRPr="00653BF6">
              <w:rPr>
                <w:color w:val="000000"/>
                <w:lang w:val="fr-FR"/>
              </w:rPr>
              <w:t>MESNA (IV) : jours 29</w:t>
            </w:r>
            <w:r w:rsidRPr="00653BF6">
              <w:rPr>
                <w:color w:val="000000"/>
                <w:lang w:val="fr-FR"/>
              </w:rPr>
              <w:noBreakHyphen/>
              <w:t>33</w:t>
            </w:r>
          </w:p>
          <w:p w14:paraId="77FE7E91" w14:textId="77777777" w:rsidR="00EF4CB3" w:rsidRPr="00653BF6" w:rsidRDefault="00EF4CB3" w:rsidP="007F23EE">
            <w:pPr>
              <w:pStyle w:val="EndnoteText"/>
              <w:rPr>
                <w:color w:val="000000"/>
                <w:lang w:val="fr-FR"/>
              </w:rPr>
            </w:pPr>
            <w:r w:rsidRPr="00653BF6">
              <w:rPr>
                <w:color w:val="000000"/>
                <w:lang w:val="fr-FR"/>
              </w:rPr>
              <w:t>G-CSF (5 μg/kg, SC) : jours 34</w:t>
            </w:r>
            <w:r w:rsidRPr="00653BF6">
              <w:rPr>
                <w:color w:val="000000"/>
                <w:lang w:val="fr-FR"/>
              </w:rPr>
              <w:noBreakHyphen/>
              <w:t>43</w:t>
            </w:r>
          </w:p>
        </w:tc>
      </w:tr>
      <w:tr w:rsidR="00EF4CB3" w:rsidRPr="00653BF6" w14:paraId="49DCD365" w14:textId="77777777" w:rsidTr="005205FF">
        <w:trPr>
          <w:cantSplit/>
          <w:trPrChange w:id="539" w:author="Author">
            <w:trPr>
              <w:cantSplit/>
            </w:trPr>
          </w:trPrChange>
        </w:trPr>
        <w:tc>
          <w:tcPr>
            <w:tcW w:w="2336" w:type="dxa"/>
            <w:tcPrChange w:id="540" w:author="Author">
              <w:tcPr>
                <w:tcW w:w="2358" w:type="dxa"/>
                <w:gridSpan w:val="2"/>
              </w:tcPr>
            </w:tcPrChange>
          </w:tcPr>
          <w:p w14:paraId="369E932F" w14:textId="77777777" w:rsidR="00EF4CB3" w:rsidRPr="00653BF6" w:rsidRDefault="00EF4CB3" w:rsidP="007F23EE">
            <w:pPr>
              <w:pStyle w:val="EndnoteText"/>
              <w:rPr>
                <w:color w:val="000000"/>
                <w:lang w:val="fr-FR"/>
              </w:rPr>
            </w:pPr>
            <w:r w:rsidRPr="00653BF6">
              <w:rPr>
                <w:color w:val="000000"/>
                <w:lang w:val="fr-FR"/>
              </w:rPr>
              <w:t>Maintenance (cycles de 8 semaines)</w:t>
            </w:r>
          </w:p>
          <w:p w14:paraId="7C813FEC" w14:textId="77777777" w:rsidR="00EF4CB3" w:rsidRPr="00653BF6" w:rsidRDefault="00EF4CB3" w:rsidP="007F23EE">
            <w:pPr>
              <w:pStyle w:val="EndnoteText"/>
              <w:rPr>
                <w:color w:val="000000"/>
                <w:lang w:val="fr-FR"/>
              </w:rPr>
            </w:pPr>
            <w:r w:rsidRPr="00653BF6">
              <w:rPr>
                <w:color w:val="000000"/>
                <w:lang w:val="fr-FR"/>
              </w:rPr>
              <w:t>Cycle 5</w:t>
            </w:r>
          </w:p>
        </w:tc>
        <w:tc>
          <w:tcPr>
            <w:tcW w:w="6724" w:type="dxa"/>
            <w:gridSpan w:val="2"/>
            <w:tcPrChange w:id="541" w:author="Author">
              <w:tcPr>
                <w:tcW w:w="6928" w:type="dxa"/>
                <w:gridSpan w:val="2"/>
              </w:tcPr>
            </w:tcPrChange>
          </w:tcPr>
          <w:p w14:paraId="057E3660" w14:textId="77777777" w:rsidR="00EF4CB3" w:rsidRPr="00653BF6" w:rsidRDefault="00EF4CB3" w:rsidP="007F23EE">
            <w:pPr>
              <w:pStyle w:val="EndnoteText"/>
              <w:rPr>
                <w:color w:val="000000"/>
                <w:lang w:val="fr-FR"/>
              </w:rPr>
            </w:pPr>
            <w:r w:rsidRPr="00653BF6">
              <w:rPr>
                <w:color w:val="000000"/>
                <w:lang w:val="fr-FR"/>
              </w:rPr>
              <w:t>Irradiation crânienne (cycle 5 uniquement)</w:t>
            </w:r>
          </w:p>
          <w:p w14:paraId="55F8BB3E" w14:textId="77777777" w:rsidR="00EF4CB3" w:rsidRPr="00653BF6" w:rsidRDefault="00EF4CB3" w:rsidP="007F23EE">
            <w:pPr>
              <w:pStyle w:val="EndnoteText"/>
              <w:rPr>
                <w:color w:val="000000"/>
                <w:lang w:val="fr-FR"/>
              </w:rPr>
            </w:pPr>
            <w:r w:rsidRPr="00653BF6">
              <w:rPr>
                <w:color w:val="000000"/>
                <w:lang w:val="fr-FR"/>
              </w:rPr>
              <w:t>12 Gy en 8 fractions pour tous les patients étant SNC1 et SNC2 au diagnostic</w:t>
            </w:r>
          </w:p>
          <w:p w14:paraId="42342678" w14:textId="77777777" w:rsidR="00EF4CB3" w:rsidRPr="00653BF6" w:rsidRDefault="00EF4CB3" w:rsidP="007F23EE">
            <w:pPr>
              <w:pStyle w:val="EndnoteText"/>
              <w:rPr>
                <w:color w:val="000000"/>
                <w:lang w:val="fr-FR"/>
              </w:rPr>
            </w:pPr>
            <w:r w:rsidRPr="00653BF6">
              <w:rPr>
                <w:color w:val="000000"/>
                <w:lang w:val="fr-FR"/>
              </w:rPr>
              <w:t>18 Gy en 10 fractions pour les patients étant SNC3 au diagnostic</w:t>
            </w:r>
          </w:p>
          <w:p w14:paraId="65B4A77A" w14:textId="77777777" w:rsidR="00EF4CB3" w:rsidRPr="00653BF6" w:rsidRDefault="00EF4CB3" w:rsidP="007F23EE">
            <w:pPr>
              <w:pStyle w:val="EndnoteText"/>
              <w:rPr>
                <w:color w:val="000000"/>
                <w:lang w:val="fr-FR"/>
              </w:rPr>
            </w:pPr>
            <w:r w:rsidRPr="00653BF6">
              <w:rPr>
                <w:color w:val="000000"/>
                <w:lang w:val="fr-FR"/>
              </w:rPr>
              <w:t>VCR (1,5 mg/m</w:t>
            </w:r>
            <w:r w:rsidRPr="00653BF6">
              <w:rPr>
                <w:color w:val="000000"/>
                <w:vertAlign w:val="superscript"/>
                <w:lang w:val="fr-FR"/>
              </w:rPr>
              <w:t>2</w:t>
            </w:r>
            <w:r w:rsidRPr="00653BF6">
              <w:rPr>
                <w:color w:val="000000"/>
                <w:lang w:val="fr-FR"/>
              </w:rPr>
              <w:t>/jour, IV) : jours 1, 29</w:t>
            </w:r>
          </w:p>
          <w:p w14:paraId="5E89E403" w14:textId="5A79F435" w:rsidR="00EF4CB3" w:rsidRPr="00653BF6" w:rsidRDefault="00EF4CB3" w:rsidP="007F23EE">
            <w:pPr>
              <w:pStyle w:val="EndnoteText"/>
              <w:rPr>
                <w:color w:val="000000"/>
                <w:lang w:val="fr-FR"/>
              </w:rPr>
            </w:pPr>
            <w:r w:rsidRPr="00653BF6">
              <w:rPr>
                <w:color w:val="000000"/>
                <w:lang w:val="fr-FR"/>
              </w:rPr>
              <w:t>DEX (6 mg/m</w:t>
            </w:r>
            <w:r w:rsidRPr="00653BF6">
              <w:rPr>
                <w:color w:val="000000"/>
                <w:vertAlign w:val="superscript"/>
                <w:lang w:val="fr-FR"/>
              </w:rPr>
              <w:t>2</w:t>
            </w:r>
            <w:r w:rsidRPr="00653BF6">
              <w:rPr>
                <w:color w:val="000000"/>
                <w:lang w:val="fr-FR"/>
              </w:rPr>
              <w:t>/jour, PO) : jours 1</w:t>
            </w:r>
            <w:r w:rsidRPr="00653BF6">
              <w:rPr>
                <w:color w:val="000000"/>
                <w:lang w:val="fr-FR"/>
              </w:rPr>
              <w:noBreakHyphen/>
              <w:t>5</w:t>
            </w:r>
            <w:r w:rsidR="00AB5C43" w:rsidRPr="00653BF6">
              <w:rPr>
                <w:color w:val="000000"/>
                <w:lang w:val="fr-FR"/>
              </w:rPr>
              <w:t> </w:t>
            </w:r>
            <w:r w:rsidRPr="00653BF6">
              <w:rPr>
                <w:color w:val="000000"/>
                <w:lang w:val="fr-FR"/>
              </w:rPr>
              <w:t>; 29</w:t>
            </w:r>
            <w:r w:rsidRPr="00653BF6">
              <w:rPr>
                <w:color w:val="000000"/>
                <w:lang w:val="fr-FR"/>
              </w:rPr>
              <w:noBreakHyphen/>
              <w:t>33</w:t>
            </w:r>
          </w:p>
          <w:p w14:paraId="6AFD281F" w14:textId="77777777" w:rsidR="00EF4CB3" w:rsidRPr="00653BF6" w:rsidRDefault="00EF4CB3" w:rsidP="007F23EE">
            <w:pPr>
              <w:pStyle w:val="EndnoteText"/>
              <w:rPr>
                <w:color w:val="000000"/>
                <w:lang w:val="fr-FR"/>
              </w:rPr>
            </w:pPr>
            <w:r w:rsidRPr="00653BF6">
              <w:rPr>
                <w:color w:val="000000"/>
                <w:lang w:val="fr-FR"/>
              </w:rPr>
              <w:t>6-MP (75 mg/m</w:t>
            </w:r>
            <w:r w:rsidRPr="00653BF6">
              <w:rPr>
                <w:color w:val="000000"/>
                <w:vertAlign w:val="superscript"/>
                <w:lang w:val="fr-FR"/>
              </w:rPr>
              <w:t>2</w:t>
            </w:r>
            <w:r w:rsidRPr="00653BF6">
              <w:rPr>
                <w:color w:val="000000"/>
                <w:lang w:val="fr-FR"/>
              </w:rPr>
              <w:t>/jour, PO) : jours 11</w:t>
            </w:r>
            <w:r w:rsidRPr="00653BF6">
              <w:rPr>
                <w:color w:val="000000"/>
                <w:lang w:val="fr-FR"/>
              </w:rPr>
              <w:noBreakHyphen/>
              <w:t>56 (suspendre le 6-MP durant les jours 6</w:t>
            </w:r>
            <w:r w:rsidRPr="00653BF6">
              <w:rPr>
                <w:color w:val="000000"/>
                <w:lang w:val="fr-FR"/>
              </w:rPr>
              <w:noBreakHyphen/>
              <w:t>10 de l’irradiation crânienne commençant le jour 1 du cycle 5. Commencer le 6-MP le 1er jour après la fin de l’irradiation crânienne.)</w:t>
            </w:r>
          </w:p>
          <w:p w14:paraId="0CF90FB9" w14:textId="7752250A" w:rsidR="00EF4CB3" w:rsidRPr="00653BF6" w:rsidRDefault="00EF4CB3" w:rsidP="007F23EE">
            <w:pPr>
              <w:pStyle w:val="EndnoteText"/>
              <w:rPr>
                <w:color w:val="000000"/>
                <w:lang w:val="fr-FR"/>
              </w:rPr>
            </w:pPr>
            <w:r w:rsidRPr="00653BF6">
              <w:rPr>
                <w:color w:val="000000"/>
                <w:lang w:val="fr-FR"/>
              </w:rPr>
              <w:t>M</w:t>
            </w:r>
            <w:r w:rsidR="003A71E7" w:rsidRPr="00653BF6">
              <w:rPr>
                <w:color w:val="000000"/>
                <w:lang w:val="fr-FR"/>
              </w:rPr>
              <w:t>é</w:t>
            </w:r>
            <w:r w:rsidRPr="00653BF6">
              <w:rPr>
                <w:color w:val="000000"/>
                <w:lang w:val="fr-FR"/>
              </w:rPr>
              <w:t>thotrexate (20 mg/m</w:t>
            </w:r>
            <w:r w:rsidRPr="00653BF6">
              <w:rPr>
                <w:color w:val="000000"/>
                <w:vertAlign w:val="superscript"/>
                <w:lang w:val="fr-FR"/>
              </w:rPr>
              <w:t>2</w:t>
            </w:r>
            <w:r w:rsidRPr="00653BF6">
              <w:rPr>
                <w:color w:val="000000"/>
                <w:lang w:val="fr-FR"/>
              </w:rPr>
              <w:t>/semaine, PO) : jours 8, 15, 22, 29, 36, 43, 50</w:t>
            </w:r>
          </w:p>
        </w:tc>
      </w:tr>
      <w:tr w:rsidR="00EF4CB3" w:rsidRPr="00653BF6" w14:paraId="5A8AC05F" w14:textId="77777777" w:rsidTr="005205FF">
        <w:trPr>
          <w:cantSplit/>
          <w:trPrChange w:id="542" w:author="Author">
            <w:trPr>
              <w:cantSplit/>
            </w:trPr>
          </w:trPrChange>
        </w:trPr>
        <w:tc>
          <w:tcPr>
            <w:tcW w:w="2336" w:type="dxa"/>
            <w:tcPrChange w:id="543" w:author="Author">
              <w:tcPr>
                <w:tcW w:w="2358" w:type="dxa"/>
                <w:gridSpan w:val="2"/>
              </w:tcPr>
            </w:tcPrChange>
          </w:tcPr>
          <w:p w14:paraId="37A6A375" w14:textId="77777777" w:rsidR="00EF4CB3" w:rsidRPr="00653BF6" w:rsidRDefault="00EF4CB3" w:rsidP="007F23EE">
            <w:pPr>
              <w:pStyle w:val="EndnoteText"/>
              <w:keepNext/>
              <w:rPr>
                <w:color w:val="000000"/>
                <w:lang w:val="fr-FR"/>
              </w:rPr>
            </w:pPr>
            <w:r w:rsidRPr="00653BF6">
              <w:rPr>
                <w:color w:val="000000"/>
                <w:lang w:val="fr-FR"/>
              </w:rPr>
              <w:t>Maintenance (cycles de 8 semaines)</w:t>
            </w:r>
          </w:p>
          <w:p w14:paraId="0ED98A36" w14:textId="77777777" w:rsidR="00EF4CB3" w:rsidRPr="00653BF6" w:rsidRDefault="00EF4CB3" w:rsidP="007F23EE">
            <w:pPr>
              <w:pStyle w:val="EndnoteText"/>
              <w:keepNext/>
              <w:rPr>
                <w:color w:val="000000"/>
                <w:lang w:val="fr-FR"/>
              </w:rPr>
            </w:pPr>
            <w:r w:rsidRPr="00653BF6">
              <w:rPr>
                <w:color w:val="000000"/>
                <w:lang w:val="fr-FR"/>
              </w:rPr>
              <w:t>Cycles 6</w:t>
            </w:r>
            <w:r w:rsidRPr="00653BF6">
              <w:rPr>
                <w:color w:val="000000"/>
                <w:lang w:val="fr-FR"/>
              </w:rPr>
              <w:noBreakHyphen/>
              <w:t>12</w:t>
            </w:r>
          </w:p>
        </w:tc>
        <w:tc>
          <w:tcPr>
            <w:tcW w:w="6724" w:type="dxa"/>
            <w:gridSpan w:val="2"/>
            <w:tcPrChange w:id="544" w:author="Author">
              <w:tcPr>
                <w:tcW w:w="6928" w:type="dxa"/>
                <w:gridSpan w:val="2"/>
              </w:tcPr>
            </w:tcPrChange>
          </w:tcPr>
          <w:p w14:paraId="4A97F0C4" w14:textId="77777777" w:rsidR="00EF4CB3" w:rsidRPr="00653BF6" w:rsidRDefault="00EF4CB3" w:rsidP="007F23EE">
            <w:pPr>
              <w:pStyle w:val="EndnoteText"/>
              <w:keepNext/>
              <w:rPr>
                <w:color w:val="000000"/>
                <w:lang w:val="fr-FR"/>
              </w:rPr>
            </w:pPr>
            <w:r w:rsidRPr="00653BF6">
              <w:rPr>
                <w:color w:val="000000"/>
                <w:lang w:val="fr-FR"/>
              </w:rPr>
              <w:t>VCR (1,5 mg/m</w:t>
            </w:r>
            <w:r w:rsidRPr="00653BF6">
              <w:rPr>
                <w:color w:val="000000"/>
                <w:vertAlign w:val="superscript"/>
                <w:lang w:val="fr-FR"/>
              </w:rPr>
              <w:t>2</w:t>
            </w:r>
            <w:r w:rsidRPr="00653BF6">
              <w:rPr>
                <w:color w:val="000000"/>
                <w:lang w:val="fr-FR"/>
              </w:rPr>
              <w:t>/jour, IV) : jours 1 et 29</w:t>
            </w:r>
          </w:p>
          <w:p w14:paraId="41FC5D0E" w14:textId="42F62D6C" w:rsidR="00EF4CB3" w:rsidRPr="00653BF6" w:rsidRDefault="00EF4CB3" w:rsidP="007F23EE">
            <w:pPr>
              <w:pStyle w:val="EndnoteText"/>
              <w:keepNext/>
              <w:rPr>
                <w:color w:val="000000"/>
                <w:lang w:val="fr-FR"/>
              </w:rPr>
            </w:pPr>
            <w:r w:rsidRPr="00653BF6">
              <w:rPr>
                <w:color w:val="000000"/>
                <w:lang w:val="fr-FR"/>
              </w:rPr>
              <w:t>DEX (6 mg/m</w:t>
            </w:r>
            <w:r w:rsidRPr="00653BF6">
              <w:rPr>
                <w:color w:val="000000"/>
                <w:vertAlign w:val="superscript"/>
                <w:lang w:val="fr-FR"/>
              </w:rPr>
              <w:t>2</w:t>
            </w:r>
            <w:r w:rsidRPr="00653BF6">
              <w:rPr>
                <w:color w:val="000000"/>
                <w:lang w:val="fr-FR"/>
              </w:rPr>
              <w:t>/jour, PO) : jours 1</w:t>
            </w:r>
            <w:r w:rsidRPr="00653BF6">
              <w:rPr>
                <w:color w:val="000000"/>
                <w:lang w:val="fr-FR"/>
              </w:rPr>
              <w:noBreakHyphen/>
              <w:t>5</w:t>
            </w:r>
            <w:r w:rsidR="00AB5C43" w:rsidRPr="00653BF6">
              <w:rPr>
                <w:color w:val="000000"/>
                <w:lang w:val="fr-FR"/>
              </w:rPr>
              <w:t> </w:t>
            </w:r>
            <w:r w:rsidRPr="00653BF6">
              <w:rPr>
                <w:color w:val="000000"/>
                <w:lang w:val="fr-FR"/>
              </w:rPr>
              <w:t>; 29</w:t>
            </w:r>
            <w:r w:rsidRPr="00653BF6">
              <w:rPr>
                <w:color w:val="000000"/>
                <w:lang w:val="fr-FR"/>
              </w:rPr>
              <w:noBreakHyphen/>
              <w:t>33</w:t>
            </w:r>
          </w:p>
          <w:p w14:paraId="098AB15D" w14:textId="77777777" w:rsidR="00EF4CB3" w:rsidRPr="00653BF6" w:rsidRDefault="00EF4CB3" w:rsidP="007F23EE">
            <w:pPr>
              <w:pStyle w:val="EndnoteText"/>
              <w:keepNext/>
              <w:rPr>
                <w:color w:val="000000"/>
                <w:lang w:val="fr-FR"/>
              </w:rPr>
            </w:pPr>
            <w:r w:rsidRPr="00653BF6">
              <w:rPr>
                <w:color w:val="000000"/>
                <w:lang w:val="fr-FR"/>
              </w:rPr>
              <w:t>6-MP (75 mg/m</w:t>
            </w:r>
            <w:r w:rsidRPr="00653BF6">
              <w:rPr>
                <w:color w:val="000000"/>
                <w:vertAlign w:val="superscript"/>
                <w:lang w:val="fr-FR"/>
              </w:rPr>
              <w:t>2</w:t>
            </w:r>
            <w:r w:rsidRPr="00653BF6">
              <w:rPr>
                <w:color w:val="000000"/>
                <w:lang w:val="fr-FR"/>
              </w:rPr>
              <w:t>/jour, PO) : jours 1</w:t>
            </w:r>
            <w:r w:rsidRPr="00653BF6">
              <w:rPr>
                <w:color w:val="000000"/>
                <w:lang w:val="fr-FR"/>
              </w:rPr>
              <w:noBreakHyphen/>
              <w:t>56</w:t>
            </w:r>
          </w:p>
          <w:p w14:paraId="28C2F702" w14:textId="2563F3AF" w:rsidR="00EF4CB3" w:rsidRPr="00653BF6" w:rsidRDefault="00EF4CB3" w:rsidP="007F23EE">
            <w:pPr>
              <w:pStyle w:val="EndnoteText"/>
              <w:keepNext/>
              <w:rPr>
                <w:color w:val="000000"/>
                <w:lang w:val="fr-FR"/>
              </w:rPr>
            </w:pPr>
            <w:r w:rsidRPr="00653BF6">
              <w:rPr>
                <w:color w:val="000000"/>
                <w:lang w:val="fr-FR"/>
              </w:rPr>
              <w:t>M</w:t>
            </w:r>
            <w:r w:rsidR="003A71E7" w:rsidRPr="00653BF6">
              <w:rPr>
                <w:color w:val="000000"/>
                <w:lang w:val="fr-FR"/>
              </w:rPr>
              <w:t>é</w:t>
            </w:r>
            <w:r w:rsidRPr="00653BF6">
              <w:rPr>
                <w:color w:val="000000"/>
                <w:lang w:val="fr-FR"/>
              </w:rPr>
              <w:t>thotrexate (20 mg/m</w:t>
            </w:r>
            <w:r w:rsidRPr="00653BF6">
              <w:rPr>
                <w:color w:val="000000"/>
                <w:vertAlign w:val="superscript"/>
                <w:lang w:val="fr-FR"/>
              </w:rPr>
              <w:t>2</w:t>
            </w:r>
            <w:r w:rsidRPr="00653BF6">
              <w:rPr>
                <w:color w:val="000000"/>
                <w:lang w:val="fr-FR"/>
              </w:rPr>
              <w:t>/semaine, PO) : jours 1, 8, 15, 22, 29, 36, 43, 50</w:t>
            </w:r>
          </w:p>
        </w:tc>
      </w:tr>
      <w:tr w:rsidR="00A66FF1" w:rsidRPr="00653BF6" w14:paraId="48CE3623" w14:textId="77777777" w:rsidTr="008365C6">
        <w:trPr>
          <w:gridAfter w:val="1"/>
          <w:wAfter w:w="44" w:type="dxa"/>
          <w:cantSplit/>
          <w:ins w:id="545" w:author="Author"/>
        </w:trPr>
        <w:tc>
          <w:tcPr>
            <w:tcW w:w="9060" w:type="dxa"/>
            <w:gridSpan w:val="2"/>
          </w:tcPr>
          <w:p w14:paraId="0BC96902" w14:textId="5A04FDFD" w:rsidR="00A66FF1" w:rsidRPr="00653BF6" w:rsidRDefault="00A66FF1" w:rsidP="007F23EE">
            <w:pPr>
              <w:pStyle w:val="EndnoteText"/>
              <w:keepLines/>
              <w:rPr>
                <w:ins w:id="546" w:author="Author"/>
                <w:color w:val="000000"/>
                <w:szCs w:val="22"/>
                <w:lang w:val="fr-FR"/>
              </w:rPr>
            </w:pPr>
            <w:ins w:id="547" w:author="Author">
              <w:r w:rsidRPr="00653BF6">
                <w:rPr>
                  <w:color w:val="000000"/>
                  <w:sz w:val="20"/>
                  <w:lang w:val="fr-FR"/>
                </w:rPr>
                <w:t xml:space="preserve">G-CSF= </w:t>
              </w:r>
              <w:r w:rsidRPr="00653BF6">
                <w:rPr>
                  <w:i/>
                  <w:iCs/>
                  <w:color w:val="000000"/>
                  <w:sz w:val="20"/>
                  <w:lang w:val="fr-FR"/>
                </w:rPr>
                <w:t xml:space="preserve">granulocyte </w:t>
              </w:r>
              <w:proofErr w:type="spellStart"/>
              <w:r w:rsidRPr="00653BF6">
                <w:rPr>
                  <w:i/>
                  <w:iCs/>
                  <w:color w:val="000000"/>
                  <w:sz w:val="20"/>
                  <w:lang w:val="fr-FR"/>
                </w:rPr>
                <w:t>colony</w:t>
              </w:r>
              <w:proofErr w:type="spellEnd"/>
              <w:r w:rsidRPr="00653BF6">
                <w:rPr>
                  <w:i/>
                  <w:iCs/>
                  <w:color w:val="000000"/>
                  <w:sz w:val="20"/>
                  <w:lang w:val="fr-FR"/>
                </w:rPr>
                <w:t xml:space="preserve"> </w:t>
              </w:r>
              <w:proofErr w:type="spellStart"/>
              <w:r w:rsidRPr="00653BF6">
                <w:rPr>
                  <w:i/>
                  <w:iCs/>
                  <w:color w:val="000000"/>
                  <w:sz w:val="20"/>
                  <w:lang w:val="fr-FR"/>
                </w:rPr>
                <w:t>stimulating</w:t>
              </w:r>
              <w:proofErr w:type="spellEnd"/>
              <w:r w:rsidRPr="00653BF6">
                <w:rPr>
                  <w:i/>
                  <w:iCs/>
                  <w:color w:val="000000"/>
                  <w:sz w:val="20"/>
                  <w:lang w:val="fr-FR"/>
                </w:rPr>
                <w:t xml:space="preserve"> factor</w:t>
              </w:r>
              <w:r w:rsidRPr="00653BF6">
                <w:rPr>
                  <w:color w:val="000000"/>
                  <w:sz w:val="20"/>
                  <w:lang w:val="fr-FR"/>
                </w:rPr>
                <w:t xml:space="preserve">, VP-16 = </w:t>
              </w:r>
              <w:proofErr w:type="spellStart"/>
              <w:r w:rsidRPr="00653BF6">
                <w:rPr>
                  <w:color w:val="000000"/>
                  <w:sz w:val="20"/>
                  <w:lang w:val="fr-FR"/>
                </w:rPr>
                <w:t>étoposide</w:t>
              </w:r>
              <w:proofErr w:type="spellEnd"/>
              <w:r w:rsidRPr="00653BF6">
                <w:rPr>
                  <w:color w:val="000000"/>
                  <w:sz w:val="20"/>
                  <w:lang w:val="fr-FR"/>
                </w:rPr>
                <w:t xml:space="preserve">, MTX = méthotrexate, IV = intraveineux, SC = sous-cutané, IT = intrathécale, PO = </w:t>
              </w:r>
              <w:r w:rsidRPr="00653BF6">
                <w:rPr>
                  <w:i/>
                  <w:color w:val="000000"/>
                  <w:sz w:val="20"/>
                  <w:lang w:val="fr-FR"/>
                </w:rPr>
                <w:t>per os</w:t>
              </w:r>
              <w:r w:rsidRPr="00653BF6">
                <w:rPr>
                  <w:color w:val="000000"/>
                  <w:sz w:val="20"/>
                  <w:lang w:val="fr-FR"/>
                </w:rPr>
                <w:t xml:space="preserve">, IM = intramusculaire, ARA-C = cytarabine, CPM = cyclophosphamide, VCR = vincristine, DEX = dexaméthasone, DAUN = </w:t>
              </w:r>
              <w:proofErr w:type="spellStart"/>
              <w:r w:rsidRPr="00653BF6">
                <w:rPr>
                  <w:color w:val="000000"/>
                  <w:sz w:val="20"/>
                  <w:lang w:val="fr-FR"/>
                </w:rPr>
                <w:t>daunorubicine</w:t>
              </w:r>
              <w:proofErr w:type="spellEnd"/>
              <w:r w:rsidRPr="00653BF6">
                <w:rPr>
                  <w:color w:val="000000"/>
                  <w:sz w:val="20"/>
                  <w:lang w:val="fr-FR"/>
                </w:rPr>
                <w:t xml:space="preserve">, 6-MP = 6-mercaptopurine, E. coli L-ASP = </w:t>
              </w:r>
              <w:proofErr w:type="spellStart"/>
              <w:r w:rsidRPr="00653BF6">
                <w:rPr>
                  <w:color w:val="000000"/>
                  <w:sz w:val="20"/>
                  <w:lang w:val="fr-FR"/>
                </w:rPr>
                <w:t>L-asparaginase</w:t>
              </w:r>
              <w:proofErr w:type="spellEnd"/>
              <w:r w:rsidRPr="00653BF6">
                <w:rPr>
                  <w:color w:val="000000"/>
                  <w:sz w:val="20"/>
                  <w:lang w:val="fr-FR"/>
                </w:rPr>
                <w:t xml:space="preserve">, PEG-ASP = asparaginase </w:t>
              </w:r>
              <w:proofErr w:type="spellStart"/>
              <w:r w:rsidRPr="00653BF6">
                <w:rPr>
                  <w:color w:val="000000"/>
                  <w:sz w:val="20"/>
                  <w:lang w:val="fr-FR"/>
                </w:rPr>
                <w:t>pégylée</w:t>
              </w:r>
              <w:proofErr w:type="spellEnd"/>
              <w:r w:rsidRPr="00653BF6">
                <w:rPr>
                  <w:color w:val="000000"/>
                  <w:sz w:val="20"/>
                  <w:lang w:val="fr-FR"/>
                </w:rPr>
                <w:t>, MESNA = 3-mercaptoéthane sulfonate sodium, iii = ou jusqu’à ce que le taux de méthotrexate soit &lt; 0,1 µM, Gy = Gray.</w:t>
              </w:r>
            </w:ins>
          </w:p>
        </w:tc>
      </w:tr>
    </w:tbl>
    <w:p w14:paraId="1802E2A4" w14:textId="2150867D" w:rsidR="00EF4CB3" w:rsidRPr="00653BF6" w:rsidDel="00A66FF1" w:rsidRDefault="00EF4CB3" w:rsidP="007F23EE">
      <w:pPr>
        <w:pStyle w:val="EndnoteText"/>
        <w:keepLines/>
        <w:rPr>
          <w:del w:id="548" w:author="Author"/>
          <w:color w:val="000000"/>
          <w:szCs w:val="22"/>
          <w:lang w:val="fr-FR"/>
        </w:rPr>
      </w:pPr>
      <w:del w:id="549" w:author="Author">
        <w:r w:rsidRPr="00653BF6" w:rsidDel="00A66FF1">
          <w:rPr>
            <w:color w:val="000000"/>
            <w:szCs w:val="22"/>
            <w:lang w:val="fr-FR"/>
          </w:rPr>
          <w:delText xml:space="preserve">G-CSF= </w:delText>
        </w:r>
        <w:r w:rsidRPr="00653BF6" w:rsidDel="00A66FF1">
          <w:rPr>
            <w:i/>
            <w:iCs/>
            <w:color w:val="000000"/>
            <w:szCs w:val="22"/>
            <w:lang w:val="fr-FR"/>
          </w:rPr>
          <w:delText>granulocyte colony stimulating factor</w:delText>
        </w:r>
        <w:r w:rsidRPr="00653BF6" w:rsidDel="00A66FF1">
          <w:rPr>
            <w:color w:val="000000"/>
            <w:szCs w:val="22"/>
            <w:lang w:val="fr-FR"/>
          </w:rPr>
          <w:delText>, VP-16 = étoposide, MTX = méthotrexate, IV = intraveineux, SC = sous-cutané, IT = intrathécal</w:delText>
        </w:r>
        <w:r w:rsidR="003A71E7" w:rsidRPr="00653BF6" w:rsidDel="00A66FF1">
          <w:rPr>
            <w:color w:val="000000"/>
            <w:szCs w:val="22"/>
            <w:lang w:val="fr-FR"/>
          </w:rPr>
          <w:delText>e</w:delText>
        </w:r>
        <w:r w:rsidRPr="00653BF6" w:rsidDel="00A66FF1">
          <w:rPr>
            <w:color w:val="000000"/>
            <w:szCs w:val="22"/>
            <w:lang w:val="fr-FR"/>
          </w:rPr>
          <w:delText xml:space="preserve">, PO = </w:delText>
        </w:r>
        <w:r w:rsidRPr="00653BF6" w:rsidDel="00A66FF1">
          <w:rPr>
            <w:i/>
            <w:color w:val="000000"/>
            <w:szCs w:val="22"/>
            <w:lang w:val="fr-FR"/>
          </w:rPr>
          <w:delText>per os</w:delText>
        </w:r>
        <w:r w:rsidRPr="00653BF6" w:rsidDel="00A66FF1">
          <w:rPr>
            <w:color w:val="000000"/>
            <w:szCs w:val="22"/>
            <w:lang w:val="fr-FR"/>
          </w:rPr>
          <w:delText>, IM = intramusculaire, ARA-C = cytarabine, CPM = cyclophosphamide, VCR = vincristine, DEX = dexaméthasone, DAUN = daunorubicine, 6-MP = 6-mercaptopurine, E.</w:delText>
        </w:r>
        <w:r w:rsidR="003A71E7" w:rsidRPr="00653BF6" w:rsidDel="00A66FF1">
          <w:rPr>
            <w:color w:val="000000"/>
            <w:szCs w:val="22"/>
            <w:lang w:val="fr-FR"/>
          </w:rPr>
          <w:delText xml:space="preserve"> </w:delText>
        </w:r>
        <w:r w:rsidRPr="00653BF6" w:rsidDel="00A66FF1">
          <w:rPr>
            <w:color w:val="000000"/>
            <w:szCs w:val="22"/>
            <w:lang w:val="fr-FR"/>
          </w:rPr>
          <w:delText>coli L-ASP = L-asparaginase, PEG-ASP = asparaginase pégylée, MESNA = 3-mercaptoéthane sulfonate sodium, iii = ou jusqu’à ce que le taux de méthotr</w:delText>
        </w:r>
        <w:r w:rsidR="003A71E7" w:rsidRPr="00653BF6" w:rsidDel="00A66FF1">
          <w:rPr>
            <w:color w:val="000000"/>
            <w:szCs w:val="22"/>
            <w:lang w:val="fr-FR"/>
          </w:rPr>
          <w:delText>e</w:delText>
        </w:r>
        <w:r w:rsidRPr="00653BF6" w:rsidDel="00A66FF1">
          <w:rPr>
            <w:color w:val="000000"/>
            <w:szCs w:val="22"/>
            <w:lang w:val="fr-FR"/>
          </w:rPr>
          <w:delText>xate soit &lt; 0,1 µM, Gy = Gray.</w:delText>
        </w:r>
      </w:del>
    </w:p>
    <w:p w14:paraId="41BD7728" w14:textId="77777777" w:rsidR="00EF4CB3" w:rsidRPr="00653BF6" w:rsidRDefault="00EF4CB3" w:rsidP="007F23EE">
      <w:pPr>
        <w:pStyle w:val="EndnoteText"/>
        <w:rPr>
          <w:color w:val="000000"/>
          <w:szCs w:val="22"/>
          <w:lang w:val="fr-FR"/>
        </w:rPr>
      </w:pPr>
    </w:p>
    <w:p w14:paraId="1C91219C" w14:textId="77777777" w:rsidR="00EF4CB3" w:rsidRPr="00653BF6" w:rsidRDefault="00EF4CB3" w:rsidP="007F23EE">
      <w:pPr>
        <w:pStyle w:val="EndnoteText"/>
        <w:rPr>
          <w:color w:val="000000"/>
          <w:szCs w:val="22"/>
          <w:lang w:val="fr-FR"/>
        </w:rPr>
      </w:pPr>
      <w:r w:rsidRPr="00653BF6">
        <w:rPr>
          <w:color w:val="000000"/>
          <w:szCs w:val="22"/>
          <w:lang w:val="fr-FR"/>
        </w:rPr>
        <w:t>L’étude AIT07 était une étude de phase II/III multicentrique, en ouvert, randomisée qui a inclus 128 patients (de 1 à moins de 18 ans) traités avec l’imatinib en association à la chimiothérapie. Les données de tolérance de cette étude semblent correspondre au profil de tolérance de l’imatinib chez les patients atteints de LAL Ph+.</w:t>
      </w:r>
    </w:p>
    <w:p w14:paraId="06C31C9E" w14:textId="77777777" w:rsidR="00EF4CB3" w:rsidRPr="00653BF6" w:rsidRDefault="00EF4CB3" w:rsidP="007F23EE">
      <w:pPr>
        <w:pStyle w:val="EndnoteText"/>
        <w:rPr>
          <w:color w:val="000000"/>
          <w:szCs w:val="22"/>
          <w:lang w:val="fr-FR"/>
        </w:rPr>
      </w:pPr>
    </w:p>
    <w:p w14:paraId="7984204C" w14:textId="13A09A53" w:rsidR="0028607D" w:rsidRPr="00653BF6" w:rsidRDefault="00EF4CB3" w:rsidP="007F23EE">
      <w:pPr>
        <w:pStyle w:val="EndnoteText"/>
        <w:keepNext/>
        <w:tabs>
          <w:tab w:val="clear" w:pos="567"/>
        </w:tabs>
        <w:rPr>
          <w:i/>
          <w:color w:val="000000"/>
          <w:szCs w:val="22"/>
          <w:u w:val="single"/>
          <w:lang w:val="fr-FR"/>
        </w:rPr>
      </w:pPr>
      <w:r w:rsidRPr="00653BF6">
        <w:rPr>
          <w:i/>
          <w:color w:val="000000"/>
          <w:szCs w:val="22"/>
          <w:u w:val="single"/>
          <w:lang w:val="fr-FR"/>
        </w:rPr>
        <w:t>LAL Ph+ en rechute ou réfractaire</w:t>
      </w:r>
    </w:p>
    <w:p w14:paraId="062D7CB2" w14:textId="7EB17937" w:rsidR="00EF4CB3" w:rsidRPr="00653BF6" w:rsidRDefault="00EF4CB3" w:rsidP="007F23EE">
      <w:pPr>
        <w:pStyle w:val="EndnoteText"/>
        <w:tabs>
          <w:tab w:val="clear" w:pos="567"/>
        </w:tabs>
        <w:rPr>
          <w:color w:val="000000"/>
          <w:szCs w:val="22"/>
          <w:lang w:val="fr-FR"/>
        </w:rPr>
      </w:pPr>
      <w:r w:rsidRPr="00653BF6">
        <w:rPr>
          <w:color w:val="000000"/>
          <w:szCs w:val="22"/>
          <w:lang w:val="fr-FR"/>
        </w:rPr>
        <w:t>Lorsque l’imatinib a été utilisé en monothérapie chez des patients atteints de LAL Ph+ en rechute ou réfractaire, il a été observé un taux de réponse hématologique de 30% (9% réponse complète) et un taux de réponse cytogénétique majeure de 23% parmi les 53 patients évaluables pour la réponse sur un effectif total de 411 patients. (A noter que sur ces 411 patients, 353 avaient été traités dans le cadre d’un programme d’accès élargi au cours duquel la réponse primaire n’était pas collectée). La durée médiane jusqu’à la progression de la maladie dans la population globale de 411 patients atteints de LAL Ph+ en rechute ou réfractaire était de 2,6 à 3,1 mois, avec une médiane de survie globale allant de 4,9 à 9 mois chez 401 patients évaluables. Les données étaient identiques lorsque l’analyse a été de nouveau réalisée en prenant en compte uniquement les patients âgés de 55 ans et plus.</w:t>
      </w:r>
    </w:p>
    <w:p w14:paraId="1A155AFC" w14:textId="77777777" w:rsidR="00EF4CB3" w:rsidRPr="00653BF6" w:rsidRDefault="00EF4CB3" w:rsidP="007F23EE">
      <w:pPr>
        <w:pStyle w:val="EndnoteText"/>
        <w:rPr>
          <w:color w:val="000000"/>
          <w:szCs w:val="22"/>
          <w:lang w:val="fr-FR"/>
        </w:rPr>
      </w:pPr>
    </w:p>
    <w:p w14:paraId="4050305E" w14:textId="56534B0B" w:rsidR="00EF4CB3" w:rsidRPr="00653BF6" w:rsidRDefault="00EF4CB3" w:rsidP="007F23EE">
      <w:pPr>
        <w:pStyle w:val="EndnoteText"/>
        <w:keepNext/>
        <w:tabs>
          <w:tab w:val="clear" w:pos="567"/>
        </w:tabs>
        <w:rPr>
          <w:color w:val="000000"/>
          <w:szCs w:val="22"/>
          <w:u w:val="single"/>
          <w:lang w:val="fr-FR"/>
        </w:rPr>
      </w:pPr>
      <w:r w:rsidRPr="00653BF6">
        <w:rPr>
          <w:color w:val="000000"/>
          <w:szCs w:val="22"/>
          <w:u w:val="single"/>
          <w:lang w:val="fr-FR"/>
        </w:rPr>
        <w:t xml:space="preserve">Etudes cliniques dans les </w:t>
      </w:r>
      <w:smartTag w:uri="urn:schemas-microsoft-com:office:smarttags" w:element="stockticker">
        <w:r w:rsidRPr="00653BF6">
          <w:rPr>
            <w:color w:val="000000"/>
            <w:szCs w:val="22"/>
            <w:u w:val="single"/>
            <w:lang w:val="fr-FR"/>
          </w:rPr>
          <w:t>SMD</w:t>
        </w:r>
      </w:smartTag>
      <w:r w:rsidRPr="00653BF6">
        <w:rPr>
          <w:color w:val="000000"/>
          <w:szCs w:val="22"/>
          <w:u w:val="single"/>
          <w:lang w:val="fr-FR"/>
        </w:rPr>
        <w:t>/</w:t>
      </w:r>
      <w:smartTag w:uri="urn:schemas-microsoft-com:office:smarttags" w:element="stockticker">
        <w:r w:rsidRPr="00653BF6">
          <w:rPr>
            <w:color w:val="000000"/>
            <w:szCs w:val="22"/>
            <w:u w:val="single"/>
            <w:lang w:val="fr-FR"/>
          </w:rPr>
          <w:t>SMP</w:t>
        </w:r>
      </w:smartTag>
    </w:p>
    <w:p w14:paraId="5472B70B" w14:textId="77777777" w:rsidR="0028607D" w:rsidRPr="00653BF6" w:rsidRDefault="0028607D" w:rsidP="007F23EE">
      <w:pPr>
        <w:pStyle w:val="EndnoteText"/>
        <w:keepNext/>
        <w:tabs>
          <w:tab w:val="clear" w:pos="567"/>
        </w:tabs>
        <w:rPr>
          <w:color w:val="000000"/>
          <w:szCs w:val="22"/>
          <w:u w:val="single"/>
          <w:lang w:val="fr-FR"/>
        </w:rPr>
      </w:pPr>
    </w:p>
    <w:p w14:paraId="5F5C502D" w14:textId="3A861D86" w:rsidR="00516A9E" w:rsidRPr="00653BF6" w:rsidRDefault="00EF4CB3" w:rsidP="007F23EE">
      <w:pPr>
        <w:pStyle w:val="EndnoteText"/>
        <w:tabs>
          <w:tab w:val="clear" w:pos="567"/>
        </w:tabs>
        <w:rPr>
          <w:color w:val="000000"/>
          <w:szCs w:val="22"/>
          <w:lang w:val="fr-FR"/>
        </w:rPr>
      </w:pPr>
      <w:r w:rsidRPr="00653BF6">
        <w:rPr>
          <w:color w:val="000000"/>
          <w:szCs w:val="22"/>
          <w:lang w:val="fr-FR"/>
        </w:rPr>
        <w:t>L’expérience avec Glivec dans cette indication est très limitée, elle est basée sur les taux de réponse hématologique et cytogénétique. Il n’y a pas d’étude contrôlée démontrant un bénéfice clinique tel que l’amélioration des symptômes liés à la maladie ou l’augmentation de la survie. Une étude ouverte multicentrique de phase</w:t>
      </w:r>
      <w:ins w:id="550" w:author="Author">
        <w:r w:rsidR="00653BF6">
          <w:rPr>
            <w:color w:val="000000"/>
            <w:szCs w:val="22"/>
            <w:lang w:val="fr-FR"/>
          </w:rPr>
          <w:t> </w:t>
        </w:r>
      </w:ins>
      <w:del w:id="551" w:author="Author">
        <w:r w:rsidRPr="00653BF6" w:rsidDel="00653BF6">
          <w:rPr>
            <w:color w:val="000000"/>
            <w:szCs w:val="22"/>
            <w:lang w:val="fr-FR"/>
          </w:rPr>
          <w:delText xml:space="preserve"> </w:delText>
        </w:r>
      </w:del>
      <w:r w:rsidRPr="00653BF6">
        <w:rPr>
          <w:color w:val="000000"/>
          <w:szCs w:val="22"/>
          <w:lang w:val="fr-FR"/>
        </w:rPr>
        <w:t xml:space="preserve">II (étude B2225) a été menée avec Glivec chez des patients atteints de diverses maladies impliquant les tyrosine kinases </w:t>
      </w:r>
      <w:proofErr w:type="spellStart"/>
      <w:r w:rsidRPr="00653BF6">
        <w:rPr>
          <w:color w:val="000000"/>
          <w:szCs w:val="22"/>
          <w:lang w:val="fr-FR"/>
        </w:rPr>
        <w:t>Abl</w:t>
      </w:r>
      <w:proofErr w:type="spellEnd"/>
      <w:r w:rsidRPr="00653BF6">
        <w:rPr>
          <w:color w:val="000000"/>
          <w:szCs w:val="22"/>
          <w:lang w:val="fr-FR"/>
        </w:rPr>
        <w:t xml:space="preserve">, Kit ou PDGFR et menaçant le pronostic vital. Cette étude a inclus 7 patients atteints de </w:t>
      </w:r>
      <w:smartTag w:uri="urn:schemas-microsoft-com:office:smarttags" w:element="stockticker">
        <w:r w:rsidRPr="00653BF6">
          <w:rPr>
            <w:color w:val="000000"/>
            <w:szCs w:val="22"/>
            <w:lang w:val="fr-FR"/>
          </w:rPr>
          <w:t>SMD</w:t>
        </w:r>
      </w:smartTag>
      <w:r w:rsidRPr="00653BF6">
        <w:rPr>
          <w:color w:val="000000"/>
          <w:szCs w:val="22"/>
          <w:lang w:val="fr-FR"/>
        </w:rPr>
        <w:t>/</w:t>
      </w:r>
      <w:smartTag w:uri="urn:schemas-microsoft-com:office:smarttags" w:element="stockticker">
        <w:r w:rsidRPr="00653BF6">
          <w:rPr>
            <w:color w:val="000000"/>
            <w:szCs w:val="22"/>
            <w:lang w:val="fr-FR"/>
          </w:rPr>
          <w:t>SMP</w:t>
        </w:r>
      </w:smartTag>
      <w:r w:rsidRPr="00653BF6">
        <w:rPr>
          <w:color w:val="000000"/>
          <w:szCs w:val="22"/>
          <w:lang w:val="fr-FR"/>
        </w:rPr>
        <w:t xml:space="preserve"> traités par Glivec à 400 mg/jour. Trois patients ont présenté une réponse complète hématologique (RCH) et un patient a présenté une réponse partielle </w:t>
      </w:r>
      <w:r w:rsidRPr="00653BF6">
        <w:rPr>
          <w:color w:val="000000"/>
          <w:szCs w:val="22"/>
          <w:lang w:val="fr-FR"/>
        </w:rPr>
        <w:lastRenderedPageBreak/>
        <w:t>hématologique (RPH). A la date de l’analyse, trois des quatre patients qui avaient des réarrangements du gène du PDGFR ont présenté une réponse hématologique (2 réponses hématologiques complètes et 1 réponse hématologique partielle). L’âge des patients allait de 20 à 72 ans.</w:t>
      </w:r>
    </w:p>
    <w:p w14:paraId="737CB9DE" w14:textId="77777777" w:rsidR="00516A9E" w:rsidRPr="00653BF6" w:rsidRDefault="00516A9E" w:rsidP="007F23EE">
      <w:pPr>
        <w:pStyle w:val="EndnoteText"/>
        <w:tabs>
          <w:tab w:val="clear" w:pos="567"/>
        </w:tabs>
        <w:rPr>
          <w:color w:val="000000"/>
          <w:szCs w:val="22"/>
          <w:lang w:val="fr-FR"/>
        </w:rPr>
      </w:pPr>
    </w:p>
    <w:p w14:paraId="12F36C97" w14:textId="77777777" w:rsidR="00516A9E" w:rsidRPr="00653BF6" w:rsidRDefault="00516A9E" w:rsidP="007F23EE">
      <w:pPr>
        <w:pStyle w:val="EndnoteText"/>
        <w:tabs>
          <w:tab w:val="clear" w:pos="567"/>
        </w:tabs>
        <w:rPr>
          <w:color w:val="000000"/>
          <w:szCs w:val="22"/>
          <w:lang w:val="fr-FR"/>
        </w:rPr>
      </w:pPr>
      <w:r w:rsidRPr="00653BF6">
        <w:rPr>
          <w:color w:val="000000"/>
          <w:szCs w:val="22"/>
          <w:lang w:val="fr-FR"/>
        </w:rPr>
        <w:t>Un registre observationnel (étude L2401) a été mis en place pour collecter des données de sécurité et d’efficacité à long terme chez des patients souffrant de néoplasmes myéloprolifératifs avec réarrangement de PDGFR-</w:t>
      </w:r>
      <w:r w:rsidRPr="00653BF6">
        <w:rPr>
          <w:rFonts w:eastAsia="TimesNewRoman"/>
          <w:szCs w:val="22"/>
          <w:lang w:val="fr-FR"/>
        </w:rPr>
        <w:t xml:space="preserve"> β et ayant été traités par Glivec. Les 23 patients inclus dans ce registre ont reçu une dose journalière médiane de Glivec de 264 mg (comprise entre 100 et 400 mg) pendant une durée médiane de 7,2 ans (comprise entre 0,1 et 12,7 ans). En raison du caractère observationnel de ce registre, les données d’évaluation hématologique, cytogénétique et moléculaire ne sont disponibles respectivement que pour 22, 9 et 17 des 23 patients inclus. En présumant que les patients dont les données sont manquantes étaient non-répondeurs, une réponse hématologique complète a été observée chez 20/23 patients (87%), une réponse cytogénétique complète chez 9/23 patients (39,1%) et une réponse moléculaire complète chez 11/23 patients (47,8%). Lorsque le taux de réponse est calculé chez les patients avec au moins une évaluation validée, le taux de réponse complète hématologique, cytogénétique et moléculaire était respectivement de 20/22 (90,9%), 9/9 (100%) et 11/17 (64,7%).</w:t>
      </w:r>
    </w:p>
    <w:p w14:paraId="1F99A8E9" w14:textId="77777777" w:rsidR="00516A9E" w:rsidRPr="00653BF6" w:rsidRDefault="00516A9E" w:rsidP="007F23EE">
      <w:pPr>
        <w:pStyle w:val="EndnoteText"/>
        <w:tabs>
          <w:tab w:val="clear" w:pos="567"/>
        </w:tabs>
        <w:rPr>
          <w:color w:val="000000"/>
          <w:szCs w:val="22"/>
          <w:lang w:val="fr-FR"/>
        </w:rPr>
      </w:pPr>
    </w:p>
    <w:p w14:paraId="64F1B421" w14:textId="430257BE" w:rsidR="00EF4CB3" w:rsidRPr="00653BF6" w:rsidRDefault="00EF4CB3" w:rsidP="007F23EE">
      <w:pPr>
        <w:pStyle w:val="EndnoteText"/>
        <w:tabs>
          <w:tab w:val="clear" w:pos="567"/>
        </w:tabs>
        <w:rPr>
          <w:color w:val="000000"/>
          <w:szCs w:val="22"/>
          <w:lang w:val="fr-FR"/>
        </w:rPr>
      </w:pPr>
      <w:r w:rsidRPr="00653BF6">
        <w:rPr>
          <w:color w:val="000000"/>
          <w:szCs w:val="22"/>
          <w:lang w:val="fr-FR"/>
        </w:rPr>
        <w:t xml:space="preserve">De plus, 24 patients supplémentaires atteints de </w:t>
      </w:r>
      <w:smartTag w:uri="urn:schemas-microsoft-com:office:smarttags" w:element="stockticker">
        <w:r w:rsidRPr="00653BF6">
          <w:rPr>
            <w:color w:val="000000"/>
            <w:szCs w:val="22"/>
            <w:lang w:val="fr-FR"/>
          </w:rPr>
          <w:t>SMD</w:t>
        </w:r>
      </w:smartTag>
      <w:r w:rsidRPr="00653BF6">
        <w:rPr>
          <w:color w:val="000000"/>
          <w:szCs w:val="22"/>
          <w:lang w:val="fr-FR"/>
        </w:rPr>
        <w:t>/</w:t>
      </w:r>
      <w:smartTag w:uri="urn:schemas-microsoft-com:office:smarttags" w:element="stockticker">
        <w:r w:rsidRPr="00653BF6">
          <w:rPr>
            <w:color w:val="000000"/>
            <w:szCs w:val="22"/>
            <w:lang w:val="fr-FR"/>
          </w:rPr>
          <w:t>SMP</w:t>
        </w:r>
      </w:smartTag>
      <w:r w:rsidRPr="00653BF6">
        <w:rPr>
          <w:color w:val="000000"/>
          <w:szCs w:val="22"/>
          <w:lang w:val="fr-FR"/>
        </w:rPr>
        <w:t xml:space="preserve"> ont été rapportés dans 13 publications. 21 patients ont été traités par Glivec à 400 mg/j, alors que les 3 autres patients ont reçu des doses plus faibles. Chez les 11 patients pour lesquels </w:t>
      </w:r>
      <w:del w:id="552" w:author="Author">
        <w:r w:rsidRPr="00653BF6" w:rsidDel="00A66FF1">
          <w:rPr>
            <w:color w:val="000000"/>
            <w:szCs w:val="22"/>
            <w:lang w:val="fr-FR"/>
          </w:rPr>
          <w:delText xml:space="preserve">un </w:delText>
        </w:r>
      </w:del>
      <w:ins w:id="553" w:author="Author">
        <w:r w:rsidR="00A66FF1" w:rsidRPr="00653BF6">
          <w:rPr>
            <w:color w:val="000000"/>
            <w:szCs w:val="22"/>
            <w:lang w:val="fr-FR"/>
          </w:rPr>
          <w:t xml:space="preserve">des </w:t>
        </w:r>
      </w:ins>
      <w:r w:rsidRPr="00653BF6">
        <w:rPr>
          <w:color w:val="000000"/>
          <w:szCs w:val="22"/>
          <w:lang w:val="fr-FR"/>
        </w:rPr>
        <w:t>réarrangement</w:t>
      </w:r>
      <w:ins w:id="554" w:author="Author">
        <w:r w:rsidR="00A66FF1" w:rsidRPr="00653BF6">
          <w:rPr>
            <w:color w:val="000000"/>
            <w:szCs w:val="22"/>
            <w:lang w:val="fr-FR"/>
          </w:rPr>
          <w:t>s</w:t>
        </w:r>
      </w:ins>
      <w:r w:rsidRPr="00653BF6">
        <w:rPr>
          <w:color w:val="000000"/>
          <w:szCs w:val="22"/>
          <w:lang w:val="fr-FR"/>
        </w:rPr>
        <w:t xml:space="preserve"> du g</w:t>
      </w:r>
      <w:r w:rsidR="003A71E7" w:rsidRPr="00653BF6">
        <w:rPr>
          <w:color w:val="000000"/>
          <w:szCs w:val="22"/>
          <w:lang w:val="fr-FR"/>
        </w:rPr>
        <w:t>è</w:t>
      </w:r>
      <w:r w:rsidRPr="00653BF6">
        <w:rPr>
          <w:color w:val="000000"/>
          <w:szCs w:val="22"/>
          <w:lang w:val="fr-FR"/>
        </w:rPr>
        <w:t xml:space="preserve">ne du récepteur PDGFR </w:t>
      </w:r>
      <w:del w:id="555" w:author="Author">
        <w:r w:rsidRPr="00653BF6" w:rsidDel="00A66FF1">
          <w:rPr>
            <w:color w:val="000000"/>
            <w:szCs w:val="22"/>
            <w:lang w:val="fr-FR"/>
          </w:rPr>
          <w:delText xml:space="preserve">a </w:delText>
        </w:r>
      </w:del>
      <w:ins w:id="556" w:author="Author">
        <w:r w:rsidR="00A66FF1" w:rsidRPr="00653BF6">
          <w:rPr>
            <w:color w:val="000000"/>
            <w:szCs w:val="22"/>
            <w:lang w:val="fr-FR"/>
          </w:rPr>
          <w:t xml:space="preserve">ont </w:t>
        </w:r>
      </w:ins>
      <w:r w:rsidRPr="00653BF6">
        <w:rPr>
          <w:color w:val="000000"/>
          <w:szCs w:val="22"/>
          <w:lang w:val="fr-FR"/>
        </w:rPr>
        <w:t>été mis en évidence, 9 d’entre eux ont présenté une réponse hématologique complète et 1</w:t>
      </w:r>
      <w:del w:id="557" w:author="Author">
        <w:r w:rsidRPr="00653BF6" w:rsidDel="00A66FF1">
          <w:rPr>
            <w:color w:val="000000"/>
            <w:szCs w:val="22"/>
            <w:lang w:val="fr-FR"/>
          </w:rPr>
          <w:delText xml:space="preserve"> </w:delText>
        </w:r>
      </w:del>
      <w:ins w:id="558" w:author="Author">
        <w:r w:rsidR="00A66FF1" w:rsidRPr="00653BF6">
          <w:rPr>
            <w:color w:val="000000"/>
            <w:szCs w:val="22"/>
            <w:lang w:val="fr-FR"/>
          </w:rPr>
          <w:t> </w:t>
        </w:r>
      </w:ins>
      <w:r w:rsidRPr="00653BF6">
        <w:rPr>
          <w:color w:val="000000"/>
          <w:szCs w:val="22"/>
          <w:lang w:val="fr-FR"/>
        </w:rPr>
        <w:t>patient une réponse hématologique partielle. L’âge allait de 2 à 79 ans. Dans une publication récente, la mise à jour du suivi sur 6 de ces 11 patients, a montré que tous restaient en rémission cytogénétique (</w:t>
      </w:r>
      <w:del w:id="559" w:author="Author">
        <w:r w:rsidRPr="00653BF6" w:rsidDel="00303A31">
          <w:rPr>
            <w:color w:val="000000"/>
            <w:szCs w:val="22"/>
            <w:lang w:val="fr-FR"/>
          </w:rPr>
          <w:delText xml:space="preserve"> </w:delText>
        </w:r>
      </w:del>
      <w:r w:rsidRPr="00653BF6">
        <w:rPr>
          <w:color w:val="000000"/>
          <w:szCs w:val="22"/>
          <w:lang w:val="fr-FR"/>
        </w:rPr>
        <w:t>suivi de 32</w:t>
      </w:r>
      <w:r w:rsidRPr="00653BF6">
        <w:rPr>
          <w:color w:val="000000"/>
          <w:szCs w:val="22"/>
          <w:lang w:val="fr-FR"/>
        </w:rPr>
        <w:noBreakHyphen/>
        <w:t xml:space="preserve">38 mois). La même publication rapportait des données du suivi à long terme de 12 patients atteints de </w:t>
      </w:r>
      <w:smartTag w:uri="urn:schemas-microsoft-com:office:smarttags" w:element="stockticker">
        <w:r w:rsidRPr="00653BF6">
          <w:rPr>
            <w:color w:val="000000"/>
            <w:szCs w:val="22"/>
            <w:lang w:val="fr-FR"/>
          </w:rPr>
          <w:t>SMD</w:t>
        </w:r>
      </w:smartTag>
      <w:r w:rsidRPr="00653BF6">
        <w:rPr>
          <w:color w:val="000000"/>
          <w:szCs w:val="22"/>
          <w:lang w:val="fr-FR"/>
        </w:rPr>
        <w:t>/</w:t>
      </w:r>
      <w:smartTag w:uri="urn:schemas-microsoft-com:office:smarttags" w:element="stockticker">
        <w:r w:rsidRPr="00653BF6">
          <w:rPr>
            <w:color w:val="000000"/>
            <w:szCs w:val="22"/>
            <w:lang w:val="fr-FR"/>
          </w:rPr>
          <w:t>SMP</w:t>
        </w:r>
      </w:smartTag>
      <w:r w:rsidRPr="00653BF6">
        <w:rPr>
          <w:color w:val="000000"/>
          <w:szCs w:val="22"/>
          <w:lang w:val="fr-FR"/>
        </w:rPr>
        <w:t xml:space="preserve"> associé à des réarrangements du gène du récepteur PDGFR (dont 5 patients de l’étude clinique B2225). Ces patients ont reçu Glivec sur une un durée médiane de 47 mois (24 jours à 60 mois). Chez 6 de ces patients, le suivi à ce jour est supérieur à 4 ans. 11 patients ont atteint une réponse hématologique complète rapide ; 10 ont présenté une résolution complète des anomalies cytogénétiques et une diminution ou une disparition du transcrit de fusion (mesuré par un test RT-</w:t>
      </w:r>
      <w:smartTag w:uri="urn:schemas-microsoft-com:office:smarttags" w:element="stockticker">
        <w:r w:rsidRPr="00653BF6">
          <w:rPr>
            <w:color w:val="000000"/>
            <w:szCs w:val="22"/>
            <w:lang w:val="fr-FR"/>
          </w:rPr>
          <w:t>PCR</w:t>
        </w:r>
      </w:smartTag>
      <w:r w:rsidRPr="00653BF6">
        <w:rPr>
          <w:color w:val="000000"/>
          <w:szCs w:val="22"/>
          <w:lang w:val="fr-FR"/>
        </w:rPr>
        <w:t>). Les réponses hématologiques et cytogénétiques ont été respectivement maintenues sur une durée médiane de 49 mois (19 à 60 mois) et 47 mois (16 à 59 mois). La survie globale est de 65 mois à partir du diagnostic (25 à 234 mois). L’administration de Glivec chez des patients sans translocation génétique n’a pas généralement entr</w:t>
      </w:r>
      <w:r w:rsidR="003A71E7" w:rsidRPr="00653BF6">
        <w:rPr>
          <w:color w:val="000000"/>
          <w:szCs w:val="22"/>
          <w:lang w:val="fr-FR"/>
        </w:rPr>
        <w:t>aî</w:t>
      </w:r>
      <w:r w:rsidRPr="00653BF6">
        <w:rPr>
          <w:color w:val="000000"/>
          <w:szCs w:val="22"/>
          <w:lang w:val="fr-FR"/>
        </w:rPr>
        <w:t>né d’amélioration.</w:t>
      </w:r>
    </w:p>
    <w:p w14:paraId="27984CC0" w14:textId="77777777" w:rsidR="00EF4CB3" w:rsidRPr="00653BF6" w:rsidRDefault="00EF4CB3" w:rsidP="007F23EE">
      <w:pPr>
        <w:pStyle w:val="EndnoteText"/>
        <w:tabs>
          <w:tab w:val="clear" w:pos="567"/>
        </w:tabs>
        <w:rPr>
          <w:color w:val="000000"/>
          <w:szCs w:val="22"/>
          <w:lang w:val="fr-FR"/>
        </w:rPr>
      </w:pPr>
    </w:p>
    <w:p w14:paraId="18C537C5" w14:textId="77777777" w:rsidR="00EF4CB3" w:rsidRPr="00653BF6" w:rsidRDefault="00EF4CB3" w:rsidP="007F23EE">
      <w:pPr>
        <w:pStyle w:val="EndnoteText"/>
        <w:tabs>
          <w:tab w:val="clear" w:pos="567"/>
        </w:tabs>
        <w:rPr>
          <w:color w:val="000000"/>
          <w:szCs w:val="22"/>
          <w:lang w:val="fr-FR"/>
        </w:rPr>
      </w:pPr>
      <w:r w:rsidRPr="00653BF6">
        <w:rPr>
          <w:color w:val="000000"/>
          <w:szCs w:val="22"/>
          <w:lang w:val="fr-FR"/>
        </w:rPr>
        <w:t>Il n’existe pas d’étude clinique contrôlée chez les patients pédiatriques atteints de SMD/SMP. Cinq (5) cas de patients atteints de SMD/SMP associés à des réarrangements du gène PDGFR ont été rapportés dans 4 publications. L’âge de ces patients allait de 3 mois à 4 ans et l’imatinib était administré à une posologie de 50 mg par jour ou comprise entre 92,5 et 340 mg/m² par jour. Tous les patients ont atteint une réponse hématologique complète, une réponse cytogénétique et/ou une réponse clinique.</w:t>
      </w:r>
    </w:p>
    <w:p w14:paraId="60F9481F" w14:textId="77777777" w:rsidR="00EF4CB3" w:rsidRPr="00653BF6" w:rsidRDefault="00EF4CB3" w:rsidP="007F23EE">
      <w:pPr>
        <w:pStyle w:val="EndnoteText"/>
        <w:rPr>
          <w:color w:val="000000"/>
          <w:szCs w:val="22"/>
          <w:lang w:val="fr-FR"/>
        </w:rPr>
      </w:pPr>
    </w:p>
    <w:p w14:paraId="5650B902" w14:textId="4FE4F6DD" w:rsidR="00EF4CB3" w:rsidRPr="00653BF6" w:rsidRDefault="00EF4CB3" w:rsidP="007F23EE">
      <w:pPr>
        <w:pStyle w:val="EndnoteText"/>
        <w:keepNext/>
        <w:rPr>
          <w:color w:val="000000"/>
          <w:szCs w:val="22"/>
          <w:u w:val="single"/>
          <w:lang w:val="fr-FR"/>
        </w:rPr>
      </w:pPr>
      <w:r w:rsidRPr="00653BF6">
        <w:rPr>
          <w:color w:val="000000"/>
          <w:szCs w:val="22"/>
          <w:u w:val="single"/>
          <w:lang w:val="fr-FR"/>
        </w:rPr>
        <w:t>Etudes cliniques dans les SHE/LCE</w:t>
      </w:r>
    </w:p>
    <w:p w14:paraId="1DDF5C45" w14:textId="77777777" w:rsidR="0028607D" w:rsidRPr="00653BF6" w:rsidRDefault="0028607D" w:rsidP="007F23EE">
      <w:pPr>
        <w:pStyle w:val="EndnoteText"/>
        <w:keepNext/>
        <w:rPr>
          <w:color w:val="000000"/>
          <w:szCs w:val="22"/>
          <w:u w:val="single"/>
          <w:lang w:val="fr-FR"/>
        </w:rPr>
      </w:pPr>
    </w:p>
    <w:p w14:paraId="71D66335" w14:textId="2A84E1FF" w:rsidR="00EF4CB3" w:rsidRPr="00653BF6" w:rsidRDefault="00EF4CB3" w:rsidP="007F23EE">
      <w:pPr>
        <w:pStyle w:val="EndnoteText"/>
        <w:rPr>
          <w:color w:val="000000"/>
          <w:szCs w:val="22"/>
          <w:lang w:val="fr-FR"/>
        </w:rPr>
      </w:pPr>
      <w:r w:rsidRPr="00653BF6">
        <w:rPr>
          <w:color w:val="000000"/>
          <w:szCs w:val="22"/>
          <w:lang w:val="fr-FR"/>
        </w:rPr>
        <w:t xml:space="preserve">Une étude ouverte multicentrique de phase II (étude B2225) a été menée avec Glivec chez des patients atteints de diverses maladies impliquant les tyrosine kinases </w:t>
      </w:r>
      <w:proofErr w:type="spellStart"/>
      <w:r w:rsidRPr="00653BF6">
        <w:rPr>
          <w:color w:val="000000"/>
          <w:szCs w:val="22"/>
          <w:lang w:val="fr-FR"/>
        </w:rPr>
        <w:t>Abl</w:t>
      </w:r>
      <w:proofErr w:type="spellEnd"/>
      <w:r w:rsidRPr="00653BF6">
        <w:rPr>
          <w:color w:val="000000"/>
          <w:szCs w:val="22"/>
          <w:lang w:val="fr-FR"/>
        </w:rPr>
        <w:t xml:space="preserve">, Kit ou PDGFR et menaçant le pronostic vital. Dans cette étude, 14 de ces patients atteints de SHE/LCE ont été traités par Glivec à la dose de 100 mg à 1 000 mg par jour. 162 patients supplémentaires atteints de SHE/LCE, rapportés dans 35 publications sous la forme d’observations individuelles, ont reçu Glivec à la dose allant de 75 mg à 800 mg par jour. Les anomalies cytogénétiques ont été évaluées chez 117 patients sur un total de 176 patients. La protéine de fusion FIP1L1-PDGFRα a été identifiée chez 61 des 117 patients. Quatre autres patients atteints de SHE rapportés dans 3 publications étaient FIP1L1-PDGFRα positifs. Les 65 patients avec la protéine de fusion FIP1L1-PDGFRα ont atteint une RHC maintenue pendant des mois (de plus </w:t>
      </w:r>
      <w:proofErr w:type="gramStart"/>
      <w:r w:rsidRPr="00653BF6">
        <w:rPr>
          <w:color w:val="000000"/>
          <w:szCs w:val="22"/>
          <w:lang w:val="fr-FR"/>
        </w:rPr>
        <w:t>d’un mois à 44 mois censurés</w:t>
      </w:r>
      <w:proofErr w:type="gramEnd"/>
      <w:r w:rsidRPr="00653BF6">
        <w:rPr>
          <w:color w:val="000000"/>
          <w:szCs w:val="22"/>
          <w:lang w:val="fr-FR"/>
        </w:rPr>
        <w:t xml:space="preserve"> à la date du rapport). Comme cela a été rapporté dans une publication récente, 21 des 65 patients ont aussi présenté une rémission moléculaire avec une durée médiane de suivi de 28 mois (13 à 67 mois). L’âge de ces patients allait de 25 à 72 ans. De plus, les investigateurs ont rapporté dans ces observations individuelles des améliorations de la symptomatologie et des dysfonctionnements d’autres organes. Les améliorations ont été observées sur </w:t>
      </w:r>
      <w:r w:rsidRPr="00653BF6">
        <w:rPr>
          <w:color w:val="000000"/>
          <w:szCs w:val="22"/>
          <w:lang w:val="fr-FR"/>
        </w:rPr>
        <w:lastRenderedPageBreak/>
        <w:t>les groupe</w:t>
      </w:r>
      <w:ins w:id="560" w:author="Author">
        <w:r w:rsidR="00AB5C43" w:rsidRPr="00653BF6">
          <w:rPr>
            <w:color w:val="000000"/>
            <w:szCs w:val="22"/>
            <w:lang w:val="fr-FR"/>
          </w:rPr>
          <w:t>s</w:t>
        </w:r>
      </w:ins>
      <w:r w:rsidRPr="00653BF6">
        <w:rPr>
          <w:color w:val="000000"/>
          <w:szCs w:val="22"/>
          <w:lang w:val="fr-FR"/>
        </w:rPr>
        <w:t xml:space="preserve"> d’organe cardiaque, nerveux, cutané/sous-cutané, respiratoire/thoracique/médiastinal, musculosquelettique/tissu conjonctif/vasculaire, gastro-intestinal.</w:t>
      </w:r>
    </w:p>
    <w:p w14:paraId="48A8CE28" w14:textId="77777777" w:rsidR="00EF4CB3" w:rsidRPr="00653BF6" w:rsidRDefault="00EF4CB3" w:rsidP="007F23EE">
      <w:pPr>
        <w:pStyle w:val="EndnoteText"/>
        <w:rPr>
          <w:color w:val="000000"/>
          <w:szCs w:val="22"/>
          <w:lang w:val="fr-FR"/>
        </w:rPr>
      </w:pPr>
    </w:p>
    <w:p w14:paraId="0EF9AF93" w14:textId="77777777" w:rsidR="00EF4CB3" w:rsidRPr="00653BF6" w:rsidRDefault="00EF4CB3" w:rsidP="007F23EE">
      <w:pPr>
        <w:pStyle w:val="EndnoteText"/>
        <w:rPr>
          <w:color w:val="000000"/>
          <w:szCs w:val="22"/>
          <w:lang w:val="fr-FR"/>
        </w:rPr>
      </w:pPr>
      <w:r w:rsidRPr="00653BF6">
        <w:rPr>
          <w:color w:val="000000"/>
          <w:szCs w:val="22"/>
          <w:lang w:val="fr-FR"/>
        </w:rPr>
        <w:t>Il n’existe pas d’étude clinique contrôlée chez les patients pédiatriques atteints de SHE/LCE. Trois (3) cas de patients atteints de SHE/LCE associés à des réarrangements du gène PDGFR ont été rapportés dans 3 publications. L’âge de ces patients allait de 2 à 16 ans et l’imatinib était administré à une posologie de 300 mg/m² par jour ou comprise entre 200 et 400 mg par jour. Tous les patients ont atteint une réponse hématologique complète, une réponse cytogénétique complète, et/ou une réponse moléculaire complète.</w:t>
      </w:r>
    </w:p>
    <w:p w14:paraId="1BD1421E" w14:textId="77777777" w:rsidR="00EF4CB3" w:rsidRPr="00653BF6" w:rsidRDefault="00EF4CB3" w:rsidP="007F23EE">
      <w:pPr>
        <w:pStyle w:val="EndnoteText"/>
        <w:rPr>
          <w:color w:val="000000"/>
          <w:szCs w:val="22"/>
          <w:lang w:val="fr-FR"/>
        </w:rPr>
      </w:pPr>
    </w:p>
    <w:p w14:paraId="45E236B7" w14:textId="12E04411" w:rsidR="00EF4CB3" w:rsidRPr="00653BF6" w:rsidRDefault="00EF4CB3" w:rsidP="007F23EE">
      <w:pPr>
        <w:pStyle w:val="EndnoteText"/>
        <w:keepNext/>
        <w:tabs>
          <w:tab w:val="clear" w:pos="567"/>
        </w:tabs>
        <w:rPr>
          <w:color w:val="000000"/>
          <w:szCs w:val="22"/>
          <w:u w:val="single"/>
          <w:lang w:val="fr-FR"/>
        </w:rPr>
      </w:pPr>
      <w:r w:rsidRPr="00653BF6">
        <w:rPr>
          <w:color w:val="000000"/>
          <w:szCs w:val="22"/>
          <w:u w:val="single"/>
          <w:lang w:val="fr-FR"/>
        </w:rPr>
        <w:t>Etudes cliniques dans les GIST non r</w:t>
      </w:r>
      <w:r w:rsidR="003A71E7" w:rsidRPr="00653BF6">
        <w:rPr>
          <w:color w:val="000000"/>
          <w:szCs w:val="22"/>
          <w:u w:val="single"/>
          <w:lang w:val="fr-FR"/>
        </w:rPr>
        <w:t>é</w:t>
      </w:r>
      <w:r w:rsidRPr="00653BF6">
        <w:rPr>
          <w:color w:val="000000"/>
          <w:szCs w:val="22"/>
          <w:u w:val="single"/>
          <w:lang w:val="fr-FR"/>
        </w:rPr>
        <w:t>sécables et/ou métastatiques</w:t>
      </w:r>
    </w:p>
    <w:p w14:paraId="6132B708" w14:textId="77777777" w:rsidR="0028607D" w:rsidRPr="00653BF6" w:rsidRDefault="0028607D" w:rsidP="007F23EE">
      <w:pPr>
        <w:pStyle w:val="EndnoteText"/>
        <w:keepNext/>
        <w:tabs>
          <w:tab w:val="clear" w:pos="567"/>
        </w:tabs>
        <w:rPr>
          <w:color w:val="000000"/>
          <w:szCs w:val="22"/>
          <w:u w:val="single"/>
          <w:lang w:val="fr-FR"/>
        </w:rPr>
      </w:pPr>
    </w:p>
    <w:p w14:paraId="1259DEB4" w14:textId="3245DDA4" w:rsidR="00EF4CB3" w:rsidRPr="00653BF6" w:rsidRDefault="00EF4CB3" w:rsidP="007F23EE">
      <w:pPr>
        <w:pStyle w:val="EndnoteText"/>
        <w:tabs>
          <w:tab w:val="clear" w:pos="567"/>
        </w:tabs>
        <w:rPr>
          <w:color w:val="000000"/>
          <w:szCs w:val="22"/>
          <w:lang w:val="fr-FR"/>
        </w:rPr>
      </w:pPr>
      <w:r w:rsidRPr="00653BF6">
        <w:rPr>
          <w:color w:val="000000"/>
          <w:szCs w:val="22"/>
          <w:lang w:val="fr-FR"/>
        </w:rPr>
        <w:t>Une étude de Phase II, internationale, randomisée, en ouvert et non contrôlée a été conduite chez des patients atteints de tumeurs stromales gastro-intestinales (GIST) malignes non résécables ou métastatiques. Dans cette étude, 147 patients ont été inclus et randomisés pour recevoir soit 400 mg soit 600 mg de Glivec par jour par voie orale pour une durée pouvant atteindre 36 mois. Ces patients étaient âgés de 18 à 83 ans et ils avaient un diagnostic pathologique de GIST malignes Kit-positives, non résécables et/ou métastatiques. Le dosage immunohistochimique a été réalisé en routine avec des anticorps anti</w:t>
      </w:r>
      <w:r w:rsidR="003A71E7" w:rsidRPr="00653BF6">
        <w:rPr>
          <w:color w:val="000000"/>
          <w:szCs w:val="22"/>
          <w:lang w:val="fr-FR"/>
        </w:rPr>
        <w:t>-</w:t>
      </w:r>
      <w:r w:rsidRPr="00653BF6">
        <w:rPr>
          <w:color w:val="000000"/>
          <w:szCs w:val="22"/>
          <w:lang w:val="fr-FR"/>
        </w:rPr>
        <w:t xml:space="preserve">Kit (A-4502, antisérum polyclonal de lapin, </w:t>
      </w:r>
      <w:proofErr w:type="gramStart"/>
      <w:r w:rsidRPr="00653BF6">
        <w:rPr>
          <w:color w:val="000000"/>
          <w:szCs w:val="22"/>
          <w:lang w:val="fr-FR"/>
        </w:rPr>
        <w:t>1:</w:t>
      </w:r>
      <w:proofErr w:type="gramEnd"/>
      <w:r w:rsidRPr="00653BF6">
        <w:rPr>
          <w:color w:val="000000"/>
          <w:szCs w:val="22"/>
          <w:lang w:val="fr-FR"/>
        </w:rPr>
        <w:t xml:space="preserve">100 ; DAKO Corporation, </w:t>
      </w:r>
      <w:proofErr w:type="spellStart"/>
      <w:r w:rsidRPr="00653BF6">
        <w:rPr>
          <w:color w:val="000000"/>
          <w:szCs w:val="22"/>
          <w:lang w:val="fr-FR"/>
        </w:rPr>
        <w:t>Carpinteria</w:t>
      </w:r>
      <w:proofErr w:type="spellEnd"/>
      <w:r w:rsidRPr="00653BF6">
        <w:rPr>
          <w:color w:val="000000"/>
          <w:szCs w:val="22"/>
          <w:lang w:val="fr-FR"/>
        </w:rPr>
        <w:t xml:space="preserve">, CA) par la méthode utilisant le complexe </w:t>
      </w:r>
      <w:proofErr w:type="spellStart"/>
      <w:r w:rsidRPr="00653BF6">
        <w:rPr>
          <w:color w:val="000000"/>
          <w:szCs w:val="22"/>
          <w:lang w:val="fr-FR"/>
        </w:rPr>
        <w:t>peroxidase</w:t>
      </w:r>
      <w:proofErr w:type="spellEnd"/>
      <w:r w:rsidRPr="00653BF6">
        <w:rPr>
          <w:color w:val="000000"/>
          <w:szCs w:val="22"/>
          <w:lang w:val="fr-FR"/>
        </w:rPr>
        <w:t>-biotine-avidine après marquage de l’antigène.</w:t>
      </w:r>
    </w:p>
    <w:p w14:paraId="1CC1592A" w14:textId="77777777" w:rsidR="00EF4CB3" w:rsidRPr="00653BF6" w:rsidRDefault="00EF4CB3" w:rsidP="007F23EE">
      <w:pPr>
        <w:pStyle w:val="EndnoteText"/>
        <w:tabs>
          <w:tab w:val="clear" w:pos="567"/>
        </w:tabs>
        <w:rPr>
          <w:color w:val="000000"/>
          <w:szCs w:val="22"/>
          <w:lang w:val="fr-FR"/>
        </w:rPr>
      </w:pPr>
    </w:p>
    <w:p w14:paraId="40865575" w14:textId="1F302DBF" w:rsidR="00EF4CB3" w:rsidRPr="00653BF6" w:rsidRDefault="00EF4CB3" w:rsidP="007F23EE">
      <w:pPr>
        <w:pStyle w:val="EndnoteText"/>
        <w:tabs>
          <w:tab w:val="clear" w:pos="567"/>
        </w:tabs>
        <w:rPr>
          <w:color w:val="000000"/>
          <w:szCs w:val="22"/>
          <w:lang w:val="fr-FR"/>
        </w:rPr>
      </w:pPr>
      <w:r w:rsidRPr="00653BF6">
        <w:rPr>
          <w:color w:val="000000"/>
          <w:szCs w:val="22"/>
          <w:lang w:val="fr-FR"/>
        </w:rPr>
        <w:t>Le critère principal d</w:t>
      </w:r>
      <w:r w:rsidR="00813A7A">
        <w:rPr>
          <w:color w:val="000000"/>
          <w:szCs w:val="22"/>
          <w:lang w:val="fr-FR"/>
        </w:rPr>
        <w:t>’</w:t>
      </w:r>
      <w:r w:rsidRPr="00653BF6">
        <w:rPr>
          <w:color w:val="000000"/>
          <w:szCs w:val="22"/>
          <w:lang w:val="fr-FR"/>
        </w:rPr>
        <w:t xml:space="preserve">efficacité était basé sur les taux de réponses objectives. Les tumeurs devaient être mesurables pour au moins un site de la maladie et la caractérisation de la réponse était basée sur les critères du </w:t>
      </w:r>
      <w:proofErr w:type="spellStart"/>
      <w:r w:rsidRPr="005205FF">
        <w:rPr>
          <w:i/>
          <w:iCs/>
          <w:color w:val="000000"/>
          <w:szCs w:val="22"/>
          <w:lang w:val="fr-FR"/>
          <w:rPrChange w:id="561" w:author="Author">
            <w:rPr>
              <w:color w:val="000000"/>
              <w:szCs w:val="22"/>
              <w:lang w:val="fr-FR"/>
            </w:rPr>
          </w:rPrChange>
        </w:rPr>
        <w:t>Southwestern</w:t>
      </w:r>
      <w:proofErr w:type="spellEnd"/>
      <w:r w:rsidRPr="005205FF">
        <w:rPr>
          <w:i/>
          <w:iCs/>
          <w:color w:val="000000"/>
          <w:szCs w:val="22"/>
          <w:lang w:val="fr-FR"/>
          <w:rPrChange w:id="562" w:author="Author">
            <w:rPr>
              <w:color w:val="000000"/>
              <w:szCs w:val="22"/>
              <w:lang w:val="fr-FR"/>
            </w:rPr>
          </w:rPrChange>
        </w:rPr>
        <w:t xml:space="preserve"> </w:t>
      </w:r>
      <w:proofErr w:type="spellStart"/>
      <w:r w:rsidRPr="005205FF">
        <w:rPr>
          <w:i/>
          <w:iCs/>
          <w:color w:val="000000"/>
          <w:szCs w:val="22"/>
          <w:lang w:val="fr-FR"/>
          <w:rPrChange w:id="563" w:author="Author">
            <w:rPr>
              <w:color w:val="000000"/>
              <w:szCs w:val="22"/>
              <w:lang w:val="fr-FR"/>
            </w:rPr>
          </w:rPrChange>
        </w:rPr>
        <w:t>Oncology</w:t>
      </w:r>
      <w:proofErr w:type="spellEnd"/>
      <w:r w:rsidRPr="005205FF">
        <w:rPr>
          <w:i/>
          <w:iCs/>
          <w:color w:val="000000"/>
          <w:szCs w:val="22"/>
          <w:lang w:val="fr-FR"/>
          <w:rPrChange w:id="564" w:author="Author">
            <w:rPr>
              <w:color w:val="000000"/>
              <w:szCs w:val="22"/>
              <w:lang w:val="fr-FR"/>
            </w:rPr>
          </w:rPrChange>
        </w:rPr>
        <w:t xml:space="preserve"> Group</w:t>
      </w:r>
      <w:r w:rsidRPr="00653BF6">
        <w:rPr>
          <w:color w:val="000000"/>
          <w:szCs w:val="22"/>
          <w:lang w:val="fr-FR"/>
        </w:rPr>
        <w:t xml:space="preserve"> (SWOG). Les résultats sont présentés dans le Tableau </w:t>
      </w:r>
      <w:r w:rsidR="00A239AE" w:rsidRPr="00653BF6">
        <w:rPr>
          <w:color w:val="000000"/>
          <w:szCs w:val="22"/>
          <w:lang w:val="fr-FR"/>
        </w:rPr>
        <w:t>6</w:t>
      </w:r>
      <w:r w:rsidRPr="00653BF6">
        <w:rPr>
          <w:color w:val="000000"/>
          <w:szCs w:val="22"/>
          <w:lang w:val="fr-FR"/>
        </w:rPr>
        <w:t>.</w:t>
      </w:r>
    </w:p>
    <w:p w14:paraId="7C8941FE" w14:textId="77777777" w:rsidR="00EF4CB3" w:rsidRPr="00653BF6" w:rsidRDefault="00EF4CB3" w:rsidP="007F23EE">
      <w:pPr>
        <w:pStyle w:val="EndnoteText"/>
        <w:tabs>
          <w:tab w:val="clear" w:pos="567"/>
        </w:tabs>
        <w:rPr>
          <w:color w:val="000000"/>
          <w:szCs w:val="22"/>
          <w:lang w:val="fr-FR"/>
        </w:rPr>
      </w:pPr>
    </w:p>
    <w:p w14:paraId="38B59AF8" w14:textId="386B57C8" w:rsidR="00EF4CB3" w:rsidRPr="00653BF6" w:rsidRDefault="00EF4CB3" w:rsidP="007F23EE">
      <w:pPr>
        <w:pStyle w:val="EndnoteText"/>
        <w:keepNext/>
        <w:tabs>
          <w:tab w:val="clear" w:pos="567"/>
          <w:tab w:val="left" w:pos="1134"/>
        </w:tabs>
        <w:ind w:left="1134" w:hanging="1134"/>
        <w:rPr>
          <w:b/>
          <w:color w:val="000000"/>
          <w:szCs w:val="22"/>
          <w:lang w:val="fr-FR"/>
        </w:rPr>
      </w:pPr>
      <w:r w:rsidRPr="00653BF6">
        <w:rPr>
          <w:b/>
          <w:color w:val="000000"/>
          <w:szCs w:val="22"/>
          <w:lang w:val="fr-FR"/>
        </w:rPr>
        <w:t>Tableau </w:t>
      </w:r>
      <w:r w:rsidR="00A239AE" w:rsidRPr="00653BF6">
        <w:rPr>
          <w:b/>
          <w:color w:val="000000"/>
          <w:szCs w:val="22"/>
          <w:lang w:val="fr-FR"/>
        </w:rPr>
        <w:t>6</w:t>
      </w:r>
      <w:r w:rsidRPr="00653BF6">
        <w:rPr>
          <w:b/>
          <w:color w:val="000000"/>
          <w:szCs w:val="22"/>
          <w:lang w:val="fr-FR"/>
        </w:rPr>
        <w:tab/>
        <w:t>Meilleure réponse tumorale dans l</w:t>
      </w:r>
      <w:r w:rsidR="00813A7A">
        <w:rPr>
          <w:b/>
          <w:color w:val="000000"/>
          <w:szCs w:val="22"/>
          <w:lang w:val="fr-FR"/>
        </w:rPr>
        <w:t>’</w:t>
      </w:r>
      <w:r w:rsidRPr="00653BF6">
        <w:rPr>
          <w:b/>
          <w:color w:val="000000"/>
          <w:szCs w:val="22"/>
          <w:lang w:val="fr-FR"/>
        </w:rPr>
        <w:t>essai STIB2222 (GIST)</w:t>
      </w:r>
    </w:p>
    <w:p w14:paraId="2A06F2F0" w14:textId="77777777" w:rsidR="00EF4CB3" w:rsidRPr="00653BF6" w:rsidRDefault="00EF4CB3" w:rsidP="007F23EE">
      <w:pPr>
        <w:pStyle w:val="EndnoteText"/>
        <w:keepNext/>
        <w:tabs>
          <w:tab w:val="clear" w:pos="567"/>
        </w:tabs>
        <w:rPr>
          <w:color w:val="000000"/>
          <w:szCs w:val="22"/>
          <w:lang w:val="fr-FR"/>
        </w:rPr>
      </w:pPr>
    </w:p>
    <w:tbl>
      <w:tblPr>
        <w:tblW w:w="921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Change w:id="565" w:author="Author">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PrChange>
      </w:tblPr>
      <w:tblGrid>
        <w:gridCol w:w="4248"/>
        <w:gridCol w:w="4962"/>
        <w:tblGridChange w:id="566">
          <w:tblGrid>
            <w:gridCol w:w="25"/>
            <w:gridCol w:w="4223"/>
            <w:gridCol w:w="382"/>
            <w:gridCol w:w="4580"/>
            <w:gridCol w:w="25"/>
          </w:tblGrid>
        </w:tblGridChange>
      </w:tblGrid>
      <w:tr w:rsidR="00EF4CB3" w:rsidRPr="00653BF6" w14:paraId="7D5B1698" w14:textId="77777777" w:rsidTr="005205FF">
        <w:trPr>
          <w:cantSplit/>
          <w:trPrChange w:id="567" w:author="Author">
            <w:trPr>
              <w:gridBefore w:val="1"/>
              <w:cantSplit/>
            </w:trPr>
          </w:trPrChange>
        </w:trPr>
        <w:tc>
          <w:tcPr>
            <w:tcW w:w="4248" w:type="dxa"/>
            <w:tcBorders>
              <w:left w:val="nil"/>
              <w:bottom w:val="single" w:sz="4" w:space="0" w:color="auto"/>
            </w:tcBorders>
            <w:tcPrChange w:id="568" w:author="Author">
              <w:tcPr>
                <w:tcW w:w="4605" w:type="dxa"/>
                <w:gridSpan w:val="2"/>
              </w:tcPr>
            </w:tcPrChange>
          </w:tcPr>
          <w:p w14:paraId="67A2A8AB" w14:textId="77777777" w:rsidR="00EF4CB3" w:rsidRPr="00653BF6" w:rsidRDefault="00EF4CB3" w:rsidP="007F23EE">
            <w:pPr>
              <w:pStyle w:val="EndnoteText"/>
              <w:keepNext/>
              <w:tabs>
                <w:tab w:val="clear" w:pos="567"/>
              </w:tabs>
              <w:rPr>
                <w:color w:val="000000"/>
                <w:szCs w:val="22"/>
                <w:lang w:val="fr-FR"/>
              </w:rPr>
            </w:pPr>
          </w:p>
          <w:p w14:paraId="662D8CE6" w14:textId="77777777" w:rsidR="00EF4CB3" w:rsidRPr="00653BF6" w:rsidRDefault="00EF4CB3" w:rsidP="007F23EE">
            <w:pPr>
              <w:pStyle w:val="EndnoteText"/>
              <w:keepNext/>
              <w:tabs>
                <w:tab w:val="clear" w:pos="567"/>
              </w:tabs>
              <w:rPr>
                <w:color w:val="000000"/>
                <w:szCs w:val="22"/>
                <w:lang w:val="fr-FR"/>
              </w:rPr>
            </w:pPr>
          </w:p>
          <w:p w14:paraId="7C833927" w14:textId="77777777" w:rsidR="00EF4CB3" w:rsidRPr="00653BF6" w:rsidRDefault="00EF4CB3" w:rsidP="007F23EE">
            <w:pPr>
              <w:pStyle w:val="EndnoteText"/>
              <w:keepNext/>
              <w:tabs>
                <w:tab w:val="clear" w:pos="567"/>
              </w:tabs>
              <w:rPr>
                <w:color w:val="000000"/>
                <w:szCs w:val="22"/>
                <w:lang w:val="fr-FR"/>
              </w:rPr>
            </w:pPr>
          </w:p>
          <w:p w14:paraId="5134990F" w14:textId="77777777" w:rsidR="00EF4CB3" w:rsidRPr="00653BF6" w:rsidRDefault="00EF4CB3" w:rsidP="007F23EE">
            <w:pPr>
              <w:pStyle w:val="EndnoteText"/>
              <w:keepNext/>
              <w:tabs>
                <w:tab w:val="clear" w:pos="567"/>
              </w:tabs>
              <w:rPr>
                <w:color w:val="000000"/>
                <w:szCs w:val="22"/>
                <w:lang w:val="fr-FR"/>
              </w:rPr>
            </w:pPr>
            <w:r w:rsidRPr="00653BF6">
              <w:rPr>
                <w:color w:val="000000"/>
                <w:szCs w:val="22"/>
                <w:lang w:val="fr-FR"/>
              </w:rPr>
              <w:t>Meilleure réponse</w:t>
            </w:r>
          </w:p>
        </w:tc>
        <w:tc>
          <w:tcPr>
            <w:tcW w:w="4962" w:type="dxa"/>
            <w:tcBorders>
              <w:bottom w:val="single" w:sz="4" w:space="0" w:color="auto"/>
              <w:right w:val="nil"/>
            </w:tcBorders>
            <w:tcPrChange w:id="569" w:author="Author">
              <w:tcPr>
                <w:tcW w:w="4605" w:type="dxa"/>
                <w:gridSpan w:val="2"/>
              </w:tcPr>
            </w:tcPrChange>
          </w:tcPr>
          <w:p w14:paraId="69E0B315"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Toutes les doses (n = 147)</w:t>
            </w:r>
          </w:p>
          <w:p w14:paraId="6C431647"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400 mg (n = 73)</w:t>
            </w:r>
          </w:p>
          <w:p w14:paraId="64BA7FFA" w14:textId="77777777" w:rsidR="00EF4CB3" w:rsidRPr="00653BF6" w:rsidRDefault="00EF4CB3" w:rsidP="007F23EE">
            <w:pPr>
              <w:pStyle w:val="EndnoteText"/>
              <w:keepNext/>
              <w:tabs>
                <w:tab w:val="clear" w:pos="567"/>
              </w:tabs>
              <w:jc w:val="center"/>
              <w:rPr>
                <w:color w:val="000000"/>
                <w:szCs w:val="22"/>
                <w:lang w:val="fr-FR"/>
              </w:rPr>
            </w:pPr>
            <w:r w:rsidRPr="00653BF6">
              <w:rPr>
                <w:color w:val="000000"/>
                <w:szCs w:val="22"/>
                <w:lang w:val="fr-FR"/>
              </w:rPr>
              <w:t>600 mg (n = 74)</w:t>
            </w:r>
          </w:p>
          <w:p w14:paraId="61CC8018" w14:textId="77777777" w:rsidR="00EF4CB3" w:rsidRPr="00653BF6" w:rsidRDefault="00EF4CB3" w:rsidP="007F23EE">
            <w:pPr>
              <w:pStyle w:val="EndnoteText"/>
              <w:keepNext/>
              <w:tabs>
                <w:tab w:val="clear" w:pos="567"/>
              </w:tabs>
              <w:jc w:val="center"/>
              <w:rPr>
                <w:color w:val="000000"/>
                <w:szCs w:val="22"/>
                <w:lang w:val="fr-FR"/>
              </w:rPr>
            </w:pPr>
            <w:proofErr w:type="gramStart"/>
            <w:r w:rsidRPr="00653BF6">
              <w:rPr>
                <w:color w:val="000000"/>
                <w:szCs w:val="22"/>
                <w:lang w:val="fr-FR"/>
              </w:rPr>
              <w:t>n</w:t>
            </w:r>
            <w:proofErr w:type="gramEnd"/>
            <w:r w:rsidRPr="00653BF6">
              <w:rPr>
                <w:color w:val="000000"/>
                <w:szCs w:val="22"/>
                <w:lang w:val="fr-FR"/>
              </w:rPr>
              <w:t xml:space="preserve"> (%)</w:t>
            </w:r>
          </w:p>
        </w:tc>
      </w:tr>
      <w:tr w:rsidR="00653BF6" w:rsidRPr="00653BF6" w14:paraId="1A2C8A8E" w14:textId="77777777" w:rsidTr="00653BF6">
        <w:trPr>
          <w:cantSplit/>
          <w:trHeight w:val="255"/>
        </w:trPr>
        <w:tc>
          <w:tcPr>
            <w:tcW w:w="4248" w:type="dxa"/>
            <w:tcBorders>
              <w:left w:val="nil"/>
              <w:bottom w:val="nil"/>
            </w:tcBorders>
          </w:tcPr>
          <w:p w14:paraId="0FB1C9E0" w14:textId="6D18BE6E" w:rsidR="00653BF6" w:rsidRPr="00653BF6" w:rsidRDefault="00653BF6" w:rsidP="007F23EE">
            <w:pPr>
              <w:pStyle w:val="EndnoteText"/>
              <w:tabs>
                <w:tab w:val="clear" w:pos="567"/>
              </w:tabs>
              <w:rPr>
                <w:color w:val="000000"/>
                <w:szCs w:val="22"/>
                <w:lang w:val="fr-FR"/>
              </w:rPr>
            </w:pPr>
            <w:r w:rsidRPr="00B60E3D">
              <w:rPr>
                <w:color w:val="000000"/>
                <w:szCs w:val="22"/>
                <w:lang w:val="fr-FR"/>
              </w:rPr>
              <w:t>Réponse complète</w:t>
            </w:r>
          </w:p>
        </w:tc>
        <w:tc>
          <w:tcPr>
            <w:tcW w:w="4962" w:type="dxa"/>
            <w:tcBorders>
              <w:bottom w:val="nil"/>
              <w:right w:val="nil"/>
            </w:tcBorders>
          </w:tcPr>
          <w:p w14:paraId="620CA541" w14:textId="0624B0C1" w:rsidR="00653BF6" w:rsidRPr="00653BF6" w:rsidRDefault="00653BF6" w:rsidP="007F23EE">
            <w:pPr>
              <w:pStyle w:val="EndnoteText"/>
              <w:tabs>
                <w:tab w:val="clear" w:pos="567"/>
              </w:tabs>
              <w:jc w:val="center"/>
              <w:rPr>
                <w:color w:val="000000"/>
                <w:szCs w:val="22"/>
                <w:lang w:val="fr-FR"/>
              </w:rPr>
            </w:pPr>
            <w:r w:rsidRPr="00124AC8">
              <w:rPr>
                <w:color w:val="000000"/>
                <w:szCs w:val="22"/>
                <w:lang w:val="fr-FR"/>
              </w:rPr>
              <w:t>1 (0,7)</w:t>
            </w:r>
          </w:p>
        </w:tc>
      </w:tr>
      <w:tr w:rsidR="00653BF6" w:rsidRPr="00653BF6" w14:paraId="62C0C441" w14:textId="77777777" w:rsidTr="00653BF6">
        <w:trPr>
          <w:cantSplit/>
          <w:trHeight w:val="252"/>
        </w:trPr>
        <w:tc>
          <w:tcPr>
            <w:tcW w:w="4248" w:type="dxa"/>
            <w:tcBorders>
              <w:top w:val="nil"/>
              <w:left w:val="nil"/>
              <w:bottom w:val="nil"/>
            </w:tcBorders>
          </w:tcPr>
          <w:p w14:paraId="2FE27C21" w14:textId="694E768C" w:rsidR="00653BF6" w:rsidRPr="00653BF6" w:rsidRDefault="00653BF6" w:rsidP="007F23EE">
            <w:pPr>
              <w:pStyle w:val="EndnoteText"/>
              <w:tabs>
                <w:tab w:val="clear" w:pos="567"/>
              </w:tabs>
              <w:rPr>
                <w:color w:val="000000"/>
                <w:szCs w:val="22"/>
                <w:lang w:val="fr-FR"/>
              </w:rPr>
            </w:pPr>
            <w:r w:rsidRPr="00B60E3D">
              <w:rPr>
                <w:color w:val="000000"/>
                <w:szCs w:val="22"/>
                <w:lang w:val="fr-FR"/>
              </w:rPr>
              <w:t>Réponse partielle</w:t>
            </w:r>
          </w:p>
        </w:tc>
        <w:tc>
          <w:tcPr>
            <w:tcW w:w="4962" w:type="dxa"/>
            <w:tcBorders>
              <w:top w:val="nil"/>
              <w:bottom w:val="nil"/>
              <w:right w:val="nil"/>
            </w:tcBorders>
          </w:tcPr>
          <w:p w14:paraId="1EC0BA88" w14:textId="489D9A9A" w:rsidR="00653BF6" w:rsidRPr="00653BF6" w:rsidRDefault="00653BF6" w:rsidP="007F23EE">
            <w:pPr>
              <w:pStyle w:val="EndnoteText"/>
              <w:tabs>
                <w:tab w:val="clear" w:pos="567"/>
              </w:tabs>
              <w:jc w:val="center"/>
              <w:rPr>
                <w:color w:val="000000"/>
                <w:szCs w:val="22"/>
                <w:lang w:val="fr-FR"/>
              </w:rPr>
            </w:pPr>
            <w:r w:rsidRPr="00124AC8">
              <w:rPr>
                <w:color w:val="000000"/>
                <w:szCs w:val="22"/>
                <w:lang w:val="fr-FR"/>
              </w:rPr>
              <w:t>98 (66,7)</w:t>
            </w:r>
          </w:p>
        </w:tc>
      </w:tr>
      <w:tr w:rsidR="00653BF6" w:rsidRPr="00653BF6" w14:paraId="7771DD7F" w14:textId="77777777" w:rsidTr="00653BF6">
        <w:trPr>
          <w:cantSplit/>
          <w:trHeight w:val="252"/>
        </w:trPr>
        <w:tc>
          <w:tcPr>
            <w:tcW w:w="4248" w:type="dxa"/>
            <w:tcBorders>
              <w:top w:val="nil"/>
              <w:left w:val="nil"/>
              <w:bottom w:val="nil"/>
            </w:tcBorders>
          </w:tcPr>
          <w:p w14:paraId="1835CB15" w14:textId="0226CAFB" w:rsidR="00653BF6" w:rsidRPr="00653BF6" w:rsidRDefault="00653BF6" w:rsidP="007F23EE">
            <w:pPr>
              <w:pStyle w:val="EndnoteText"/>
              <w:tabs>
                <w:tab w:val="clear" w:pos="567"/>
              </w:tabs>
              <w:rPr>
                <w:color w:val="000000"/>
                <w:szCs w:val="22"/>
                <w:lang w:val="fr-FR"/>
              </w:rPr>
            </w:pPr>
            <w:r w:rsidRPr="00B60E3D">
              <w:rPr>
                <w:color w:val="000000"/>
                <w:szCs w:val="22"/>
                <w:lang w:val="fr-FR"/>
              </w:rPr>
              <w:t>Stabilisation de la maladie</w:t>
            </w:r>
          </w:p>
        </w:tc>
        <w:tc>
          <w:tcPr>
            <w:tcW w:w="4962" w:type="dxa"/>
            <w:tcBorders>
              <w:top w:val="nil"/>
              <w:bottom w:val="nil"/>
              <w:right w:val="nil"/>
            </w:tcBorders>
          </w:tcPr>
          <w:p w14:paraId="62BC9375" w14:textId="6140F284" w:rsidR="00653BF6" w:rsidRPr="00653BF6" w:rsidRDefault="00653BF6" w:rsidP="007F23EE">
            <w:pPr>
              <w:pStyle w:val="EndnoteText"/>
              <w:tabs>
                <w:tab w:val="clear" w:pos="567"/>
              </w:tabs>
              <w:jc w:val="center"/>
              <w:rPr>
                <w:color w:val="000000"/>
                <w:szCs w:val="22"/>
                <w:lang w:val="fr-FR"/>
              </w:rPr>
            </w:pPr>
            <w:r w:rsidRPr="00124AC8">
              <w:rPr>
                <w:color w:val="000000"/>
                <w:szCs w:val="22"/>
                <w:lang w:val="fr-FR"/>
              </w:rPr>
              <w:t>23 (15,6)</w:t>
            </w:r>
          </w:p>
        </w:tc>
      </w:tr>
      <w:tr w:rsidR="00653BF6" w:rsidRPr="00653BF6" w14:paraId="1B6E10BC" w14:textId="77777777" w:rsidTr="00653BF6">
        <w:trPr>
          <w:cantSplit/>
          <w:trHeight w:val="252"/>
        </w:trPr>
        <w:tc>
          <w:tcPr>
            <w:tcW w:w="4248" w:type="dxa"/>
            <w:tcBorders>
              <w:top w:val="nil"/>
              <w:left w:val="nil"/>
              <w:bottom w:val="nil"/>
            </w:tcBorders>
          </w:tcPr>
          <w:p w14:paraId="664B43DA" w14:textId="2545A4CD" w:rsidR="00653BF6" w:rsidRPr="00653BF6" w:rsidRDefault="00653BF6" w:rsidP="007F23EE">
            <w:pPr>
              <w:pStyle w:val="EndnoteText"/>
              <w:tabs>
                <w:tab w:val="clear" w:pos="567"/>
              </w:tabs>
              <w:rPr>
                <w:color w:val="000000"/>
                <w:szCs w:val="22"/>
                <w:lang w:val="fr-FR"/>
              </w:rPr>
            </w:pPr>
            <w:r w:rsidRPr="00B60E3D">
              <w:rPr>
                <w:color w:val="000000"/>
                <w:szCs w:val="22"/>
                <w:lang w:val="fr-FR"/>
              </w:rPr>
              <w:t>Progression de la maladie</w:t>
            </w:r>
          </w:p>
        </w:tc>
        <w:tc>
          <w:tcPr>
            <w:tcW w:w="4962" w:type="dxa"/>
            <w:tcBorders>
              <w:top w:val="nil"/>
              <w:bottom w:val="nil"/>
              <w:right w:val="nil"/>
            </w:tcBorders>
          </w:tcPr>
          <w:p w14:paraId="7076DFA1" w14:textId="13A4935D" w:rsidR="00653BF6" w:rsidRPr="00653BF6" w:rsidRDefault="00653BF6" w:rsidP="007F23EE">
            <w:pPr>
              <w:pStyle w:val="EndnoteText"/>
              <w:tabs>
                <w:tab w:val="clear" w:pos="567"/>
              </w:tabs>
              <w:jc w:val="center"/>
              <w:rPr>
                <w:color w:val="000000"/>
                <w:szCs w:val="22"/>
                <w:lang w:val="fr-FR"/>
              </w:rPr>
            </w:pPr>
            <w:r w:rsidRPr="00124AC8">
              <w:rPr>
                <w:color w:val="000000"/>
                <w:szCs w:val="22"/>
                <w:lang w:val="fr-FR"/>
              </w:rPr>
              <w:t>18 (12,2)</w:t>
            </w:r>
          </w:p>
        </w:tc>
      </w:tr>
      <w:tr w:rsidR="00653BF6" w:rsidRPr="00653BF6" w14:paraId="3C3AC68A" w14:textId="77777777" w:rsidTr="00653BF6">
        <w:trPr>
          <w:cantSplit/>
          <w:trHeight w:val="252"/>
        </w:trPr>
        <w:tc>
          <w:tcPr>
            <w:tcW w:w="4248" w:type="dxa"/>
            <w:tcBorders>
              <w:top w:val="nil"/>
              <w:left w:val="nil"/>
              <w:bottom w:val="nil"/>
            </w:tcBorders>
          </w:tcPr>
          <w:p w14:paraId="6884CFD7" w14:textId="7BD006FE" w:rsidR="00653BF6" w:rsidRPr="00653BF6" w:rsidRDefault="00653BF6" w:rsidP="007F23EE">
            <w:pPr>
              <w:pStyle w:val="EndnoteText"/>
              <w:tabs>
                <w:tab w:val="clear" w:pos="567"/>
              </w:tabs>
              <w:rPr>
                <w:color w:val="000000"/>
                <w:szCs w:val="22"/>
                <w:lang w:val="fr-FR"/>
              </w:rPr>
            </w:pPr>
            <w:r w:rsidRPr="00B60E3D">
              <w:rPr>
                <w:color w:val="000000"/>
                <w:szCs w:val="22"/>
                <w:lang w:val="fr-FR"/>
              </w:rPr>
              <w:t>Non évaluable</w:t>
            </w:r>
          </w:p>
        </w:tc>
        <w:tc>
          <w:tcPr>
            <w:tcW w:w="4962" w:type="dxa"/>
            <w:tcBorders>
              <w:top w:val="nil"/>
              <w:right w:val="nil"/>
            </w:tcBorders>
          </w:tcPr>
          <w:p w14:paraId="4A265940" w14:textId="2BB60F5C" w:rsidR="00653BF6" w:rsidRPr="00653BF6" w:rsidRDefault="00653BF6" w:rsidP="007F23EE">
            <w:pPr>
              <w:pStyle w:val="EndnoteText"/>
              <w:tabs>
                <w:tab w:val="clear" w:pos="567"/>
              </w:tabs>
              <w:jc w:val="center"/>
              <w:rPr>
                <w:color w:val="000000"/>
                <w:szCs w:val="22"/>
                <w:lang w:val="fr-FR"/>
              </w:rPr>
            </w:pPr>
            <w:r w:rsidRPr="00124AC8">
              <w:rPr>
                <w:color w:val="000000"/>
                <w:szCs w:val="22"/>
                <w:lang w:val="fr-FR"/>
              </w:rPr>
              <w:t>5 (3,4)</w:t>
            </w:r>
          </w:p>
        </w:tc>
      </w:tr>
      <w:tr w:rsidR="00653BF6" w:rsidRPr="00653BF6" w14:paraId="5AD3F344" w14:textId="77777777" w:rsidTr="00653BF6">
        <w:trPr>
          <w:cantSplit/>
          <w:trHeight w:val="252"/>
        </w:trPr>
        <w:tc>
          <w:tcPr>
            <w:tcW w:w="4248" w:type="dxa"/>
            <w:tcBorders>
              <w:top w:val="nil"/>
              <w:left w:val="nil"/>
            </w:tcBorders>
          </w:tcPr>
          <w:p w14:paraId="35DF7141" w14:textId="76A929CB" w:rsidR="00653BF6" w:rsidRPr="00653BF6" w:rsidRDefault="00653BF6" w:rsidP="007F23EE">
            <w:pPr>
              <w:pStyle w:val="EndnoteText"/>
              <w:tabs>
                <w:tab w:val="clear" w:pos="567"/>
              </w:tabs>
              <w:rPr>
                <w:color w:val="000000"/>
                <w:szCs w:val="22"/>
                <w:lang w:val="fr-FR"/>
              </w:rPr>
            </w:pPr>
            <w:r w:rsidRPr="00B60E3D">
              <w:rPr>
                <w:color w:val="000000"/>
                <w:szCs w:val="22"/>
                <w:lang w:val="fr-FR"/>
              </w:rPr>
              <w:t>Inconnu</w:t>
            </w:r>
          </w:p>
        </w:tc>
        <w:tc>
          <w:tcPr>
            <w:tcW w:w="4962" w:type="dxa"/>
            <w:tcBorders>
              <w:right w:val="nil"/>
            </w:tcBorders>
          </w:tcPr>
          <w:p w14:paraId="58088B46" w14:textId="0277F539" w:rsidR="00653BF6" w:rsidRPr="00653BF6" w:rsidRDefault="00653BF6" w:rsidP="007F23EE">
            <w:pPr>
              <w:pStyle w:val="EndnoteText"/>
              <w:tabs>
                <w:tab w:val="clear" w:pos="567"/>
              </w:tabs>
              <w:jc w:val="center"/>
              <w:rPr>
                <w:color w:val="000000"/>
                <w:szCs w:val="22"/>
                <w:lang w:val="fr-FR"/>
              </w:rPr>
            </w:pPr>
            <w:r w:rsidRPr="00124AC8">
              <w:rPr>
                <w:color w:val="000000"/>
                <w:szCs w:val="22"/>
                <w:lang w:val="fr-FR"/>
              </w:rPr>
              <w:t>2 (1,4)</w:t>
            </w:r>
          </w:p>
        </w:tc>
      </w:tr>
    </w:tbl>
    <w:p w14:paraId="39CC1831" w14:textId="77777777" w:rsidR="00EF4CB3" w:rsidRPr="00653BF6" w:rsidRDefault="00EF4CB3" w:rsidP="007F23EE">
      <w:pPr>
        <w:pStyle w:val="EndnoteText"/>
        <w:tabs>
          <w:tab w:val="clear" w:pos="567"/>
        </w:tabs>
        <w:rPr>
          <w:color w:val="000000"/>
          <w:szCs w:val="22"/>
          <w:lang w:val="fr-FR"/>
        </w:rPr>
      </w:pPr>
    </w:p>
    <w:p w14:paraId="65C8E8E3" w14:textId="57482173" w:rsidR="00EF4CB3" w:rsidRPr="00653BF6" w:rsidRDefault="00EF4CB3" w:rsidP="007F23EE">
      <w:pPr>
        <w:pStyle w:val="EndnoteText"/>
        <w:tabs>
          <w:tab w:val="clear" w:pos="567"/>
        </w:tabs>
        <w:rPr>
          <w:color w:val="000000"/>
          <w:szCs w:val="22"/>
          <w:lang w:val="fr-FR"/>
        </w:rPr>
      </w:pPr>
      <w:r w:rsidRPr="00653BF6">
        <w:rPr>
          <w:color w:val="000000"/>
          <w:szCs w:val="22"/>
          <w:lang w:val="fr-FR"/>
        </w:rPr>
        <w:t>Aucune différence des taux de réponses n</w:t>
      </w:r>
      <w:r w:rsidR="00813A7A">
        <w:rPr>
          <w:color w:val="000000"/>
          <w:szCs w:val="22"/>
          <w:lang w:val="fr-FR"/>
        </w:rPr>
        <w:t>’</w:t>
      </w:r>
      <w:r w:rsidRPr="00653BF6">
        <w:rPr>
          <w:color w:val="000000"/>
          <w:szCs w:val="22"/>
          <w:lang w:val="fr-FR"/>
        </w:rPr>
        <w:t>a été observée entre les deux groupes de dose. Un nombre important de patients qui présentaient une stabilisation de la maladie au moment de l'analyse intermédiaire a atteint une réponse partielle après une durée plus longue de traitement (médiane de suivi de 31 mois). La durée médiane pour obtenir une réponse était de 13 semaines (</w:t>
      </w:r>
      <w:ins w:id="570" w:author="Author">
        <w:r w:rsidR="007D7517" w:rsidRPr="00653BF6">
          <w:rPr>
            <w:color w:val="000000"/>
            <w:szCs w:val="22"/>
            <w:lang w:val="fr-FR"/>
          </w:rPr>
          <w:t xml:space="preserve">IC </w:t>
        </w:r>
      </w:ins>
      <w:r w:rsidRPr="00653BF6">
        <w:rPr>
          <w:color w:val="000000"/>
          <w:szCs w:val="22"/>
          <w:lang w:val="fr-FR"/>
        </w:rPr>
        <w:t>95%</w:t>
      </w:r>
      <w:del w:id="571" w:author="Author">
        <w:r w:rsidRPr="00653BF6" w:rsidDel="007D7517">
          <w:rPr>
            <w:color w:val="000000"/>
            <w:szCs w:val="22"/>
            <w:lang w:val="fr-FR"/>
          </w:rPr>
          <w:delText>IC</w:delText>
        </w:r>
      </w:del>
      <w:r w:rsidRPr="00653BF6">
        <w:rPr>
          <w:color w:val="000000"/>
          <w:szCs w:val="22"/>
          <w:lang w:val="fr-FR"/>
        </w:rPr>
        <w:t xml:space="preserve"> 12–23). La durée médiane jusqu’à échec du traitement chez les répondeurs était de 122 semaines (</w:t>
      </w:r>
      <w:ins w:id="572" w:author="Author">
        <w:r w:rsidR="007D7517" w:rsidRPr="00653BF6">
          <w:rPr>
            <w:color w:val="000000"/>
            <w:szCs w:val="22"/>
            <w:lang w:val="fr-FR"/>
          </w:rPr>
          <w:t xml:space="preserve">IC </w:t>
        </w:r>
      </w:ins>
      <w:r w:rsidRPr="00653BF6">
        <w:rPr>
          <w:color w:val="000000"/>
          <w:szCs w:val="22"/>
          <w:lang w:val="fr-FR"/>
        </w:rPr>
        <w:t>95%</w:t>
      </w:r>
      <w:del w:id="573" w:author="Author">
        <w:r w:rsidRPr="00653BF6" w:rsidDel="007D7517">
          <w:rPr>
            <w:color w:val="000000"/>
            <w:szCs w:val="22"/>
            <w:lang w:val="fr-FR"/>
          </w:rPr>
          <w:delText>IC</w:delText>
        </w:r>
      </w:del>
      <w:r w:rsidRPr="00653BF6">
        <w:rPr>
          <w:color w:val="000000"/>
          <w:szCs w:val="22"/>
          <w:lang w:val="fr-FR"/>
        </w:rPr>
        <w:t xml:space="preserve"> 106–147) alors que pour la population totale de l’étude, elle était de 84 semaines (</w:t>
      </w:r>
      <w:ins w:id="574" w:author="Author">
        <w:r w:rsidR="007D7517" w:rsidRPr="00653BF6">
          <w:rPr>
            <w:color w:val="000000"/>
            <w:szCs w:val="22"/>
            <w:lang w:val="fr-FR"/>
          </w:rPr>
          <w:t xml:space="preserve">IC </w:t>
        </w:r>
      </w:ins>
      <w:r w:rsidRPr="00653BF6">
        <w:rPr>
          <w:color w:val="000000"/>
          <w:szCs w:val="22"/>
          <w:lang w:val="fr-FR"/>
        </w:rPr>
        <w:t>95%</w:t>
      </w:r>
      <w:del w:id="575" w:author="Author">
        <w:r w:rsidRPr="00653BF6" w:rsidDel="007D7517">
          <w:rPr>
            <w:color w:val="000000"/>
            <w:szCs w:val="22"/>
            <w:lang w:val="fr-FR"/>
          </w:rPr>
          <w:delText>IC</w:delText>
        </w:r>
      </w:del>
      <w:r w:rsidRPr="00653BF6">
        <w:rPr>
          <w:color w:val="000000"/>
          <w:szCs w:val="22"/>
          <w:lang w:val="fr-FR"/>
        </w:rPr>
        <w:t xml:space="preserve"> 71–109). La durée médiane de survie globale n’a pas été atteinte. Après un suivi de 36 mois l’estimation selon Kaplan-Meier du taux de survie est de 68%.</w:t>
      </w:r>
    </w:p>
    <w:p w14:paraId="679B4B8B" w14:textId="77777777" w:rsidR="00EF4CB3" w:rsidRPr="00653BF6" w:rsidRDefault="00EF4CB3" w:rsidP="007F23EE">
      <w:pPr>
        <w:pStyle w:val="EndnoteText"/>
        <w:tabs>
          <w:tab w:val="clear" w:pos="567"/>
        </w:tabs>
        <w:rPr>
          <w:color w:val="000000"/>
          <w:szCs w:val="22"/>
          <w:lang w:val="fr-FR"/>
        </w:rPr>
      </w:pPr>
    </w:p>
    <w:p w14:paraId="4BADEFBC" w14:textId="77777777" w:rsidR="00EF4CB3" w:rsidRPr="00653BF6" w:rsidRDefault="00EF4CB3" w:rsidP="007F23EE">
      <w:pPr>
        <w:pStyle w:val="EndnoteText"/>
        <w:tabs>
          <w:tab w:val="clear" w:pos="567"/>
        </w:tabs>
        <w:rPr>
          <w:color w:val="000000"/>
          <w:szCs w:val="22"/>
          <w:lang w:val="fr-FR"/>
        </w:rPr>
      </w:pPr>
      <w:r w:rsidRPr="00653BF6">
        <w:rPr>
          <w:color w:val="000000"/>
          <w:szCs w:val="22"/>
          <w:lang w:val="fr-FR"/>
        </w:rPr>
        <w:t>Dans les deux études cliniques (étude B2222 et étude intergroupe S0033), la dose quotidienne de Glivec a été augmentée à 800 mg chez les patients qui progressaient aux plus faibles doses de 400 mg ou 600 mg par jour. Au total 103 patients ont eu une augmentation de doses à 800 mg : 6 patients ont atteint une réponse partielle et 21 une stabilisation de leur maladie après augmentation de la dose pour un bénéfice clinique global de 26%. Sur la base des données de tolérance disponibles, l’augmentation de dose quotidienne à 800 mg chez des patients progressant aux plus faibles doses de 400 mg ou 600 mg par jour ne semble pas affecter le profil de sécurité d’emploi de Glivec.</w:t>
      </w:r>
    </w:p>
    <w:p w14:paraId="6AD2C9C6" w14:textId="77777777" w:rsidR="00EF4CB3" w:rsidRPr="00653BF6" w:rsidRDefault="00EF4CB3" w:rsidP="007F23EE">
      <w:pPr>
        <w:pStyle w:val="EndnoteText"/>
        <w:tabs>
          <w:tab w:val="clear" w:pos="567"/>
        </w:tabs>
        <w:rPr>
          <w:color w:val="000000"/>
          <w:szCs w:val="22"/>
          <w:lang w:val="fr-FR"/>
        </w:rPr>
      </w:pPr>
    </w:p>
    <w:p w14:paraId="33939FE6" w14:textId="71A49AD9" w:rsidR="00EF4CB3" w:rsidRPr="00653BF6" w:rsidRDefault="00EF4CB3" w:rsidP="007F23EE">
      <w:pPr>
        <w:pStyle w:val="EndnoteText"/>
        <w:keepNext/>
        <w:tabs>
          <w:tab w:val="clear" w:pos="567"/>
        </w:tabs>
        <w:rPr>
          <w:color w:val="000000"/>
          <w:szCs w:val="22"/>
          <w:u w:val="single"/>
          <w:lang w:val="fr-FR"/>
        </w:rPr>
      </w:pPr>
      <w:r w:rsidRPr="00653BF6">
        <w:rPr>
          <w:color w:val="000000"/>
          <w:szCs w:val="22"/>
          <w:u w:val="single"/>
          <w:lang w:val="fr-FR"/>
        </w:rPr>
        <w:lastRenderedPageBreak/>
        <w:t>Etudes cliniques dans le traitement adjuvant des GIST</w:t>
      </w:r>
    </w:p>
    <w:p w14:paraId="52D57B14" w14:textId="77777777" w:rsidR="0028607D" w:rsidRPr="00653BF6" w:rsidRDefault="0028607D" w:rsidP="007F23EE">
      <w:pPr>
        <w:pStyle w:val="EndnoteText"/>
        <w:keepNext/>
        <w:tabs>
          <w:tab w:val="clear" w:pos="567"/>
        </w:tabs>
        <w:rPr>
          <w:color w:val="000000"/>
          <w:szCs w:val="22"/>
          <w:u w:val="single"/>
          <w:lang w:val="fr-FR"/>
        </w:rPr>
      </w:pPr>
    </w:p>
    <w:p w14:paraId="416A14D8" w14:textId="0C3070DB" w:rsidR="00EF4CB3" w:rsidRPr="00653BF6" w:rsidRDefault="00EF4CB3" w:rsidP="007F23EE">
      <w:pPr>
        <w:pStyle w:val="EndnoteText"/>
        <w:tabs>
          <w:tab w:val="clear" w:pos="567"/>
        </w:tabs>
        <w:rPr>
          <w:color w:val="000000"/>
          <w:szCs w:val="22"/>
          <w:lang w:val="fr-FR"/>
        </w:rPr>
      </w:pPr>
      <w:r w:rsidRPr="00653BF6">
        <w:rPr>
          <w:color w:val="000000"/>
          <w:szCs w:val="22"/>
          <w:lang w:val="fr-FR"/>
        </w:rPr>
        <w:t xml:space="preserve">Dans le cadre du traitement adjuvant, Glivec a été étudié dans une étude clinique de phase </w:t>
      </w:r>
      <w:smartTag w:uri="urn:schemas-microsoft-com:office:smarttags" w:element="stockticker">
        <w:r w:rsidRPr="00653BF6">
          <w:rPr>
            <w:color w:val="000000"/>
            <w:szCs w:val="22"/>
            <w:lang w:val="fr-FR"/>
          </w:rPr>
          <w:t>III</w:t>
        </w:r>
      </w:smartTag>
      <w:r w:rsidRPr="00653BF6">
        <w:rPr>
          <w:color w:val="000000"/>
          <w:szCs w:val="22"/>
          <w:lang w:val="fr-FR"/>
        </w:rPr>
        <w:t xml:space="preserve"> multicentrique contrôlée menée en double aveugle </w:t>
      </w:r>
      <w:r w:rsidRPr="00653BF6">
        <w:rPr>
          <w:i/>
          <w:color w:val="000000"/>
          <w:szCs w:val="22"/>
          <w:lang w:val="fr-FR"/>
        </w:rPr>
        <w:t>versus</w:t>
      </w:r>
      <w:r w:rsidRPr="00653BF6">
        <w:rPr>
          <w:color w:val="000000"/>
          <w:szCs w:val="22"/>
          <w:lang w:val="fr-FR"/>
        </w:rPr>
        <w:t xml:space="preserve"> placebo (Z9001) impliquant 773 patients. Leur âge était de 18 à 91 ans. Les patients inclus avaient eu un diagnostic histologique confirmé de GIST avec immunohistochimie positive pour Kit et une taille tumorale </w:t>
      </w:r>
      <w:r w:rsidRPr="00653BF6">
        <w:rPr>
          <w:color w:val="000000"/>
          <w:szCs w:val="22"/>
          <w:lang w:val="fr-FR"/>
        </w:rPr>
        <w:sym w:font="Symbol" w:char="F0B3"/>
      </w:r>
      <w:ins w:id="576" w:author="Author">
        <w:r w:rsidR="007D7517" w:rsidRPr="00653BF6">
          <w:rPr>
            <w:color w:val="000000"/>
            <w:szCs w:val="22"/>
            <w:lang w:val="fr-FR"/>
          </w:rPr>
          <w:t> </w:t>
        </w:r>
      </w:ins>
      <w:r w:rsidRPr="00653BF6">
        <w:rPr>
          <w:color w:val="000000"/>
          <w:szCs w:val="22"/>
          <w:lang w:val="fr-FR"/>
        </w:rPr>
        <w:t>3 cm au maximum, avec une résection complète de la masse tumorale dans les 14 à 70 jours précédents l’inclusion. Après la résection du GIST primaire, les patients étaient randomisés dans l’un des deux bras : Glivec à 400 mg/j ou le placebo correspondant pendant un an.</w:t>
      </w:r>
    </w:p>
    <w:p w14:paraId="1DAE7797" w14:textId="77777777" w:rsidR="00EF4CB3" w:rsidRPr="00653BF6" w:rsidRDefault="00EF4CB3" w:rsidP="007F23EE">
      <w:pPr>
        <w:pStyle w:val="EndnoteText"/>
        <w:tabs>
          <w:tab w:val="clear" w:pos="567"/>
        </w:tabs>
        <w:rPr>
          <w:color w:val="000000"/>
          <w:szCs w:val="22"/>
          <w:lang w:val="fr-FR"/>
        </w:rPr>
      </w:pPr>
    </w:p>
    <w:p w14:paraId="492E9C85" w14:textId="409FFE24" w:rsidR="00EF4CB3" w:rsidRPr="00653BF6" w:rsidRDefault="00EF4CB3" w:rsidP="007F23EE">
      <w:pPr>
        <w:pStyle w:val="EndnoteText"/>
        <w:tabs>
          <w:tab w:val="clear" w:pos="567"/>
        </w:tabs>
        <w:rPr>
          <w:color w:val="000000"/>
          <w:szCs w:val="22"/>
          <w:lang w:val="fr-FR"/>
        </w:rPr>
      </w:pPr>
      <w:r w:rsidRPr="00653BF6">
        <w:rPr>
          <w:color w:val="000000"/>
          <w:szCs w:val="22"/>
          <w:lang w:val="fr-FR"/>
        </w:rPr>
        <w:t>Le critère primaire de l’étude était la survie sans rechute, définie comme le délai entre la date de randomisation jusqu’à la date d’une rechute ou d’un déc</w:t>
      </w:r>
      <w:r w:rsidR="00A2334D" w:rsidRPr="00653BF6">
        <w:rPr>
          <w:color w:val="000000"/>
          <w:szCs w:val="22"/>
          <w:lang w:val="fr-FR"/>
        </w:rPr>
        <w:t>è</w:t>
      </w:r>
      <w:r w:rsidRPr="00653BF6">
        <w:rPr>
          <w:color w:val="000000"/>
          <w:szCs w:val="22"/>
          <w:lang w:val="fr-FR"/>
        </w:rPr>
        <w:t>s quelle que soit la cause.</w:t>
      </w:r>
    </w:p>
    <w:p w14:paraId="1C376ACB" w14:textId="77777777" w:rsidR="00EF4CB3" w:rsidRPr="00653BF6" w:rsidRDefault="00EF4CB3" w:rsidP="007F23EE">
      <w:pPr>
        <w:pStyle w:val="EndnoteText"/>
        <w:tabs>
          <w:tab w:val="clear" w:pos="567"/>
        </w:tabs>
        <w:rPr>
          <w:color w:val="000000"/>
          <w:szCs w:val="22"/>
          <w:lang w:val="fr-FR"/>
        </w:rPr>
      </w:pPr>
    </w:p>
    <w:p w14:paraId="1508A45F" w14:textId="723DB285" w:rsidR="00EF4CB3" w:rsidRPr="00653BF6" w:rsidRDefault="00EF4CB3" w:rsidP="007F23EE">
      <w:pPr>
        <w:pStyle w:val="EndnoteText"/>
        <w:tabs>
          <w:tab w:val="clear" w:pos="567"/>
        </w:tabs>
        <w:rPr>
          <w:color w:val="000000"/>
          <w:szCs w:val="22"/>
          <w:lang w:val="fr-FR"/>
        </w:rPr>
      </w:pPr>
      <w:r w:rsidRPr="00653BF6">
        <w:rPr>
          <w:color w:val="000000"/>
          <w:szCs w:val="22"/>
          <w:lang w:val="fr-FR"/>
        </w:rPr>
        <w:t>Glivec a prolongé significativement la survie sans rechute, 75% des patients étaient sans rechute à 38 mois dans le groupe Glivec versus 20 mois dans le groupe placebo (</w:t>
      </w:r>
      <w:ins w:id="577" w:author="Author">
        <w:r w:rsidR="005C2236" w:rsidRPr="00653BF6">
          <w:rPr>
            <w:color w:val="000000"/>
            <w:szCs w:val="22"/>
            <w:lang w:val="fr-FR"/>
          </w:rPr>
          <w:t xml:space="preserve">IC </w:t>
        </w:r>
      </w:ins>
      <w:r w:rsidRPr="00653BF6">
        <w:rPr>
          <w:color w:val="000000"/>
          <w:szCs w:val="22"/>
          <w:lang w:val="fr-FR"/>
        </w:rPr>
        <w:t>95%</w:t>
      </w:r>
      <w:del w:id="578" w:author="Author">
        <w:r w:rsidRPr="00653BF6" w:rsidDel="005C2236">
          <w:rPr>
            <w:color w:val="000000"/>
            <w:szCs w:val="22"/>
            <w:lang w:val="fr-FR"/>
          </w:rPr>
          <w:delText>ICs</w:delText>
        </w:r>
      </w:del>
      <w:r w:rsidRPr="00653BF6">
        <w:rPr>
          <w:color w:val="000000"/>
          <w:szCs w:val="22"/>
          <w:lang w:val="fr-FR"/>
        </w:rPr>
        <w:t xml:space="preserve"> [30- non estimable] ; [14- non estimable], respectivement) : (</w:t>
      </w:r>
      <w:proofErr w:type="spellStart"/>
      <w:r w:rsidRPr="00653BF6">
        <w:rPr>
          <w:color w:val="000000"/>
          <w:szCs w:val="22"/>
          <w:lang w:val="fr-FR"/>
        </w:rPr>
        <w:t>hazard</w:t>
      </w:r>
      <w:proofErr w:type="spellEnd"/>
      <w:r w:rsidRPr="00653BF6">
        <w:rPr>
          <w:color w:val="000000"/>
          <w:szCs w:val="22"/>
          <w:lang w:val="fr-FR"/>
        </w:rPr>
        <w:t xml:space="preserve"> ratio</w:t>
      </w:r>
      <w:ins w:id="579" w:author="Author">
        <w:r w:rsidR="00653BF6">
          <w:rPr>
            <w:color w:val="000000"/>
            <w:szCs w:val="22"/>
            <w:lang w:val="fr-FR"/>
          </w:rPr>
          <w:t> </w:t>
        </w:r>
      </w:ins>
      <w:del w:id="580" w:author="Author">
        <w:r w:rsidRPr="00653BF6" w:rsidDel="00653BF6">
          <w:rPr>
            <w:color w:val="000000"/>
            <w:szCs w:val="22"/>
            <w:lang w:val="fr-FR"/>
          </w:rPr>
          <w:delText xml:space="preserve"> </w:delText>
        </w:r>
      </w:del>
      <w:r w:rsidRPr="00653BF6">
        <w:rPr>
          <w:color w:val="000000"/>
          <w:szCs w:val="22"/>
          <w:lang w:val="fr-FR"/>
        </w:rPr>
        <w:t>=</w:t>
      </w:r>
      <w:del w:id="581" w:author="Author">
        <w:r w:rsidRPr="00653BF6" w:rsidDel="00653BF6">
          <w:rPr>
            <w:color w:val="000000"/>
            <w:szCs w:val="22"/>
            <w:lang w:val="fr-FR"/>
          </w:rPr>
          <w:delText xml:space="preserve"> </w:delText>
        </w:r>
      </w:del>
      <w:ins w:id="582" w:author="Author">
        <w:r w:rsidR="00653BF6">
          <w:rPr>
            <w:color w:val="000000"/>
            <w:szCs w:val="22"/>
            <w:lang w:val="fr-FR"/>
          </w:rPr>
          <w:t> </w:t>
        </w:r>
      </w:ins>
      <w:r w:rsidRPr="00653BF6">
        <w:rPr>
          <w:color w:val="000000"/>
          <w:szCs w:val="22"/>
          <w:lang w:val="fr-FR"/>
        </w:rPr>
        <w:t>0,398 [0,259</w:t>
      </w:r>
      <w:r w:rsidRPr="00653BF6">
        <w:rPr>
          <w:color w:val="000000"/>
          <w:szCs w:val="22"/>
          <w:lang w:val="fr-FR"/>
        </w:rPr>
        <w:noBreakHyphen/>
        <w:t>0,610], p</w:t>
      </w:r>
      <w:ins w:id="583" w:author="Author">
        <w:r w:rsidR="007D7517" w:rsidRPr="00653BF6">
          <w:rPr>
            <w:color w:val="000000"/>
            <w:szCs w:val="22"/>
            <w:lang w:val="fr-FR"/>
          </w:rPr>
          <w:t> </w:t>
        </w:r>
      </w:ins>
      <w:r w:rsidRPr="00653BF6">
        <w:rPr>
          <w:color w:val="000000"/>
          <w:szCs w:val="22"/>
          <w:lang w:val="fr-FR"/>
        </w:rPr>
        <w:t>&lt;</w:t>
      </w:r>
      <w:ins w:id="584" w:author="Author">
        <w:r w:rsidR="007D7517" w:rsidRPr="00653BF6">
          <w:rPr>
            <w:color w:val="000000"/>
            <w:szCs w:val="22"/>
            <w:lang w:val="fr-FR"/>
          </w:rPr>
          <w:t> </w:t>
        </w:r>
      </w:ins>
      <w:r w:rsidRPr="00653BF6">
        <w:rPr>
          <w:color w:val="000000"/>
          <w:szCs w:val="22"/>
          <w:lang w:val="fr-FR"/>
        </w:rPr>
        <w:t xml:space="preserve">0.0001). A un an la survie sans rechute globale était significativement meilleure pour Glivec (97,7%) </w:t>
      </w:r>
      <w:r w:rsidRPr="00653BF6">
        <w:rPr>
          <w:i/>
          <w:color w:val="000000"/>
          <w:szCs w:val="22"/>
          <w:lang w:val="fr-FR"/>
        </w:rPr>
        <w:t>versus</w:t>
      </w:r>
      <w:r w:rsidRPr="00653BF6">
        <w:rPr>
          <w:color w:val="000000"/>
          <w:szCs w:val="22"/>
          <w:lang w:val="fr-FR"/>
        </w:rPr>
        <w:t xml:space="preserve"> placebo (82,3%), (p</w:t>
      </w:r>
      <w:ins w:id="585" w:author="Author">
        <w:r w:rsidR="007D7517" w:rsidRPr="00653BF6">
          <w:rPr>
            <w:color w:val="000000"/>
            <w:szCs w:val="22"/>
            <w:lang w:val="fr-FR"/>
          </w:rPr>
          <w:t> </w:t>
        </w:r>
      </w:ins>
      <w:r w:rsidRPr="00653BF6">
        <w:rPr>
          <w:color w:val="000000"/>
          <w:szCs w:val="22"/>
          <w:lang w:val="fr-FR"/>
        </w:rPr>
        <w:t>&lt;</w:t>
      </w:r>
      <w:ins w:id="586" w:author="Author">
        <w:r w:rsidR="007D7517" w:rsidRPr="00653BF6">
          <w:rPr>
            <w:color w:val="000000"/>
            <w:szCs w:val="22"/>
            <w:lang w:val="fr-FR"/>
          </w:rPr>
          <w:t> </w:t>
        </w:r>
      </w:ins>
      <w:r w:rsidRPr="00653BF6">
        <w:rPr>
          <w:color w:val="000000"/>
          <w:szCs w:val="22"/>
          <w:lang w:val="fr-FR"/>
        </w:rPr>
        <w:t>0,0001). Le risque de rechute était réduit de 89% approximativement par comparaison au placebo (</w:t>
      </w:r>
      <w:proofErr w:type="spellStart"/>
      <w:r w:rsidRPr="00653BF6">
        <w:rPr>
          <w:color w:val="000000"/>
          <w:szCs w:val="22"/>
          <w:lang w:val="fr-FR"/>
        </w:rPr>
        <w:t>hazard</w:t>
      </w:r>
      <w:proofErr w:type="spellEnd"/>
      <w:r w:rsidRPr="00653BF6">
        <w:rPr>
          <w:color w:val="000000"/>
          <w:szCs w:val="22"/>
          <w:lang w:val="fr-FR"/>
        </w:rPr>
        <w:t xml:space="preserve"> ratio</w:t>
      </w:r>
      <w:ins w:id="587" w:author="Author">
        <w:r w:rsidR="00653BF6">
          <w:rPr>
            <w:color w:val="000000"/>
            <w:szCs w:val="22"/>
            <w:lang w:val="fr-FR"/>
          </w:rPr>
          <w:t> </w:t>
        </w:r>
      </w:ins>
      <w:del w:id="588" w:author="Author">
        <w:r w:rsidRPr="00653BF6" w:rsidDel="00653BF6">
          <w:rPr>
            <w:color w:val="000000"/>
            <w:szCs w:val="22"/>
            <w:lang w:val="fr-FR"/>
          </w:rPr>
          <w:delText xml:space="preserve"> </w:delText>
        </w:r>
      </w:del>
      <w:r w:rsidRPr="00653BF6">
        <w:rPr>
          <w:color w:val="000000"/>
          <w:szCs w:val="22"/>
          <w:lang w:val="fr-FR"/>
        </w:rPr>
        <w:t>=</w:t>
      </w:r>
      <w:ins w:id="589" w:author="Author">
        <w:r w:rsidR="00653BF6">
          <w:rPr>
            <w:color w:val="000000"/>
            <w:szCs w:val="22"/>
            <w:lang w:val="fr-FR"/>
          </w:rPr>
          <w:t> </w:t>
        </w:r>
      </w:ins>
      <w:del w:id="590" w:author="Author">
        <w:r w:rsidRPr="00653BF6" w:rsidDel="00653BF6">
          <w:rPr>
            <w:color w:val="000000"/>
            <w:szCs w:val="22"/>
            <w:lang w:val="fr-FR"/>
          </w:rPr>
          <w:delText xml:space="preserve"> </w:delText>
        </w:r>
      </w:del>
      <w:r w:rsidRPr="00653BF6">
        <w:rPr>
          <w:color w:val="000000"/>
          <w:szCs w:val="22"/>
          <w:lang w:val="fr-FR"/>
        </w:rPr>
        <w:t>0,113 [0,049</w:t>
      </w:r>
      <w:r w:rsidRPr="00653BF6">
        <w:rPr>
          <w:color w:val="000000"/>
          <w:szCs w:val="22"/>
          <w:lang w:val="fr-FR"/>
        </w:rPr>
        <w:noBreakHyphen/>
        <w:t>0,264]).</w:t>
      </w:r>
    </w:p>
    <w:p w14:paraId="079693F3" w14:textId="77777777" w:rsidR="00EF4CB3" w:rsidRPr="00653BF6" w:rsidRDefault="00EF4CB3" w:rsidP="007F23EE">
      <w:pPr>
        <w:pStyle w:val="EndnoteText"/>
        <w:tabs>
          <w:tab w:val="clear" w:pos="567"/>
        </w:tabs>
        <w:rPr>
          <w:color w:val="000000"/>
          <w:szCs w:val="22"/>
          <w:lang w:val="fr-FR"/>
        </w:rPr>
      </w:pPr>
    </w:p>
    <w:p w14:paraId="36B69709" w14:textId="0B35F7C2" w:rsidR="00EF4CB3" w:rsidRPr="00653BF6" w:rsidRDefault="00EF4CB3" w:rsidP="007F23EE">
      <w:pPr>
        <w:pStyle w:val="EndnoteText"/>
        <w:tabs>
          <w:tab w:val="clear" w:pos="567"/>
        </w:tabs>
        <w:rPr>
          <w:color w:val="000000"/>
          <w:szCs w:val="22"/>
          <w:lang w:val="fr-FR"/>
        </w:rPr>
      </w:pPr>
      <w:r w:rsidRPr="00653BF6">
        <w:rPr>
          <w:color w:val="000000"/>
          <w:szCs w:val="22"/>
          <w:lang w:val="fr-FR"/>
        </w:rPr>
        <w:t>Le risque de rechute après chirurgie chez des patients atteints de GIST</w:t>
      </w:r>
      <w:ins w:id="591" w:author="Author">
        <w:r w:rsidR="00AB5C43" w:rsidRPr="00653BF6">
          <w:rPr>
            <w:color w:val="000000"/>
            <w:szCs w:val="22"/>
            <w:lang w:val="fr-FR"/>
          </w:rPr>
          <w:t xml:space="preserve"> </w:t>
        </w:r>
      </w:ins>
      <w:r w:rsidRPr="00653BF6">
        <w:rPr>
          <w:color w:val="000000"/>
          <w:szCs w:val="22"/>
          <w:lang w:val="fr-FR"/>
        </w:rPr>
        <w:t>a été évalué rétrospectivement en fonction des facteurs pronostiques suivants : taille de la tumeur, index mitotique, localisation de la tumeur. Les valeurs de l’index mitotique étaient disponibles chez 556 patients sur les 713 patients de la population en intention de traiter (</w:t>
      </w:r>
      <w:smartTag w:uri="urn:schemas-microsoft-com:office:smarttags" w:element="stockticker">
        <w:r w:rsidRPr="00653BF6">
          <w:rPr>
            <w:color w:val="000000"/>
            <w:szCs w:val="22"/>
            <w:lang w:val="fr-FR"/>
          </w:rPr>
          <w:t>ITT</w:t>
        </w:r>
      </w:smartTag>
      <w:r w:rsidRPr="00653BF6">
        <w:rPr>
          <w:color w:val="000000"/>
          <w:szCs w:val="22"/>
          <w:lang w:val="fr-FR"/>
        </w:rPr>
        <w:t>). Les résultats de l’analyse en sous-groupes selon les classifications de risque NIH « </w:t>
      </w:r>
      <w:r w:rsidRPr="005205FF">
        <w:rPr>
          <w:i/>
          <w:iCs/>
          <w:color w:val="000000"/>
          <w:szCs w:val="22"/>
          <w:lang w:val="fr-FR"/>
          <w:rPrChange w:id="592" w:author="Author">
            <w:rPr>
              <w:color w:val="000000"/>
              <w:szCs w:val="22"/>
              <w:lang w:val="fr-FR"/>
            </w:rPr>
          </w:rPrChange>
        </w:rPr>
        <w:t xml:space="preserve">United States National Institutes of </w:t>
      </w:r>
      <w:proofErr w:type="spellStart"/>
      <w:r w:rsidRPr="005205FF">
        <w:rPr>
          <w:i/>
          <w:iCs/>
          <w:color w:val="000000"/>
          <w:szCs w:val="22"/>
          <w:lang w:val="fr-FR"/>
          <w:rPrChange w:id="593" w:author="Author">
            <w:rPr>
              <w:color w:val="000000"/>
              <w:szCs w:val="22"/>
              <w:lang w:val="fr-FR"/>
            </w:rPr>
          </w:rPrChange>
        </w:rPr>
        <w:t>Health</w:t>
      </w:r>
      <w:proofErr w:type="spellEnd"/>
      <w:r w:rsidRPr="00653BF6">
        <w:rPr>
          <w:color w:val="000000"/>
          <w:szCs w:val="22"/>
          <w:lang w:val="fr-FR"/>
        </w:rPr>
        <w:t> » et AFIP « </w:t>
      </w:r>
      <w:proofErr w:type="spellStart"/>
      <w:r w:rsidRPr="005205FF">
        <w:rPr>
          <w:i/>
          <w:iCs/>
          <w:color w:val="000000"/>
          <w:szCs w:val="22"/>
          <w:lang w:val="fr-FR"/>
          <w:rPrChange w:id="594" w:author="Author">
            <w:rPr>
              <w:color w:val="000000"/>
              <w:szCs w:val="22"/>
              <w:lang w:val="fr-FR"/>
            </w:rPr>
          </w:rPrChange>
        </w:rPr>
        <w:t>Armed</w:t>
      </w:r>
      <w:proofErr w:type="spellEnd"/>
      <w:r w:rsidRPr="005205FF">
        <w:rPr>
          <w:i/>
          <w:iCs/>
          <w:color w:val="000000"/>
          <w:szCs w:val="22"/>
          <w:lang w:val="fr-FR"/>
          <w:rPrChange w:id="595" w:author="Author">
            <w:rPr>
              <w:color w:val="000000"/>
              <w:szCs w:val="22"/>
              <w:lang w:val="fr-FR"/>
            </w:rPr>
          </w:rPrChange>
        </w:rPr>
        <w:t xml:space="preserve"> Forces Institute of </w:t>
      </w:r>
      <w:proofErr w:type="spellStart"/>
      <w:r w:rsidRPr="005205FF">
        <w:rPr>
          <w:i/>
          <w:iCs/>
          <w:color w:val="000000"/>
          <w:szCs w:val="22"/>
          <w:lang w:val="fr-FR"/>
          <w:rPrChange w:id="596" w:author="Author">
            <w:rPr>
              <w:color w:val="000000"/>
              <w:szCs w:val="22"/>
              <w:lang w:val="fr-FR"/>
            </w:rPr>
          </w:rPrChange>
        </w:rPr>
        <w:t>Pathology</w:t>
      </w:r>
      <w:proofErr w:type="spellEnd"/>
      <w:r w:rsidRPr="00653BF6">
        <w:rPr>
          <w:color w:val="000000"/>
          <w:szCs w:val="22"/>
          <w:lang w:val="fr-FR"/>
        </w:rPr>
        <w:t> » sont présentés dans le Tableau </w:t>
      </w:r>
      <w:r w:rsidR="00A239AE" w:rsidRPr="00653BF6">
        <w:rPr>
          <w:color w:val="000000"/>
          <w:szCs w:val="22"/>
          <w:lang w:val="fr-FR"/>
        </w:rPr>
        <w:t>7</w:t>
      </w:r>
      <w:r w:rsidRPr="00653BF6">
        <w:rPr>
          <w:color w:val="000000"/>
          <w:szCs w:val="22"/>
          <w:lang w:val="fr-FR"/>
        </w:rPr>
        <w:t>. Aucun bénéfice n’a été observé dans les groupes à faible et très faible risque. Il n’a pas été observé de bénéfice sur la survie globale.</w:t>
      </w:r>
    </w:p>
    <w:p w14:paraId="15CD123C" w14:textId="77777777" w:rsidR="00EF4CB3" w:rsidRPr="00653BF6" w:rsidRDefault="00EF4CB3" w:rsidP="007F23EE">
      <w:pPr>
        <w:pStyle w:val="EndnoteText"/>
        <w:tabs>
          <w:tab w:val="clear" w:pos="567"/>
        </w:tabs>
        <w:rPr>
          <w:color w:val="000000"/>
          <w:szCs w:val="22"/>
          <w:lang w:val="fr-FR"/>
        </w:rPr>
      </w:pPr>
    </w:p>
    <w:p w14:paraId="774132BA" w14:textId="54E58D3C" w:rsidR="00EF4CB3" w:rsidRPr="00653BF6" w:rsidRDefault="00EF4CB3" w:rsidP="007F23EE">
      <w:pPr>
        <w:keepNext/>
        <w:ind w:left="1134" w:hanging="1134"/>
        <w:rPr>
          <w:rFonts w:ascii="Times New Roman" w:eastAsia="MS Mincho" w:hAnsi="Times New Roman"/>
          <w:b/>
          <w:bCs/>
          <w:lang w:eastAsia="ja-JP"/>
        </w:rPr>
      </w:pPr>
      <w:r w:rsidRPr="00653BF6">
        <w:rPr>
          <w:rFonts w:ascii="Times New Roman" w:eastAsia="MS Mincho" w:hAnsi="Times New Roman"/>
          <w:b/>
          <w:bCs/>
          <w:lang w:eastAsia="ja-JP"/>
        </w:rPr>
        <w:t>Tableau </w:t>
      </w:r>
      <w:r w:rsidR="00A239AE" w:rsidRPr="00653BF6">
        <w:rPr>
          <w:rFonts w:ascii="Times New Roman" w:eastAsia="MS Mincho" w:hAnsi="Times New Roman"/>
          <w:b/>
          <w:bCs/>
          <w:lang w:eastAsia="ja-JP"/>
        </w:rPr>
        <w:t>7</w:t>
      </w:r>
      <w:r w:rsidRPr="00653BF6">
        <w:rPr>
          <w:rFonts w:ascii="Times New Roman" w:eastAsia="MS Mincho" w:hAnsi="Times New Roman"/>
          <w:b/>
          <w:bCs/>
          <w:lang w:eastAsia="ja-JP"/>
        </w:rPr>
        <w:tab/>
        <w:t>Résumé des r</w:t>
      </w:r>
      <w:r w:rsidR="003A71E7" w:rsidRPr="00653BF6">
        <w:rPr>
          <w:rFonts w:ascii="Times New Roman" w:eastAsia="MS Mincho" w:hAnsi="Times New Roman"/>
          <w:b/>
          <w:bCs/>
          <w:lang w:eastAsia="ja-JP"/>
        </w:rPr>
        <w:t>é</w:t>
      </w:r>
      <w:r w:rsidRPr="00653BF6">
        <w:rPr>
          <w:rFonts w:ascii="Times New Roman" w:eastAsia="MS Mincho" w:hAnsi="Times New Roman"/>
          <w:b/>
          <w:bCs/>
          <w:lang w:eastAsia="ja-JP"/>
        </w:rPr>
        <w:t>sultats de l’analyse de la survie sans rechute selon les classifications NIH et AFIP de l’étude Z9001</w:t>
      </w:r>
    </w:p>
    <w:p w14:paraId="1B440CD9" w14:textId="77777777" w:rsidR="00EF4CB3" w:rsidRPr="00653BF6" w:rsidRDefault="00EF4CB3" w:rsidP="007F23EE">
      <w:pPr>
        <w:keepNext/>
        <w:rPr>
          <w:rFonts w:ascii="Times New Roman" w:eastAsia="MS Mincho" w:hAnsi="Times New Roman"/>
          <w:color w:val="000000"/>
          <w:lang w:eastAsia="ja-JP"/>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417"/>
        <w:gridCol w:w="986"/>
        <w:gridCol w:w="2083"/>
        <w:gridCol w:w="1800"/>
        <w:gridCol w:w="1440"/>
        <w:gridCol w:w="1360"/>
        <w:tblGridChange w:id="597">
          <w:tblGrid>
            <w:gridCol w:w="1101"/>
            <w:gridCol w:w="1417"/>
            <w:gridCol w:w="986"/>
            <w:gridCol w:w="2083"/>
            <w:gridCol w:w="1800"/>
            <w:gridCol w:w="1440"/>
            <w:gridCol w:w="1360"/>
          </w:tblGrid>
        </w:tblGridChange>
      </w:tblGrid>
      <w:tr w:rsidR="00EF4CB3" w:rsidRPr="00653BF6" w14:paraId="340EA65E" w14:textId="77777777" w:rsidTr="000A7F49">
        <w:trPr>
          <w:cantSplit/>
        </w:trPr>
        <w:tc>
          <w:tcPr>
            <w:tcW w:w="1101" w:type="dxa"/>
            <w:vMerge w:val="restart"/>
          </w:tcPr>
          <w:p w14:paraId="1CAD9D4D" w14:textId="0BEC4BFD" w:rsidR="00EF4CB3" w:rsidRPr="00653BF6" w:rsidRDefault="00EF4CB3" w:rsidP="007F23EE">
            <w:pPr>
              <w:pStyle w:val="Table"/>
              <w:keepLines w:val="0"/>
              <w:tabs>
                <w:tab w:val="left" w:pos="567"/>
              </w:tabs>
              <w:spacing w:before="0" w:line="260" w:lineRule="exact"/>
              <w:jc w:val="center"/>
              <w:rPr>
                <w:rFonts w:ascii="Times New Roman" w:hAnsi="Times New Roman"/>
                <w:b/>
                <w:color w:val="000000"/>
                <w:sz w:val="22"/>
                <w:szCs w:val="22"/>
                <w:lang w:val="fr-FR"/>
              </w:rPr>
              <w:pPrChange w:id="598" w:author="Author">
                <w:pPr>
                  <w:pStyle w:val="Table"/>
                  <w:keepLines w:val="0"/>
                  <w:tabs>
                    <w:tab w:val="left" w:pos="567"/>
                  </w:tabs>
                  <w:spacing w:before="120" w:line="260" w:lineRule="exact"/>
                  <w:jc w:val="center"/>
                </w:pPr>
              </w:pPrChange>
            </w:pPr>
            <w:r w:rsidRPr="00653BF6">
              <w:rPr>
                <w:rFonts w:ascii="Times New Roman" w:hAnsi="Times New Roman"/>
                <w:b/>
                <w:color w:val="000000"/>
                <w:sz w:val="22"/>
                <w:szCs w:val="22"/>
                <w:lang w:val="fr-FR"/>
              </w:rPr>
              <w:t>Critères</w:t>
            </w:r>
            <w:r w:rsidR="003A71E7" w:rsidRPr="00653BF6">
              <w:rPr>
                <w:rFonts w:ascii="Times New Roman" w:hAnsi="Times New Roman"/>
                <w:b/>
                <w:color w:val="000000"/>
                <w:sz w:val="22"/>
                <w:szCs w:val="22"/>
                <w:lang w:val="fr-FR"/>
              </w:rPr>
              <w:t xml:space="preserve"> </w:t>
            </w:r>
            <w:r w:rsidRPr="00653BF6">
              <w:rPr>
                <w:rFonts w:ascii="Times New Roman" w:hAnsi="Times New Roman"/>
                <w:b/>
                <w:color w:val="000000"/>
                <w:sz w:val="22"/>
                <w:szCs w:val="22"/>
                <w:lang w:val="fr-FR"/>
              </w:rPr>
              <w:t>de risque</w:t>
            </w:r>
          </w:p>
        </w:tc>
        <w:tc>
          <w:tcPr>
            <w:tcW w:w="1417" w:type="dxa"/>
            <w:vMerge w:val="restart"/>
            <w:tcBorders>
              <w:right w:val="single" w:sz="4" w:space="0" w:color="auto"/>
            </w:tcBorders>
          </w:tcPr>
          <w:p w14:paraId="4B785CDA" w14:textId="77777777" w:rsidR="00EF4CB3" w:rsidRPr="00653BF6" w:rsidRDefault="00EF4CB3" w:rsidP="007F23EE">
            <w:pPr>
              <w:pStyle w:val="Table"/>
              <w:keepLines w:val="0"/>
              <w:tabs>
                <w:tab w:val="left" w:pos="567"/>
              </w:tabs>
              <w:spacing w:before="0" w:line="260" w:lineRule="exact"/>
              <w:rPr>
                <w:rFonts w:ascii="Times New Roman" w:hAnsi="Times New Roman"/>
                <w:b/>
                <w:color w:val="000000"/>
                <w:sz w:val="22"/>
                <w:szCs w:val="22"/>
                <w:lang w:val="fr-FR"/>
              </w:rPr>
              <w:pPrChange w:id="599" w:author="Author">
                <w:pPr>
                  <w:pStyle w:val="Table"/>
                  <w:keepLines w:val="0"/>
                  <w:tabs>
                    <w:tab w:val="left" w:pos="567"/>
                  </w:tabs>
                  <w:spacing w:before="120" w:line="260" w:lineRule="exact"/>
                </w:pPr>
              </w:pPrChange>
            </w:pPr>
            <w:r w:rsidRPr="00653BF6">
              <w:rPr>
                <w:rFonts w:ascii="Times New Roman" w:hAnsi="Times New Roman"/>
                <w:b/>
                <w:color w:val="000000"/>
                <w:sz w:val="22"/>
                <w:szCs w:val="22"/>
                <w:lang w:val="fr-FR"/>
              </w:rPr>
              <w:t>Risque</w:t>
            </w:r>
          </w:p>
        </w:tc>
        <w:tc>
          <w:tcPr>
            <w:tcW w:w="986" w:type="dxa"/>
            <w:vMerge w:val="restart"/>
            <w:tcBorders>
              <w:left w:val="single" w:sz="4" w:space="0" w:color="auto"/>
              <w:right w:val="single" w:sz="4" w:space="0" w:color="auto"/>
            </w:tcBorders>
          </w:tcPr>
          <w:p w14:paraId="638EF4C7" w14:textId="77777777" w:rsidR="00EF4CB3" w:rsidRPr="00653BF6" w:rsidRDefault="00EF4CB3" w:rsidP="007F23EE">
            <w:pPr>
              <w:pStyle w:val="Table"/>
              <w:keepLines w:val="0"/>
              <w:tabs>
                <w:tab w:val="left" w:pos="567"/>
              </w:tabs>
              <w:spacing w:before="0" w:line="260" w:lineRule="exact"/>
              <w:jc w:val="center"/>
              <w:rPr>
                <w:rFonts w:ascii="Times New Roman" w:hAnsi="Times New Roman"/>
                <w:b/>
                <w:color w:val="000000"/>
                <w:sz w:val="22"/>
                <w:szCs w:val="22"/>
                <w:lang w:val="fr-FR"/>
              </w:rPr>
              <w:pPrChange w:id="600" w:author="Author">
                <w:pPr>
                  <w:pStyle w:val="Table"/>
                  <w:keepLines w:val="0"/>
                  <w:tabs>
                    <w:tab w:val="left" w:pos="567"/>
                  </w:tabs>
                  <w:spacing w:before="120" w:line="260" w:lineRule="exact"/>
                  <w:jc w:val="center"/>
                </w:pPr>
              </w:pPrChange>
            </w:pPr>
            <w:r w:rsidRPr="00653BF6">
              <w:rPr>
                <w:rFonts w:ascii="Times New Roman" w:hAnsi="Times New Roman"/>
                <w:b/>
                <w:color w:val="000000"/>
                <w:sz w:val="22"/>
                <w:szCs w:val="22"/>
                <w:lang w:val="fr-FR"/>
              </w:rPr>
              <w:t>% of patients</w:t>
            </w:r>
          </w:p>
        </w:tc>
        <w:tc>
          <w:tcPr>
            <w:tcW w:w="2083" w:type="dxa"/>
            <w:vMerge w:val="restart"/>
            <w:tcBorders>
              <w:left w:val="single" w:sz="4" w:space="0" w:color="auto"/>
              <w:right w:val="single" w:sz="4" w:space="0" w:color="auto"/>
            </w:tcBorders>
          </w:tcPr>
          <w:p w14:paraId="7E517179" w14:textId="77777777" w:rsidR="00EF4CB3" w:rsidRPr="00653BF6" w:rsidRDefault="00EF4CB3" w:rsidP="007F23EE">
            <w:pPr>
              <w:pStyle w:val="Table"/>
              <w:keepLines w:val="0"/>
              <w:tabs>
                <w:tab w:val="left" w:pos="567"/>
              </w:tabs>
              <w:spacing w:before="0" w:line="260" w:lineRule="exact"/>
              <w:jc w:val="center"/>
              <w:rPr>
                <w:rFonts w:ascii="Times New Roman" w:hAnsi="Times New Roman"/>
                <w:b/>
                <w:color w:val="000000"/>
                <w:sz w:val="22"/>
                <w:szCs w:val="22"/>
                <w:lang w:val="fr-FR"/>
              </w:rPr>
              <w:pPrChange w:id="601" w:author="Author">
                <w:pPr>
                  <w:pStyle w:val="Table"/>
                  <w:keepLines w:val="0"/>
                  <w:tabs>
                    <w:tab w:val="left" w:pos="567"/>
                  </w:tabs>
                  <w:spacing w:before="120" w:line="260" w:lineRule="exact"/>
                  <w:jc w:val="center"/>
                </w:pPr>
              </w:pPrChange>
            </w:pPr>
            <w:r w:rsidRPr="00653BF6">
              <w:rPr>
                <w:rFonts w:ascii="Times New Roman" w:hAnsi="Times New Roman"/>
                <w:b/>
                <w:color w:val="000000"/>
                <w:sz w:val="22"/>
                <w:szCs w:val="22"/>
                <w:lang w:val="fr-FR"/>
              </w:rPr>
              <w:t>Nombre d’événements /</w:t>
            </w:r>
            <w:r w:rsidRPr="00653BF6">
              <w:rPr>
                <w:rFonts w:ascii="Times New Roman" w:hAnsi="Times New Roman"/>
                <w:b/>
                <w:color w:val="000000"/>
                <w:sz w:val="22"/>
                <w:szCs w:val="22"/>
                <w:lang w:val="fr-FR"/>
              </w:rPr>
              <w:br/>
              <w:t>Nombre de patients</w:t>
            </w:r>
          </w:p>
        </w:tc>
        <w:tc>
          <w:tcPr>
            <w:tcW w:w="1800" w:type="dxa"/>
            <w:vMerge w:val="restart"/>
            <w:tcBorders>
              <w:left w:val="single" w:sz="4" w:space="0" w:color="auto"/>
              <w:right w:val="single" w:sz="4" w:space="0" w:color="auto"/>
            </w:tcBorders>
          </w:tcPr>
          <w:p w14:paraId="50B7BA3F" w14:textId="77777777" w:rsidR="005C2236" w:rsidRPr="00653BF6" w:rsidRDefault="00EF4CB3" w:rsidP="007F23EE">
            <w:pPr>
              <w:pStyle w:val="Table"/>
              <w:keepLines w:val="0"/>
              <w:tabs>
                <w:tab w:val="left" w:pos="567"/>
              </w:tabs>
              <w:spacing w:before="0" w:line="260" w:lineRule="exact"/>
              <w:jc w:val="center"/>
              <w:rPr>
                <w:ins w:id="602" w:author="Author"/>
                <w:rFonts w:ascii="Times New Roman" w:hAnsi="Times New Roman"/>
                <w:b/>
                <w:color w:val="000000"/>
                <w:sz w:val="22"/>
                <w:szCs w:val="22"/>
                <w:lang w:val="fr-FR"/>
              </w:rPr>
              <w:pPrChange w:id="603" w:author="Author">
                <w:pPr>
                  <w:pStyle w:val="Table"/>
                  <w:keepLines w:val="0"/>
                  <w:tabs>
                    <w:tab w:val="left" w:pos="567"/>
                  </w:tabs>
                  <w:spacing w:line="260" w:lineRule="exact"/>
                  <w:jc w:val="center"/>
                </w:pPr>
              </w:pPrChange>
            </w:pPr>
            <w:r w:rsidRPr="00653BF6">
              <w:rPr>
                <w:rFonts w:ascii="Times New Roman" w:hAnsi="Times New Roman"/>
                <w:b/>
                <w:color w:val="000000"/>
                <w:sz w:val="22"/>
                <w:szCs w:val="22"/>
                <w:lang w:val="fr-FR"/>
              </w:rPr>
              <w:t xml:space="preserve">Hazard ratio global </w:t>
            </w:r>
          </w:p>
          <w:p w14:paraId="157B207A" w14:textId="41395D29" w:rsidR="00EF4CB3" w:rsidRPr="00653BF6" w:rsidRDefault="00EF4CB3" w:rsidP="007F23EE">
            <w:pPr>
              <w:pStyle w:val="Table"/>
              <w:keepLines w:val="0"/>
              <w:tabs>
                <w:tab w:val="left" w:pos="567"/>
              </w:tabs>
              <w:spacing w:before="0" w:line="260" w:lineRule="exact"/>
              <w:jc w:val="center"/>
              <w:rPr>
                <w:rFonts w:ascii="Times New Roman" w:hAnsi="Times New Roman"/>
                <w:b/>
                <w:color w:val="000000"/>
                <w:sz w:val="22"/>
                <w:szCs w:val="22"/>
                <w:lang w:val="fr-FR"/>
              </w:rPr>
              <w:pPrChange w:id="604" w:author="Author">
                <w:pPr>
                  <w:pStyle w:val="Table"/>
                  <w:keepLines w:val="0"/>
                  <w:tabs>
                    <w:tab w:val="left" w:pos="567"/>
                  </w:tabs>
                  <w:spacing w:line="260" w:lineRule="exact"/>
                  <w:jc w:val="center"/>
                </w:pPr>
              </w:pPrChange>
            </w:pPr>
            <w:r w:rsidRPr="00653BF6">
              <w:rPr>
                <w:rFonts w:ascii="Times New Roman" w:hAnsi="Times New Roman"/>
                <w:b/>
                <w:color w:val="000000"/>
                <w:sz w:val="22"/>
                <w:szCs w:val="22"/>
                <w:lang w:val="fr-FR"/>
              </w:rPr>
              <w:t>(</w:t>
            </w:r>
            <w:ins w:id="605" w:author="Author">
              <w:r w:rsidR="005C2236" w:rsidRPr="00653BF6">
                <w:rPr>
                  <w:rFonts w:ascii="Times New Roman" w:hAnsi="Times New Roman"/>
                  <w:b/>
                  <w:color w:val="000000"/>
                  <w:sz w:val="22"/>
                  <w:szCs w:val="22"/>
                  <w:lang w:val="fr-FR"/>
                </w:rPr>
                <w:t xml:space="preserve">IC </w:t>
              </w:r>
            </w:ins>
            <w:r w:rsidRPr="00653BF6">
              <w:rPr>
                <w:rFonts w:ascii="Times New Roman" w:hAnsi="Times New Roman"/>
                <w:b/>
                <w:color w:val="000000"/>
                <w:sz w:val="22"/>
                <w:szCs w:val="22"/>
                <w:lang w:val="fr-FR"/>
              </w:rPr>
              <w:t>95%</w:t>
            </w:r>
            <w:del w:id="606" w:author="Author">
              <w:r w:rsidRPr="00653BF6" w:rsidDel="005C2236">
                <w:rPr>
                  <w:rFonts w:ascii="Times New Roman" w:hAnsi="Times New Roman"/>
                  <w:b/>
                  <w:color w:val="000000"/>
                  <w:sz w:val="22"/>
                  <w:szCs w:val="22"/>
                  <w:lang w:val="fr-FR"/>
                </w:rPr>
                <w:delText>IC</w:delText>
              </w:r>
            </w:del>
            <w:r w:rsidRPr="00653BF6">
              <w:rPr>
                <w:rFonts w:ascii="Times New Roman" w:hAnsi="Times New Roman"/>
                <w:b/>
                <w:color w:val="000000"/>
                <w:sz w:val="22"/>
                <w:szCs w:val="22"/>
                <w:lang w:val="fr-FR"/>
              </w:rPr>
              <w:t>)*</w:t>
            </w:r>
          </w:p>
        </w:tc>
        <w:tc>
          <w:tcPr>
            <w:tcW w:w="2800" w:type="dxa"/>
            <w:gridSpan w:val="2"/>
            <w:tcBorders>
              <w:left w:val="single" w:sz="4" w:space="0" w:color="auto"/>
            </w:tcBorders>
          </w:tcPr>
          <w:p w14:paraId="2F99A2FE" w14:textId="77777777" w:rsidR="00EF4CB3" w:rsidRPr="00653BF6" w:rsidRDefault="00EF4CB3" w:rsidP="007F23EE">
            <w:pPr>
              <w:pStyle w:val="Table"/>
              <w:keepLines w:val="0"/>
              <w:tabs>
                <w:tab w:val="left" w:pos="567"/>
              </w:tabs>
              <w:spacing w:before="0" w:line="260" w:lineRule="exact"/>
              <w:jc w:val="center"/>
              <w:rPr>
                <w:rFonts w:ascii="Times New Roman" w:hAnsi="Times New Roman"/>
                <w:b/>
                <w:color w:val="000000"/>
                <w:sz w:val="22"/>
                <w:szCs w:val="22"/>
                <w:lang w:val="fr-FR"/>
              </w:rPr>
              <w:pPrChange w:id="607" w:author="Author">
                <w:pPr>
                  <w:pStyle w:val="Table"/>
                  <w:keepLines w:val="0"/>
                  <w:tabs>
                    <w:tab w:val="left" w:pos="567"/>
                  </w:tabs>
                  <w:spacing w:line="260" w:lineRule="exact"/>
                  <w:jc w:val="center"/>
                </w:pPr>
              </w:pPrChange>
            </w:pPr>
            <w:r w:rsidRPr="00653BF6">
              <w:rPr>
                <w:rFonts w:ascii="Times New Roman" w:hAnsi="Times New Roman"/>
                <w:b/>
                <w:color w:val="000000"/>
                <w:sz w:val="22"/>
                <w:szCs w:val="22"/>
                <w:lang w:val="fr-FR"/>
              </w:rPr>
              <w:t>Taux de survie sans rechute (%)</w:t>
            </w:r>
          </w:p>
        </w:tc>
      </w:tr>
      <w:tr w:rsidR="00EF4CB3" w:rsidRPr="00653BF6" w14:paraId="10720C4C" w14:textId="77777777" w:rsidTr="000A7F49">
        <w:trPr>
          <w:cantSplit/>
        </w:trPr>
        <w:tc>
          <w:tcPr>
            <w:tcW w:w="1101" w:type="dxa"/>
            <w:vMerge/>
          </w:tcPr>
          <w:p w14:paraId="3111318D" w14:textId="77777777" w:rsidR="00EF4CB3" w:rsidRPr="00653BF6" w:rsidRDefault="00EF4CB3" w:rsidP="007F23EE">
            <w:pPr>
              <w:pStyle w:val="Table"/>
              <w:keepLines w:val="0"/>
              <w:tabs>
                <w:tab w:val="left" w:pos="567"/>
              </w:tabs>
              <w:spacing w:before="0" w:line="260" w:lineRule="exact"/>
              <w:rPr>
                <w:rFonts w:ascii="Times New Roman" w:hAnsi="Times New Roman"/>
                <w:b/>
                <w:color w:val="000000"/>
                <w:sz w:val="22"/>
                <w:szCs w:val="22"/>
                <w:lang w:val="fr-FR"/>
              </w:rPr>
              <w:pPrChange w:id="608" w:author="Author">
                <w:pPr>
                  <w:pStyle w:val="Table"/>
                  <w:keepLines w:val="0"/>
                  <w:tabs>
                    <w:tab w:val="left" w:pos="567"/>
                  </w:tabs>
                  <w:spacing w:line="260" w:lineRule="exact"/>
                </w:pPr>
              </w:pPrChange>
            </w:pPr>
          </w:p>
        </w:tc>
        <w:tc>
          <w:tcPr>
            <w:tcW w:w="1417" w:type="dxa"/>
            <w:vMerge/>
            <w:tcBorders>
              <w:right w:val="single" w:sz="4" w:space="0" w:color="auto"/>
            </w:tcBorders>
          </w:tcPr>
          <w:p w14:paraId="7BA6BA0C" w14:textId="77777777" w:rsidR="00EF4CB3" w:rsidRPr="00653BF6" w:rsidRDefault="00EF4CB3" w:rsidP="007F23EE">
            <w:pPr>
              <w:pStyle w:val="Table"/>
              <w:keepLines w:val="0"/>
              <w:tabs>
                <w:tab w:val="left" w:pos="567"/>
              </w:tabs>
              <w:spacing w:before="0" w:line="260" w:lineRule="exact"/>
              <w:rPr>
                <w:rFonts w:ascii="Times New Roman" w:hAnsi="Times New Roman"/>
                <w:b/>
                <w:color w:val="000000"/>
                <w:sz w:val="22"/>
                <w:szCs w:val="22"/>
                <w:lang w:val="fr-FR"/>
              </w:rPr>
              <w:pPrChange w:id="609" w:author="Author">
                <w:pPr>
                  <w:pStyle w:val="Table"/>
                  <w:keepLines w:val="0"/>
                  <w:tabs>
                    <w:tab w:val="left" w:pos="567"/>
                  </w:tabs>
                  <w:spacing w:line="260" w:lineRule="exact"/>
                </w:pPr>
              </w:pPrChange>
            </w:pPr>
          </w:p>
        </w:tc>
        <w:tc>
          <w:tcPr>
            <w:tcW w:w="986" w:type="dxa"/>
            <w:vMerge/>
            <w:tcBorders>
              <w:left w:val="single" w:sz="4" w:space="0" w:color="auto"/>
              <w:right w:val="single" w:sz="4" w:space="0" w:color="auto"/>
            </w:tcBorders>
          </w:tcPr>
          <w:p w14:paraId="463C57AB" w14:textId="77777777" w:rsidR="00EF4CB3" w:rsidRPr="00653BF6" w:rsidRDefault="00EF4CB3" w:rsidP="007F23EE">
            <w:pPr>
              <w:pStyle w:val="Table"/>
              <w:keepLines w:val="0"/>
              <w:tabs>
                <w:tab w:val="left" w:pos="567"/>
              </w:tabs>
              <w:spacing w:before="0" w:line="260" w:lineRule="exact"/>
              <w:jc w:val="center"/>
              <w:rPr>
                <w:rFonts w:ascii="Times New Roman" w:hAnsi="Times New Roman"/>
                <w:b/>
                <w:color w:val="000000"/>
                <w:sz w:val="22"/>
                <w:szCs w:val="22"/>
                <w:lang w:val="fr-FR"/>
              </w:rPr>
              <w:pPrChange w:id="610" w:author="Author">
                <w:pPr>
                  <w:pStyle w:val="Table"/>
                  <w:keepLines w:val="0"/>
                  <w:tabs>
                    <w:tab w:val="left" w:pos="567"/>
                  </w:tabs>
                  <w:spacing w:line="260" w:lineRule="exact"/>
                  <w:jc w:val="center"/>
                </w:pPr>
              </w:pPrChange>
            </w:pPr>
          </w:p>
        </w:tc>
        <w:tc>
          <w:tcPr>
            <w:tcW w:w="2083" w:type="dxa"/>
            <w:vMerge/>
            <w:tcBorders>
              <w:left w:val="single" w:sz="4" w:space="0" w:color="auto"/>
              <w:right w:val="single" w:sz="4" w:space="0" w:color="auto"/>
            </w:tcBorders>
          </w:tcPr>
          <w:p w14:paraId="13FC17F6" w14:textId="77777777" w:rsidR="00EF4CB3" w:rsidRPr="00653BF6" w:rsidRDefault="00EF4CB3" w:rsidP="007F23EE">
            <w:pPr>
              <w:pStyle w:val="Table"/>
              <w:keepLines w:val="0"/>
              <w:tabs>
                <w:tab w:val="left" w:pos="567"/>
              </w:tabs>
              <w:spacing w:before="0" w:line="260" w:lineRule="exact"/>
              <w:jc w:val="center"/>
              <w:rPr>
                <w:rFonts w:ascii="Times New Roman" w:hAnsi="Times New Roman"/>
                <w:b/>
                <w:color w:val="000000"/>
                <w:sz w:val="22"/>
                <w:szCs w:val="22"/>
                <w:lang w:val="fr-FR"/>
              </w:rPr>
              <w:pPrChange w:id="611" w:author="Author">
                <w:pPr>
                  <w:pStyle w:val="Table"/>
                  <w:keepLines w:val="0"/>
                  <w:tabs>
                    <w:tab w:val="left" w:pos="567"/>
                  </w:tabs>
                  <w:spacing w:line="260" w:lineRule="exact"/>
                  <w:jc w:val="center"/>
                </w:pPr>
              </w:pPrChange>
            </w:pPr>
          </w:p>
        </w:tc>
        <w:tc>
          <w:tcPr>
            <w:tcW w:w="1800" w:type="dxa"/>
            <w:vMerge/>
            <w:tcBorders>
              <w:left w:val="single" w:sz="4" w:space="0" w:color="auto"/>
              <w:right w:val="single" w:sz="4" w:space="0" w:color="auto"/>
            </w:tcBorders>
          </w:tcPr>
          <w:p w14:paraId="492FEDDE" w14:textId="77777777" w:rsidR="00EF4CB3" w:rsidRPr="00653BF6" w:rsidRDefault="00EF4CB3" w:rsidP="007F23EE">
            <w:pPr>
              <w:pStyle w:val="Table"/>
              <w:keepLines w:val="0"/>
              <w:tabs>
                <w:tab w:val="left" w:pos="567"/>
              </w:tabs>
              <w:spacing w:before="0" w:line="260" w:lineRule="exact"/>
              <w:rPr>
                <w:rFonts w:ascii="Times New Roman" w:hAnsi="Times New Roman"/>
                <w:b/>
                <w:color w:val="000000"/>
                <w:sz w:val="22"/>
                <w:szCs w:val="22"/>
                <w:lang w:val="fr-FR"/>
              </w:rPr>
              <w:pPrChange w:id="612" w:author="Author">
                <w:pPr>
                  <w:pStyle w:val="Table"/>
                  <w:keepLines w:val="0"/>
                  <w:tabs>
                    <w:tab w:val="left" w:pos="567"/>
                  </w:tabs>
                  <w:spacing w:line="260" w:lineRule="exact"/>
                </w:pPr>
              </w:pPrChange>
            </w:pPr>
          </w:p>
        </w:tc>
        <w:tc>
          <w:tcPr>
            <w:tcW w:w="1440" w:type="dxa"/>
            <w:tcBorders>
              <w:left w:val="single" w:sz="4" w:space="0" w:color="auto"/>
              <w:right w:val="single" w:sz="4" w:space="0" w:color="auto"/>
            </w:tcBorders>
          </w:tcPr>
          <w:p w14:paraId="4EC52BA6" w14:textId="77777777" w:rsidR="00EF4CB3" w:rsidRPr="00653BF6" w:rsidRDefault="00EF4CB3" w:rsidP="007F23EE">
            <w:pPr>
              <w:pStyle w:val="Table"/>
              <w:keepLines w:val="0"/>
              <w:tabs>
                <w:tab w:val="left" w:pos="567"/>
              </w:tabs>
              <w:spacing w:before="0" w:line="260" w:lineRule="exact"/>
              <w:jc w:val="center"/>
              <w:rPr>
                <w:rFonts w:ascii="Times New Roman" w:hAnsi="Times New Roman"/>
                <w:b/>
                <w:color w:val="000000"/>
                <w:sz w:val="22"/>
                <w:szCs w:val="22"/>
                <w:lang w:val="fr-FR"/>
              </w:rPr>
              <w:pPrChange w:id="613" w:author="Author">
                <w:pPr>
                  <w:pStyle w:val="Table"/>
                  <w:keepLines w:val="0"/>
                  <w:tabs>
                    <w:tab w:val="left" w:pos="567"/>
                  </w:tabs>
                  <w:spacing w:line="260" w:lineRule="exact"/>
                  <w:jc w:val="center"/>
                </w:pPr>
              </w:pPrChange>
            </w:pPr>
            <w:r w:rsidRPr="00653BF6">
              <w:rPr>
                <w:rFonts w:ascii="Times New Roman" w:hAnsi="Times New Roman"/>
                <w:b/>
                <w:color w:val="000000"/>
                <w:sz w:val="22"/>
                <w:szCs w:val="22"/>
                <w:lang w:val="fr-FR"/>
              </w:rPr>
              <w:t>12 mois</w:t>
            </w:r>
          </w:p>
        </w:tc>
        <w:tc>
          <w:tcPr>
            <w:tcW w:w="1360" w:type="dxa"/>
            <w:tcBorders>
              <w:left w:val="single" w:sz="4" w:space="0" w:color="auto"/>
            </w:tcBorders>
          </w:tcPr>
          <w:p w14:paraId="7D285C83" w14:textId="77777777" w:rsidR="00EF4CB3" w:rsidRPr="00653BF6" w:rsidRDefault="00EF4CB3" w:rsidP="007F23EE">
            <w:pPr>
              <w:pStyle w:val="Table"/>
              <w:keepLines w:val="0"/>
              <w:tabs>
                <w:tab w:val="left" w:pos="567"/>
              </w:tabs>
              <w:spacing w:before="0" w:line="260" w:lineRule="exact"/>
              <w:jc w:val="center"/>
              <w:rPr>
                <w:rFonts w:ascii="Times New Roman" w:hAnsi="Times New Roman"/>
                <w:b/>
                <w:color w:val="000000"/>
                <w:sz w:val="22"/>
                <w:szCs w:val="22"/>
                <w:lang w:val="fr-FR"/>
              </w:rPr>
              <w:pPrChange w:id="614" w:author="Author">
                <w:pPr>
                  <w:pStyle w:val="Table"/>
                  <w:keepLines w:val="0"/>
                  <w:tabs>
                    <w:tab w:val="left" w:pos="567"/>
                  </w:tabs>
                  <w:spacing w:line="260" w:lineRule="exact"/>
                  <w:jc w:val="center"/>
                </w:pPr>
              </w:pPrChange>
            </w:pPr>
            <w:r w:rsidRPr="00653BF6">
              <w:rPr>
                <w:rFonts w:ascii="Times New Roman" w:hAnsi="Times New Roman"/>
                <w:b/>
                <w:color w:val="000000"/>
                <w:sz w:val="22"/>
                <w:szCs w:val="22"/>
                <w:lang w:val="fr-FR"/>
              </w:rPr>
              <w:t>24 mois</w:t>
            </w:r>
          </w:p>
        </w:tc>
      </w:tr>
      <w:tr w:rsidR="00EF4CB3" w:rsidRPr="00653BF6" w14:paraId="38ABB857" w14:textId="77777777" w:rsidTr="000A7F49">
        <w:trPr>
          <w:cantSplit/>
        </w:trPr>
        <w:tc>
          <w:tcPr>
            <w:tcW w:w="1101" w:type="dxa"/>
            <w:vMerge/>
          </w:tcPr>
          <w:p w14:paraId="024E7915" w14:textId="77777777" w:rsidR="00EF4CB3" w:rsidRPr="00653BF6" w:rsidRDefault="00EF4CB3" w:rsidP="007F23EE">
            <w:pPr>
              <w:pStyle w:val="Table"/>
              <w:keepLines w:val="0"/>
              <w:tabs>
                <w:tab w:val="left" w:pos="567"/>
              </w:tabs>
              <w:spacing w:before="0" w:line="260" w:lineRule="exact"/>
              <w:rPr>
                <w:rFonts w:ascii="Times New Roman" w:hAnsi="Times New Roman"/>
                <w:b/>
                <w:color w:val="000000"/>
                <w:sz w:val="22"/>
                <w:szCs w:val="22"/>
                <w:lang w:val="fr-FR"/>
              </w:rPr>
              <w:pPrChange w:id="615" w:author="Author">
                <w:pPr>
                  <w:pStyle w:val="Table"/>
                  <w:keepLines w:val="0"/>
                  <w:tabs>
                    <w:tab w:val="left" w:pos="567"/>
                  </w:tabs>
                  <w:spacing w:line="260" w:lineRule="exact"/>
                </w:pPr>
              </w:pPrChange>
            </w:pPr>
          </w:p>
        </w:tc>
        <w:tc>
          <w:tcPr>
            <w:tcW w:w="1417" w:type="dxa"/>
            <w:vMerge/>
            <w:tcBorders>
              <w:right w:val="single" w:sz="4" w:space="0" w:color="auto"/>
            </w:tcBorders>
          </w:tcPr>
          <w:p w14:paraId="1787DA52" w14:textId="77777777" w:rsidR="00EF4CB3" w:rsidRPr="00653BF6" w:rsidRDefault="00EF4CB3" w:rsidP="007F23EE">
            <w:pPr>
              <w:pStyle w:val="Table"/>
              <w:keepLines w:val="0"/>
              <w:tabs>
                <w:tab w:val="left" w:pos="567"/>
              </w:tabs>
              <w:spacing w:before="0" w:line="260" w:lineRule="exact"/>
              <w:rPr>
                <w:rFonts w:ascii="Times New Roman" w:hAnsi="Times New Roman"/>
                <w:b/>
                <w:color w:val="000000"/>
                <w:sz w:val="22"/>
                <w:szCs w:val="22"/>
                <w:lang w:val="fr-FR"/>
              </w:rPr>
              <w:pPrChange w:id="616" w:author="Author">
                <w:pPr>
                  <w:pStyle w:val="Table"/>
                  <w:keepLines w:val="0"/>
                  <w:tabs>
                    <w:tab w:val="left" w:pos="567"/>
                  </w:tabs>
                  <w:spacing w:line="260" w:lineRule="exact"/>
                </w:pPr>
              </w:pPrChange>
            </w:pPr>
          </w:p>
        </w:tc>
        <w:tc>
          <w:tcPr>
            <w:tcW w:w="986" w:type="dxa"/>
            <w:vMerge/>
            <w:tcBorders>
              <w:left w:val="single" w:sz="4" w:space="0" w:color="auto"/>
              <w:right w:val="single" w:sz="4" w:space="0" w:color="auto"/>
            </w:tcBorders>
          </w:tcPr>
          <w:p w14:paraId="51CF3E67" w14:textId="77777777" w:rsidR="00EF4CB3" w:rsidRPr="00653BF6" w:rsidRDefault="00EF4CB3" w:rsidP="007F23EE">
            <w:pPr>
              <w:pStyle w:val="Table"/>
              <w:keepLines w:val="0"/>
              <w:tabs>
                <w:tab w:val="left" w:pos="567"/>
              </w:tabs>
              <w:spacing w:before="0" w:line="260" w:lineRule="exact"/>
              <w:jc w:val="center"/>
              <w:rPr>
                <w:rFonts w:ascii="Times New Roman" w:hAnsi="Times New Roman"/>
                <w:b/>
                <w:color w:val="000000"/>
                <w:sz w:val="22"/>
                <w:szCs w:val="22"/>
                <w:lang w:val="fr-FR"/>
              </w:rPr>
              <w:pPrChange w:id="617" w:author="Author">
                <w:pPr>
                  <w:pStyle w:val="Table"/>
                  <w:keepLines w:val="0"/>
                  <w:tabs>
                    <w:tab w:val="left" w:pos="567"/>
                  </w:tabs>
                  <w:spacing w:line="260" w:lineRule="exact"/>
                  <w:jc w:val="center"/>
                </w:pPr>
              </w:pPrChange>
            </w:pPr>
          </w:p>
        </w:tc>
        <w:tc>
          <w:tcPr>
            <w:tcW w:w="2083" w:type="dxa"/>
            <w:tcBorders>
              <w:left w:val="single" w:sz="4" w:space="0" w:color="auto"/>
              <w:bottom w:val="single" w:sz="4" w:space="0" w:color="auto"/>
              <w:right w:val="single" w:sz="4" w:space="0" w:color="auto"/>
            </w:tcBorders>
          </w:tcPr>
          <w:p w14:paraId="1699D242" w14:textId="77777777" w:rsidR="00EF4CB3" w:rsidRPr="00653BF6" w:rsidRDefault="00EF4CB3" w:rsidP="007F23EE">
            <w:pPr>
              <w:pStyle w:val="Table"/>
              <w:keepLines w:val="0"/>
              <w:tabs>
                <w:tab w:val="left" w:pos="567"/>
              </w:tabs>
              <w:spacing w:before="0" w:line="260" w:lineRule="exact"/>
              <w:jc w:val="center"/>
              <w:rPr>
                <w:rFonts w:ascii="Times New Roman" w:hAnsi="Times New Roman"/>
                <w:b/>
                <w:color w:val="000000"/>
                <w:sz w:val="22"/>
                <w:szCs w:val="22"/>
                <w:lang w:val="fr-FR"/>
              </w:rPr>
              <w:pPrChange w:id="618" w:author="Author">
                <w:pPr>
                  <w:pStyle w:val="Table"/>
                  <w:keepLines w:val="0"/>
                  <w:tabs>
                    <w:tab w:val="left" w:pos="567"/>
                  </w:tabs>
                  <w:spacing w:line="260" w:lineRule="exact"/>
                  <w:jc w:val="center"/>
                </w:pPr>
              </w:pPrChange>
            </w:pPr>
            <w:r w:rsidRPr="00653BF6">
              <w:rPr>
                <w:rFonts w:ascii="Times New Roman" w:hAnsi="Times New Roman"/>
                <w:b/>
                <w:color w:val="000000"/>
                <w:sz w:val="22"/>
                <w:szCs w:val="22"/>
                <w:lang w:val="fr-FR"/>
              </w:rPr>
              <w:t xml:space="preserve">Glivec vs. </w:t>
            </w:r>
            <w:proofErr w:type="gramStart"/>
            <w:r w:rsidRPr="00653BF6">
              <w:rPr>
                <w:rFonts w:ascii="Times New Roman" w:hAnsi="Times New Roman"/>
                <w:b/>
                <w:color w:val="000000"/>
                <w:sz w:val="22"/>
                <w:szCs w:val="22"/>
                <w:lang w:val="fr-FR"/>
              </w:rPr>
              <w:t>placebo</w:t>
            </w:r>
            <w:proofErr w:type="gramEnd"/>
          </w:p>
        </w:tc>
        <w:tc>
          <w:tcPr>
            <w:tcW w:w="1800" w:type="dxa"/>
            <w:vMerge/>
            <w:tcBorders>
              <w:left w:val="single" w:sz="4" w:space="0" w:color="auto"/>
              <w:bottom w:val="single" w:sz="4" w:space="0" w:color="auto"/>
              <w:right w:val="single" w:sz="4" w:space="0" w:color="auto"/>
            </w:tcBorders>
          </w:tcPr>
          <w:p w14:paraId="2623E37A" w14:textId="77777777" w:rsidR="00EF4CB3" w:rsidRPr="00653BF6" w:rsidRDefault="00EF4CB3" w:rsidP="007F23EE">
            <w:pPr>
              <w:pStyle w:val="Table"/>
              <w:keepLines w:val="0"/>
              <w:tabs>
                <w:tab w:val="left" w:pos="567"/>
              </w:tabs>
              <w:spacing w:before="0" w:line="260" w:lineRule="exact"/>
              <w:jc w:val="center"/>
              <w:rPr>
                <w:rFonts w:ascii="Times New Roman" w:hAnsi="Times New Roman"/>
                <w:b/>
                <w:color w:val="000000"/>
                <w:sz w:val="22"/>
                <w:szCs w:val="22"/>
                <w:lang w:val="fr-FR"/>
              </w:rPr>
              <w:pPrChange w:id="619" w:author="Author">
                <w:pPr>
                  <w:pStyle w:val="Table"/>
                  <w:keepLines w:val="0"/>
                  <w:tabs>
                    <w:tab w:val="left" w:pos="567"/>
                  </w:tabs>
                  <w:spacing w:line="260" w:lineRule="exact"/>
                  <w:jc w:val="center"/>
                </w:pPr>
              </w:pPrChange>
            </w:pPr>
          </w:p>
        </w:tc>
        <w:tc>
          <w:tcPr>
            <w:tcW w:w="1440" w:type="dxa"/>
            <w:tcBorders>
              <w:left w:val="single" w:sz="4" w:space="0" w:color="auto"/>
              <w:bottom w:val="single" w:sz="4" w:space="0" w:color="auto"/>
              <w:right w:val="single" w:sz="4" w:space="0" w:color="auto"/>
            </w:tcBorders>
          </w:tcPr>
          <w:p w14:paraId="49DA8D52" w14:textId="584AD9CA" w:rsidR="00EF4CB3" w:rsidRPr="00653BF6" w:rsidRDefault="00EF4CB3" w:rsidP="007F23EE">
            <w:pPr>
              <w:pStyle w:val="Table"/>
              <w:keepLines w:val="0"/>
              <w:tabs>
                <w:tab w:val="left" w:pos="567"/>
              </w:tabs>
              <w:spacing w:before="0" w:line="260" w:lineRule="exact"/>
              <w:jc w:val="center"/>
              <w:rPr>
                <w:rFonts w:ascii="Times New Roman" w:hAnsi="Times New Roman"/>
                <w:b/>
                <w:color w:val="000000"/>
                <w:sz w:val="22"/>
                <w:szCs w:val="22"/>
                <w:lang w:val="fr-FR"/>
              </w:rPr>
              <w:pPrChange w:id="620" w:author="Author">
                <w:pPr>
                  <w:pStyle w:val="Table"/>
                  <w:keepLines w:val="0"/>
                  <w:tabs>
                    <w:tab w:val="left" w:pos="567"/>
                  </w:tabs>
                  <w:spacing w:line="260" w:lineRule="exact"/>
                  <w:jc w:val="center"/>
                </w:pPr>
              </w:pPrChange>
            </w:pPr>
            <w:r w:rsidRPr="00653BF6">
              <w:rPr>
                <w:rFonts w:ascii="Times New Roman" w:hAnsi="Times New Roman"/>
                <w:b/>
                <w:color w:val="000000"/>
                <w:sz w:val="22"/>
                <w:szCs w:val="22"/>
                <w:lang w:val="fr-FR"/>
              </w:rPr>
              <w:t>Glivec vs</w:t>
            </w:r>
            <w:ins w:id="621" w:author="Author">
              <w:r w:rsidR="005C2236" w:rsidRPr="00653BF6">
                <w:rPr>
                  <w:rFonts w:ascii="Times New Roman" w:hAnsi="Times New Roman"/>
                  <w:b/>
                  <w:color w:val="000000"/>
                  <w:sz w:val="22"/>
                  <w:szCs w:val="22"/>
                  <w:lang w:val="fr-FR"/>
                </w:rPr>
                <w:t>.</w:t>
              </w:r>
            </w:ins>
            <w:r w:rsidRPr="00653BF6">
              <w:rPr>
                <w:rFonts w:ascii="Times New Roman" w:hAnsi="Times New Roman"/>
                <w:b/>
                <w:color w:val="000000"/>
                <w:sz w:val="22"/>
                <w:szCs w:val="22"/>
                <w:lang w:val="fr-FR"/>
              </w:rPr>
              <w:t xml:space="preserve"> </w:t>
            </w:r>
            <w:proofErr w:type="gramStart"/>
            <w:r w:rsidRPr="00653BF6">
              <w:rPr>
                <w:rFonts w:ascii="Times New Roman" w:hAnsi="Times New Roman"/>
                <w:b/>
                <w:color w:val="000000"/>
                <w:sz w:val="22"/>
                <w:szCs w:val="22"/>
                <w:lang w:val="fr-FR"/>
              </w:rPr>
              <w:t>placebo</w:t>
            </w:r>
            <w:proofErr w:type="gramEnd"/>
          </w:p>
        </w:tc>
        <w:tc>
          <w:tcPr>
            <w:tcW w:w="1360" w:type="dxa"/>
            <w:tcBorders>
              <w:left w:val="single" w:sz="4" w:space="0" w:color="auto"/>
            </w:tcBorders>
          </w:tcPr>
          <w:p w14:paraId="606C6000" w14:textId="25C16185" w:rsidR="00EF4CB3" w:rsidRPr="00653BF6" w:rsidRDefault="00EF4CB3" w:rsidP="007F23EE">
            <w:pPr>
              <w:pStyle w:val="Table"/>
              <w:keepLines w:val="0"/>
              <w:tabs>
                <w:tab w:val="left" w:pos="567"/>
              </w:tabs>
              <w:spacing w:before="0" w:line="260" w:lineRule="exact"/>
              <w:jc w:val="center"/>
              <w:rPr>
                <w:rFonts w:ascii="Times New Roman" w:hAnsi="Times New Roman"/>
                <w:b/>
                <w:color w:val="000000"/>
                <w:sz w:val="22"/>
                <w:szCs w:val="22"/>
                <w:lang w:val="fr-FR"/>
              </w:rPr>
              <w:pPrChange w:id="622" w:author="Author">
                <w:pPr>
                  <w:pStyle w:val="Table"/>
                  <w:keepLines w:val="0"/>
                  <w:tabs>
                    <w:tab w:val="left" w:pos="567"/>
                  </w:tabs>
                  <w:spacing w:line="260" w:lineRule="exact"/>
                  <w:jc w:val="center"/>
                </w:pPr>
              </w:pPrChange>
            </w:pPr>
            <w:r w:rsidRPr="00653BF6">
              <w:rPr>
                <w:rFonts w:ascii="Times New Roman" w:hAnsi="Times New Roman"/>
                <w:b/>
                <w:color w:val="000000"/>
                <w:sz w:val="22"/>
                <w:szCs w:val="22"/>
                <w:lang w:val="fr-FR"/>
              </w:rPr>
              <w:t>Glivec vs</w:t>
            </w:r>
            <w:ins w:id="623" w:author="Author">
              <w:r w:rsidR="005C2236" w:rsidRPr="00653BF6">
                <w:rPr>
                  <w:rFonts w:ascii="Times New Roman" w:hAnsi="Times New Roman"/>
                  <w:b/>
                  <w:color w:val="000000"/>
                  <w:sz w:val="22"/>
                  <w:szCs w:val="22"/>
                  <w:lang w:val="fr-FR"/>
                </w:rPr>
                <w:t>.</w:t>
              </w:r>
            </w:ins>
            <w:r w:rsidRPr="00653BF6">
              <w:rPr>
                <w:rFonts w:ascii="Times New Roman" w:hAnsi="Times New Roman"/>
                <w:b/>
                <w:color w:val="000000"/>
                <w:sz w:val="22"/>
                <w:szCs w:val="22"/>
                <w:lang w:val="fr-FR"/>
              </w:rPr>
              <w:t xml:space="preserve"> </w:t>
            </w:r>
            <w:proofErr w:type="gramStart"/>
            <w:r w:rsidRPr="00653BF6">
              <w:rPr>
                <w:rFonts w:ascii="Times New Roman" w:hAnsi="Times New Roman"/>
                <w:b/>
                <w:color w:val="000000"/>
                <w:sz w:val="22"/>
                <w:szCs w:val="22"/>
                <w:lang w:val="fr-FR"/>
              </w:rPr>
              <w:t>placebo</w:t>
            </w:r>
            <w:proofErr w:type="gramEnd"/>
          </w:p>
        </w:tc>
      </w:tr>
      <w:tr w:rsidR="00EF4CB3" w:rsidRPr="00653BF6" w14:paraId="345518AF" w14:textId="77777777" w:rsidTr="000A7F49">
        <w:trPr>
          <w:cantSplit/>
        </w:trPr>
        <w:tc>
          <w:tcPr>
            <w:tcW w:w="1101" w:type="dxa"/>
            <w:vMerge w:val="restart"/>
          </w:tcPr>
          <w:p w14:paraId="2ECBC15D" w14:textId="77777777" w:rsidR="00EF4CB3" w:rsidRPr="00653BF6" w:rsidRDefault="00EF4CB3" w:rsidP="007F23EE">
            <w:pPr>
              <w:pStyle w:val="Nottoc-headings0"/>
              <w:keepLines w:val="0"/>
              <w:tabs>
                <w:tab w:val="left" w:pos="567"/>
              </w:tabs>
              <w:spacing w:before="360" w:line="260" w:lineRule="exact"/>
              <w:ind w:left="0" w:firstLine="0"/>
              <w:rPr>
                <w:color w:val="000000"/>
                <w:sz w:val="22"/>
                <w:szCs w:val="22"/>
                <w:lang w:val="fr-FR"/>
              </w:rPr>
            </w:pPr>
            <w:r w:rsidRPr="00653BF6">
              <w:rPr>
                <w:rFonts w:ascii="Times New Roman" w:hAnsi="Times New Roman"/>
                <w:b w:val="0"/>
                <w:color w:val="000000"/>
                <w:sz w:val="22"/>
                <w:szCs w:val="22"/>
                <w:lang w:val="fr-FR"/>
              </w:rPr>
              <w:t>NIH</w:t>
            </w:r>
          </w:p>
        </w:tc>
        <w:tc>
          <w:tcPr>
            <w:tcW w:w="1417" w:type="dxa"/>
            <w:tcBorders>
              <w:bottom w:val="nil"/>
              <w:right w:val="single" w:sz="4" w:space="0" w:color="auto"/>
            </w:tcBorders>
            <w:vAlign w:val="bottom"/>
          </w:tcPr>
          <w:p w14:paraId="59C5EBDE" w14:textId="77777777" w:rsidR="00EF4CB3" w:rsidRPr="00653BF6" w:rsidRDefault="00EF4CB3" w:rsidP="007F23EE">
            <w:pPr>
              <w:pStyle w:val="Nottoc-headings0"/>
              <w:keepLines w:val="0"/>
              <w:tabs>
                <w:tab w:val="left" w:pos="567"/>
              </w:tabs>
              <w:spacing w:before="40" w:after="20" w:line="260" w:lineRule="exact"/>
              <w:ind w:left="57" w:hanging="57"/>
              <w:rPr>
                <w:rFonts w:ascii="Times New Roman" w:hAnsi="Times New Roman"/>
                <w:b w:val="0"/>
                <w:color w:val="000000"/>
                <w:sz w:val="22"/>
                <w:szCs w:val="22"/>
                <w:lang w:val="fr-FR"/>
              </w:rPr>
            </w:pPr>
            <w:r w:rsidRPr="00653BF6">
              <w:rPr>
                <w:rFonts w:ascii="Times New Roman" w:hAnsi="Times New Roman"/>
                <w:b w:val="0"/>
                <w:color w:val="000000"/>
                <w:sz w:val="22"/>
                <w:szCs w:val="22"/>
                <w:lang w:val="fr-FR"/>
              </w:rPr>
              <w:t>Faible</w:t>
            </w:r>
          </w:p>
        </w:tc>
        <w:tc>
          <w:tcPr>
            <w:tcW w:w="986" w:type="dxa"/>
            <w:tcBorders>
              <w:left w:val="single" w:sz="4" w:space="0" w:color="auto"/>
              <w:bottom w:val="nil"/>
              <w:right w:val="single" w:sz="4" w:space="0" w:color="auto"/>
            </w:tcBorders>
            <w:vAlign w:val="bottom"/>
          </w:tcPr>
          <w:p w14:paraId="18F690BF" w14:textId="77777777" w:rsidR="00EF4CB3" w:rsidRPr="00653BF6" w:rsidRDefault="00EF4CB3" w:rsidP="007F23EE">
            <w:pPr>
              <w:pStyle w:val="Nottoc-headings0"/>
              <w:keepLines w:val="0"/>
              <w:tabs>
                <w:tab w:val="left" w:pos="567"/>
              </w:tabs>
              <w:spacing w:before="40" w:after="20" w:line="260" w:lineRule="exact"/>
              <w:ind w:left="57" w:hanging="57"/>
              <w:jc w:val="center"/>
              <w:rPr>
                <w:rFonts w:ascii="Times New Roman" w:hAnsi="Times New Roman"/>
                <w:b w:val="0"/>
                <w:color w:val="000000"/>
                <w:sz w:val="22"/>
                <w:szCs w:val="22"/>
                <w:lang w:val="fr-FR"/>
              </w:rPr>
            </w:pPr>
            <w:r w:rsidRPr="00653BF6">
              <w:rPr>
                <w:rFonts w:ascii="Times New Roman" w:hAnsi="Times New Roman"/>
                <w:b w:val="0"/>
                <w:color w:val="000000"/>
                <w:sz w:val="22"/>
                <w:szCs w:val="22"/>
                <w:lang w:val="fr-FR"/>
              </w:rPr>
              <w:t>29,5</w:t>
            </w:r>
          </w:p>
        </w:tc>
        <w:tc>
          <w:tcPr>
            <w:tcW w:w="2083" w:type="dxa"/>
            <w:tcBorders>
              <w:left w:val="single" w:sz="4" w:space="0" w:color="auto"/>
              <w:bottom w:val="nil"/>
              <w:right w:val="single" w:sz="4" w:space="0" w:color="auto"/>
            </w:tcBorders>
            <w:vAlign w:val="bottom"/>
          </w:tcPr>
          <w:p w14:paraId="461BB4D8" w14:textId="77777777" w:rsidR="00EF4CB3" w:rsidRPr="00653BF6" w:rsidRDefault="00EF4CB3" w:rsidP="007F23EE">
            <w:pPr>
              <w:pStyle w:val="Nottoc-headings0"/>
              <w:keepLines w:val="0"/>
              <w:tabs>
                <w:tab w:val="left" w:pos="567"/>
              </w:tabs>
              <w:spacing w:before="40" w:after="20" w:line="260" w:lineRule="exact"/>
              <w:ind w:left="57" w:hanging="57"/>
              <w:rPr>
                <w:rFonts w:ascii="Times New Roman" w:hAnsi="Times New Roman"/>
                <w:b w:val="0"/>
                <w:color w:val="000000"/>
                <w:sz w:val="22"/>
                <w:szCs w:val="22"/>
                <w:lang w:val="fr-FR"/>
              </w:rPr>
            </w:pPr>
            <w:r w:rsidRPr="00653BF6">
              <w:rPr>
                <w:rFonts w:ascii="Times New Roman" w:hAnsi="Times New Roman"/>
                <w:b w:val="0"/>
                <w:color w:val="000000"/>
                <w:sz w:val="22"/>
                <w:szCs w:val="22"/>
                <w:lang w:val="fr-FR"/>
              </w:rPr>
              <w:t>0/86 vs. 2/90</w:t>
            </w:r>
          </w:p>
        </w:tc>
        <w:tc>
          <w:tcPr>
            <w:tcW w:w="1800" w:type="dxa"/>
            <w:tcBorders>
              <w:left w:val="single" w:sz="4" w:space="0" w:color="auto"/>
              <w:bottom w:val="nil"/>
              <w:right w:val="single" w:sz="4" w:space="0" w:color="auto"/>
            </w:tcBorders>
            <w:vAlign w:val="bottom"/>
          </w:tcPr>
          <w:p w14:paraId="2FF5AAEC" w14:textId="77777777" w:rsidR="00EF4CB3" w:rsidRPr="00653BF6" w:rsidRDefault="00EF4CB3" w:rsidP="007F23EE">
            <w:pPr>
              <w:pStyle w:val="Nottoc-headings0"/>
              <w:keepLines w:val="0"/>
              <w:tabs>
                <w:tab w:val="left" w:pos="567"/>
              </w:tabs>
              <w:spacing w:before="40" w:after="20" w:line="260" w:lineRule="exact"/>
              <w:ind w:left="57" w:hanging="57"/>
              <w:rPr>
                <w:rFonts w:ascii="Times New Roman" w:hAnsi="Times New Roman"/>
                <w:b w:val="0"/>
                <w:color w:val="000000"/>
                <w:sz w:val="22"/>
                <w:szCs w:val="22"/>
                <w:lang w:val="fr-FR"/>
              </w:rPr>
            </w:pPr>
            <w:r w:rsidRPr="00653BF6">
              <w:rPr>
                <w:rFonts w:ascii="Times New Roman" w:hAnsi="Times New Roman"/>
                <w:b w:val="0"/>
                <w:color w:val="000000"/>
                <w:sz w:val="22"/>
                <w:szCs w:val="22"/>
                <w:lang w:val="fr-FR"/>
              </w:rPr>
              <w:t>N.E.</w:t>
            </w:r>
          </w:p>
        </w:tc>
        <w:tc>
          <w:tcPr>
            <w:tcW w:w="1440" w:type="dxa"/>
            <w:tcBorders>
              <w:left w:val="single" w:sz="4" w:space="0" w:color="auto"/>
              <w:bottom w:val="nil"/>
              <w:right w:val="single" w:sz="4" w:space="0" w:color="auto"/>
            </w:tcBorders>
            <w:vAlign w:val="bottom"/>
          </w:tcPr>
          <w:p w14:paraId="7EAADB26" w14:textId="77777777" w:rsidR="00EF4CB3" w:rsidRPr="00653BF6" w:rsidRDefault="00EF4CB3" w:rsidP="007F23EE">
            <w:pPr>
              <w:pStyle w:val="Nottoc-headings0"/>
              <w:keepLines w:val="0"/>
              <w:tabs>
                <w:tab w:val="left" w:pos="567"/>
              </w:tabs>
              <w:spacing w:before="40" w:after="20" w:line="260" w:lineRule="exact"/>
              <w:ind w:left="57" w:hanging="57"/>
              <w:rPr>
                <w:rFonts w:ascii="Times New Roman" w:hAnsi="Times New Roman"/>
                <w:b w:val="0"/>
                <w:color w:val="000000"/>
                <w:sz w:val="22"/>
                <w:szCs w:val="22"/>
                <w:lang w:val="fr-FR"/>
              </w:rPr>
            </w:pPr>
            <w:r w:rsidRPr="00653BF6">
              <w:rPr>
                <w:rFonts w:ascii="Times New Roman" w:hAnsi="Times New Roman"/>
                <w:b w:val="0"/>
                <w:color w:val="000000"/>
                <w:sz w:val="22"/>
                <w:szCs w:val="22"/>
                <w:lang w:val="fr-FR"/>
              </w:rPr>
              <w:t>100 vs. 98,7</w:t>
            </w:r>
          </w:p>
        </w:tc>
        <w:tc>
          <w:tcPr>
            <w:tcW w:w="1360" w:type="dxa"/>
            <w:tcBorders>
              <w:left w:val="single" w:sz="4" w:space="0" w:color="auto"/>
              <w:bottom w:val="nil"/>
            </w:tcBorders>
            <w:vAlign w:val="bottom"/>
          </w:tcPr>
          <w:p w14:paraId="7BA64294" w14:textId="77777777" w:rsidR="00EF4CB3" w:rsidRPr="00653BF6" w:rsidRDefault="00EF4CB3" w:rsidP="007F23EE">
            <w:pPr>
              <w:pStyle w:val="Nottoc-headings0"/>
              <w:keepLines w:val="0"/>
              <w:tabs>
                <w:tab w:val="left" w:pos="567"/>
              </w:tabs>
              <w:spacing w:before="40" w:after="20" w:line="260" w:lineRule="exact"/>
              <w:ind w:left="57" w:hanging="57"/>
              <w:rPr>
                <w:rFonts w:ascii="Times New Roman" w:hAnsi="Times New Roman"/>
                <w:b w:val="0"/>
                <w:color w:val="000000"/>
                <w:sz w:val="22"/>
                <w:szCs w:val="22"/>
                <w:lang w:val="fr-FR"/>
              </w:rPr>
            </w:pPr>
            <w:r w:rsidRPr="00653BF6">
              <w:rPr>
                <w:rFonts w:ascii="Times New Roman" w:hAnsi="Times New Roman"/>
                <w:b w:val="0"/>
                <w:color w:val="000000"/>
                <w:sz w:val="22"/>
                <w:szCs w:val="22"/>
                <w:lang w:val="fr-FR"/>
              </w:rPr>
              <w:t>100 vs. 95,5</w:t>
            </w:r>
          </w:p>
        </w:tc>
      </w:tr>
      <w:tr w:rsidR="00EF4CB3" w:rsidRPr="00653BF6" w14:paraId="7F92B58E" w14:textId="77777777" w:rsidTr="000A7F49">
        <w:trPr>
          <w:cantSplit/>
        </w:trPr>
        <w:tc>
          <w:tcPr>
            <w:tcW w:w="1101" w:type="dxa"/>
            <w:vMerge/>
          </w:tcPr>
          <w:p w14:paraId="3FA0C139" w14:textId="77777777" w:rsidR="00EF4CB3" w:rsidRPr="00653BF6" w:rsidRDefault="00EF4CB3" w:rsidP="007F23EE">
            <w:pPr>
              <w:pStyle w:val="Nottoc-headings0"/>
              <w:keepLines w:val="0"/>
              <w:tabs>
                <w:tab w:val="left" w:pos="567"/>
              </w:tabs>
              <w:spacing w:line="260" w:lineRule="exact"/>
              <w:rPr>
                <w:rFonts w:ascii="Times New Roman" w:hAnsi="Times New Roman"/>
                <w:b w:val="0"/>
                <w:color w:val="000000"/>
                <w:sz w:val="22"/>
                <w:szCs w:val="22"/>
                <w:lang w:val="fr-FR"/>
              </w:rPr>
            </w:pPr>
          </w:p>
        </w:tc>
        <w:tc>
          <w:tcPr>
            <w:tcW w:w="1417" w:type="dxa"/>
            <w:tcBorders>
              <w:top w:val="nil"/>
              <w:bottom w:val="nil"/>
              <w:right w:val="single" w:sz="4" w:space="0" w:color="auto"/>
            </w:tcBorders>
            <w:vAlign w:val="bottom"/>
          </w:tcPr>
          <w:p w14:paraId="152184C5"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Intermédiaire</w:t>
            </w:r>
          </w:p>
        </w:tc>
        <w:tc>
          <w:tcPr>
            <w:tcW w:w="986" w:type="dxa"/>
            <w:tcBorders>
              <w:top w:val="nil"/>
              <w:left w:val="single" w:sz="4" w:space="0" w:color="auto"/>
              <w:bottom w:val="nil"/>
              <w:right w:val="single" w:sz="4" w:space="0" w:color="auto"/>
            </w:tcBorders>
            <w:vAlign w:val="bottom"/>
          </w:tcPr>
          <w:p w14:paraId="41EF43F8" w14:textId="77777777" w:rsidR="00EF4CB3" w:rsidRPr="00653BF6" w:rsidRDefault="00EF4CB3" w:rsidP="007F23EE">
            <w:pPr>
              <w:pStyle w:val="Table"/>
              <w:keepLines w:val="0"/>
              <w:tabs>
                <w:tab w:val="left" w:pos="567"/>
              </w:tabs>
              <w:spacing w:line="260" w:lineRule="exact"/>
              <w:jc w:val="center"/>
              <w:rPr>
                <w:rFonts w:ascii="Times New Roman" w:hAnsi="Times New Roman"/>
                <w:color w:val="000000"/>
                <w:sz w:val="22"/>
                <w:szCs w:val="22"/>
                <w:lang w:val="fr-FR"/>
              </w:rPr>
            </w:pPr>
            <w:r w:rsidRPr="00653BF6">
              <w:rPr>
                <w:rFonts w:ascii="Times New Roman" w:hAnsi="Times New Roman"/>
                <w:color w:val="000000"/>
                <w:sz w:val="22"/>
                <w:szCs w:val="22"/>
                <w:lang w:val="fr-FR"/>
              </w:rPr>
              <w:t>25,7</w:t>
            </w:r>
          </w:p>
        </w:tc>
        <w:tc>
          <w:tcPr>
            <w:tcW w:w="2083" w:type="dxa"/>
            <w:tcBorders>
              <w:top w:val="nil"/>
              <w:left w:val="single" w:sz="4" w:space="0" w:color="auto"/>
              <w:bottom w:val="nil"/>
              <w:right w:val="single" w:sz="4" w:space="0" w:color="auto"/>
            </w:tcBorders>
            <w:vAlign w:val="bottom"/>
          </w:tcPr>
          <w:p w14:paraId="130F6919"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4/75 vs. 6/78</w:t>
            </w:r>
          </w:p>
        </w:tc>
        <w:tc>
          <w:tcPr>
            <w:tcW w:w="1800" w:type="dxa"/>
            <w:tcBorders>
              <w:top w:val="nil"/>
              <w:left w:val="single" w:sz="4" w:space="0" w:color="auto"/>
              <w:bottom w:val="nil"/>
              <w:right w:val="single" w:sz="4" w:space="0" w:color="auto"/>
            </w:tcBorders>
            <w:vAlign w:val="bottom"/>
          </w:tcPr>
          <w:p w14:paraId="513F9C0E" w14:textId="6A58037E"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0,59 (0,17</w:t>
            </w:r>
            <w:ins w:id="624" w:author="Author">
              <w:r w:rsidR="00BC39C3" w:rsidRPr="00653BF6">
                <w:rPr>
                  <w:rFonts w:ascii="Times New Roman" w:hAnsi="Times New Roman"/>
                  <w:color w:val="000000"/>
                  <w:sz w:val="22"/>
                  <w:szCs w:val="22"/>
                  <w:lang w:val="fr-FR"/>
                </w:rPr>
                <w:t> </w:t>
              </w:r>
            </w:ins>
            <w:r w:rsidRPr="00653BF6">
              <w:rPr>
                <w:rFonts w:ascii="Times New Roman" w:hAnsi="Times New Roman"/>
                <w:color w:val="000000"/>
                <w:sz w:val="22"/>
                <w:szCs w:val="22"/>
                <w:lang w:val="fr-FR"/>
              </w:rPr>
              <w:t>; 2,10)</w:t>
            </w:r>
          </w:p>
        </w:tc>
        <w:tc>
          <w:tcPr>
            <w:tcW w:w="1440" w:type="dxa"/>
            <w:tcBorders>
              <w:top w:val="nil"/>
              <w:left w:val="single" w:sz="4" w:space="0" w:color="auto"/>
              <w:bottom w:val="nil"/>
              <w:right w:val="single" w:sz="4" w:space="0" w:color="auto"/>
            </w:tcBorders>
            <w:vAlign w:val="bottom"/>
          </w:tcPr>
          <w:p w14:paraId="105292DD"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100 vs. 94,8</w:t>
            </w:r>
          </w:p>
        </w:tc>
        <w:tc>
          <w:tcPr>
            <w:tcW w:w="1360" w:type="dxa"/>
            <w:tcBorders>
              <w:top w:val="nil"/>
              <w:left w:val="single" w:sz="4" w:space="0" w:color="auto"/>
              <w:bottom w:val="nil"/>
            </w:tcBorders>
            <w:vAlign w:val="bottom"/>
          </w:tcPr>
          <w:p w14:paraId="4AD8F097"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97,8 vs. 89,5</w:t>
            </w:r>
          </w:p>
        </w:tc>
      </w:tr>
      <w:tr w:rsidR="00EF4CB3" w:rsidRPr="00653BF6" w14:paraId="16E33736" w14:textId="77777777" w:rsidTr="000A7F49">
        <w:trPr>
          <w:cantSplit/>
        </w:trPr>
        <w:tc>
          <w:tcPr>
            <w:tcW w:w="1101" w:type="dxa"/>
            <w:vMerge/>
          </w:tcPr>
          <w:p w14:paraId="3A4C0D96"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p>
        </w:tc>
        <w:tc>
          <w:tcPr>
            <w:tcW w:w="1417" w:type="dxa"/>
            <w:tcBorders>
              <w:top w:val="nil"/>
              <w:right w:val="single" w:sz="4" w:space="0" w:color="auto"/>
            </w:tcBorders>
            <w:vAlign w:val="bottom"/>
          </w:tcPr>
          <w:p w14:paraId="12B1F6DB"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Elevé</w:t>
            </w:r>
          </w:p>
        </w:tc>
        <w:tc>
          <w:tcPr>
            <w:tcW w:w="986" w:type="dxa"/>
            <w:tcBorders>
              <w:top w:val="nil"/>
              <w:left w:val="single" w:sz="4" w:space="0" w:color="auto"/>
              <w:right w:val="single" w:sz="4" w:space="0" w:color="auto"/>
            </w:tcBorders>
            <w:vAlign w:val="bottom"/>
          </w:tcPr>
          <w:p w14:paraId="5057EE59" w14:textId="77777777" w:rsidR="00EF4CB3" w:rsidRPr="00653BF6" w:rsidRDefault="00EF4CB3" w:rsidP="007F23EE">
            <w:pPr>
              <w:pStyle w:val="Table"/>
              <w:keepLines w:val="0"/>
              <w:tabs>
                <w:tab w:val="left" w:pos="567"/>
              </w:tabs>
              <w:spacing w:line="260" w:lineRule="exact"/>
              <w:jc w:val="center"/>
              <w:rPr>
                <w:rFonts w:ascii="Times New Roman" w:hAnsi="Times New Roman"/>
                <w:color w:val="000000"/>
                <w:sz w:val="22"/>
                <w:szCs w:val="22"/>
                <w:lang w:val="fr-FR"/>
              </w:rPr>
            </w:pPr>
            <w:r w:rsidRPr="00653BF6">
              <w:rPr>
                <w:rFonts w:ascii="Times New Roman" w:hAnsi="Times New Roman"/>
                <w:color w:val="000000"/>
                <w:sz w:val="22"/>
                <w:szCs w:val="22"/>
                <w:lang w:val="fr-FR"/>
              </w:rPr>
              <w:t>44,8</w:t>
            </w:r>
          </w:p>
        </w:tc>
        <w:tc>
          <w:tcPr>
            <w:tcW w:w="2083" w:type="dxa"/>
            <w:tcBorders>
              <w:top w:val="nil"/>
              <w:left w:val="single" w:sz="4" w:space="0" w:color="auto"/>
              <w:right w:val="single" w:sz="4" w:space="0" w:color="auto"/>
            </w:tcBorders>
            <w:vAlign w:val="bottom"/>
          </w:tcPr>
          <w:p w14:paraId="585FAE69"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21/140 vs. 51/127</w:t>
            </w:r>
          </w:p>
        </w:tc>
        <w:tc>
          <w:tcPr>
            <w:tcW w:w="1800" w:type="dxa"/>
            <w:tcBorders>
              <w:top w:val="nil"/>
              <w:left w:val="single" w:sz="4" w:space="0" w:color="auto"/>
              <w:right w:val="single" w:sz="4" w:space="0" w:color="auto"/>
            </w:tcBorders>
            <w:vAlign w:val="bottom"/>
          </w:tcPr>
          <w:p w14:paraId="69B2E96E" w14:textId="4F2FEDC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0,29 (0,18</w:t>
            </w:r>
            <w:ins w:id="625" w:author="Author">
              <w:r w:rsidR="00BC39C3" w:rsidRPr="00653BF6">
                <w:rPr>
                  <w:rFonts w:ascii="Times New Roman" w:hAnsi="Times New Roman"/>
                  <w:color w:val="000000"/>
                  <w:sz w:val="22"/>
                  <w:szCs w:val="22"/>
                  <w:lang w:val="fr-FR"/>
                </w:rPr>
                <w:t> </w:t>
              </w:r>
            </w:ins>
            <w:r w:rsidRPr="00653BF6">
              <w:rPr>
                <w:rFonts w:ascii="Times New Roman" w:hAnsi="Times New Roman"/>
                <w:color w:val="000000"/>
                <w:sz w:val="22"/>
                <w:szCs w:val="22"/>
                <w:lang w:val="fr-FR"/>
              </w:rPr>
              <w:t>; 0,49)</w:t>
            </w:r>
          </w:p>
        </w:tc>
        <w:tc>
          <w:tcPr>
            <w:tcW w:w="1440" w:type="dxa"/>
            <w:tcBorders>
              <w:top w:val="nil"/>
              <w:left w:val="single" w:sz="4" w:space="0" w:color="auto"/>
              <w:right w:val="single" w:sz="4" w:space="0" w:color="auto"/>
            </w:tcBorders>
            <w:vAlign w:val="bottom"/>
          </w:tcPr>
          <w:p w14:paraId="0FB20166"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94,8 vs. 64,0</w:t>
            </w:r>
          </w:p>
        </w:tc>
        <w:tc>
          <w:tcPr>
            <w:tcW w:w="1360" w:type="dxa"/>
            <w:tcBorders>
              <w:top w:val="nil"/>
              <w:left w:val="single" w:sz="4" w:space="0" w:color="auto"/>
            </w:tcBorders>
            <w:vAlign w:val="bottom"/>
          </w:tcPr>
          <w:p w14:paraId="3AEC50C4"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80,7 vs. 46,6</w:t>
            </w:r>
          </w:p>
        </w:tc>
      </w:tr>
      <w:tr w:rsidR="00EF4CB3" w:rsidRPr="00653BF6" w14:paraId="1427A1BC" w14:textId="77777777" w:rsidTr="000A7F49">
        <w:trPr>
          <w:cantSplit/>
        </w:trPr>
        <w:tc>
          <w:tcPr>
            <w:tcW w:w="1101" w:type="dxa"/>
            <w:vMerge w:val="restart"/>
          </w:tcPr>
          <w:p w14:paraId="25C9DB73" w14:textId="77777777" w:rsidR="00EF4CB3" w:rsidRPr="00653BF6" w:rsidRDefault="00EF4CB3" w:rsidP="007F23EE">
            <w:pPr>
              <w:pStyle w:val="Table"/>
              <w:keepLines w:val="0"/>
              <w:tabs>
                <w:tab w:val="left" w:pos="567"/>
              </w:tabs>
              <w:spacing w:before="480"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AFIP</w:t>
            </w:r>
          </w:p>
        </w:tc>
        <w:tc>
          <w:tcPr>
            <w:tcW w:w="1417" w:type="dxa"/>
            <w:tcBorders>
              <w:bottom w:val="nil"/>
              <w:right w:val="single" w:sz="4" w:space="0" w:color="auto"/>
            </w:tcBorders>
            <w:vAlign w:val="bottom"/>
          </w:tcPr>
          <w:p w14:paraId="4BF49388"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Très faible</w:t>
            </w:r>
          </w:p>
        </w:tc>
        <w:tc>
          <w:tcPr>
            <w:tcW w:w="986" w:type="dxa"/>
            <w:tcBorders>
              <w:left w:val="single" w:sz="4" w:space="0" w:color="auto"/>
              <w:bottom w:val="nil"/>
              <w:right w:val="single" w:sz="4" w:space="0" w:color="auto"/>
            </w:tcBorders>
            <w:vAlign w:val="bottom"/>
          </w:tcPr>
          <w:p w14:paraId="00CCB090" w14:textId="77777777" w:rsidR="00EF4CB3" w:rsidRPr="00653BF6" w:rsidRDefault="00EF4CB3" w:rsidP="007F23EE">
            <w:pPr>
              <w:pStyle w:val="Table"/>
              <w:keepLines w:val="0"/>
              <w:tabs>
                <w:tab w:val="left" w:pos="567"/>
              </w:tabs>
              <w:spacing w:line="260" w:lineRule="exact"/>
              <w:jc w:val="center"/>
              <w:rPr>
                <w:rFonts w:ascii="Times New Roman" w:hAnsi="Times New Roman"/>
                <w:color w:val="000000"/>
                <w:sz w:val="22"/>
                <w:szCs w:val="22"/>
                <w:lang w:val="fr-FR"/>
              </w:rPr>
            </w:pPr>
            <w:r w:rsidRPr="00653BF6">
              <w:rPr>
                <w:rFonts w:ascii="Times New Roman" w:hAnsi="Times New Roman"/>
                <w:color w:val="000000"/>
                <w:sz w:val="22"/>
                <w:szCs w:val="22"/>
                <w:lang w:val="fr-FR"/>
              </w:rPr>
              <w:t>20,7</w:t>
            </w:r>
          </w:p>
        </w:tc>
        <w:tc>
          <w:tcPr>
            <w:tcW w:w="2083" w:type="dxa"/>
            <w:tcBorders>
              <w:left w:val="single" w:sz="4" w:space="0" w:color="auto"/>
              <w:bottom w:val="nil"/>
              <w:right w:val="single" w:sz="4" w:space="0" w:color="auto"/>
            </w:tcBorders>
            <w:vAlign w:val="bottom"/>
          </w:tcPr>
          <w:p w14:paraId="479E23DB"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0/52 vs. 2/63</w:t>
            </w:r>
          </w:p>
        </w:tc>
        <w:tc>
          <w:tcPr>
            <w:tcW w:w="1800" w:type="dxa"/>
            <w:tcBorders>
              <w:left w:val="single" w:sz="4" w:space="0" w:color="auto"/>
              <w:bottom w:val="nil"/>
              <w:right w:val="single" w:sz="4" w:space="0" w:color="auto"/>
            </w:tcBorders>
            <w:vAlign w:val="bottom"/>
          </w:tcPr>
          <w:p w14:paraId="18D27476"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N.E.</w:t>
            </w:r>
          </w:p>
        </w:tc>
        <w:tc>
          <w:tcPr>
            <w:tcW w:w="1440" w:type="dxa"/>
            <w:tcBorders>
              <w:left w:val="single" w:sz="4" w:space="0" w:color="auto"/>
              <w:bottom w:val="nil"/>
              <w:right w:val="single" w:sz="4" w:space="0" w:color="auto"/>
            </w:tcBorders>
            <w:vAlign w:val="bottom"/>
          </w:tcPr>
          <w:p w14:paraId="5CCA8106"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100 vs. 98,1</w:t>
            </w:r>
          </w:p>
        </w:tc>
        <w:tc>
          <w:tcPr>
            <w:tcW w:w="1360" w:type="dxa"/>
            <w:tcBorders>
              <w:left w:val="single" w:sz="4" w:space="0" w:color="auto"/>
              <w:bottom w:val="nil"/>
            </w:tcBorders>
            <w:vAlign w:val="bottom"/>
          </w:tcPr>
          <w:p w14:paraId="5FC498D2"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100 vs. 93,0</w:t>
            </w:r>
          </w:p>
        </w:tc>
      </w:tr>
      <w:tr w:rsidR="00EF4CB3" w:rsidRPr="00653BF6" w14:paraId="763C3D7E" w14:textId="77777777" w:rsidTr="000A7F49">
        <w:trPr>
          <w:cantSplit/>
        </w:trPr>
        <w:tc>
          <w:tcPr>
            <w:tcW w:w="1101" w:type="dxa"/>
            <w:vMerge/>
          </w:tcPr>
          <w:p w14:paraId="4F745CEC"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p>
        </w:tc>
        <w:tc>
          <w:tcPr>
            <w:tcW w:w="1417" w:type="dxa"/>
            <w:tcBorders>
              <w:top w:val="nil"/>
              <w:bottom w:val="nil"/>
              <w:right w:val="single" w:sz="4" w:space="0" w:color="auto"/>
            </w:tcBorders>
            <w:vAlign w:val="bottom"/>
          </w:tcPr>
          <w:p w14:paraId="3E1DA958"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Faible</w:t>
            </w:r>
          </w:p>
        </w:tc>
        <w:tc>
          <w:tcPr>
            <w:tcW w:w="986" w:type="dxa"/>
            <w:tcBorders>
              <w:top w:val="nil"/>
              <w:left w:val="single" w:sz="4" w:space="0" w:color="auto"/>
              <w:bottom w:val="nil"/>
              <w:right w:val="single" w:sz="4" w:space="0" w:color="auto"/>
            </w:tcBorders>
            <w:vAlign w:val="bottom"/>
          </w:tcPr>
          <w:p w14:paraId="12F6661F" w14:textId="77777777" w:rsidR="00EF4CB3" w:rsidRPr="00653BF6" w:rsidRDefault="00EF4CB3" w:rsidP="007F23EE">
            <w:pPr>
              <w:pStyle w:val="Table"/>
              <w:keepLines w:val="0"/>
              <w:tabs>
                <w:tab w:val="left" w:pos="567"/>
              </w:tabs>
              <w:spacing w:line="260" w:lineRule="exact"/>
              <w:jc w:val="center"/>
              <w:rPr>
                <w:rFonts w:ascii="Times New Roman" w:hAnsi="Times New Roman"/>
                <w:color w:val="000000"/>
                <w:sz w:val="22"/>
                <w:szCs w:val="22"/>
                <w:lang w:val="fr-FR"/>
              </w:rPr>
            </w:pPr>
            <w:r w:rsidRPr="00653BF6">
              <w:rPr>
                <w:rFonts w:ascii="Times New Roman" w:hAnsi="Times New Roman"/>
                <w:color w:val="000000"/>
                <w:sz w:val="22"/>
                <w:szCs w:val="22"/>
                <w:lang w:val="fr-FR"/>
              </w:rPr>
              <w:t>25,0</w:t>
            </w:r>
          </w:p>
        </w:tc>
        <w:tc>
          <w:tcPr>
            <w:tcW w:w="2083" w:type="dxa"/>
            <w:tcBorders>
              <w:top w:val="nil"/>
              <w:left w:val="single" w:sz="4" w:space="0" w:color="auto"/>
              <w:bottom w:val="nil"/>
              <w:right w:val="single" w:sz="4" w:space="0" w:color="auto"/>
            </w:tcBorders>
            <w:vAlign w:val="bottom"/>
          </w:tcPr>
          <w:p w14:paraId="11B85BE0"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2/70 vs. 0/69</w:t>
            </w:r>
          </w:p>
        </w:tc>
        <w:tc>
          <w:tcPr>
            <w:tcW w:w="1800" w:type="dxa"/>
            <w:tcBorders>
              <w:top w:val="nil"/>
              <w:left w:val="single" w:sz="4" w:space="0" w:color="auto"/>
              <w:bottom w:val="nil"/>
              <w:right w:val="single" w:sz="4" w:space="0" w:color="auto"/>
            </w:tcBorders>
            <w:vAlign w:val="bottom"/>
          </w:tcPr>
          <w:p w14:paraId="68A96515"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N.E.</w:t>
            </w:r>
          </w:p>
        </w:tc>
        <w:tc>
          <w:tcPr>
            <w:tcW w:w="1440" w:type="dxa"/>
            <w:tcBorders>
              <w:top w:val="nil"/>
              <w:left w:val="single" w:sz="4" w:space="0" w:color="auto"/>
              <w:bottom w:val="nil"/>
              <w:right w:val="single" w:sz="4" w:space="0" w:color="auto"/>
            </w:tcBorders>
            <w:vAlign w:val="bottom"/>
          </w:tcPr>
          <w:p w14:paraId="4597C61F"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100 vs. 100</w:t>
            </w:r>
          </w:p>
        </w:tc>
        <w:tc>
          <w:tcPr>
            <w:tcW w:w="1360" w:type="dxa"/>
            <w:tcBorders>
              <w:top w:val="nil"/>
              <w:left w:val="single" w:sz="4" w:space="0" w:color="auto"/>
              <w:bottom w:val="nil"/>
            </w:tcBorders>
            <w:vAlign w:val="bottom"/>
          </w:tcPr>
          <w:p w14:paraId="6A9877E3"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97,8 vs. 100</w:t>
            </w:r>
          </w:p>
        </w:tc>
      </w:tr>
      <w:tr w:rsidR="00EF4CB3" w:rsidRPr="00653BF6" w14:paraId="73439AE1" w14:textId="77777777" w:rsidTr="000A7F49">
        <w:trPr>
          <w:cantSplit/>
        </w:trPr>
        <w:tc>
          <w:tcPr>
            <w:tcW w:w="1101" w:type="dxa"/>
            <w:vMerge/>
          </w:tcPr>
          <w:p w14:paraId="000FF88C" w14:textId="77777777" w:rsidR="00EF4CB3" w:rsidRPr="00653BF6" w:rsidRDefault="00EF4CB3" w:rsidP="007F23EE">
            <w:pPr>
              <w:pStyle w:val="Table"/>
              <w:keepLines w:val="0"/>
              <w:tabs>
                <w:tab w:val="left" w:pos="567"/>
              </w:tabs>
              <w:spacing w:line="260" w:lineRule="exact"/>
              <w:rPr>
                <w:rFonts w:ascii="Times New Roman" w:hAnsi="Times New Roman"/>
                <w:b/>
                <w:color w:val="000000"/>
                <w:sz w:val="22"/>
                <w:szCs w:val="22"/>
                <w:lang w:val="fr-FR"/>
              </w:rPr>
            </w:pPr>
          </w:p>
        </w:tc>
        <w:tc>
          <w:tcPr>
            <w:tcW w:w="1417" w:type="dxa"/>
            <w:tcBorders>
              <w:top w:val="nil"/>
              <w:bottom w:val="nil"/>
              <w:right w:val="single" w:sz="4" w:space="0" w:color="auto"/>
            </w:tcBorders>
            <w:vAlign w:val="bottom"/>
          </w:tcPr>
          <w:p w14:paraId="7FBECA61"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Modéré</w:t>
            </w:r>
          </w:p>
        </w:tc>
        <w:tc>
          <w:tcPr>
            <w:tcW w:w="986" w:type="dxa"/>
            <w:tcBorders>
              <w:top w:val="nil"/>
              <w:left w:val="single" w:sz="4" w:space="0" w:color="auto"/>
              <w:bottom w:val="nil"/>
              <w:right w:val="single" w:sz="4" w:space="0" w:color="auto"/>
            </w:tcBorders>
            <w:vAlign w:val="bottom"/>
          </w:tcPr>
          <w:p w14:paraId="5566DBEE" w14:textId="77777777" w:rsidR="00EF4CB3" w:rsidRPr="00653BF6" w:rsidRDefault="00EF4CB3" w:rsidP="007F23EE">
            <w:pPr>
              <w:pStyle w:val="Table"/>
              <w:keepLines w:val="0"/>
              <w:tabs>
                <w:tab w:val="left" w:pos="567"/>
              </w:tabs>
              <w:spacing w:line="260" w:lineRule="exact"/>
              <w:jc w:val="center"/>
              <w:rPr>
                <w:rFonts w:ascii="Times New Roman" w:hAnsi="Times New Roman"/>
                <w:color w:val="000000"/>
                <w:sz w:val="22"/>
                <w:szCs w:val="22"/>
                <w:lang w:val="fr-FR"/>
              </w:rPr>
            </w:pPr>
            <w:r w:rsidRPr="00653BF6">
              <w:rPr>
                <w:rFonts w:ascii="Times New Roman" w:hAnsi="Times New Roman"/>
                <w:color w:val="000000"/>
                <w:sz w:val="22"/>
                <w:szCs w:val="22"/>
                <w:lang w:val="fr-FR"/>
              </w:rPr>
              <w:t>24,6</w:t>
            </w:r>
          </w:p>
        </w:tc>
        <w:tc>
          <w:tcPr>
            <w:tcW w:w="2083" w:type="dxa"/>
            <w:tcBorders>
              <w:top w:val="nil"/>
              <w:left w:val="single" w:sz="4" w:space="0" w:color="auto"/>
              <w:bottom w:val="nil"/>
              <w:right w:val="single" w:sz="4" w:space="0" w:color="auto"/>
            </w:tcBorders>
            <w:vAlign w:val="bottom"/>
          </w:tcPr>
          <w:p w14:paraId="66102847"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2/70 vs. 11/67</w:t>
            </w:r>
          </w:p>
        </w:tc>
        <w:tc>
          <w:tcPr>
            <w:tcW w:w="1800" w:type="dxa"/>
            <w:tcBorders>
              <w:top w:val="nil"/>
              <w:left w:val="single" w:sz="4" w:space="0" w:color="auto"/>
              <w:bottom w:val="nil"/>
              <w:right w:val="single" w:sz="4" w:space="0" w:color="auto"/>
            </w:tcBorders>
            <w:vAlign w:val="bottom"/>
          </w:tcPr>
          <w:p w14:paraId="14E61E70" w14:textId="217CB1CD"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0,16 (0,03</w:t>
            </w:r>
            <w:ins w:id="626" w:author="Author">
              <w:r w:rsidR="00BC39C3" w:rsidRPr="00653BF6">
                <w:rPr>
                  <w:rFonts w:ascii="Times New Roman" w:hAnsi="Times New Roman"/>
                  <w:color w:val="000000"/>
                  <w:sz w:val="22"/>
                  <w:szCs w:val="22"/>
                  <w:lang w:val="fr-FR"/>
                </w:rPr>
                <w:t> </w:t>
              </w:r>
            </w:ins>
            <w:r w:rsidRPr="00653BF6">
              <w:rPr>
                <w:rFonts w:ascii="Times New Roman" w:hAnsi="Times New Roman"/>
                <w:color w:val="000000"/>
                <w:sz w:val="22"/>
                <w:szCs w:val="22"/>
                <w:lang w:val="fr-FR"/>
              </w:rPr>
              <w:t>; 0,70)</w:t>
            </w:r>
          </w:p>
        </w:tc>
        <w:tc>
          <w:tcPr>
            <w:tcW w:w="1440" w:type="dxa"/>
            <w:tcBorders>
              <w:top w:val="nil"/>
              <w:left w:val="single" w:sz="4" w:space="0" w:color="auto"/>
              <w:bottom w:val="nil"/>
              <w:right w:val="single" w:sz="4" w:space="0" w:color="auto"/>
            </w:tcBorders>
            <w:vAlign w:val="bottom"/>
          </w:tcPr>
          <w:p w14:paraId="5B2A5EB7"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97,9 vs. 90,8</w:t>
            </w:r>
          </w:p>
        </w:tc>
        <w:tc>
          <w:tcPr>
            <w:tcW w:w="1360" w:type="dxa"/>
            <w:tcBorders>
              <w:top w:val="nil"/>
              <w:left w:val="single" w:sz="4" w:space="0" w:color="auto"/>
              <w:bottom w:val="nil"/>
            </w:tcBorders>
            <w:vAlign w:val="bottom"/>
          </w:tcPr>
          <w:p w14:paraId="03807CE2"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97,9 vs. 73,3</w:t>
            </w:r>
          </w:p>
        </w:tc>
      </w:tr>
      <w:tr w:rsidR="00EF4CB3" w:rsidRPr="00653BF6" w14:paraId="3612EE17" w14:textId="77777777" w:rsidTr="005205FF">
        <w:tblPrEx>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627" w:author="Author">
            <w:tblPrEx>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cantSplit/>
          <w:trPrChange w:id="628" w:author="Author">
            <w:trPr>
              <w:cantSplit/>
            </w:trPr>
          </w:trPrChange>
        </w:trPr>
        <w:tc>
          <w:tcPr>
            <w:tcW w:w="1101" w:type="dxa"/>
            <w:vMerge/>
            <w:tcPrChange w:id="629" w:author="Author">
              <w:tcPr>
                <w:tcW w:w="1101" w:type="dxa"/>
                <w:vMerge/>
                <w:tcBorders>
                  <w:bottom w:val="single" w:sz="4" w:space="0" w:color="auto"/>
                </w:tcBorders>
              </w:tcPr>
            </w:tcPrChange>
          </w:tcPr>
          <w:p w14:paraId="03998D19"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p>
        </w:tc>
        <w:tc>
          <w:tcPr>
            <w:tcW w:w="1417" w:type="dxa"/>
            <w:tcBorders>
              <w:top w:val="nil"/>
              <w:bottom w:val="nil"/>
              <w:right w:val="single" w:sz="4" w:space="0" w:color="auto"/>
            </w:tcBorders>
            <w:vAlign w:val="bottom"/>
            <w:tcPrChange w:id="630" w:author="Author">
              <w:tcPr>
                <w:tcW w:w="1417" w:type="dxa"/>
                <w:tcBorders>
                  <w:top w:val="nil"/>
                  <w:bottom w:val="single" w:sz="4" w:space="0" w:color="auto"/>
                  <w:right w:val="single" w:sz="4" w:space="0" w:color="auto"/>
                </w:tcBorders>
                <w:vAlign w:val="bottom"/>
              </w:tcPr>
            </w:tcPrChange>
          </w:tcPr>
          <w:p w14:paraId="34C6A62A"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Elevé</w:t>
            </w:r>
          </w:p>
        </w:tc>
        <w:tc>
          <w:tcPr>
            <w:tcW w:w="986" w:type="dxa"/>
            <w:tcBorders>
              <w:top w:val="nil"/>
              <w:left w:val="single" w:sz="4" w:space="0" w:color="auto"/>
              <w:bottom w:val="nil"/>
              <w:right w:val="single" w:sz="4" w:space="0" w:color="auto"/>
            </w:tcBorders>
            <w:vAlign w:val="bottom"/>
            <w:tcPrChange w:id="631" w:author="Author">
              <w:tcPr>
                <w:tcW w:w="986" w:type="dxa"/>
                <w:tcBorders>
                  <w:top w:val="nil"/>
                  <w:left w:val="single" w:sz="4" w:space="0" w:color="auto"/>
                  <w:bottom w:val="single" w:sz="4" w:space="0" w:color="auto"/>
                  <w:right w:val="single" w:sz="4" w:space="0" w:color="auto"/>
                </w:tcBorders>
                <w:vAlign w:val="bottom"/>
              </w:tcPr>
            </w:tcPrChange>
          </w:tcPr>
          <w:p w14:paraId="43E167EF" w14:textId="77777777" w:rsidR="00EF4CB3" w:rsidRPr="00653BF6" w:rsidRDefault="00EF4CB3" w:rsidP="007F23EE">
            <w:pPr>
              <w:pStyle w:val="Table"/>
              <w:keepLines w:val="0"/>
              <w:tabs>
                <w:tab w:val="left" w:pos="567"/>
              </w:tabs>
              <w:spacing w:line="260" w:lineRule="exact"/>
              <w:ind w:right="-3"/>
              <w:jc w:val="center"/>
              <w:rPr>
                <w:rFonts w:ascii="Times New Roman" w:hAnsi="Times New Roman"/>
                <w:color w:val="000000"/>
                <w:sz w:val="22"/>
                <w:szCs w:val="22"/>
                <w:lang w:val="fr-FR"/>
              </w:rPr>
            </w:pPr>
            <w:r w:rsidRPr="00653BF6">
              <w:rPr>
                <w:rFonts w:ascii="Times New Roman" w:hAnsi="Times New Roman"/>
                <w:color w:val="000000"/>
                <w:sz w:val="22"/>
                <w:szCs w:val="22"/>
                <w:lang w:val="fr-FR"/>
              </w:rPr>
              <w:t>29,7</w:t>
            </w:r>
          </w:p>
        </w:tc>
        <w:tc>
          <w:tcPr>
            <w:tcW w:w="2083" w:type="dxa"/>
            <w:tcBorders>
              <w:top w:val="nil"/>
              <w:left w:val="single" w:sz="4" w:space="0" w:color="auto"/>
              <w:bottom w:val="nil"/>
              <w:right w:val="single" w:sz="4" w:space="0" w:color="auto"/>
            </w:tcBorders>
            <w:vAlign w:val="bottom"/>
            <w:tcPrChange w:id="632" w:author="Author">
              <w:tcPr>
                <w:tcW w:w="2083" w:type="dxa"/>
                <w:tcBorders>
                  <w:top w:val="nil"/>
                  <w:left w:val="single" w:sz="4" w:space="0" w:color="auto"/>
                  <w:bottom w:val="single" w:sz="4" w:space="0" w:color="auto"/>
                  <w:right w:val="single" w:sz="4" w:space="0" w:color="auto"/>
                </w:tcBorders>
                <w:vAlign w:val="bottom"/>
              </w:tcPr>
            </w:tcPrChange>
          </w:tcPr>
          <w:p w14:paraId="395D0B06"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16/84 vs. 39/81</w:t>
            </w:r>
          </w:p>
        </w:tc>
        <w:tc>
          <w:tcPr>
            <w:tcW w:w="1800" w:type="dxa"/>
            <w:tcBorders>
              <w:top w:val="nil"/>
              <w:left w:val="single" w:sz="4" w:space="0" w:color="auto"/>
              <w:bottom w:val="nil"/>
              <w:right w:val="single" w:sz="4" w:space="0" w:color="auto"/>
            </w:tcBorders>
            <w:vAlign w:val="bottom"/>
            <w:tcPrChange w:id="633" w:author="Author">
              <w:tcPr>
                <w:tcW w:w="1800" w:type="dxa"/>
                <w:tcBorders>
                  <w:top w:val="nil"/>
                  <w:left w:val="single" w:sz="4" w:space="0" w:color="auto"/>
                  <w:bottom w:val="single" w:sz="4" w:space="0" w:color="auto"/>
                  <w:right w:val="single" w:sz="4" w:space="0" w:color="auto"/>
                </w:tcBorders>
                <w:vAlign w:val="bottom"/>
              </w:tcPr>
            </w:tcPrChange>
          </w:tcPr>
          <w:p w14:paraId="417CBECB" w14:textId="23130901"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0,27 (0,15</w:t>
            </w:r>
            <w:ins w:id="634" w:author="Author">
              <w:r w:rsidR="00BC39C3" w:rsidRPr="00653BF6">
                <w:rPr>
                  <w:rFonts w:ascii="Times New Roman" w:hAnsi="Times New Roman"/>
                  <w:color w:val="000000"/>
                  <w:sz w:val="22"/>
                  <w:szCs w:val="22"/>
                  <w:lang w:val="fr-FR"/>
                </w:rPr>
                <w:t> </w:t>
              </w:r>
            </w:ins>
            <w:r w:rsidRPr="00653BF6">
              <w:rPr>
                <w:rFonts w:ascii="Times New Roman" w:hAnsi="Times New Roman"/>
                <w:color w:val="000000"/>
                <w:sz w:val="22"/>
                <w:szCs w:val="22"/>
                <w:lang w:val="fr-FR"/>
              </w:rPr>
              <w:t>; 0,48)</w:t>
            </w:r>
          </w:p>
        </w:tc>
        <w:tc>
          <w:tcPr>
            <w:tcW w:w="1440" w:type="dxa"/>
            <w:tcBorders>
              <w:top w:val="nil"/>
              <w:left w:val="single" w:sz="4" w:space="0" w:color="auto"/>
              <w:bottom w:val="nil"/>
              <w:right w:val="single" w:sz="4" w:space="0" w:color="auto"/>
            </w:tcBorders>
            <w:vAlign w:val="bottom"/>
            <w:tcPrChange w:id="635" w:author="Author">
              <w:tcPr>
                <w:tcW w:w="1440" w:type="dxa"/>
                <w:tcBorders>
                  <w:top w:val="nil"/>
                  <w:left w:val="single" w:sz="4" w:space="0" w:color="auto"/>
                  <w:bottom w:val="single" w:sz="4" w:space="0" w:color="auto"/>
                  <w:right w:val="single" w:sz="4" w:space="0" w:color="auto"/>
                </w:tcBorders>
                <w:vAlign w:val="bottom"/>
              </w:tcPr>
            </w:tcPrChange>
          </w:tcPr>
          <w:p w14:paraId="69B054E0"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98,7 vs. 56,1</w:t>
            </w:r>
          </w:p>
        </w:tc>
        <w:tc>
          <w:tcPr>
            <w:tcW w:w="1360" w:type="dxa"/>
            <w:tcBorders>
              <w:top w:val="nil"/>
              <w:left w:val="single" w:sz="4" w:space="0" w:color="auto"/>
              <w:bottom w:val="nil"/>
            </w:tcBorders>
            <w:vAlign w:val="bottom"/>
            <w:tcPrChange w:id="636" w:author="Author">
              <w:tcPr>
                <w:tcW w:w="1360" w:type="dxa"/>
                <w:tcBorders>
                  <w:top w:val="nil"/>
                  <w:left w:val="single" w:sz="4" w:space="0" w:color="auto"/>
                  <w:bottom w:val="single" w:sz="4" w:space="0" w:color="auto"/>
                </w:tcBorders>
                <w:vAlign w:val="bottom"/>
              </w:tcPr>
            </w:tcPrChange>
          </w:tcPr>
          <w:p w14:paraId="2CB4FB21" w14:textId="77777777" w:rsidR="00EF4CB3" w:rsidRPr="00653BF6" w:rsidRDefault="00EF4CB3" w:rsidP="007F23EE">
            <w:pPr>
              <w:pStyle w:val="Table"/>
              <w:keepLines w:val="0"/>
              <w:tabs>
                <w:tab w:val="left" w:pos="567"/>
              </w:tabs>
              <w:spacing w:line="260" w:lineRule="exact"/>
              <w:rPr>
                <w:rFonts w:ascii="Times New Roman" w:hAnsi="Times New Roman"/>
                <w:color w:val="000000"/>
                <w:sz w:val="22"/>
                <w:szCs w:val="22"/>
                <w:lang w:val="fr-FR"/>
              </w:rPr>
            </w:pPr>
            <w:r w:rsidRPr="00653BF6">
              <w:rPr>
                <w:rFonts w:ascii="Times New Roman" w:hAnsi="Times New Roman"/>
                <w:color w:val="000000"/>
                <w:sz w:val="22"/>
                <w:szCs w:val="22"/>
                <w:lang w:val="fr-FR"/>
              </w:rPr>
              <w:t>79,9 vs. 41,5</w:t>
            </w:r>
          </w:p>
        </w:tc>
      </w:tr>
      <w:tr w:rsidR="00A66FF1" w:rsidRPr="00653BF6" w14:paraId="3522B806" w14:textId="77777777" w:rsidTr="00E95B99">
        <w:trPr>
          <w:cantSplit/>
          <w:ins w:id="637" w:author="Author"/>
        </w:trPr>
        <w:tc>
          <w:tcPr>
            <w:tcW w:w="10187" w:type="dxa"/>
            <w:gridSpan w:val="7"/>
            <w:tcBorders>
              <w:bottom w:val="single" w:sz="4" w:space="0" w:color="auto"/>
            </w:tcBorders>
          </w:tcPr>
          <w:p w14:paraId="3D385507" w14:textId="095351E7" w:rsidR="00A66FF1" w:rsidRPr="00653BF6" w:rsidRDefault="00A66FF1" w:rsidP="007F23EE">
            <w:pPr>
              <w:pStyle w:val="Text"/>
              <w:spacing w:before="0"/>
              <w:rPr>
                <w:ins w:id="638" w:author="Author"/>
                <w:color w:val="000000"/>
                <w:sz w:val="20"/>
                <w:lang w:val="fr-FR"/>
              </w:rPr>
            </w:pPr>
            <w:ins w:id="639" w:author="Author">
              <w:r w:rsidRPr="00653BF6">
                <w:rPr>
                  <w:color w:val="000000"/>
                  <w:sz w:val="20"/>
                  <w:lang w:val="fr-FR"/>
                </w:rPr>
                <w:t>* Période complète de suivi ; N</w:t>
              </w:r>
              <w:r w:rsidR="00813A7A">
                <w:rPr>
                  <w:color w:val="000000"/>
                  <w:sz w:val="20"/>
                  <w:lang w:val="fr-FR"/>
                </w:rPr>
                <w:t>.</w:t>
              </w:r>
              <w:r w:rsidRPr="00653BF6">
                <w:rPr>
                  <w:color w:val="000000"/>
                  <w:sz w:val="20"/>
                  <w:lang w:val="fr-FR"/>
                </w:rPr>
                <w:t>E</w:t>
              </w:r>
              <w:r w:rsidR="00813A7A">
                <w:rPr>
                  <w:color w:val="000000"/>
                  <w:sz w:val="20"/>
                  <w:lang w:val="fr-FR"/>
                </w:rPr>
                <w:t>.</w:t>
              </w:r>
              <w:r w:rsidRPr="00653BF6">
                <w:rPr>
                  <w:color w:val="000000"/>
                  <w:sz w:val="20"/>
                  <w:lang w:val="fr-FR"/>
                </w:rPr>
                <w:t xml:space="preserve"> – Non estimable</w:t>
              </w:r>
            </w:ins>
          </w:p>
        </w:tc>
      </w:tr>
    </w:tbl>
    <w:p w14:paraId="0F44BEAD" w14:textId="1BB63982" w:rsidR="00EF4CB3" w:rsidRPr="00653BF6" w:rsidDel="00A66FF1" w:rsidRDefault="00EF4CB3" w:rsidP="007F23EE">
      <w:pPr>
        <w:pStyle w:val="Text"/>
        <w:spacing w:before="0"/>
        <w:rPr>
          <w:del w:id="640" w:author="Author"/>
          <w:color w:val="000000"/>
          <w:sz w:val="22"/>
          <w:szCs w:val="22"/>
          <w:lang w:val="fr-FR"/>
        </w:rPr>
      </w:pPr>
      <w:del w:id="641" w:author="Author">
        <w:r w:rsidRPr="00653BF6" w:rsidDel="00A66FF1">
          <w:rPr>
            <w:color w:val="000000"/>
            <w:sz w:val="22"/>
            <w:szCs w:val="22"/>
            <w:lang w:val="fr-FR"/>
          </w:rPr>
          <w:delText>* Période compl</w:delText>
        </w:r>
        <w:r w:rsidR="008009CC" w:rsidRPr="00653BF6" w:rsidDel="00A66FF1">
          <w:rPr>
            <w:color w:val="000000"/>
            <w:sz w:val="22"/>
            <w:szCs w:val="22"/>
            <w:lang w:val="fr-FR"/>
          </w:rPr>
          <w:delText>è</w:delText>
        </w:r>
        <w:r w:rsidRPr="00653BF6" w:rsidDel="00A66FF1">
          <w:rPr>
            <w:color w:val="000000"/>
            <w:sz w:val="22"/>
            <w:szCs w:val="22"/>
            <w:lang w:val="fr-FR"/>
          </w:rPr>
          <w:delText>te de suivi; NE – Non estimable</w:delText>
        </w:r>
      </w:del>
    </w:p>
    <w:p w14:paraId="5B53AFEA" w14:textId="77777777" w:rsidR="00EF4CB3" w:rsidRPr="00653BF6" w:rsidRDefault="00EF4CB3" w:rsidP="007F23EE">
      <w:pPr>
        <w:pStyle w:val="EndnoteText"/>
        <w:tabs>
          <w:tab w:val="clear" w:pos="567"/>
        </w:tabs>
        <w:rPr>
          <w:color w:val="000000"/>
          <w:szCs w:val="22"/>
          <w:lang w:val="fr-FR"/>
        </w:rPr>
      </w:pPr>
    </w:p>
    <w:p w14:paraId="34907F46" w14:textId="0AC433F7" w:rsidR="00EF4CB3" w:rsidRPr="00653BF6" w:rsidRDefault="00EF4CB3" w:rsidP="007F23EE">
      <w:pPr>
        <w:rPr>
          <w:rFonts w:ascii="Times New Roman" w:eastAsia="MS Mincho" w:hAnsi="Times New Roman"/>
          <w:iCs/>
          <w:szCs w:val="22"/>
          <w:lang w:eastAsia="ja-JP"/>
        </w:rPr>
      </w:pPr>
      <w:r w:rsidRPr="00653BF6">
        <w:rPr>
          <w:rFonts w:ascii="Times New Roman" w:eastAsia="MS Mincho" w:hAnsi="Times New Roman"/>
          <w:szCs w:val="22"/>
          <w:lang w:eastAsia="ja-JP"/>
        </w:rPr>
        <w:t>Une seconde étude de phase III multicentrique, en ouvert (SSG XVIII/AIO), a comparé un traitement par Glivec 400 mg/jour pendant 12 mois à un traitement pendant 36 mois chez des patients après résection chirurgicale d</w:t>
      </w:r>
      <w:r w:rsidR="00813A7A">
        <w:rPr>
          <w:rFonts w:ascii="Times New Roman" w:eastAsia="MS Mincho" w:hAnsi="Times New Roman"/>
          <w:szCs w:val="22"/>
          <w:lang w:eastAsia="ja-JP"/>
        </w:rPr>
        <w:t>’</w:t>
      </w:r>
      <w:r w:rsidRPr="00653BF6">
        <w:rPr>
          <w:rFonts w:ascii="Times New Roman" w:eastAsia="MS Mincho" w:hAnsi="Times New Roman"/>
          <w:szCs w:val="22"/>
          <w:lang w:eastAsia="ja-JP"/>
        </w:rPr>
        <w:t>une tumeur stromale gastro-intestinale (GIST) présentant l</w:t>
      </w:r>
      <w:r w:rsidR="00813A7A">
        <w:rPr>
          <w:rFonts w:ascii="Times New Roman" w:eastAsia="MS Mincho" w:hAnsi="Times New Roman"/>
          <w:szCs w:val="22"/>
          <w:lang w:eastAsia="ja-JP"/>
        </w:rPr>
        <w:t>’</w:t>
      </w:r>
      <w:r w:rsidRPr="00653BF6">
        <w:rPr>
          <w:rFonts w:ascii="Times New Roman" w:eastAsia="MS Mincho" w:hAnsi="Times New Roman"/>
          <w:szCs w:val="22"/>
          <w:lang w:eastAsia="ja-JP"/>
        </w:rPr>
        <w:t>une des caractéristiques suivantes : diamètre de la tumeur</w:t>
      </w:r>
      <w:r w:rsidRPr="00653BF6">
        <w:rPr>
          <w:rFonts w:ascii="Times New Roman" w:eastAsia="MS Mincho" w:hAnsi="Times New Roman"/>
          <w:iCs/>
          <w:szCs w:val="22"/>
          <w:lang w:eastAsia="ja-JP"/>
        </w:rPr>
        <w:t xml:space="preserve"> &gt; 5</w:t>
      </w:r>
      <w:r w:rsidRPr="00653BF6">
        <w:rPr>
          <w:rFonts w:ascii="Times New Roman" w:eastAsia="MS Mincho" w:hAnsi="Times New Roman"/>
          <w:szCs w:val="22"/>
          <w:lang w:eastAsia="ja-JP"/>
        </w:rPr>
        <w:t> </w:t>
      </w:r>
      <w:r w:rsidRPr="00653BF6">
        <w:rPr>
          <w:rFonts w:ascii="Times New Roman" w:eastAsia="MS Mincho" w:hAnsi="Times New Roman"/>
          <w:iCs/>
          <w:szCs w:val="22"/>
          <w:lang w:eastAsia="ja-JP"/>
        </w:rPr>
        <w:t>cm et index mitotique &gt; 5/50 HPF (</w:t>
      </w:r>
      <w:r w:rsidRPr="005205FF">
        <w:rPr>
          <w:rFonts w:ascii="Times New Roman" w:eastAsia="MS Mincho" w:hAnsi="Times New Roman"/>
          <w:i/>
          <w:szCs w:val="22"/>
          <w:lang w:eastAsia="ja-JP"/>
          <w:rPrChange w:id="642" w:author="Author">
            <w:rPr>
              <w:rFonts w:ascii="Times New Roman" w:eastAsia="MS Mincho" w:hAnsi="Times New Roman"/>
              <w:iCs/>
              <w:szCs w:val="22"/>
              <w:lang w:eastAsia="ja-JP"/>
            </w:rPr>
          </w:rPrChange>
        </w:rPr>
        <w:t xml:space="preserve">high power </w:t>
      </w:r>
      <w:proofErr w:type="spellStart"/>
      <w:r w:rsidRPr="005205FF">
        <w:rPr>
          <w:rFonts w:ascii="Times New Roman" w:eastAsia="MS Mincho" w:hAnsi="Times New Roman"/>
          <w:i/>
          <w:szCs w:val="22"/>
          <w:lang w:eastAsia="ja-JP"/>
          <w:rPrChange w:id="643" w:author="Author">
            <w:rPr>
              <w:rFonts w:ascii="Times New Roman" w:eastAsia="MS Mincho" w:hAnsi="Times New Roman"/>
              <w:iCs/>
              <w:szCs w:val="22"/>
              <w:lang w:eastAsia="ja-JP"/>
            </w:rPr>
          </w:rPrChange>
        </w:rPr>
        <w:t>fields</w:t>
      </w:r>
      <w:proofErr w:type="spellEnd"/>
      <w:r w:rsidRPr="00653BF6">
        <w:rPr>
          <w:rFonts w:ascii="Times New Roman" w:eastAsia="MS Mincho" w:hAnsi="Times New Roman"/>
          <w:iCs/>
          <w:szCs w:val="22"/>
          <w:lang w:eastAsia="ja-JP"/>
        </w:rPr>
        <w:t>) ; ou diamètre de la tumeur &gt; 10</w:t>
      </w:r>
      <w:r w:rsidRPr="00653BF6">
        <w:rPr>
          <w:rFonts w:ascii="Times New Roman" w:eastAsia="MS Mincho" w:hAnsi="Times New Roman"/>
          <w:szCs w:val="22"/>
          <w:lang w:eastAsia="ja-JP"/>
        </w:rPr>
        <w:t> </w:t>
      </w:r>
      <w:r w:rsidRPr="00653BF6">
        <w:rPr>
          <w:rFonts w:ascii="Times New Roman" w:eastAsia="MS Mincho" w:hAnsi="Times New Roman"/>
          <w:iCs/>
          <w:szCs w:val="22"/>
          <w:lang w:eastAsia="ja-JP"/>
        </w:rPr>
        <w:t>cm quel</w:t>
      </w:r>
      <w:r w:rsidR="003A71E7" w:rsidRPr="00653BF6">
        <w:rPr>
          <w:rFonts w:ascii="Times New Roman" w:eastAsia="MS Mincho" w:hAnsi="Times New Roman"/>
          <w:iCs/>
          <w:szCs w:val="22"/>
          <w:lang w:eastAsia="ja-JP"/>
        </w:rPr>
        <w:t xml:space="preserve"> </w:t>
      </w:r>
      <w:r w:rsidRPr="00653BF6">
        <w:rPr>
          <w:rFonts w:ascii="Times New Roman" w:eastAsia="MS Mincho" w:hAnsi="Times New Roman"/>
          <w:iCs/>
          <w:szCs w:val="22"/>
          <w:lang w:eastAsia="ja-JP"/>
        </w:rPr>
        <w:t>que soit l’index mitotique ou tumeur de toute taille avec un index mitotique &gt; 10/50 HPF ou tumeur rompue dans la cavité péritonéale. Au total, 397</w:t>
      </w:r>
      <w:r w:rsidRPr="00653BF6">
        <w:rPr>
          <w:rFonts w:ascii="Times New Roman" w:eastAsia="MS Mincho" w:hAnsi="Times New Roman"/>
          <w:szCs w:val="22"/>
          <w:lang w:eastAsia="ja-JP"/>
        </w:rPr>
        <w:t> </w:t>
      </w:r>
      <w:r w:rsidRPr="00653BF6">
        <w:rPr>
          <w:rFonts w:ascii="Times New Roman" w:eastAsia="MS Mincho" w:hAnsi="Times New Roman"/>
          <w:iCs/>
          <w:szCs w:val="22"/>
          <w:lang w:eastAsia="ja-JP"/>
        </w:rPr>
        <w:t>patients ont donné leur consentement pour participer à l</w:t>
      </w:r>
      <w:r w:rsidR="00813A7A">
        <w:rPr>
          <w:rFonts w:ascii="Times New Roman" w:eastAsia="MS Mincho" w:hAnsi="Times New Roman"/>
          <w:iCs/>
          <w:szCs w:val="22"/>
          <w:lang w:eastAsia="ja-JP"/>
        </w:rPr>
        <w:t>’</w:t>
      </w:r>
      <w:r w:rsidRPr="00653BF6">
        <w:rPr>
          <w:rFonts w:ascii="Times New Roman" w:eastAsia="MS Mincho" w:hAnsi="Times New Roman"/>
          <w:iCs/>
          <w:szCs w:val="22"/>
          <w:lang w:eastAsia="ja-JP"/>
        </w:rPr>
        <w:t>étude et ont été randomisés (199</w:t>
      </w:r>
      <w:r w:rsidRPr="00653BF6">
        <w:rPr>
          <w:rFonts w:ascii="Times New Roman" w:eastAsia="MS Mincho" w:hAnsi="Times New Roman"/>
          <w:szCs w:val="22"/>
          <w:lang w:eastAsia="ja-JP"/>
        </w:rPr>
        <w:t> </w:t>
      </w:r>
      <w:r w:rsidRPr="00653BF6">
        <w:rPr>
          <w:rFonts w:ascii="Times New Roman" w:eastAsia="MS Mincho" w:hAnsi="Times New Roman"/>
          <w:iCs/>
          <w:szCs w:val="22"/>
          <w:lang w:eastAsia="ja-JP"/>
        </w:rPr>
        <w:t>patients dans le groupe de 12 mois de traitement et 198</w:t>
      </w:r>
      <w:r w:rsidRPr="00653BF6">
        <w:rPr>
          <w:rFonts w:ascii="Times New Roman" w:eastAsia="MS Mincho" w:hAnsi="Times New Roman"/>
          <w:szCs w:val="22"/>
          <w:lang w:eastAsia="ja-JP"/>
        </w:rPr>
        <w:t> </w:t>
      </w:r>
      <w:r w:rsidRPr="00653BF6">
        <w:rPr>
          <w:rFonts w:ascii="Times New Roman" w:eastAsia="MS Mincho" w:hAnsi="Times New Roman"/>
          <w:iCs/>
          <w:szCs w:val="22"/>
          <w:lang w:eastAsia="ja-JP"/>
        </w:rPr>
        <w:t>patients dans le groupe de 36</w:t>
      </w:r>
      <w:r w:rsidRPr="00653BF6">
        <w:rPr>
          <w:rFonts w:ascii="Times New Roman" w:eastAsia="MS Mincho" w:hAnsi="Times New Roman"/>
          <w:szCs w:val="22"/>
          <w:lang w:eastAsia="ja-JP"/>
        </w:rPr>
        <w:t> mois de traitement</w:t>
      </w:r>
      <w:r w:rsidRPr="00653BF6">
        <w:rPr>
          <w:rFonts w:ascii="Times New Roman" w:eastAsia="MS Mincho" w:hAnsi="Times New Roman"/>
          <w:iCs/>
          <w:szCs w:val="22"/>
          <w:lang w:eastAsia="ja-JP"/>
        </w:rPr>
        <w:t xml:space="preserve">), leur âge médian était de </w:t>
      </w:r>
      <w:r w:rsidRPr="00653BF6">
        <w:rPr>
          <w:rFonts w:ascii="Times New Roman" w:eastAsia="MS Mincho" w:hAnsi="Times New Roman"/>
          <w:bCs/>
          <w:iCs/>
          <w:szCs w:val="22"/>
          <w:lang w:eastAsia="ja-JP"/>
        </w:rPr>
        <w:t>61</w:t>
      </w:r>
      <w:r w:rsidRPr="00653BF6">
        <w:rPr>
          <w:rFonts w:ascii="Times New Roman" w:eastAsia="MS Mincho" w:hAnsi="Times New Roman"/>
          <w:szCs w:val="22"/>
          <w:lang w:eastAsia="ja-JP"/>
        </w:rPr>
        <w:t> </w:t>
      </w:r>
      <w:r w:rsidRPr="00653BF6">
        <w:rPr>
          <w:rFonts w:ascii="Times New Roman" w:eastAsia="MS Mincho" w:hAnsi="Times New Roman"/>
          <w:bCs/>
          <w:iCs/>
          <w:szCs w:val="22"/>
          <w:lang w:eastAsia="ja-JP"/>
        </w:rPr>
        <w:t xml:space="preserve">ans </w:t>
      </w:r>
      <w:r w:rsidRPr="00653BF6">
        <w:rPr>
          <w:rFonts w:ascii="Times New Roman" w:eastAsia="MS Mincho" w:hAnsi="Times New Roman"/>
          <w:iCs/>
          <w:szCs w:val="22"/>
          <w:lang w:eastAsia="ja-JP"/>
        </w:rPr>
        <w:t>(extrêmes : 22 et 84</w:t>
      </w:r>
      <w:r w:rsidRPr="00653BF6">
        <w:rPr>
          <w:rFonts w:ascii="Times New Roman" w:eastAsia="MS Mincho" w:hAnsi="Times New Roman"/>
          <w:szCs w:val="22"/>
          <w:lang w:eastAsia="ja-JP"/>
        </w:rPr>
        <w:t> </w:t>
      </w:r>
      <w:r w:rsidRPr="00653BF6">
        <w:rPr>
          <w:rFonts w:ascii="Times New Roman" w:eastAsia="MS Mincho" w:hAnsi="Times New Roman"/>
          <w:iCs/>
          <w:szCs w:val="22"/>
          <w:lang w:eastAsia="ja-JP"/>
        </w:rPr>
        <w:t>ans). La durée médiane du suivi a été de 54</w:t>
      </w:r>
      <w:r w:rsidRPr="00653BF6">
        <w:rPr>
          <w:rFonts w:ascii="Times New Roman" w:eastAsia="MS Mincho" w:hAnsi="Times New Roman"/>
          <w:szCs w:val="22"/>
          <w:lang w:eastAsia="ja-JP"/>
        </w:rPr>
        <w:t> </w:t>
      </w:r>
      <w:r w:rsidRPr="00653BF6">
        <w:rPr>
          <w:rFonts w:ascii="Times New Roman" w:eastAsia="MS Mincho" w:hAnsi="Times New Roman"/>
          <w:iCs/>
          <w:szCs w:val="22"/>
          <w:lang w:eastAsia="ja-JP"/>
        </w:rPr>
        <w:t xml:space="preserve">mois </w:t>
      </w:r>
      <w:r w:rsidRPr="00653BF6">
        <w:rPr>
          <w:rFonts w:ascii="Times New Roman" w:eastAsia="MS Mincho" w:hAnsi="Times New Roman"/>
          <w:iCs/>
          <w:szCs w:val="22"/>
          <w:lang w:eastAsia="ja-JP"/>
        </w:rPr>
        <w:lastRenderedPageBreak/>
        <w:t>(depuis la date de la randomisation jusqu'à la date limite de recueil des données), avec un total de 83</w:t>
      </w:r>
      <w:r w:rsidRPr="00653BF6">
        <w:rPr>
          <w:rFonts w:ascii="Times New Roman" w:eastAsia="MS Mincho" w:hAnsi="Times New Roman"/>
          <w:szCs w:val="22"/>
          <w:lang w:eastAsia="ja-JP"/>
        </w:rPr>
        <w:t> </w:t>
      </w:r>
      <w:r w:rsidRPr="00653BF6">
        <w:rPr>
          <w:rFonts w:ascii="Times New Roman" w:eastAsia="MS Mincho" w:hAnsi="Times New Roman"/>
          <w:iCs/>
          <w:szCs w:val="22"/>
          <w:lang w:eastAsia="ja-JP"/>
        </w:rPr>
        <w:t>mois entre le premier patient randomisé et la date limite de recueil des données.</w:t>
      </w:r>
    </w:p>
    <w:p w14:paraId="266F5D0C" w14:textId="77777777" w:rsidR="00EF4CB3" w:rsidRPr="00653BF6" w:rsidRDefault="00EF4CB3" w:rsidP="007F23EE">
      <w:pPr>
        <w:rPr>
          <w:rFonts w:ascii="Times New Roman" w:eastAsia="MS Mincho" w:hAnsi="Times New Roman"/>
          <w:iCs/>
          <w:szCs w:val="22"/>
          <w:lang w:eastAsia="ja-JP"/>
        </w:rPr>
      </w:pPr>
    </w:p>
    <w:p w14:paraId="19516D2E" w14:textId="04085241" w:rsidR="00EF4CB3" w:rsidRPr="00653BF6" w:rsidRDefault="00EF4CB3" w:rsidP="007F23EE">
      <w:pPr>
        <w:rPr>
          <w:rFonts w:ascii="Times New Roman" w:eastAsia="MS Mincho" w:hAnsi="Times New Roman"/>
          <w:szCs w:val="22"/>
          <w:lang w:eastAsia="ja-JP"/>
        </w:rPr>
      </w:pPr>
      <w:r w:rsidRPr="00653BF6">
        <w:rPr>
          <w:rFonts w:ascii="Times New Roman" w:eastAsia="MS Mincho" w:hAnsi="Times New Roman"/>
          <w:szCs w:val="22"/>
          <w:lang w:eastAsia="ja-JP"/>
        </w:rPr>
        <w:t>Le critère primaire de l’étude était la survie sans rechute, définie comme le délai entre la date de randomisation jusqu’à la date d’une rechute ou d’un déc</w:t>
      </w:r>
      <w:r w:rsidR="00A2334D" w:rsidRPr="00653BF6">
        <w:rPr>
          <w:rFonts w:ascii="Times New Roman" w:eastAsia="MS Mincho" w:hAnsi="Times New Roman"/>
          <w:szCs w:val="22"/>
          <w:lang w:eastAsia="ja-JP"/>
        </w:rPr>
        <w:t>è</w:t>
      </w:r>
      <w:r w:rsidRPr="00653BF6">
        <w:rPr>
          <w:rFonts w:ascii="Times New Roman" w:eastAsia="MS Mincho" w:hAnsi="Times New Roman"/>
          <w:szCs w:val="22"/>
          <w:lang w:eastAsia="ja-JP"/>
        </w:rPr>
        <w:t>s quelle que soit la cause.</w:t>
      </w:r>
    </w:p>
    <w:p w14:paraId="63D62CB0" w14:textId="77777777" w:rsidR="00EF4CB3" w:rsidRPr="00653BF6" w:rsidRDefault="00EF4CB3" w:rsidP="007F23EE">
      <w:pPr>
        <w:rPr>
          <w:rFonts w:ascii="Times New Roman" w:eastAsia="MS Mincho" w:hAnsi="Times New Roman"/>
          <w:szCs w:val="22"/>
          <w:lang w:eastAsia="ja-JP"/>
        </w:rPr>
      </w:pPr>
    </w:p>
    <w:p w14:paraId="2A7D57DF" w14:textId="44200E1C" w:rsidR="00EF4CB3" w:rsidRPr="00653BF6" w:rsidRDefault="00EF4CB3" w:rsidP="007F23EE">
      <w:pPr>
        <w:rPr>
          <w:rFonts w:ascii="Times New Roman" w:eastAsia="MS Mincho" w:hAnsi="Times New Roman"/>
          <w:iCs/>
          <w:color w:val="000000"/>
          <w:szCs w:val="22"/>
          <w:lang w:eastAsia="ja-JP"/>
        </w:rPr>
      </w:pPr>
      <w:r w:rsidRPr="00653BF6">
        <w:rPr>
          <w:rFonts w:ascii="Times New Roman" w:eastAsia="MS Mincho" w:hAnsi="Times New Roman"/>
          <w:iCs/>
          <w:szCs w:val="22"/>
          <w:lang w:eastAsia="ja-JP"/>
        </w:rPr>
        <w:t>Un traitement par Glivec sur une durée de 36 mois a prolongé significativement la survie sans rechute comparativement à un traitement de 12</w:t>
      </w:r>
      <w:r w:rsidRPr="00653BF6">
        <w:rPr>
          <w:rFonts w:ascii="Times New Roman" w:eastAsia="MS Mincho" w:hAnsi="Times New Roman"/>
          <w:szCs w:val="22"/>
          <w:lang w:eastAsia="ja-JP"/>
        </w:rPr>
        <w:t> </w:t>
      </w:r>
      <w:r w:rsidRPr="00653BF6">
        <w:rPr>
          <w:rFonts w:ascii="Times New Roman" w:eastAsia="MS Mincho" w:hAnsi="Times New Roman"/>
          <w:iCs/>
          <w:szCs w:val="22"/>
          <w:lang w:eastAsia="ja-JP"/>
        </w:rPr>
        <w:t xml:space="preserve">mois </w:t>
      </w:r>
      <w:r w:rsidRPr="00653BF6">
        <w:rPr>
          <w:rFonts w:ascii="Times New Roman" w:eastAsia="MS Mincho" w:hAnsi="Times New Roman"/>
          <w:iCs/>
          <w:color w:val="000000"/>
          <w:szCs w:val="22"/>
          <w:lang w:eastAsia="ja-JP"/>
        </w:rPr>
        <w:t xml:space="preserve">(avec un </w:t>
      </w:r>
      <w:proofErr w:type="spellStart"/>
      <w:r w:rsidRPr="00653BF6">
        <w:rPr>
          <w:rFonts w:ascii="Times New Roman" w:eastAsia="MS Mincho" w:hAnsi="Times New Roman"/>
          <w:iCs/>
          <w:color w:val="000000"/>
          <w:szCs w:val="22"/>
          <w:lang w:eastAsia="ja-JP"/>
        </w:rPr>
        <w:t>hazard</w:t>
      </w:r>
      <w:proofErr w:type="spellEnd"/>
      <w:r w:rsidRPr="00653BF6">
        <w:rPr>
          <w:rFonts w:ascii="Times New Roman" w:eastAsia="MS Mincho" w:hAnsi="Times New Roman"/>
          <w:iCs/>
          <w:color w:val="000000"/>
          <w:szCs w:val="22"/>
          <w:lang w:eastAsia="ja-JP"/>
        </w:rPr>
        <w:t xml:space="preserve"> ratio (HR) global</w:t>
      </w:r>
      <w:ins w:id="644" w:author="Author">
        <w:r w:rsidR="00653BF6">
          <w:rPr>
            <w:rFonts w:ascii="Times New Roman" w:eastAsia="MS Mincho" w:hAnsi="Times New Roman"/>
            <w:iCs/>
            <w:color w:val="000000"/>
            <w:szCs w:val="22"/>
            <w:lang w:eastAsia="ja-JP"/>
          </w:rPr>
          <w:t> </w:t>
        </w:r>
      </w:ins>
      <w:del w:id="645" w:author="Author">
        <w:r w:rsidRPr="00653BF6" w:rsidDel="00653BF6">
          <w:rPr>
            <w:rFonts w:ascii="Times New Roman" w:eastAsia="MS Mincho" w:hAnsi="Times New Roman"/>
            <w:iCs/>
            <w:color w:val="000000"/>
            <w:szCs w:val="22"/>
            <w:lang w:eastAsia="ja-JP"/>
          </w:rPr>
          <w:delText xml:space="preserve"> </w:delText>
        </w:r>
      </w:del>
      <w:r w:rsidRPr="00653BF6">
        <w:rPr>
          <w:rFonts w:ascii="Times New Roman" w:eastAsia="MS Mincho" w:hAnsi="Times New Roman"/>
          <w:iCs/>
          <w:color w:val="000000"/>
          <w:szCs w:val="22"/>
          <w:lang w:eastAsia="ja-JP"/>
        </w:rPr>
        <w:t>=</w:t>
      </w:r>
      <w:ins w:id="646" w:author="Author">
        <w:r w:rsidR="00653BF6">
          <w:rPr>
            <w:rFonts w:ascii="Times New Roman" w:eastAsia="MS Mincho" w:hAnsi="Times New Roman"/>
            <w:iCs/>
            <w:color w:val="000000"/>
            <w:szCs w:val="22"/>
            <w:lang w:eastAsia="ja-JP"/>
          </w:rPr>
          <w:t> </w:t>
        </w:r>
      </w:ins>
      <w:del w:id="647" w:author="Author">
        <w:r w:rsidRPr="00653BF6" w:rsidDel="00653BF6">
          <w:rPr>
            <w:rFonts w:ascii="Times New Roman" w:eastAsia="MS Mincho" w:hAnsi="Times New Roman"/>
            <w:iCs/>
            <w:color w:val="000000"/>
            <w:szCs w:val="22"/>
            <w:lang w:eastAsia="ja-JP"/>
          </w:rPr>
          <w:delText xml:space="preserve"> </w:delText>
        </w:r>
      </w:del>
      <w:r w:rsidRPr="00653BF6">
        <w:rPr>
          <w:rFonts w:ascii="Times New Roman" w:eastAsia="MS Mincho" w:hAnsi="Times New Roman"/>
          <w:iCs/>
          <w:color w:val="000000"/>
          <w:szCs w:val="22"/>
          <w:lang w:eastAsia="ja-JP"/>
        </w:rPr>
        <w:t>0,46 [0,32</w:t>
      </w:r>
      <w:ins w:id="648" w:author="Author">
        <w:r w:rsidR="00F80EF7" w:rsidRPr="00653BF6">
          <w:rPr>
            <w:rFonts w:ascii="Times New Roman" w:eastAsia="MS Mincho" w:hAnsi="Times New Roman"/>
            <w:iCs/>
            <w:color w:val="000000"/>
            <w:szCs w:val="22"/>
            <w:lang w:eastAsia="ja-JP"/>
          </w:rPr>
          <w:t> ;</w:t>
        </w:r>
      </w:ins>
      <w:del w:id="649" w:author="Author">
        <w:r w:rsidRPr="00653BF6" w:rsidDel="00F80EF7">
          <w:rPr>
            <w:rFonts w:ascii="Times New Roman" w:eastAsia="MS Mincho" w:hAnsi="Times New Roman"/>
            <w:iCs/>
            <w:color w:val="000000"/>
            <w:szCs w:val="22"/>
            <w:lang w:eastAsia="ja-JP"/>
          </w:rPr>
          <w:delText>,</w:delText>
        </w:r>
      </w:del>
      <w:r w:rsidRPr="00653BF6">
        <w:rPr>
          <w:rFonts w:ascii="Times New Roman" w:eastAsia="MS Mincho" w:hAnsi="Times New Roman"/>
          <w:iCs/>
          <w:color w:val="000000"/>
          <w:szCs w:val="22"/>
          <w:lang w:eastAsia="ja-JP"/>
        </w:rPr>
        <w:t xml:space="preserve"> 0,65], </w:t>
      </w:r>
      <w:r w:rsidRPr="00653BF6">
        <w:rPr>
          <w:rFonts w:ascii="Times New Roman" w:eastAsia="MS Mincho" w:hAnsi="Times New Roman"/>
          <w:color w:val="000000"/>
          <w:szCs w:val="22"/>
          <w:lang w:eastAsia="ja-JP"/>
        </w:rPr>
        <w:t>p</w:t>
      </w:r>
      <w:ins w:id="650" w:author="Author">
        <w:r w:rsidR="007D7517" w:rsidRPr="00653BF6">
          <w:rPr>
            <w:color w:val="000000"/>
            <w:szCs w:val="22"/>
          </w:rPr>
          <w:t> </w:t>
        </w:r>
      </w:ins>
      <w:r w:rsidRPr="00653BF6">
        <w:rPr>
          <w:rFonts w:ascii="Times New Roman" w:eastAsia="MS Mincho" w:hAnsi="Times New Roman"/>
          <w:iCs/>
          <w:color w:val="000000"/>
          <w:szCs w:val="22"/>
          <w:lang w:eastAsia="ja-JP"/>
        </w:rPr>
        <w:t>&lt;</w:t>
      </w:r>
      <w:ins w:id="651" w:author="Author">
        <w:r w:rsidR="007D7517" w:rsidRPr="00653BF6">
          <w:rPr>
            <w:color w:val="000000"/>
            <w:szCs w:val="22"/>
          </w:rPr>
          <w:t> </w:t>
        </w:r>
      </w:ins>
      <w:r w:rsidRPr="00653BF6">
        <w:rPr>
          <w:rFonts w:ascii="Times New Roman" w:eastAsia="MS Mincho" w:hAnsi="Times New Roman"/>
          <w:iCs/>
          <w:color w:val="000000"/>
          <w:szCs w:val="22"/>
          <w:lang w:eastAsia="ja-JP"/>
        </w:rPr>
        <w:t>0,0001) (Tableau</w:t>
      </w:r>
      <w:r w:rsidRPr="00653BF6">
        <w:rPr>
          <w:rFonts w:ascii="Times New Roman" w:eastAsia="MS Mincho" w:hAnsi="Times New Roman"/>
          <w:color w:val="000000"/>
          <w:szCs w:val="22"/>
          <w:lang w:eastAsia="ja-JP"/>
        </w:rPr>
        <w:t> </w:t>
      </w:r>
      <w:r w:rsidR="00A239AE" w:rsidRPr="00653BF6">
        <w:rPr>
          <w:rFonts w:ascii="Times New Roman" w:eastAsia="MS Mincho" w:hAnsi="Times New Roman"/>
          <w:iCs/>
          <w:color w:val="000000"/>
          <w:szCs w:val="22"/>
          <w:lang w:eastAsia="ja-JP"/>
        </w:rPr>
        <w:t>8</w:t>
      </w:r>
      <w:r w:rsidRPr="00653BF6">
        <w:rPr>
          <w:rFonts w:ascii="Times New Roman" w:eastAsia="MS Mincho" w:hAnsi="Times New Roman"/>
          <w:iCs/>
          <w:color w:val="000000"/>
          <w:szCs w:val="22"/>
          <w:lang w:eastAsia="ja-JP"/>
        </w:rPr>
        <w:t xml:space="preserve">, </w:t>
      </w:r>
      <w:r w:rsidRPr="00653BF6">
        <w:rPr>
          <w:rFonts w:ascii="Times New Roman" w:eastAsia="MS Mincho" w:hAnsi="Times New Roman"/>
          <w:szCs w:val="22"/>
        </w:rPr>
        <w:t>figure 1</w:t>
      </w:r>
      <w:r w:rsidRPr="00653BF6">
        <w:rPr>
          <w:rFonts w:ascii="Times New Roman" w:eastAsia="MS Mincho" w:hAnsi="Times New Roman"/>
          <w:iCs/>
          <w:color w:val="000000"/>
          <w:szCs w:val="22"/>
          <w:lang w:eastAsia="ja-JP"/>
        </w:rPr>
        <w:t>).</w:t>
      </w:r>
    </w:p>
    <w:p w14:paraId="25A0CA20" w14:textId="77777777" w:rsidR="00EF4CB3" w:rsidRPr="00653BF6" w:rsidRDefault="00EF4CB3" w:rsidP="007F23EE">
      <w:pPr>
        <w:rPr>
          <w:rFonts w:ascii="Times New Roman" w:eastAsia="MS Mincho" w:hAnsi="Times New Roman"/>
          <w:iCs/>
          <w:color w:val="000000"/>
          <w:szCs w:val="22"/>
          <w:lang w:eastAsia="ja-JP"/>
        </w:rPr>
      </w:pPr>
    </w:p>
    <w:p w14:paraId="2476E560" w14:textId="2A5BB05A" w:rsidR="00EF4CB3" w:rsidRPr="00653BF6" w:rsidRDefault="00EF4CB3" w:rsidP="007F23EE">
      <w:pPr>
        <w:rPr>
          <w:rFonts w:ascii="Times New Roman" w:eastAsia="MS Mincho" w:hAnsi="Times New Roman"/>
          <w:iCs/>
          <w:color w:val="000000"/>
          <w:szCs w:val="22"/>
          <w:lang w:eastAsia="ja-JP"/>
        </w:rPr>
      </w:pPr>
      <w:r w:rsidRPr="00653BF6">
        <w:rPr>
          <w:rFonts w:ascii="Times New Roman" w:eastAsia="MS Mincho" w:hAnsi="Times New Roman"/>
          <w:iCs/>
          <w:color w:val="000000"/>
          <w:szCs w:val="22"/>
          <w:lang w:eastAsia="ja-JP"/>
        </w:rPr>
        <w:t>De plus, le traitement par Glivec pendant 36 mois a prolongé significativement la survie globale comparativement à un traitement de 12 mois (HR</w:t>
      </w:r>
      <w:del w:id="652" w:author="Author">
        <w:r w:rsidRPr="00653BF6" w:rsidDel="00653BF6">
          <w:rPr>
            <w:rFonts w:ascii="Times New Roman" w:eastAsia="MS Mincho" w:hAnsi="Times New Roman"/>
            <w:iCs/>
            <w:color w:val="000000"/>
            <w:szCs w:val="22"/>
            <w:lang w:eastAsia="ja-JP"/>
          </w:rPr>
          <w:delText xml:space="preserve"> </w:delText>
        </w:r>
      </w:del>
      <w:ins w:id="653" w:author="Author">
        <w:r w:rsidR="00653BF6">
          <w:rPr>
            <w:rFonts w:ascii="Times New Roman" w:eastAsia="MS Mincho" w:hAnsi="Times New Roman"/>
            <w:iCs/>
            <w:color w:val="000000"/>
            <w:szCs w:val="22"/>
            <w:lang w:eastAsia="ja-JP"/>
          </w:rPr>
          <w:t> </w:t>
        </w:r>
      </w:ins>
      <w:r w:rsidRPr="00653BF6">
        <w:rPr>
          <w:rFonts w:ascii="Times New Roman" w:eastAsia="MS Mincho" w:hAnsi="Times New Roman"/>
          <w:iCs/>
          <w:color w:val="000000"/>
          <w:szCs w:val="22"/>
          <w:lang w:eastAsia="ja-JP"/>
        </w:rPr>
        <w:t>=</w:t>
      </w:r>
      <w:ins w:id="654" w:author="Author">
        <w:r w:rsidR="00653BF6">
          <w:rPr>
            <w:rFonts w:ascii="Times New Roman" w:eastAsia="MS Mincho" w:hAnsi="Times New Roman"/>
            <w:iCs/>
            <w:color w:val="000000"/>
            <w:szCs w:val="22"/>
            <w:lang w:eastAsia="ja-JP"/>
          </w:rPr>
          <w:t> </w:t>
        </w:r>
      </w:ins>
      <w:del w:id="655" w:author="Author">
        <w:r w:rsidRPr="00653BF6" w:rsidDel="00653BF6">
          <w:rPr>
            <w:rFonts w:ascii="Times New Roman" w:eastAsia="MS Mincho" w:hAnsi="Times New Roman"/>
            <w:iCs/>
            <w:color w:val="000000"/>
            <w:szCs w:val="22"/>
            <w:lang w:eastAsia="ja-JP"/>
          </w:rPr>
          <w:delText xml:space="preserve"> </w:delText>
        </w:r>
      </w:del>
      <w:r w:rsidRPr="00653BF6">
        <w:rPr>
          <w:rFonts w:ascii="Times New Roman" w:eastAsia="MS Mincho" w:hAnsi="Times New Roman"/>
          <w:iCs/>
          <w:color w:val="000000"/>
          <w:szCs w:val="22"/>
          <w:lang w:eastAsia="ja-JP"/>
        </w:rPr>
        <w:t>0,45 [0,22</w:t>
      </w:r>
      <w:ins w:id="656" w:author="Author">
        <w:r w:rsidR="00F80EF7" w:rsidRPr="00653BF6">
          <w:rPr>
            <w:rFonts w:ascii="Times New Roman" w:eastAsia="MS Mincho" w:hAnsi="Times New Roman"/>
            <w:iCs/>
            <w:color w:val="000000"/>
            <w:szCs w:val="22"/>
            <w:lang w:eastAsia="ja-JP"/>
          </w:rPr>
          <w:t> ;</w:t>
        </w:r>
      </w:ins>
      <w:del w:id="657" w:author="Author">
        <w:r w:rsidRPr="00653BF6" w:rsidDel="00F80EF7">
          <w:rPr>
            <w:rFonts w:ascii="Times New Roman" w:eastAsia="MS Mincho" w:hAnsi="Times New Roman"/>
            <w:iCs/>
            <w:color w:val="000000"/>
            <w:szCs w:val="22"/>
            <w:lang w:eastAsia="ja-JP"/>
          </w:rPr>
          <w:delText>,</w:delText>
        </w:r>
      </w:del>
      <w:r w:rsidRPr="00653BF6">
        <w:rPr>
          <w:rFonts w:ascii="Times New Roman" w:eastAsia="MS Mincho" w:hAnsi="Times New Roman"/>
          <w:iCs/>
          <w:color w:val="000000"/>
          <w:szCs w:val="22"/>
          <w:lang w:eastAsia="ja-JP"/>
        </w:rPr>
        <w:t xml:space="preserve"> 0,89], </w:t>
      </w:r>
      <w:r w:rsidRPr="00653BF6">
        <w:rPr>
          <w:rFonts w:ascii="Times New Roman" w:eastAsia="MS Mincho" w:hAnsi="Times New Roman"/>
          <w:color w:val="000000"/>
          <w:szCs w:val="22"/>
          <w:lang w:eastAsia="ja-JP"/>
        </w:rPr>
        <w:t>p</w:t>
      </w:r>
      <w:del w:id="658" w:author="Author">
        <w:r w:rsidRPr="00653BF6" w:rsidDel="00653BF6">
          <w:rPr>
            <w:rFonts w:ascii="Times New Roman" w:eastAsia="MS Mincho" w:hAnsi="Times New Roman"/>
            <w:i/>
            <w:color w:val="000000"/>
            <w:szCs w:val="22"/>
            <w:lang w:eastAsia="ja-JP"/>
          </w:rPr>
          <w:delText xml:space="preserve"> </w:delText>
        </w:r>
      </w:del>
      <w:ins w:id="659" w:author="Author">
        <w:r w:rsidR="00653BF6">
          <w:rPr>
            <w:rFonts w:ascii="Times New Roman" w:eastAsia="MS Mincho" w:hAnsi="Times New Roman"/>
            <w:i/>
            <w:color w:val="000000"/>
            <w:szCs w:val="22"/>
            <w:lang w:eastAsia="ja-JP"/>
          </w:rPr>
          <w:t> </w:t>
        </w:r>
      </w:ins>
      <w:r w:rsidRPr="00653BF6">
        <w:rPr>
          <w:rFonts w:ascii="Times New Roman" w:eastAsia="MS Mincho" w:hAnsi="Times New Roman"/>
          <w:iCs/>
          <w:color w:val="000000"/>
          <w:szCs w:val="22"/>
          <w:lang w:eastAsia="ja-JP"/>
        </w:rPr>
        <w:t>=</w:t>
      </w:r>
      <w:ins w:id="660" w:author="Author">
        <w:r w:rsidR="00653BF6">
          <w:rPr>
            <w:rFonts w:ascii="Times New Roman" w:eastAsia="MS Mincho" w:hAnsi="Times New Roman"/>
            <w:iCs/>
            <w:color w:val="000000"/>
            <w:szCs w:val="22"/>
            <w:lang w:eastAsia="ja-JP"/>
          </w:rPr>
          <w:t> </w:t>
        </w:r>
      </w:ins>
      <w:del w:id="661" w:author="Author">
        <w:r w:rsidRPr="00653BF6" w:rsidDel="00653BF6">
          <w:rPr>
            <w:rFonts w:ascii="Times New Roman" w:eastAsia="MS Mincho" w:hAnsi="Times New Roman"/>
            <w:iCs/>
            <w:color w:val="000000"/>
            <w:szCs w:val="22"/>
            <w:lang w:eastAsia="ja-JP"/>
          </w:rPr>
          <w:delText xml:space="preserve"> </w:delText>
        </w:r>
      </w:del>
      <w:r w:rsidRPr="00653BF6">
        <w:rPr>
          <w:rFonts w:ascii="Times New Roman" w:eastAsia="MS Mincho" w:hAnsi="Times New Roman"/>
          <w:iCs/>
          <w:color w:val="000000"/>
          <w:szCs w:val="22"/>
          <w:lang w:eastAsia="ja-JP"/>
        </w:rPr>
        <w:t>0,0187) (Tableau</w:t>
      </w:r>
      <w:r w:rsidRPr="00653BF6">
        <w:rPr>
          <w:rFonts w:ascii="Times New Roman" w:eastAsia="MS Mincho" w:hAnsi="Times New Roman"/>
          <w:color w:val="000000"/>
          <w:szCs w:val="22"/>
          <w:lang w:eastAsia="ja-JP"/>
        </w:rPr>
        <w:t> </w:t>
      </w:r>
      <w:r w:rsidR="00A239AE" w:rsidRPr="00653BF6">
        <w:rPr>
          <w:rFonts w:ascii="Times New Roman" w:eastAsia="MS Mincho" w:hAnsi="Times New Roman"/>
          <w:iCs/>
          <w:color w:val="000000"/>
          <w:szCs w:val="22"/>
          <w:lang w:eastAsia="ja-JP"/>
        </w:rPr>
        <w:t>8</w:t>
      </w:r>
      <w:r w:rsidRPr="00653BF6">
        <w:rPr>
          <w:rFonts w:ascii="Times New Roman" w:eastAsia="MS Mincho" w:hAnsi="Times New Roman"/>
          <w:iCs/>
          <w:color w:val="000000"/>
          <w:szCs w:val="22"/>
          <w:lang w:eastAsia="ja-JP"/>
        </w:rPr>
        <w:t>, figure 2).</w:t>
      </w:r>
    </w:p>
    <w:p w14:paraId="004A4CC0" w14:textId="77777777" w:rsidR="00EF4CB3" w:rsidRPr="00653BF6" w:rsidRDefault="00EF4CB3" w:rsidP="007F23EE">
      <w:pPr>
        <w:rPr>
          <w:rFonts w:ascii="Times New Roman" w:eastAsia="MS Mincho" w:hAnsi="Times New Roman"/>
          <w:iCs/>
          <w:color w:val="000000"/>
          <w:szCs w:val="22"/>
          <w:lang w:eastAsia="ja-JP"/>
        </w:rPr>
      </w:pPr>
    </w:p>
    <w:p w14:paraId="3D6F100E" w14:textId="77777777" w:rsidR="00EF4CB3" w:rsidRPr="00653BF6" w:rsidRDefault="00EF4CB3" w:rsidP="007F23EE">
      <w:pPr>
        <w:rPr>
          <w:rFonts w:ascii="Times New Roman" w:eastAsia="MS Mincho" w:hAnsi="Times New Roman"/>
          <w:iCs/>
          <w:color w:val="000000"/>
          <w:szCs w:val="22"/>
          <w:lang w:eastAsia="ja-JP"/>
        </w:rPr>
      </w:pPr>
      <w:r w:rsidRPr="00653BF6">
        <w:rPr>
          <w:rFonts w:ascii="Times New Roman" w:eastAsia="MS Mincho" w:hAnsi="Times New Roman"/>
          <w:iCs/>
          <w:color w:val="000000"/>
          <w:szCs w:val="22"/>
          <w:lang w:eastAsia="ja-JP"/>
        </w:rPr>
        <w:t>Un traitement de plus longue durée (&gt; 36 mois) pourrait retarder la survenue de rechutes ultérieures ; cependant, l’impact de ces données sur la survie globale reste inconnu.</w:t>
      </w:r>
    </w:p>
    <w:p w14:paraId="68C7CCAA" w14:textId="77777777" w:rsidR="00EF4CB3" w:rsidRPr="00653BF6" w:rsidRDefault="00EF4CB3" w:rsidP="007F23EE">
      <w:pPr>
        <w:rPr>
          <w:rFonts w:ascii="Times New Roman" w:eastAsia="MS Mincho" w:hAnsi="Times New Roman"/>
          <w:iCs/>
          <w:color w:val="000000"/>
          <w:szCs w:val="22"/>
          <w:lang w:eastAsia="ja-JP"/>
        </w:rPr>
      </w:pPr>
    </w:p>
    <w:p w14:paraId="54038D58" w14:textId="77777777" w:rsidR="00EF4CB3" w:rsidRPr="00653BF6" w:rsidRDefault="00EF4CB3" w:rsidP="007F23EE">
      <w:pPr>
        <w:rPr>
          <w:rFonts w:ascii="Times New Roman" w:eastAsia="MS Mincho" w:hAnsi="Times New Roman"/>
          <w:iCs/>
          <w:color w:val="000000"/>
          <w:szCs w:val="22"/>
          <w:lang w:eastAsia="ja-JP"/>
        </w:rPr>
      </w:pPr>
      <w:r w:rsidRPr="00653BF6">
        <w:rPr>
          <w:rFonts w:ascii="Times New Roman" w:eastAsia="MS Mincho" w:hAnsi="Times New Roman"/>
          <w:iCs/>
          <w:color w:val="000000"/>
          <w:szCs w:val="22"/>
          <w:lang w:eastAsia="ja-JP"/>
        </w:rPr>
        <w:t>Le nombre total de décès a été de 25 dans le groupe de traitement de 12 mois et de 12 dans le groupe de traitement de 36 mois.</w:t>
      </w:r>
    </w:p>
    <w:p w14:paraId="27523EEA" w14:textId="77777777" w:rsidR="00EF4CB3" w:rsidRPr="00653BF6" w:rsidRDefault="00EF4CB3" w:rsidP="007F23EE">
      <w:pPr>
        <w:rPr>
          <w:rFonts w:ascii="Times New Roman" w:eastAsia="MS Mincho" w:hAnsi="Times New Roman"/>
          <w:iCs/>
          <w:color w:val="000000"/>
          <w:lang w:eastAsia="ja-JP"/>
        </w:rPr>
      </w:pPr>
    </w:p>
    <w:p w14:paraId="19445799" w14:textId="37C9D8B2" w:rsidR="00EF4CB3" w:rsidRPr="00653BF6" w:rsidRDefault="00EF4CB3" w:rsidP="007F23EE">
      <w:pPr>
        <w:rPr>
          <w:rFonts w:ascii="Times New Roman" w:eastAsia="MS Mincho" w:hAnsi="Times New Roman"/>
          <w:iCs/>
          <w:color w:val="000000"/>
          <w:lang w:eastAsia="ja-JP"/>
        </w:rPr>
      </w:pPr>
      <w:r w:rsidRPr="00653BF6">
        <w:rPr>
          <w:rFonts w:ascii="Times New Roman" w:eastAsia="MS Mincho" w:hAnsi="Times New Roman"/>
          <w:iCs/>
          <w:color w:val="000000"/>
          <w:lang w:eastAsia="ja-JP"/>
        </w:rPr>
        <w:t xml:space="preserve">Un traitement par imatinib pendant 36 mois était supérieur à un traitement pendant 12 mois, selon l’analyse en ITT, c’est-à-dire en incluant la population entière de l’étude. Dans l’analyse planifiée par sous-groupes par type de mutation, chez les patients ayant des mutations de l’exon 11, le </w:t>
      </w:r>
      <w:proofErr w:type="spellStart"/>
      <w:r w:rsidRPr="00653BF6">
        <w:rPr>
          <w:rFonts w:ascii="Times New Roman" w:eastAsia="MS Mincho" w:hAnsi="Times New Roman"/>
          <w:iCs/>
          <w:color w:val="000000"/>
          <w:lang w:eastAsia="ja-JP"/>
        </w:rPr>
        <w:t>hazard</w:t>
      </w:r>
      <w:proofErr w:type="spellEnd"/>
      <w:r w:rsidRPr="00653BF6">
        <w:rPr>
          <w:rFonts w:ascii="Times New Roman" w:eastAsia="MS Mincho" w:hAnsi="Times New Roman"/>
          <w:iCs/>
          <w:color w:val="000000"/>
          <w:lang w:eastAsia="ja-JP"/>
        </w:rPr>
        <w:t xml:space="preserve"> ratio de la survie sans rechute était de 0,35 [</w:t>
      </w:r>
      <w:ins w:id="662" w:author="Author">
        <w:r w:rsidR="00BC39C3" w:rsidRPr="00653BF6">
          <w:rPr>
            <w:rFonts w:ascii="Times New Roman" w:eastAsia="MS Mincho" w:hAnsi="Times New Roman"/>
            <w:iCs/>
            <w:color w:val="000000"/>
            <w:lang w:eastAsia="ja-JP"/>
          </w:rPr>
          <w:t xml:space="preserve">IC </w:t>
        </w:r>
      </w:ins>
      <w:r w:rsidRPr="00653BF6">
        <w:rPr>
          <w:rFonts w:ascii="Times New Roman" w:eastAsia="MS Mincho" w:hAnsi="Times New Roman"/>
          <w:iCs/>
          <w:color w:val="000000"/>
          <w:lang w:eastAsia="ja-JP"/>
        </w:rPr>
        <w:t>95%</w:t>
      </w:r>
      <w:del w:id="663" w:author="Author">
        <w:r w:rsidRPr="00653BF6" w:rsidDel="00BC39C3">
          <w:rPr>
            <w:rFonts w:ascii="Times New Roman" w:eastAsia="MS Mincho" w:hAnsi="Times New Roman"/>
            <w:iCs/>
            <w:color w:val="000000"/>
            <w:lang w:eastAsia="ja-JP"/>
          </w:rPr>
          <w:delText xml:space="preserve"> IC</w:delText>
        </w:r>
      </w:del>
      <w:r w:rsidRPr="00653BF6">
        <w:rPr>
          <w:rFonts w:ascii="Times New Roman" w:eastAsia="MS Mincho" w:hAnsi="Times New Roman"/>
          <w:iCs/>
          <w:color w:val="000000"/>
          <w:lang w:eastAsia="ja-JP"/>
        </w:rPr>
        <w:t> :</w:t>
      </w:r>
      <w:ins w:id="664" w:author="Author">
        <w:r w:rsidR="00BC39C3" w:rsidRPr="00653BF6">
          <w:rPr>
            <w:rFonts w:ascii="Times New Roman" w:eastAsia="MS Mincho" w:hAnsi="Times New Roman"/>
            <w:iCs/>
            <w:color w:val="000000"/>
            <w:lang w:eastAsia="ja-JP"/>
          </w:rPr>
          <w:t xml:space="preserve"> </w:t>
        </w:r>
      </w:ins>
      <w:r w:rsidRPr="00653BF6">
        <w:rPr>
          <w:rFonts w:ascii="Times New Roman" w:eastAsia="MS Mincho" w:hAnsi="Times New Roman"/>
          <w:iCs/>
          <w:color w:val="000000"/>
          <w:lang w:eastAsia="ja-JP"/>
        </w:rPr>
        <w:t>0,22</w:t>
      </w:r>
      <w:ins w:id="665" w:author="Author">
        <w:r w:rsidR="00F80EF7" w:rsidRPr="00653BF6">
          <w:rPr>
            <w:rFonts w:ascii="Times New Roman" w:eastAsia="MS Mincho" w:hAnsi="Times New Roman"/>
            <w:iCs/>
            <w:color w:val="000000"/>
            <w:lang w:eastAsia="ja-JP"/>
          </w:rPr>
          <w:t> ;</w:t>
        </w:r>
      </w:ins>
      <w:del w:id="666" w:author="Author">
        <w:r w:rsidRPr="00653BF6" w:rsidDel="00F80EF7">
          <w:rPr>
            <w:rFonts w:ascii="Times New Roman" w:eastAsia="MS Mincho" w:hAnsi="Times New Roman"/>
            <w:iCs/>
            <w:color w:val="000000"/>
            <w:lang w:eastAsia="ja-JP"/>
          </w:rPr>
          <w:delText>,</w:delText>
        </w:r>
      </w:del>
      <w:r w:rsidRPr="00653BF6">
        <w:rPr>
          <w:rFonts w:ascii="Times New Roman" w:eastAsia="MS Mincho" w:hAnsi="Times New Roman"/>
          <w:iCs/>
          <w:color w:val="000000"/>
          <w:lang w:eastAsia="ja-JP"/>
        </w:rPr>
        <w:t xml:space="preserve"> 0,56] en faveur d’un traitement pendant 36 mois. On ne peut pas tirer de conclusion pour les autres sous-groupes ayant des mutations moins fréquentes en raison du faible nombre d’évènements observés.</w:t>
      </w:r>
    </w:p>
    <w:p w14:paraId="6DE15216" w14:textId="77777777" w:rsidR="00EF4CB3" w:rsidRPr="00653BF6" w:rsidRDefault="00EF4CB3" w:rsidP="007F23EE">
      <w:pPr>
        <w:rPr>
          <w:rFonts w:ascii="Times New Roman" w:eastAsia="MS Mincho" w:hAnsi="Times New Roman"/>
          <w:iCs/>
          <w:szCs w:val="22"/>
          <w:lang w:eastAsia="ja-JP"/>
        </w:rPr>
      </w:pPr>
    </w:p>
    <w:p w14:paraId="7816F719" w14:textId="77777777" w:rsidR="00EF4CB3" w:rsidRPr="00653BF6" w:rsidRDefault="00EF4CB3" w:rsidP="007F23EE">
      <w:pPr>
        <w:keepNext/>
        <w:ind w:left="1134" w:hanging="1134"/>
        <w:rPr>
          <w:rFonts w:ascii="Times New Roman" w:eastAsia="MS Mincho" w:hAnsi="Times New Roman"/>
          <w:b/>
          <w:szCs w:val="22"/>
          <w:lang w:eastAsia="ja-JP"/>
        </w:rPr>
      </w:pPr>
      <w:r w:rsidRPr="00653BF6">
        <w:rPr>
          <w:rFonts w:ascii="Times New Roman" w:eastAsia="MS Mincho" w:hAnsi="Times New Roman"/>
          <w:b/>
          <w:szCs w:val="22"/>
        </w:rPr>
        <w:t>Tableau </w:t>
      </w:r>
      <w:r w:rsidR="00F542F3" w:rsidRPr="00653BF6">
        <w:rPr>
          <w:rFonts w:ascii="Times New Roman" w:eastAsia="MS Mincho" w:hAnsi="Times New Roman"/>
          <w:b/>
          <w:szCs w:val="22"/>
        </w:rPr>
        <w:t>8</w:t>
      </w:r>
      <w:r w:rsidRPr="00653BF6">
        <w:rPr>
          <w:rFonts w:ascii="Times New Roman" w:eastAsia="MS Mincho" w:hAnsi="Times New Roman"/>
          <w:szCs w:val="22"/>
        </w:rPr>
        <w:tab/>
      </w:r>
      <w:r w:rsidRPr="00653BF6">
        <w:rPr>
          <w:rFonts w:ascii="Times New Roman" w:eastAsia="MS Mincho" w:hAnsi="Times New Roman"/>
          <w:b/>
          <w:szCs w:val="22"/>
          <w:lang w:eastAsia="ja-JP"/>
        </w:rPr>
        <w:t>Traitement de 12 mois et de 36 mois par Glivec (essai SSGXVIII/AIO)</w:t>
      </w:r>
    </w:p>
    <w:p w14:paraId="24126382" w14:textId="77777777" w:rsidR="00EF4CB3" w:rsidRPr="00653BF6" w:rsidRDefault="00EF4CB3" w:rsidP="007F23EE">
      <w:pPr>
        <w:keepNext/>
        <w:rPr>
          <w:rFonts w:ascii="Times New Roman" w:eastAsia="MS Mincho" w:hAnsi="Times New Roman"/>
          <w:szCs w:val="22"/>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099"/>
        <w:gridCol w:w="3100"/>
        <w:gridCol w:w="3100"/>
      </w:tblGrid>
      <w:tr w:rsidR="00EF4CB3" w:rsidRPr="00653BF6" w14:paraId="6C8FD311" w14:textId="77777777" w:rsidTr="000A7F49">
        <w:trPr>
          <w:cantSplit/>
        </w:trPr>
        <w:tc>
          <w:tcPr>
            <w:tcW w:w="3099" w:type="dxa"/>
            <w:tcBorders>
              <w:top w:val="single" w:sz="4" w:space="0" w:color="auto"/>
              <w:bottom w:val="nil"/>
            </w:tcBorders>
          </w:tcPr>
          <w:p w14:paraId="70803B94" w14:textId="77777777" w:rsidR="00EF4CB3" w:rsidRPr="00653BF6" w:rsidRDefault="00EF4CB3" w:rsidP="007F23EE">
            <w:pPr>
              <w:keepNext/>
              <w:tabs>
                <w:tab w:val="left" w:pos="284"/>
              </w:tabs>
              <w:rPr>
                <w:rFonts w:ascii="Times New Roman" w:eastAsia="MS Mincho" w:hAnsi="Times New Roman"/>
                <w:szCs w:val="22"/>
              </w:rPr>
            </w:pPr>
          </w:p>
        </w:tc>
        <w:tc>
          <w:tcPr>
            <w:tcW w:w="3100" w:type="dxa"/>
            <w:tcBorders>
              <w:top w:val="single" w:sz="4" w:space="0" w:color="auto"/>
              <w:bottom w:val="nil"/>
            </w:tcBorders>
          </w:tcPr>
          <w:p w14:paraId="027A964E" w14:textId="77777777" w:rsidR="00EF4CB3" w:rsidRPr="00653BF6" w:rsidRDefault="00EF4CB3" w:rsidP="007F23EE">
            <w:pPr>
              <w:keepNext/>
              <w:tabs>
                <w:tab w:val="left" w:pos="284"/>
              </w:tabs>
              <w:rPr>
                <w:rFonts w:ascii="Times New Roman" w:eastAsia="MS Mincho" w:hAnsi="Times New Roman"/>
                <w:b/>
                <w:szCs w:val="22"/>
              </w:rPr>
            </w:pPr>
            <w:r w:rsidRPr="00653BF6">
              <w:rPr>
                <w:rFonts w:ascii="Times New Roman" w:eastAsia="MS Mincho" w:hAnsi="Times New Roman"/>
                <w:b/>
                <w:szCs w:val="22"/>
              </w:rPr>
              <w:t>Groupe de traitement de 12 mois</w:t>
            </w:r>
          </w:p>
        </w:tc>
        <w:tc>
          <w:tcPr>
            <w:tcW w:w="3100" w:type="dxa"/>
            <w:tcBorders>
              <w:top w:val="single" w:sz="4" w:space="0" w:color="auto"/>
              <w:bottom w:val="nil"/>
            </w:tcBorders>
          </w:tcPr>
          <w:p w14:paraId="33E4D36D" w14:textId="77777777" w:rsidR="00EF4CB3" w:rsidRPr="00653BF6" w:rsidRDefault="00EF4CB3" w:rsidP="007F23EE">
            <w:pPr>
              <w:keepNext/>
              <w:tabs>
                <w:tab w:val="left" w:pos="284"/>
              </w:tabs>
              <w:rPr>
                <w:rFonts w:ascii="Times New Roman" w:eastAsia="MS Mincho" w:hAnsi="Times New Roman"/>
                <w:b/>
                <w:szCs w:val="22"/>
              </w:rPr>
            </w:pPr>
            <w:r w:rsidRPr="00653BF6">
              <w:rPr>
                <w:rFonts w:ascii="Times New Roman" w:eastAsia="MS Mincho" w:hAnsi="Times New Roman"/>
                <w:b/>
                <w:szCs w:val="22"/>
              </w:rPr>
              <w:t>Groupe de traitement de 36 mois</w:t>
            </w:r>
          </w:p>
        </w:tc>
      </w:tr>
      <w:tr w:rsidR="00EF4CB3" w:rsidRPr="00653BF6" w14:paraId="7147C2C7" w14:textId="77777777" w:rsidTr="000A7F49">
        <w:trPr>
          <w:cantSplit/>
        </w:trPr>
        <w:tc>
          <w:tcPr>
            <w:tcW w:w="3099" w:type="dxa"/>
            <w:tcBorders>
              <w:top w:val="nil"/>
            </w:tcBorders>
          </w:tcPr>
          <w:p w14:paraId="64A1152E" w14:textId="77777777" w:rsidR="00EF4CB3" w:rsidRPr="00653BF6" w:rsidRDefault="00EF4CB3" w:rsidP="007F23EE">
            <w:pPr>
              <w:keepNext/>
              <w:tabs>
                <w:tab w:val="left" w:pos="284"/>
              </w:tabs>
              <w:rPr>
                <w:rFonts w:ascii="Times New Roman" w:eastAsia="MS Mincho" w:hAnsi="Times New Roman"/>
                <w:b/>
                <w:szCs w:val="22"/>
              </w:rPr>
            </w:pPr>
            <w:r w:rsidRPr="00653BF6">
              <w:rPr>
                <w:rFonts w:ascii="Times New Roman" w:eastAsia="MS Mincho" w:hAnsi="Times New Roman"/>
                <w:b/>
                <w:szCs w:val="22"/>
              </w:rPr>
              <w:t>Survie sans rechute</w:t>
            </w:r>
          </w:p>
        </w:tc>
        <w:tc>
          <w:tcPr>
            <w:tcW w:w="3100" w:type="dxa"/>
            <w:tcBorders>
              <w:top w:val="nil"/>
            </w:tcBorders>
          </w:tcPr>
          <w:p w14:paraId="12B67608" w14:textId="77777777" w:rsidR="00EF4CB3" w:rsidRPr="00653BF6" w:rsidRDefault="00EF4CB3" w:rsidP="007F23EE">
            <w:pPr>
              <w:keepNext/>
              <w:tabs>
                <w:tab w:val="left" w:pos="284"/>
              </w:tabs>
              <w:rPr>
                <w:rFonts w:ascii="Times New Roman" w:eastAsia="MS Mincho" w:hAnsi="Times New Roman"/>
                <w:b/>
                <w:szCs w:val="22"/>
              </w:rPr>
            </w:pPr>
            <w:r w:rsidRPr="00653BF6">
              <w:rPr>
                <w:rFonts w:ascii="Times New Roman" w:eastAsia="MS Mincho" w:hAnsi="Times New Roman"/>
                <w:b/>
                <w:szCs w:val="22"/>
              </w:rPr>
              <w:t>% (IC)</w:t>
            </w:r>
          </w:p>
        </w:tc>
        <w:tc>
          <w:tcPr>
            <w:tcW w:w="3100" w:type="dxa"/>
            <w:tcBorders>
              <w:top w:val="nil"/>
            </w:tcBorders>
          </w:tcPr>
          <w:p w14:paraId="7CDACF18" w14:textId="77777777" w:rsidR="00EF4CB3" w:rsidRPr="00653BF6" w:rsidRDefault="00EF4CB3" w:rsidP="007F23EE">
            <w:pPr>
              <w:keepNext/>
              <w:tabs>
                <w:tab w:val="left" w:pos="284"/>
              </w:tabs>
              <w:rPr>
                <w:rFonts w:ascii="Times New Roman" w:eastAsia="MS Mincho" w:hAnsi="Times New Roman"/>
                <w:b/>
                <w:szCs w:val="22"/>
              </w:rPr>
            </w:pPr>
            <w:r w:rsidRPr="00653BF6">
              <w:rPr>
                <w:rFonts w:ascii="Times New Roman" w:eastAsia="MS Mincho" w:hAnsi="Times New Roman"/>
                <w:b/>
                <w:szCs w:val="22"/>
              </w:rPr>
              <w:t>% (IC)</w:t>
            </w:r>
          </w:p>
        </w:tc>
      </w:tr>
      <w:tr w:rsidR="00EF4CB3" w:rsidRPr="00653BF6" w14:paraId="5B69D572" w14:textId="77777777" w:rsidTr="000A7F49">
        <w:trPr>
          <w:cantSplit/>
        </w:trPr>
        <w:tc>
          <w:tcPr>
            <w:tcW w:w="3099" w:type="dxa"/>
          </w:tcPr>
          <w:p w14:paraId="69083E42" w14:textId="77777777" w:rsidR="00EF4CB3" w:rsidRPr="00653BF6" w:rsidRDefault="00EF4CB3" w:rsidP="007F23EE">
            <w:pPr>
              <w:keepNext/>
              <w:ind w:left="284"/>
              <w:rPr>
                <w:rFonts w:ascii="Times New Roman" w:eastAsia="MS Mincho" w:hAnsi="Times New Roman"/>
                <w:szCs w:val="22"/>
              </w:rPr>
            </w:pPr>
            <w:r w:rsidRPr="00653BF6">
              <w:rPr>
                <w:rFonts w:ascii="Times New Roman" w:eastAsia="MS Mincho" w:hAnsi="Times New Roman"/>
                <w:szCs w:val="22"/>
              </w:rPr>
              <w:t>12</w:t>
            </w:r>
            <w:r w:rsidRPr="00653BF6">
              <w:rPr>
                <w:rFonts w:ascii="Times New Roman" w:eastAsia="MS Mincho" w:hAnsi="Times New Roman"/>
                <w:szCs w:val="22"/>
                <w:lang w:eastAsia="ja-JP"/>
              </w:rPr>
              <w:t> </w:t>
            </w:r>
            <w:r w:rsidRPr="00653BF6">
              <w:rPr>
                <w:rFonts w:ascii="Times New Roman" w:eastAsia="MS Mincho" w:hAnsi="Times New Roman"/>
                <w:szCs w:val="22"/>
              </w:rPr>
              <w:t>mois</w:t>
            </w:r>
          </w:p>
        </w:tc>
        <w:tc>
          <w:tcPr>
            <w:tcW w:w="3100" w:type="dxa"/>
          </w:tcPr>
          <w:p w14:paraId="7C494E74" w14:textId="77777777" w:rsidR="00EF4CB3" w:rsidRPr="00653BF6" w:rsidRDefault="00EF4CB3" w:rsidP="007F23EE">
            <w:pPr>
              <w:keepNext/>
              <w:tabs>
                <w:tab w:val="left" w:pos="284"/>
              </w:tabs>
              <w:rPr>
                <w:rFonts w:ascii="Times New Roman" w:eastAsia="MS Mincho" w:hAnsi="Times New Roman"/>
                <w:szCs w:val="22"/>
              </w:rPr>
            </w:pPr>
            <w:r w:rsidRPr="00653BF6">
              <w:rPr>
                <w:rFonts w:ascii="Times New Roman" w:eastAsia="MS Mincho" w:hAnsi="Times New Roman"/>
                <w:szCs w:val="22"/>
              </w:rPr>
              <w:t>93,7 (89,2</w:t>
            </w:r>
            <w:r w:rsidRPr="00653BF6">
              <w:rPr>
                <w:rFonts w:ascii="Times New Roman" w:eastAsia="MS Mincho" w:hAnsi="Times New Roman"/>
                <w:szCs w:val="22"/>
              </w:rPr>
              <w:noBreakHyphen/>
              <w:t>96,4)</w:t>
            </w:r>
          </w:p>
        </w:tc>
        <w:tc>
          <w:tcPr>
            <w:tcW w:w="3100" w:type="dxa"/>
          </w:tcPr>
          <w:p w14:paraId="2353A83C" w14:textId="77777777" w:rsidR="00EF4CB3" w:rsidRPr="00653BF6" w:rsidRDefault="00EF4CB3" w:rsidP="007F23EE">
            <w:pPr>
              <w:keepNext/>
              <w:tabs>
                <w:tab w:val="left" w:pos="284"/>
              </w:tabs>
              <w:rPr>
                <w:rFonts w:ascii="Times New Roman" w:eastAsia="MS Mincho" w:hAnsi="Times New Roman"/>
                <w:szCs w:val="22"/>
              </w:rPr>
            </w:pPr>
            <w:r w:rsidRPr="00653BF6">
              <w:rPr>
                <w:rFonts w:ascii="Times New Roman" w:eastAsia="MS Mincho" w:hAnsi="Times New Roman"/>
                <w:szCs w:val="22"/>
              </w:rPr>
              <w:t>95,9 (91,9</w:t>
            </w:r>
            <w:r w:rsidRPr="00653BF6">
              <w:rPr>
                <w:rFonts w:ascii="Times New Roman" w:eastAsia="MS Mincho" w:hAnsi="Times New Roman"/>
                <w:szCs w:val="22"/>
              </w:rPr>
              <w:noBreakHyphen/>
              <w:t>97,9)</w:t>
            </w:r>
          </w:p>
        </w:tc>
      </w:tr>
      <w:tr w:rsidR="00EF4CB3" w:rsidRPr="00653BF6" w14:paraId="632C0D96" w14:textId="77777777" w:rsidTr="000A7F49">
        <w:trPr>
          <w:cantSplit/>
        </w:trPr>
        <w:tc>
          <w:tcPr>
            <w:tcW w:w="3099" w:type="dxa"/>
          </w:tcPr>
          <w:p w14:paraId="062E537B" w14:textId="77777777" w:rsidR="00EF4CB3" w:rsidRPr="00653BF6" w:rsidRDefault="00EF4CB3" w:rsidP="007F23EE">
            <w:pPr>
              <w:keepNext/>
              <w:ind w:left="284"/>
              <w:rPr>
                <w:rFonts w:ascii="Times New Roman" w:eastAsia="MS Mincho" w:hAnsi="Times New Roman"/>
                <w:szCs w:val="22"/>
              </w:rPr>
            </w:pPr>
            <w:r w:rsidRPr="00653BF6">
              <w:rPr>
                <w:rFonts w:ascii="Times New Roman" w:eastAsia="MS Mincho" w:hAnsi="Times New Roman"/>
                <w:szCs w:val="22"/>
              </w:rPr>
              <w:t>24</w:t>
            </w:r>
            <w:r w:rsidRPr="00653BF6">
              <w:rPr>
                <w:rFonts w:ascii="Times New Roman" w:eastAsia="MS Mincho" w:hAnsi="Times New Roman"/>
                <w:szCs w:val="22"/>
                <w:lang w:eastAsia="ja-JP"/>
              </w:rPr>
              <w:t> </w:t>
            </w:r>
            <w:r w:rsidRPr="00653BF6">
              <w:rPr>
                <w:rFonts w:ascii="Times New Roman" w:eastAsia="MS Mincho" w:hAnsi="Times New Roman"/>
                <w:szCs w:val="22"/>
              </w:rPr>
              <w:t>mois</w:t>
            </w:r>
          </w:p>
        </w:tc>
        <w:tc>
          <w:tcPr>
            <w:tcW w:w="3100" w:type="dxa"/>
          </w:tcPr>
          <w:p w14:paraId="3A4539BA" w14:textId="77777777" w:rsidR="00EF4CB3" w:rsidRPr="00653BF6" w:rsidRDefault="00EF4CB3" w:rsidP="007F23EE">
            <w:pPr>
              <w:keepNext/>
              <w:tabs>
                <w:tab w:val="left" w:pos="284"/>
              </w:tabs>
              <w:rPr>
                <w:rFonts w:ascii="Times New Roman" w:eastAsia="MS Mincho" w:hAnsi="Times New Roman"/>
                <w:szCs w:val="22"/>
              </w:rPr>
            </w:pPr>
            <w:r w:rsidRPr="00653BF6">
              <w:rPr>
                <w:rFonts w:ascii="Times New Roman" w:eastAsia="MS Mincho" w:hAnsi="Times New Roman"/>
                <w:szCs w:val="22"/>
              </w:rPr>
              <w:t>75,4 (68,6</w:t>
            </w:r>
            <w:r w:rsidRPr="00653BF6">
              <w:rPr>
                <w:rFonts w:ascii="Times New Roman" w:eastAsia="MS Mincho" w:hAnsi="Times New Roman"/>
                <w:szCs w:val="22"/>
              </w:rPr>
              <w:noBreakHyphen/>
              <w:t>81,0)</w:t>
            </w:r>
          </w:p>
        </w:tc>
        <w:tc>
          <w:tcPr>
            <w:tcW w:w="3100" w:type="dxa"/>
          </w:tcPr>
          <w:p w14:paraId="0CC45636" w14:textId="77777777" w:rsidR="00EF4CB3" w:rsidRPr="00653BF6" w:rsidRDefault="00EF4CB3" w:rsidP="007F23EE">
            <w:pPr>
              <w:keepNext/>
              <w:tabs>
                <w:tab w:val="left" w:pos="284"/>
              </w:tabs>
              <w:rPr>
                <w:rFonts w:ascii="Times New Roman" w:eastAsia="MS Mincho" w:hAnsi="Times New Roman"/>
                <w:szCs w:val="22"/>
              </w:rPr>
            </w:pPr>
            <w:r w:rsidRPr="00653BF6">
              <w:rPr>
                <w:rFonts w:ascii="Times New Roman" w:eastAsia="MS Mincho" w:hAnsi="Times New Roman"/>
                <w:szCs w:val="22"/>
              </w:rPr>
              <w:t>90,7 (85,6</w:t>
            </w:r>
            <w:r w:rsidRPr="00653BF6">
              <w:rPr>
                <w:rFonts w:ascii="Times New Roman" w:eastAsia="MS Mincho" w:hAnsi="Times New Roman"/>
                <w:szCs w:val="22"/>
              </w:rPr>
              <w:noBreakHyphen/>
              <w:t>94,0)</w:t>
            </w:r>
          </w:p>
        </w:tc>
      </w:tr>
      <w:tr w:rsidR="00EF4CB3" w:rsidRPr="00653BF6" w14:paraId="4BA2DD6E" w14:textId="77777777" w:rsidTr="000A7F49">
        <w:trPr>
          <w:cantSplit/>
        </w:trPr>
        <w:tc>
          <w:tcPr>
            <w:tcW w:w="3099" w:type="dxa"/>
          </w:tcPr>
          <w:p w14:paraId="2C1227A2" w14:textId="77777777" w:rsidR="00EF4CB3" w:rsidRPr="00653BF6" w:rsidRDefault="00EF4CB3" w:rsidP="007F23EE">
            <w:pPr>
              <w:keepNext/>
              <w:ind w:left="284"/>
              <w:rPr>
                <w:rFonts w:ascii="Times New Roman" w:eastAsia="MS Mincho" w:hAnsi="Times New Roman"/>
                <w:szCs w:val="22"/>
              </w:rPr>
            </w:pPr>
            <w:r w:rsidRPr="00653BF6">
              <w:rPr>
                <w:rFonts w:ascii="Times New Roman" w:eastAsia="MS Mincho" w:hAnsi="Times New Roman"/>
                <w:szCs w:val="22"/>
              </w:rPr>
              <w:t>36</w:t>
            </w:r>
            <w:r w:rsidRPr="00653BF6">
              <w:rPr>
                <w:rFonts w:ascii="Times New Roman" w:eastAsia="MS Mincho" w:hAnsi="Times New Roman"/>
                <w:szCs w:val="22"/>
                <w:lang w:eastAsia="ja-JP"/>
              </w:rPr>
              <w:t> </w:t>
            </w:r>
            <w:r w:rsidRPr="00653BF6">
              <w:rPr>
                <w:rFonts w:ascii="Times New Roman" w:eastAsia="MS Mincho" w:hAnsi="Times New Roman"/>
                <w:szCs w:val="22"/>
              </w:rPr>
              <w:t>mois</w:t>
            </w:r>
          </w:p>
        </w:tc>
        <w:tc>
          <w:tcPr>
            <w:tcW w:w="3100" w:type="dxa"/>
          </w:tcPr>
          <w:p w14:paraId="4F873A28" w14:textId="77777777" w:rsidR="00EF4CB3" w:rsidRPr="00653BF6" w:rsidRDefault="00EF4CB3" w:rsidP="007F23EE">
            <w:pPr>
              <w:keepNext/>
              <w:tabs>
                <w:tab w:val="left" w:pos="284"/>
              </w:tabs>
              <w:rPr>
                <w:rFonts w:ascii="Times New Roman" w:eastAsia="MS Mincho" w:hAnsi="Times New Roman"/>
                <w:szCs w:val="22"/>
              </w:rPr>
            </w:pPr>
            <w:r w:rsidRPr="00653BF6">
              <w:rPr>
                <w:rFonts w:ascii="Times New Roman" w:eastAsia="MS Mincho" w:hAnsi="Times New Roman"/>
                <w:szCs w:val="22"/>
              </w:rPr>
              <w:t>60,1 (52,5</w:t>
            </w:r>
            <w:r w:rsidRPr="00653BF6">
              <w:rPr>
                <w:rFonts w:ascii="Times New Roman" w:eastAsia="MS Mincho" w:hAnsi="Times New Roman"/>
                <w:szCs w:val="22"/>
              </w:rPr>
              <w:noBreakHyphen/>
              <w:t>66,9)</w:t>
            </w:r>
          </w:p>
        </w:tc>
        <w:tc>
          <w:tcPr>
            <w:tcW w:w="3100" w:type="dxa"/>
          </w:tcPr>
          <w:p w14:paraId="11CEF53D" w14:textId="77777777" w:rsidR="00EF4CB3" w:rsidRPr="00653BF6" w:rsidRDefault="00EF4CB3" w:rsidP="007F23EE">
            <w:pPr>
              <w:keepNext/>
              <w:tabs>
                <w:tab w:val="left" w:pos="284"/>
              </w:tabs>
              <w:rPr>
                <w:rFonts w:ascii="Times New Roman" w:eastAsia="MS Mincho" w:hAnsi="Times New Roman"/>
                <w:szCs w:val="22"/>
              </w:rPr>
            </w:pPr>
            <w:r w:rsidRPr="00653BF6">
              <w:rPr>
                <w:rFonts w:ascii="Times New Roman" w:eastAsia="MS Mincho" w:hAnsi="Times New Roman"/>
                <w:szCs w:val="22"/>
              </w:rPr>
              <w:t>86,6 (80,8</w:t>
            </w:r>
            <w:r w:rsidRPr="00653BF6">
              <w:rPr>
                <w:rFonts w:ascii="Times New Roman" w:eastAsia="MS Mincho" w:hAnsi="Times New Roman"/>
                <w:szCs w:val="22"/>
              </w:rPr>
              <w:noBreakHyphen/>
              <w:t>90,8)</w:t>
            </w:r>
          </w:p>
        </w:tc>
      </w:tr>
      <w:tr w:rsidR="00EF4CB3" w:rsidRPr="00653BF6" w14:paraId="3B869863" w14:textId="77777777" w:rsidTr="000A7F49">
        <w:trPr>
          <w:cantSplit/>
        </w:trPr>
        <w:tc>
          <w:tcPr>
            <w:tcW w:w="3099" w:type="dxa"/>
          </w:tcPr>
          <w:p w14:paraId="4215AE9C" w14:textId="77777777" w:rsidR="00EF4CB3" w:rsidRPr="00653BF6" w:rsidRDefault="00EF4CB3" w:rsidP="007F23EE">
            <w:pPr>
              <w:keepNext/>
              <w:ind w:left="284"/>
              <w:rPr>
                <w:rFonts w:ascii="Times New Roman" w:eastAsia="MS Mincho" w:hAnsi="Times New Roman"/>
                <w:szCs w:val="22"/>
              </w:rPr>
            </w:pPr>
            <w:r w:rsidRPr="00653BF6">
              <w:rPr>
                <w:rFonts w:ascii="Times New Roman" w:eastAsia="MS Mincho" w:hAnsi="Times New Roman"/>
                <w:szCs w:val="22"/>
              </w:rPr>
              <w:t>48</w:t>
            </w:r>
            <w:r w:rsidRPr="00653BF6">
              <w:rPr>
                <w:rFonts w:ascii="Times New Roman" w:eastAsia="MS Mincho" w:hAnsi="Times New Roman"/>
                <w:szCs w:val="22"/>
                <w:lang w:eastAsia="ja-JP"/>
              </w:rPr>
              <w:t> </w:t>
            </w:r>
            <w:r w:rsidRPr="00653BF6">
              <w:rPr>
                <w:rFonts w:ascii="Times New Roman" w:eastAsia="MS Mincho" w:hAnsi="Times New Roman"/>
                <w:szCs w:val="22"/>
              </w:rPr>
              <w:t>mois</w:t>
            </w:r>
          </w:p>
        </w:tc>
        <w:tc>
          <w:tcPr>
            <w:tcW w:w="3100" w:type="dxa"/>
          </w:tcPr>
          <w:p w14:paraId="54D874DB" w14:textId="77777777" w:rsidR="00EF4CB3" w:rsidRPr="00653BF6" w:rsidRDefault="00EF4CB3" w:rsidP="007F23EE">
            <w:pPr>
              <w:keepNext/>
              <w:tabs>
                <w:tab w:val="left" w:pos="284"/>
              </w:tabs>
              <w:rPr>
                <w:rFonts w:ascii="Times New Roman" w:eastAsia="MS Mincho" w:hAnsi="Times New Roman"/>
                <w:szCs w:val="22"/>
              </w:rPr>
            </w:pPr>
            <w:r w:rsidRPr="00653BF6">
              <w:rPr>
                <w:rFonts w:ascii="Times New Roman" w:eastAsia="MS Mincho" w:hAnsi="Times New Roman"/>
                <w:szCs w:val="22"/>
              </w:rPr>
              <w:t>52,3 (44,0</w:t>
            </w:r>
            <w:r w:rsidRPr="00653BF6">
              <w:rPr>
                <w:rFonts w:ascii="Times New Roman" w:eastAsia="MS Mincho" w:hAnsi="Times New Roman"/>
                <w:szCs w:val="22"/>
              </w:rPr>
              <w:noBreakHyphen/>
              <w:t>59,8)</w:t>
            </w:r>
          </w:p>
        </w:tc>
        <w:tc>
          <w:tcPr>
            <w:tcW w:w="3100" w:type="dxa"/>
          </w:tcPr>
          <w:p w14:paraId="0F07DBC4" w14:textId="77777777" w:rsidR="00EF4CB3" w:rsidRPr="00653BF6" w:rsidRDefault="00EF4CB3" w:rsidP="007F23EE">
            <w:pPr>
              <w:keepNext/>
              <w:tabs>
                <w:tab w:val="left" w:pos="284"/>
              </w:tabs>
              <w:rPr>
                <w:rFonts w:ascii="Times New Roman" w:eastAsia="MS Mincho" w:hAnsi="Times New Roman"/>
                <w:szCs w:val="22"/>
              </w:rPr>
            </w:pPr>
            <w:r w:rsidRPr="00653BF6">
              <w:rPr>
                <w:rFonts w:ascii="Times New Roman" w:eastAsia="MS Mincho" w:hAnsi="Times New Roman"/>
                <w:szCs w:val="22"/>
              </w:rPr>
              <w:t>78,3 (70,8</w:t>
            </w:r>
            <w:r w:rsidRPr="00653BF6">
              <w:rPr>
                <w:rFonts w:ascii="Times New Roman" w:eastAsia="MS Mincho" w:hAnsi="Times New Roman"/>
                <w:szCs w:val="22"/>
              </w:rPr>
              <w:noBreakHyphen/>
              <w:t>84,1)</w:t>
            </w:r>
          </w:p>
        </w:tc>
      </w:tr>
      <w:tr w:rsidR="00EF4CB3" w:rsidRPr="00653BF6" w14:paraId="0B22FE00" w14:textId="77777777" w:rsidTr="000A7F49">
        <w:trPr>
          <w:cantSplit/>
        </w:trPr>
        <w:tc>
          <w:tcPr>
            <w:tcW w:w="3099" w:type="dxa"/>
          </w:tcPr>
          <w:p w14:paraId="3590F1EC" w14:textId="77777777" w:rsidR="00EF4CB3" w:rsidRPr="00653BF6" w:rsidRDefault="00EF4CB3" w:rsidP="007F23EE">
            <w:pPr>
              <w:keepNext/>
              <w:ind w:left="284"/>
              <w:rPr>
                <w:rFonts w:ascii="Times New Roman" w:eastAsia="MS Mincho" w:hAnsi="Times New Roman"/>
                <w:szCs w:val="22"/>
              </w:rPr>
            </w:pPr>
            <w:r w:rsidRPr="00653BF6">
              <w:rPr>
                <w:rFonts w:ascii="Times New Roman" w:eastAsia="MS Mincho" w:hAnsi="Times New Roman"/>
                <w:szCs w:val="22"/>
              </w:rPr>
              <w:t>60</w:t>
            </w:r>
            <w:r w:rsidRPr="00653BF6">
              <w:rPr>
                <w:rFonts w:ascii="Times New Roman" w:eastAsia="MS Mincho" w:hAnsi="Times New Roman"/>
                <w:szCs w:val="22"/>
                <w:lang w:eastAsia="ja-JP"/>
              </w:rPr>
              <w:t> </w:t>
            </w:r>
            <w:r w:rsidRPr="00653BF6">
              <w:rPr>
                <w:rFonts w:ascii="Times New Roman" w:eastAsia="MS Mincho" w:hAnsi="Times New Roman"/>
                <w:szCs w:val="22"/>
              </w:rPr>
              <w:t>mois</w:t>
            </w:r>
          </w:p>
        </w:tc>
        <w:tc>
          <w:tcPr>
            <w:tcW w:w="3100" w:type="dxa"/>
          </w:tcPr>
          <w:p w14:paraId="149DAA0D" w14:textId="77777777" w:rsidR="00EF4CB3" w:rsidRPr="00653BF6" w:rsidRDefault="00EF4CB3" w:rsidP="007F23EE">
            <w:pPr>
              <w:keepNext/>
              <w:tabs>
                <w:tab w:val="left" w:pos="284"/>
              </w:tabs>
              <w:rPr>
                <w:rFonts w:ascii="Times New Roman" w:eastAsia="MS Mincho" w:hAnsi="Times New Roman"/>
                <w:szCs w:val="22"/>
              </w:rPr>
            </w:pPr>
            <w:r w:rsidRPr="00653BF6">
              <w:rPr>
                <w:rFonts w:ascii="Times New Roman" w:eastAsia="MS Mincho" w:hAnsi="Times New Roman"/>
                <w:szCs w:val="22"/>
              </w:rPr>
              <w:t>47,9 (39,0</w:t>
            </w:r>
            <w:r w:rsidRPr="00653BF6">
              <w:rPr>
                <w:rFonts w:ascii="Times New Roman" w:eastAsia="MS Mincho" w:hAnsi="Times New Roman"/>
                <w:szCs w:val="22"/>
              </w:rPr>
              <w:noBreakHyphen/>
              <w:t>56,3)</w:t>
            </w:r>
          </w:p>
        </w:tc>
        <w:tc>
          <w:tcPr>
            <w:tcW w:w="3100" w:type="dxa"/>
          </w:tcPr>
          <w:p w14:paraId="7F917ADA" w14:textId="77777777" w:rsidR="00EF4CB3" w:rsidRPr="00653BF6" w:rsidRDefault="00EF4CB3" w:rsidP="007F23EE">
            <w:pPr>
              <w:keepNext/>
              <w:tabs>
                <w:tab w:val="left" w:pos="284"/>
              </w:tabs>
              <w:rPr>
                <w:rFonts w:ascii="Times New Roman" w:eastAsia="MS Mincho" w:hAnsi="Times New Roman"/>
                <w:szCs w:val="22"/>
              </w:rPr>
            </w:pPr>
            <w:r w:rsidRPr="00653BF6">
              <w:rPr>
                <w:rFonts w:ascii="Times New Roman" w:eastAsia="MS Mincho" w:hAnsi="Times New Roman"/>
                <w:szCs w:val="22"/>
              </w:rPr>
              <w:t>65,6 (56,1</w:t>
            </w:r>
            <w:r w:rsidRPr="00653BF6">
              <w:rPr>
                <w:rFonts w:ascii="Times New Roman" w:eastAsia="MS Mincho" w:hAnsi="Times New Roman"/>
                <w:szCs w:val="22"/>
              </w:rPr>
              <w:noBreakHyphen/>
              <w:t>73,4)</w:t>
            </w:r>
          </w:p>
        </w:tc>
      </w:tr>
      <w:tr w:rsidR="00EF4CB3" w:rsidRPr="00653BF6" w14:paraId="73EC4420" w14:textId="77777777" w:rsidTr="000A7F49">
        <w:trPr>
          <w:cantSplit/>
        </w:trPr>
        <w:tc>
          <w:tcPr>
            <w:tcW w:w="3099" w:type="dxa"/>
          </w:tcPr>
          <w:p w14:paraId="587702C4" w14:textId="77777777" w:rsidR="00EF4CB3" w:rsidRPr="00653BF6" w:rsidRDefault="00EF4CB3" w:rsidP="007F23EE">
            <w:pPr>
              <w:keepNext/>
              <w:tabs>
                <w:tab w:val="left" w:pos="284"/>
              </w:tabs>
              <w:rPr>
                <w:rFonts w:ascii="Times New Roman" w:eastAsia="MS Mincho" w:hAnsi="Times New Roman"/>
                <w:b/>
                <w:szCs w:val="22"/>
              </w:rPr>
            </w:pPr>
            <w:r w:rsidRPr="00653BF6">
              <w:rPr>
                <w:rFonts w:ascii="Times New Roman" w:eastAsia="MS Mincho" w:hAnsi="Times New Roman"/>
                <w:b/>
                <w:szCs w:val="22"/>
              </w:rPr>
              <w:t>Survie</w:t>
            </w:r>
          </w:p>
        </w:tc>
        <w:tc>
          <w:tcPr>
            <w:tcW w:w="3100" w:type="dxa"/>
          </w:tcPr>
          <w:p w14:paraId="68B1FEF4" w14:textId="77777777" w:rsidR="00EF4CB3" w:rsidRPr="00653BF6" w:rsidRDefault="00EF4CB3" w:rsidP="007F23EE">
            <w:pPr>
              <w:keepNext/>
              <w:tabs>
                <w:tab w:val="left" w:pos="284"/>
              </w:tabs>
              <w:rPr>
                <w:rFonts w:ascii="Times New Roman" w:eastAsia="MS Mincho" w:hAnsi="Times New Roman"/>
                <w:szCs w:val="22"/>
              </w:rPr>
            </w:pPr>
          </w:p>
        </w:tc>
        <w:tc>
          <w:tcPr>
            <w:tcW w:w="3100" w:type="dxa"/>
          </w:tcPr>
          <w:p w14:paraId="0F8ECA1C" w14:textId="77777777" w:rsidR="00EF4CB3" w:rsidRPr="00653BF6" w:rsidRDefault="00EF4CB3" w:rsidP="007F23EE">
            <w:pPr>
              <w:keepNext/>
              <w:tabs>
                <w:tab w:val="left" w:pos="284"/>
              </w:tabs>
              <w:rPr>
                <w:rFonts w:ascii="Times New Roman" w:eastAsia="MS Mincho" w:hAnsi="Times New Roman"/>
                <w:szCs w:val="22"/>
              </w:rPr>
            </w:pPr>
          </w:p>
        </w:tc>
      </w:tr>
      <w:tr w:rsidR="00EF4CB3" w:rsidRPr="00653BF6" w14:paraId="638D76C4" w14:textId="77777777" w:rsidTr="000A7F49">
        <w:trPr>
          <w:cantSplit/>
        </w:trPr>
        <w:tc>
          <w:tcPr>
            <w:tcW w:w="3099" w:type="dxa"/>
          </w:tcPr>
          <w:p w14:paraId="49FE630E" w14:textId="77777777" w:rsidR="00EF4CB3" w:rsidRPr="00653BF6" w:rsidRDefault="00EF4CB3" w:rsidP="007F23EE">
            <w:pPr>
              <w:keepNext/>
              <w:ind w:left="284"/>
              <w:rPr>
                <w:rFonts w:ascii="Times New Roman" w:eastAsia="MS Mincho" w:hAnsi="Times New Roman"/>
                <w:szCs w:val="22"/>
              </w:rPr>
            </w:pPr>
            <w:r w:rsidRPr="00653BF6">
              <w:rPr>
                <w:rFonts w:ascii="Times New Roman" w:eastAsia="MS Mincho" w:hAnsi="Times New Roman"/>
                <w:szCs w:val="22"/>
              </w:rPr>
              <w:t>36</w:t>
            </w:r>
            <w:r w:rsidRPr="00653BF6">
              <w:rPr>
                <w:rFonts w:ascii="Times New Roman" w:eastAsia="MS Mincho" w:hAnsi="Times New Roman"/>
                <w:szCs w:val="22"/>
                <w:lang w:eastAsia="ja-JP"/>
              </w:rPr>
              <w:t> </w:t>
            </w:r>
            <w:r w:rsidRPr="00653BF6">
              <w:rPr>
                <w:rFonts w:ascii="Times New Roman" w:eastAsia="MS Mincho" w:hAnsi="Times New Roman"/>
                <w:szCs w:val="22"/>
              </w:rPr>
              <w:t>mois</w:t>
            </w:r>
          </w:p>
        </w:tc>
        <w:tc>
          <w:tcPr>
            <w:tcW w:w="3100" w:type="dxa"/>
          </w:tcPr>
          <w:p w14:paraId="3F2AEB6D" w14:textId="77777777" w:rsidR="00EF4CB3" w:rsidRPr="00653BF6" w:rsidRDefault="00EF4CB3" w:rsidP="007F23EE">
            <w:pPr>
              <w:keepNext/>
              <w:tabs>
                <w:tab w:val="left" w:pos="284"/>
              </w:tabs>
              <w:rPr>
                <w:rFonts w:ascii="Times New Roman" w:eastAsia="MS Mincho" w:hAnsi="Times New Roman"/>
                <w:szCs w:val="22"/>
              </w:rPr>
            </w:pPr>
            <w:r w:rsidRPr="00653BF6">
              <w:rPr>
                <w:rFonts w:ascii="Times New Roman" w:eastAsia="MS Mincho" w:hAnsi="Times New Roman"/>
                <w:szCs w:val="22"/>
              </w:rPr>
              <w:t>94,0 (89,5</w:t>
            </w:r>
            <w:r w:rsidRPr="00653BF6">
              <w:rPr>
                <w:rFonts w:ascii="Times New Roman" w:eastAsia="MS Mincho" w:hAnsi="Times New Roman"/>
                <w:szCs w:val="22"/>
              </w:rPr>
              <w:noBreakHyphen/>
              <w:t>96,7)</w:t>
            </w:r>
          </w:p>
        </w:tc>
        <w:tc>
          <w:tcPr>
            <w:tcW w:w="3100" w:type="dxa"/>
          </w:tcPr>
          <w:p w14:paraId="6C96782E" w14:textId="77777777" w:rsidR="00EF4CB3" w:rsidRPr="00653BF6" w:rsidRDefault="00EF4CB3" w:rsidP="007F23EE">
            <w:pPr>
              <w:keepNext/>
              <w:tabs>
                <w:tab w:val="left" w:pos="284"/>
              </w:tabs>
              <w:rPr>
                <w:rFonts w:ascii="Times New Roman" w:eastAsia="MS Mincho" w:hAnsi="Times New Roman"/>
                <w:szCs w:val="22"/>
              </w:rPr>
            </w:pPr>
            <w:r w:rsidRPr="00653BF6">
              <w:rPr>
                <w:rFonts w:ascii="Times New Roman" w:eastAsia="MS Mincho" w:hAnsi="Times New Roman"/>
                <w:szCs w:val="22"/>
              </w:rPr>
              <w:t>96,3 (92,4</w:t>
            </w:r>
            <w:r w:rsidRPr="00653BF6">
              <w:rPr>
                <w:rFonts w:ascii="Times New Roman" w:eastAsia="MS Mincho" w:hAnsi="Times New Roman"/>
                <w:szCs w:val="22"/>
              </w:rPr>
              <w:noBreakHyphen/>
              <w:t>98,2)</w:t>
            </w:r>
          </w:p>
        </w:tc>
      </w:tr>
      <w:tr w:rsidR="00EF4CB3" w:rsidRPr="00653BF6" w14:paraId="3A20C3AF" w14:textId="77777777" w:rsidTr="000A7F49">
        <w:trPr>
          <w:cantSplit/>
        </w:trPr>
        <w:tc>
          <w:tcPr>
            <w:tcW w:w="3099" w:type="dxa"/>
          </w:tcPr>
          <w:p w14:paraId="4512395C" w14:textId="77777777" w:rsidR="00EF4CB3" w:rsidRPr="00653BF6" w:rsidRDefault="00EF4CB3" w:rsidP="007F23EE">
            <w:pPr>
              <w:keepNext/>
              <w:ind w:left="284"/>
              <w:rPr>
                <w:rFonts w:ascii="Times New Roman" w:eastAsia="MS Mincho" w:hAnsi="Times New Roman"/>
                <w:szCs w:val="22"/>
              </w:rPr>
            </w:pPr>
            <w:r w:rsidRPr="00653BF6">
              <w:rPr>
                <w:rFonts w:ascii="Times New Roman" w:eastAsia="MS Mincho" w:hAnsi="Times New Roman"/>
                <w:szCs w:val="22"/>
              </w:rPr>
              <w:t>48</w:t>
            </w:r>
            <w:r w:rsidRPr="00653BF6">
              <w:rPr>
                <w:rFonts w:ascii="Times New Roman" w:eastAsia="MS Mincho" w:hAnsi="Times New Roman"/>
                <w:szCs w:val="22"/>
                <w:lang w:eastAsia="ja-JP"/>
              </w:rPr>
              <w:t> </w:t>
            </w:r>
            <w:r w:rsidRPr="00653BF6">
              <w:rPr>
                <w:rFonts w:ascii="Times New Roman" w:eastAsia="MS Mincho" w:hAnsi="Times New Roman"/>
                <w:szCs w:val="22"/>
              </w:rPr>
              <w:t>mois</w:t>
            </w:r>
          </w:p>
        </w:tc>
        <w:tc>
          <w:tcPr>
            <w:tcW w:w="3100" w:type="dxa"/>
          </w:tcPr>
          <w:p w14:paraId="672F576F" w14:textId="77777777" w:rsidR="00EF4CB3" w:rsidRPr="00653BF6" w:rsidRDefault="00EF4CB3" w:rsidP="007F23EE">
            <w:pPr>
              <w:keepNext/>
              <w:tabs>
                <w:tab w:val="left" w:pos="284"/>
              </w:tabs>
              <w:rPr>
                <w:rFonts w:ascii="Times New Roman" w:eastAsia="MS Mincho" w:hAnsi="Times New Roman"/>
                <w:szCs w:val="22"/>
              </w:rPr>
            </w:pPr>
            <w:r w:rsidRPr="00653BF6">
              <w:rPr>
                <w:rFonts w:ascii="Times New Roman" w:eastAsia="MS Mincho" w:hAnsi="Times New Roman"/>
                <w:szCs w:val="22"/>
              </w:rPr>
              <w:t>87,9 (81,1</w:t>
            </w:r>
            <w:r w:rsidRPr="00653BF6">
              <w:rPr>
                <w:rFonts w:ascii="Times New Roman" w:eastAsia="MS Mincho" w:hAnsi="Times New Roman"/>
                <w:szCs w:val="22"/>
              </w:rPr>
              <w:noBreakHyphen/>
              <w:t>92,3)</w:t>
            </w:r>
          </w:p>
        </w:tc>
        <w:tc>
          <w:tcPr>
            <w:tcW w:w="3100" w:type="dxa"/>
          </w:tcPr>
          <w:p w14:paraId="1E3A3570" w14:textId="77777777" w:rsidR="00EF4CB3" w:rsidRPr="00653BF6" w:rsidRDefault="00EF4CB3" w:rsidP="007F23EE">
            <w:pPr>
              <w:keepNext/>
              <w:tabs>
                <w:tab w:val="left" w:pos="284"/>
              </w:tabs>
              <w:rPr>
                <w:rFonts w:ascii="Times New Roman" w:eastAsia="MS Mincho" w:hAnsi="Times New Roman"/>
                <w:szCs w:val="22"/>
              </w:rPr>
            </w:pPr>
            <w:r w:rsidRPr="00653BF6">
              <w:rPr>
                <w:rFonts w:ascii="Times New Roman" w:eastAsia="MS Mincho" w:hAnsi="Times New Roman"/>
                <w:szCs w:val="22"/>
              </w:rPr>
              <w:t>95,6 (91,2</w:t>
            </w:r>
            <w:r w:rsidRPr="00653BF6">
              <w:rPr>
                <w:rFonts w:ascii="Times New Roman" w:eastAsia="MS Mincho" w:hAnsi="Times New Roman"/>
                <w:szCs w:val="22"/>
              </w:rPr>
              <w:noBreakHyphen/>
              <w:t>97,8)</w:t>
            </w:r>
          </w:p>
        </w:tc>
      </w:tr>
      <w:tr w:rsidR="00EF4CB3" w:rsidRPr="00653BF6" w14:paraId="2C13D517" w14:textId="77777777" w:rsidTr="000A7F49">
        <w:trPr>
          <w:cantSplit/>
        </w:trPr>
        <w:tc>
          <w:tcPr>
            <w:tcW w:w="3099" w:type="dxa"/>
          </w:tcPr>
          <w:p w14:paraId="15FFDAAE" w14:textId="77777777" w:rsidR="00EF4CB3" w:rsidRPr="00653BF6" w:rsidRDefault="00EF4CB3" w:rsidP="007F23EE">
            <w:pPr>
              <w:ind w:left="284"/>
              <w:rPr>
                <w:rFonts w:ascii="Times New Roman" w:eastAsia="MS Mincho" w:hAnsi="Times New Roman"/>
                <w:szCs w:val="22"/>
              </w:rPr>
            </w:pPr>
            <w:r w:rsidRPr="00653BF6">
              <w:rPr>
                <w:rFonts w:ascii="Times New Roman" w:eastAsia="MS Mincho" w:hAnsi="Times New Roman"/>
                <w:szCs w:val="22"/>
              </w:rPr>
              <w:t>60</w:t>
            </w:r>
            <w:r w:rsidRPr="00653BF6">
              <w:rPr>
                <w:rFonts w:ascii="Times New Roman" w:eastAsia="MS Mincho" w:hAnsi="Times New Roman"/>
                <w:szCs w:val="22"/>
                <w:lang w:eastAsia="ja-JP"/>
              </w:rPr>
              <w:t> </w:t>
            </w:r>
            <w:r w:rsidRPr="00653BF6">
              <w:rPr>
                <w:rFonts w:ascii="Times New Roman" w:eastAsia="MS Mincho" w:hAnsi="Times New Roman"/>
                <w:szCs w:val="22"/>
              </w:rPr>
              <w:t>mois</w:t>
            </w:r>
          </w:p>
        </w:tc>
        <w:tc>
          <w:tcPr>
            <w:tcW w:w="3100" w:type="dxa"/>
          </w:tcPr>
          <w:p w14:paraId="13751157" w14:textId="77777777" w:rsidR="00EF4CB3" w:rsidRPr="00653BF6" w:rsidRDefault="00EF4CB3" w:rsidP="007F23EE">
            <w:pPr>
              <w:tabs>
                <w:tab w:val="left" w:pos="284"/>
              </w:tabs>
              <w:rPr>
                <w:rFonts w:ascii="Times New Roman" w:eastAsia="MS Mincho" w:hAnsi="Times New Roman"/>
                <w:szCs w:val="22"/>
              </w:rPr>
            </w:pPr>
            <w:r w:rsidRPr="00653BF6">
              <w:rPr>
                <w:rFonts w:ascii="Times New Roman" w:eastAsia="MS Mincho" w:hAnsi="Times New Roman"/>
                <w:szCs w:val="22"/>
              </w:rPr>
              <w:t>81,7 (73,0</w:t>
            </w:r>
            <w:r w:rsidRPr="00653BF6">
              <w:rPr>
                <w:rFonts w:ascii="Times New Roman" w:eastAsia="MS Mincho" w:hAnsi="Times New Roman"/>
                <w:szCs w:val="22"/>
              </w:rPr>
              <w:noBreakHyphen/>
              <w:t>87,8)</w:t>
            </w:r>
          </w:p>
        </w:tc>
        <w:tc>
          <w:tcPr>
            <w:tcW w:w="3100" w:type="dxa"/>
          </w:tcPr>
          <w:p w14:paraId="0D26FF11" w14:textId="77777777" w:rsidR="00EF4CB3" w:rsidRPr="00653BF6" w:rsidRDefault="00EF4CB3" w:rsidP="007F23EE">
            <w:pPr>
              <w:tabs>
                <w:tab w:val="left" w:pos="284"/>
              </w:tabs>
              <w:rPr>
                <w:rFonts w:ascii="Times New Roman" w:eastAsia="MS Mincho" w:hAnsi="Times New Roman"/>
                <w:szCs w:val="22"/>
              </w:rPr>
            </w:pPr>
            <w:r w:rsidRPr="00653BF6">
              <w:rPr>
                <w:rFonts w:ascii="Times New Roman" w:eastAsia="MS Mincho" w:hAnsi="Times New Roman"/>
                <w:szCs w:val="22"/>
              </w:rPr>
              <w:t>92,0 (85,3</w:t>
            </w:r>
            <w:r w:rsidRPr="00653BF6">
              <w:rPr>
                <w:rFonts w:ascii="Times New Roman" w:eastAsia="MS Mincho" w:hAnsi="Times New Roman"/>
                <w:szCs w:val="22"/>
              </w:rPr>
              <w:noBreakHyphen/>
              <w:t>95,7)</w:t>
            </w:r>
          </w:p>
        </w:tc>
      </w:tr>
    </w:tbl>
    <w:p w14:paraId="0FE2A9C0" w14:textId="77777777" w:rsidR="00EF4CB3" w:rsidRPr="008A5F3B" w:rsidRDefault="00EF4CB3" w:rsidP="00E0122B">
      <w:pPr>
        <w:rPr>
          <w:rFonts w:ascii="Times New Roman" w:eastAsia="MS Mincho" w:hAnsi="Times New Roman"/>
          <w:szCs w:val="22"/>
        </w:rPr>
      </w:pPr>
    </w:p>
    <w:p w14:paraId="0596EECA" w14:textId="0EF96908" w:rsidR="00EF4CB3" w:rsidRPr="008A5F3B" w:rsidRDefault="00351949" w:rsidP="00E0122B">
      <w:pPr>
        <w:keepNext/>
        <w:keepLines/>
        <w:tabs>
          <w:tab w:val="left" w:pos="1134"/>
        </w:tabs>
        <w:ind w:left="1134" w:hanging="1134"/>
        <w:rPr>
          <w:rFonts w:ascii="Times New Roman" w:eastAsia="MS Mincho" w:hAnsi="Times New Roman"/>
          <w:b/>
          <w:szCs w:val="22"/>
        </w:rPr>
      </w:pPr>
      <w:r w:rsidRPr="008A5F3B">
        <w:rPr>
          <w:noProof/>
          <w:lang w:eastAsia="fr-FR"/>
        </w:rPr>
        <w:lastRenderedPageBreak/>
        <mc:AlternateContent>
          <mc:Choice Requires="wps">
            <w:drawing>
              <wp:anchor distT="0" distB="0" distL="114300" distR="114300" simplePos="0" relativeHeight="251658240" behindDoc="0" locked="0" layoutInCell="1" allowOverlap="1" wp14:anchorId="21B38D71" wp14:editId="0045FDB3">
                <wp:simplePos x="0" y="0"/>
                <wp:positionH relativeFrom="column">
                  <wp:posOffset>-297815</wp:posOffset>
                </wp:positionH>
                <wp:positionV relativeFrom="paragraph">
                  <wp:posOffset>284480</wp:posOffset>
                </wp:positionV>
                <wp:extent cx="335915" cy="255587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555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3DBE3" w14:textId="77777777" w:rsidR="0035690C" w:rsidRDefault="0035690C" w:rsidP="00EF4CB3">
                            <w:pPr>
                              <w:rPr>
                                <w:rFonts w:ascii="Arial" w:hAnsi="Arial" w:cs="Arial"/>
                                <w:sz w:val="20"/>
                              </w:rPr>
                            </w:pPr>
                            <w:r>
                              <w:rPr>
                                <w:rFonts w:ascii="Arial" w:hAnsi="Arial" w:cs="Arial"/>
                                <w:sz w:val="20"/>
                              </w:rPr>
                              <w:t>Probabilité de survie sans rechute</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B38D71" id="_x0000_t202" coordsize="21600,21600" o:spt="202" path="m,l,21600r21600,l21600,xe">
                <v:stroke joinstyle="miter"/>
                <v:path gradientshapeok="t" o:connecttype="rect"/>
              </v:shapetype>
              <v:shape id="Text Box 2" o:spid="_x0000_s1026" type="#_x0000_t202" style="position:absolute;left:0;text-align:left;margin-left:-23.45pt;margin-top:22.4pt;width:26.45pt;height:20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" stroked="f">
                <v:fill opacity="0"/>
                <v:textbox style="layout-flow:vertical;mso-layout-flow-alt:bottom-to-top">
                  <w:txbxContent>
                    <w:p w14:paraId="6673DBE3" w14:textId="77777777" w:rsidR="0035690C" w:rsidRDefault="0035690C" w:rsidP="00EF4CB3">
                      <w:pPr>
                        <w:rPr>
                          <w:rFonts w:ascii="Arial" w:hAnsi="Arial" w:cs="Arial"/>
                          <w:sz w:val="20"/>
                        </w:rPr>
                      </w:pPr>
                      <w:r>
                        <w:rPr>
                          <w:rFonts w:ascii="Arial" w:hAnsi="Arial" w:cs="Arial"/>
                          <w:sz w:val="20"/>
                        </w:rPr>
                        <w:t>Probabilité de survie sans rechute</w:t>
                      </w:r>
                    </w:p>
                  </w:txbxContent>
                </v:textbox>
              </v:shape>
            </w:pict>
          </mc:Fallback>
        </mc:AlternateContent>
      </w:r>
      <w:r w:rsidR="00EF4CB3" w:rsidRPr="008A5F3B">
        <w:rPr>
          <w:rFonts w:ascii="Times New Roman" w:eastAsia="MS Mincho" w:hAnsi="Times New Roman"/>
          <w:b/>
          <w:szCs w:val="22"/>
        </w:rPr>
        <w:t>Figure 1</w:t>
      </w:r>
      <w:r w:rsidR="00EF4CB3" w:rsidRPr="008A5F3B">
        <w:rPr>
          <w:rFonts w:ascii="Times New Roman" w:eastAsia="MS Mincho" w:hAnsi="Times New Roman"/>
          <w:b/>
          <w:szCs w:val="22"/>
        </w:rPr>
        <w:tab/>
        <w:t>Estimations de Kaplan-Meier pour le critère principal d</w:t>
      </w:r>
      <w:r w:rsidR="00813A7A">
        <w:rPr>
          <w:rFonts w:ascii="Times New Roman" w:eastAsia="MS Mincho" w:hAnsi="Times New Roman"/>
          <w:b/>
          <w:szCs w:val="22"/>
        </w:rPr>
        <w:t>’</w:t>
      </w:r>
      <w:r w:rsidR="00EF4CB3" w:rsidRPr="008A5F3B">
        <w:rPr>
          <w:rFonts w:ascii="Times New Roman" w:eastAsia="MS Mincho" w:hAnsi="Times New Roman"/>
          <w:b/>
          <w:szCs w:val="22"/>
        </w:rPr>
        <w:t>évaluation : la survie sans rechute (population ITT)</w:t>
      </w:r>
    </w:p>
    <w:p w14:paraId="0A536C2A" w14:textId="77777777" w:rsidR="00EF4CB3" w:rsidRPr="008A5F3B" w:rsidRDefault="00EF4CB3" w:rsidP="00E0122B">
      <w:pPr>
        <w:pStyle w:val="EndnoteText"/>
        <w:keepNext/>
        <w:widowControl w:val="0"/>
        <w:tabs>
          <w:tab w:val="clear" w:pos="567"/>
        </w:tabs>
        <w:rPr>
          <w:color w:val="000000"/>
          <w:szCs w:val="22"/>
          <w:lang w:val="fr-FR"/>
        </w:rPr>
      </w:pPr>
    </w:p>
    <w:p w14:paraId="3D694440" w14:textId="77777777" w:rsidR="00EF4CB3" w:rsidRPr="008A5F3B" w:rsidRDefault="00351949" w:rsidP="00E0122B">
      <w:pPr>
        <w:pStyle w:val="EndnoteText"/>
        <w:widowControl w:val="0"/>
        <w:tabs>
          <w:tab w:val="clear" w:pos="567"/>
        </w:tabs>
        <w:rPr>
          <w:color w:val="000000"/>
          <w:szCs w:val="22"/>
          <w:lang w:val="fr-FR"/>
        </w:rPr>
      </w:pPr>
      <w:r w:rsidRPr="008A5F3B">
        <w:rPr>
          <w:noProof/>
          <w:color w:val="000000"/>
          <w:szCs w:val="22"/>
          <w:lang w:val="fr-FR" w:eastAsia="fr-FR"/>
        </w:rPr>
        <mc:AlternateContent>
          <mc:Choice Requires="wps">
            <w:drawing>
              <wp:anchor distT="0" distB="0" distL="114300" distR="114300" simplePos="0" relativeHeight="251660288" behindDoc="0" locked="0" layoutInCell="1" allowOverlap="1" wp14:anchorId="182260BF" wp14:editId="79E63303">
                <wp:simplePos x="0" y="0"/>
                <wp:positionH relativeFrom="column">
                  <wp:posOffset>1871345</wp:posOffset>
                </wp:positionH>
                <wp:positionV relativeFrom="paragraph">
                  <wp:posOffset>2682875</wp:posOffset>
                </wp:positionV>
                <wp:extent cx="1638300" cy="28638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863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4E9448" w14:textId="77777777" w:rsidR="0035690C" w:rsidRDefault="0035690C" w:rsidP="00EF4CB3">
                            <w:pPr>
                              <w:rPr>
                                <w:rFonts w:ascii="Arial" w:hAnsi="Arial" w:cs="Arial"/>
                                <w:sz w:val="20"/>
                              </w:rPr>
                            </w:pPr>
                            <w:r>
                              <w:rPr>
                                <w:rFonts w:ascii="Arial" w:hAnsi="Arial" w:cs="Arial"/>
                                <w:sz w:val="20"/>
                              </w:rPr>
                              <w:t>Délai de survie en mois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2260BF" id="_x0000_s1027" type="#_x0000_t202" style="position:absolute;margin-left:147.35pt;margin-top:211.25pt;width:129pt;height:2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" stroked="f">
                <v:fill opacity="0"/>
                <v:textbox>
                  <w:txbxContent>
                    <w:p w14:paraId="4F4E9448" w14:textId="77777777" w:rsidR="0035690C" w:rsidRDefault="0035690C" w:rsidP="00EF4CB3">
                      <w:pPr>
                        <w:rPr>
                          <w:rFonts w:ascii="Arial" w:hAnsi="Arial" w:cs="Arial"/>
                          <w:sz w:val="20"/>
                        </w:rPr>
                      </w:pPr>
                      <w:r>
                        <w:rPr>
                          <w:rFonts w:ascii="Arial" w:hAnsi="Arial" w:cs="Arial"/>
                          <w:sz w:val="20"/>
                        </w:rPr>
                        <w:t>Délai de survie en mois</w:t>
                      </w:r>
                    </w:p>
                  </w:txbxContent>
                </v:textbox>
              </v:shape>
            </w:pict>
          </mc:Fallback>
        </mc:AlternateContent>
      </w:r>
      <w:r w:rsidRPr="008A5F3B">
        <w:rPr>
          <w:noProof/>
          <w:lang w:val="fr-FR" w:eastAsia="fr-FR"/>
        </w:rPr>
        <mc:AlternateContent>
          <mc:Choice Requires="wps">
            <w:drawing>
              <wp:anchor distT="0" distB="0" distL="114300" distR="114300" simplePos="0" relativeHeight="251659264" behindDoc="0" locked="0" layoutInCell="1" allowOverlap="1" wp14:anchorId="0F3FE812" wp14:editId="21B6A879">
                <wp:simplePos x="0" y="0"/>
                <wp:positionH relativeFrom="column">
                  <wp:posOffset>360045</wp:posOffset>
                </wp:positionH>
                <wp:positionV relativeFrom="paragraph">
                  <wp:posOffset>1196975</wp:posOffset>
                </wp:positionV>
                <wp:extent cx="4585335" cy="121920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817"/>
                              <w:gridCol w:w="2464"/>
                              <w:gridCol w:w="851"/>
                              <w:gridCol w:w="709"/>
                              <w:gridCol w:w="850"/>
                            </w:tblGrid>
                            <w:tr w:rsidR="0035690C" w14:paraId="36D91CE5" w14:textId="77777777">
                              <w:trPr>
                                <w:gridAfter w:val="3"/>
                                <w:wAfter w:w="2410" w:type="dxa"/>
                              </w:trPr>
                              <w:tc>
                                <w:tcPr>
                                  <w:tcW w:w="3281" w:type="dxa"/>
                                  <w:gridSpan w:val="2"/>
                                </w:tcPr>
                                <w:p w14:paraId="2B4198AB" w14:textId="77777777" w:rsidR="0035690C" w:rsidRDefault="0035690C">
                                  <w:pPr>
                                    <w:rPr>
                                      <w:rFonts w:ascii="Arial" w:hAnsi="Arial" w:cs="Arial"/>
                                      <w:sz w:val="20"/>
                                    </w:rPr>
                                  </w:pPr>
                                  <w:r>
                                    <w:rPr>
                                      <w:rFonts w:ascii="Arial" w:hAnsi="Arial" w:cs="Arial"/>
                                      <w:sz w:val="20"/>
                                    </w:rPr>
                                    <w:t>P &lt; 0,0001</w:t>
                                  </w:r>
                                </w:p>
                                <w:p w14:paraId="0E8AAC92" w14:textId="77777777" w:rsidR="0035690C" w:rsidRDefault="0035690C">
                                  <w:pPr>
                                    <w:rPr>
                                      <w:rFonts w:ascii="Arial" w:hAnsi="Arial" w:cs="Arial"/>
                                      <w:sz w:val="20"/>
                                    </w:rPr>
                                  </w:pPr>
                                  <w:r>
                                    <w:rPr>
                                      <w:rFonts w:ascii="Arial" w:hAnsi="Arial" w:cs="Arial"/>
                                      <w:sz w:val="20"/>
                                      <w:lang w:val="en-US"/>
                                    </w:rPr>
                                    <w:t>Hazard ratio</w:t>
                                  </w:r>
                                  <w:r>
                                    <w:rPr>
                                      <w:rFonts w:ascii="Arial" w:hAnsi="Arial" w:cs="Arial"/>
                                      <w:sz w:val="20"/>
                                    </w:rPr>
                                    <w:t xml:space="preserve"> 0,46</w:t>
                                  </w:r>
                                </w:p>
                                <w:p w14:paraId="790B0559" w14:textId="28C140DE" w:rsidR="0035690C" w:rsidRDefault="0035690C">
                                  <w:pPr>
                                    <w:rPr>
                                      <w:rFonts w:ascii="Arial" w:hAnsi="Arial" w:cs="Arial"/>
                                      <w:sz w:val="20"/>
                                      <w:lang w:val="de-DE"/>
                                    </w:rPr>
                                  </w:pPr>
                                  <w:r>
                                    <w:rPr>
                                      <w:rFonts w:ascii="Arial" w:hAnsi="Arial" w:cs="Arial"/>
                                      <w:sz w:val="20"/>
                                    </w:rPr>
                                    <w:t>(</w:t>
                                  </w:r>
                                  <w:ins w:id="667" w:author="Author">
                                    <w:r w:rsidR="00BC39C3">
                                      <w:rPr>
                                        <w:rFonts w:ascii="Arial" w:hAnsi="Arial" w:cs="Arial"/>
                                        <w:sz w:val="20"/>
                                        <w:lang w:val="en-US"/>
                                      </w:rPr>
                                      <w:t xml:space="preserve">IC </w:t>
                                    </w:r>
                                  </w:ins>
                                  <w:r>
                                    <w:rPr>
                                      <w:rFonts w:ascii="Arial" w:hAnsi="Arial" w:cs="Arial"/>
                                      <w:sz w:val="20"/>
                                      <w:lang w:val="en-US"/>
                                    </w:rPr>
                                    <w:t>95%</w:t>
                                  </w:r>
                                  <w:del w:id="668" w:author="Author">
                                    <w:r w:rsidDel="00BC39C3">
                                      <w:rPr>
                                        <w:rFonts w:ascii="Arial" w:hAnsi="Arial" w:cs="Arial"/>
                                        <w:sz w:val="20"/>
                                        <w:lang w:val="en-US"/>
                                      </w:rPr>
                                      <w:delText xml:space="preserve"> IC</w:delText>
                                    </w:r>
                                  </w:del>
                                  <w:r>
                                    <w:rPr>
                                      <w:rFonts w:ascii="Arial" w:hAnsi="Arial" w:cs="Arial"/>
                                      <w:sz w:val="20"/>
                                    </w:rPr>
                                    <w:t>, 0,32</w:t>
                                  </w:r>
                                  <w:r>
                                    <w:rPr>
                                      <w:rFonts w:ascii="Arial" w:hAnsi="Arial" w:cs="Arial"/>
                                      <w:sz w:val="20"/>
                                    </w:rPr>
                                    <w:noBreakHyphen/>
                                    <w:t>0,65)</w:t>
                                  </w:r>
                                </w:p>
                              </w:tc>
                            </w:tr>
                            <w:tr w:rsidR="0035690C" w14:paraId="3037E199" w14:textId="77777777">
                              <w:tc>
                                <w:tcPr>
                                  <w:tcW w:w="817" w:type="dxa"/>
                                </w:tcPr>
                                <w:p w14:paraId="423656E1" w14:textId="77777777" w:rsidR="0035690C" w:rsidRDefault="0035690C">
                                  <w:pPr>
                                    <w:rPr>
                                      <w:rFonts w:ascii="Arial" w:hAnsi="Arial" w:cs="Arial"/>
                                      <w:sz w:val="20"/>
                                    </w:rPr>
                                  </w:pPr>
                                </w:p>
                              </w:tc>
                              <w:tc>
                                <w:tcPr>
                                  <w:tcW w:w="2464" w:type="dxa"/>
                                </w:tcPr>
                                <w:p w14:paraId="39AFDFD6" w14:textId="77777777" w:rsidR="0035690C" w:rsidRDefault="0035690C">
                                  <w:pPr>
                                    <w:rPr>
                                      <w:rFonts w:ascii="Arial" w:hAnsi="Arial" w:cs="Arial"/>
                                      <w:sz w:val="20"/>
                                    </w:rPr>
                                  </w:pPr>
                                </w:p>
                              </w:tc>
                              <w:tc>
                                <w:tcPr>
                                  <w:tcW w:w="851" w:type="dxa"/>
                                  <w:tcBorders>
                                    <w:bottom w:val="single" w:sz="4" w:space="0" w:color="auto"/>
                                  </w:tcBorders>
                                </w:tcPr>
                                <w:p w14:paraId="2B2AF660" w14:textId="77777777" w:rsidR="0035690C" w:rsidRDefault="0035690C">
                                  <w:pPr>
                                    <w:rPr>
                                      <w:rFonts w:ascii="Arial" w:hAnsi="Arial" w:cs="Arial"/>
                                      <w:sz w:val="20"/>
                                    </w:rPr>
                                  </w:pPr>
                                  <w:r>
                                    <w:rPr>
                                      <w:rFonts w:ascii="Arial" w:hAnsi="Arial" w:cs="Arial"/>
                                      <w:sz w:val="20"/>
                                      <w:lang w:val="de-DE"/>
                                    </w:rPr>
                                    <w:t>N</w:t>
                                  </w:r>
                                </w:p>
                              </w:tc>
                              <w:tc>
                                <w:tcPr>
                                  <w:tcW w:w="709" w:type="dxa"/>
                                  <w:tcBorders>
                                    <w:bottom w:val="single" w:sz="4" w:space="0" w:color="auto"/>
                                  </w:tcBorders>
                                </w:tcPr>
                                <w:p w14:paraId="2A3A8E5A" w14:textId="77777777" w:rsidR="0035690C" w:rsidRDefault="0035690C">
                                  <w:pPr>
                                    <w:rPr>
                                      <w:rFonts w:ascii="Arial" w:hAnsi="Arial" w:cs="Arial"/>
                                      <w:sz w:val="20"/>
                                    </w:rPr>
                                  </w:pPr>
                                  <w:r>
                                    <w:rPr>
                                      <w:rFonts w:ascii="Arial" w:hAnsi="Arial" w:cs="Arial"/>
                                      <w:sz w:val="20"/>
                                      <w:lang w:val="de-DE"/>
                                    </w:rPr>
                                    <w:t>Evt</w:t>
                                  </w:r>
                                </w:p>
                              </w:tc>
                              <w:tc>
                                <w:tcPr>
                                  <w:tcW w:w="850" w:type="dxa"/>
                                  <w:tcBorders>
                                    <w:bottom w:val="single" w:sz="4" w:space="0" w:color="auto"/>
                                  </w:tcBorders>
                                </w:tcPr>
                                <w:p w14:paraId="2373E57E" w14:textId="77777777" w:rsidR="0035690C" w:rsidRDefault="0035690C">
                                  <w:pPr>
                                    <w:rPr>
                                      <w:rFonts w:ascii="Arial" w:hAnsi="Arial" w:cs="Arial"/>
                                      <w:sz w:val="20"/>
                                    </w:rPr>
                                  </w:pPr>
                                  <w:r>
                                    <w:rPr>
                                      <w:rFonts w:ascii="Arial" w:hAnsi="Arial" w:cs="Arial"/>
                                      <w:sz w:val="20"/>
                                      <w:lang w:val="de-DE"/>
                                    </w:rPr>
                                    <w:t>Cen</w:t>
                                  </w:r>
                                </w:p>
                              </w:tc>
                            </w:tr>
                            <w:tr w:rsidR="0035690C" w14:paraId="34CDBD05" w14:textId="77777777">
                              <w:tc>
                                <w:tcPr>
                                  <w:tcW w:w="817" w:type="dxa"/>
                                </w:tcPr>
                                <w:p w14:paraId="6AD687B7" w14:textId="77777777" w:rsidR="0035690C" w:rsidRDefault="0035690C">
                                  <w:pPr>
                                    <w:rPr>
                                      <w:rFonts w:ascii="Arial" w:hAnsi="Arial" w:cs="Arial"/>
                                      <w:sz w:val="20"/>
                                    </w:rPr>
                                  </w:pPr>
                                  <w:r>
                                    <w:rPr>
                                      <w:rFonts w:ascii="Arial" w:hAnsi="Arial" w:cs="Arial"/>
                                      <w:b/>
                                      <w:sz w:val="20"/>
                                    </w:rPr>
                                    <w:t>——</w:t>
                                  </w:r>
                                </w:p>
                              </w:tc>
                              <w:tc>
                                <w:tcPr>
                                  <w:tcW w:w="2464" w:type="dxa"/>
                                </w:tcPr>
                                <w:p w14:paraId="43216F37" w14:textId="77777777" w:rsidR="0035690C" w:rsidRDefault="0035690C">
                                  <w:pPr>
                                    <w:rPr>
                                      <w:rFonts w:ascii="Arial" w:hAnsi="Arial" w:cs="Arial"/>
                                      <w:sz w:val="20"/>
                                    </w:rPr>
                                  </w:pPr>
                                  <w:r>
                                    <w:rPr>
                                      <w:rFonts w:ascii="Arial" w:hAnsi="Arial" w:cs="Arial"/>
                                      <w:sz w:val="20"/>
                                    </w:rPr>
                                    <w:t>(1) Imatinib 12 mois :</w:t>
                                  </w:r>
                                </w:p>
                              </w:tc>
                              <w:tc>
                                <w:tcPr>
                                  <w:tcW w:w="851" w:type="dxa"/>
                                  <w:tcBorders>
                                    <w:top w:val="single" w:sz="4" w:space="0" w:color="auto"/>
                                  </w:tcBorders>
                                </w:tcPr>
                                <w:p w14:paraId="74B47502" w14:textId="77777777" w:rsidR="0035690C" w:rsidRDefault="0035690C">
                                  <w:pPr>
                                    <w:rPr>
                                      <w:rFonts w:ascii="Arial" w:hAnsi="Arial" w:cs="Arial"/>
                                      <w:sz w:val="20"/>
                                    </w:rPr>
                                  </w:pPr>
                                  <w:r>
                                    <w:rPr>
                                      <w:rFonts w:ascii="Arial" w:hAnsi="Arial" w:cs="Arial"/>
                                      <w:sz w:val="20"/>
                                    </w:rPr>
                                    <w:t>199</w:t>
                                  </w:r>
                                </w:p>
                              </w:tc>
                              <w:tc>
                                <w:tcPr>
                                  <w:tcW w:w="709" w:type="dxa"/>
                                  <w:tcBorders>
                                    <w:top w:val="single" w:sz="4" w:space="0" w:color="auto"/>
                                  </w:tcBorders>
                                </w:tcPr>
                                <w:p w14:paraId="49F9BA5F" w14:textId="77777777" w:rsidR="0035690C" w:rsidRDefault="0035690C">
                                  <w:pPr>
                                    <w:rPr>
                                      <w:rFonts w:ascii="Arial" w:hAnsi="Arial" w:cs="Arial"/>
                                      <w:sz w:val="20"/>
                                    </w:rPr>
                                  </w:pPr>
                                  <w:r>
                                    <w:rPr>
                                      <w:rFonts w:ascii="Arial" w:hAnsi="Arial" w:cs="Arial"/>
                                      <w:sz w:val="20"/>
                                    </w:rPr>
                                    <w:t>84</w:t>
                                  </w:r>
                                </w:p>
                              </w:tc>
                              <w:tc>
                                <w:tcPr>
                                  <w:tcW w:w="850" w:type="dxa"/>
                                  <w:tcBorders>
                                    <w:top w:val="single" w:sz="4" w:space="0" w:color="auto"/>
                                  </w:tcBorders>
                                </w:tcPr>
                                <w:p w14:paraId="0C6FB70A" w14:textId="77777777" w:rsidR="0035690C" w:rsidRDefault="0035690C">
                                  <w:pPr>
                                    <w:rPr>
                                      <w:rFonts w:ascii="Arial" w:hAnsi="Arial" w:cs="Arial"/>
                                      <w:sz w:val="20"/>
                                    </w:rPr>
                                  </w:pPr>
                                  <w:r>
                                    <w:rPr>
                                      <w:rFonts w:ascii="Arial" w:hAnsi="Arial" w:cs="Arial"/>
                                      <w:sz w:val="20"/>
                                    </w:rPr>
                                    <w:t>115</w:t>
                                  </w:r>
                                </w:p>
                              </w:tc>
                            </w:tr>
                            <w:tr w:rsidR="0035690C" w14:paraId="6312E775" w14:textId="77777777">
                              <w:tc>
                                <w:tcPr>
                                  <w:tcW w:w="817" w:type="dxa"/>
                                </w:tcPr>
                                <w:p w14:paraId="53D9401B" w14:textId="77777777" w:rsidR="0035690C" w:rsidRDefault="0035690C">
                                  <w:pPr>
                                    <w:rPr>
                                      <w:rFonts w:ascii="Arial" w:hAnsi="Arial" w:cs="Arial"/>
                                      <w:sz w:val="20"/>
                                    </w:rPr>
                                  </w:pPr>
                                  <w:r>
                                    <w:rPr>
                                      <w:rFonts w:ascii="Arial" w:hAnsi="Arial" w:cs="Arial"/>
                                      <w:sz w:val="20"/>
                                    </w:rPr>
                                    <w:t>-----</w:t>
                                  </w:r>
                                </w:p>
                              </w:tc>
                              <w:tc>
                                <w:tcPr>
                                  <w:tcW w:w="2464" w:type="dxa"/>
                                </w:tcPr>
                                <w:p w14:paraId="507D3D19" w14:textId="77777777" w:rsidR="0035690C" w:rsidRDefault="0035690C">
                                  <w:pPr>
                                    <w:rPr>
                                      <w:rFonts w:ascii="Arial" w:hAnsi="Arial" w:cs="Arial"/>
                                      <w:sz w:val="20"/>
                                    </w:rPr>
                                  </w:pPr>
                                  <w:r>
                                    <w:rPr>
                                      <w:rFonts w:ascii="Arial" w:hAnsi="Arial" w:cs="Arial"/>
                                      <w:sz w:val="20"/>
                                    </w:rPr>
                                    <w:t>(2) Imatinib 36 mois :</w:t>
                                  </w:r>
                                </w:p>
                              </w:tc>
                              <w:tc>
                                <w:tcPr>
                                  <w:tcW w:w="851" w:type="dxa"/>
                                  <w:tcBorders>
                                    <w:bottom w:val="single" w:sz="4" w:space="0" w:color="auto"/>
                                  </w:tcBorders>
                                </w:tcPr>
                                <w:p w14:paraId="6F9DDA7F" w14:textId="77777777" w:rsidR="0035690C" w:rsidRDefault="0035690C">
                                  <w:pPr>
                                    <w:rPr>
                                      <w:rFonts w:ascii="Arial" w:hAnsi="Arial" w:cs="Arial"/>
                                      <w:sz w:val="20"/>
                                    </w:rPr>
                                  </w:pPr>
                                  <w:r>
                                    <w:rPr>
                                      <w:rFonts w:ascii="Arial" w:hAnsi="Arial" w:cs="Arial"/>
                                      <w:sz w:val="20"/>
                                    </w:rPr>
                                    <w:t>198</w:t>
                                  </w:r>
                                </w:p>
                              </w:tc>
                              <w:tc>
                                <w:tcPr>
                                  <w:tcW w:w="709" w:type="dxa"/>
                                  <w:tcBorders>
                                    <w:bottom w:val="single" w:sz="4" w:space="0" w:color="auto"/>
                                  </w:tcBorders>
                                </w:tcPr>
                                <w:p w14:paraId="15D421FE" w14:textId="77777777" w:rsidR="0035690C" w:rsidRDefault="0035690C">
                                  <w:pPr>
                                    <w:rPr>
                                      <w:rFonts w:ascii="Arial" w:hAnsi="Arial" w:cs="Arial"/>
                                      <w:sz w:val="20"/>
                                    </w:rPr>
                                  </w:pPr>
                                  <w:r>
                                    <w:rPr>
                                      <w:rFonts w:ascii="Arial" w:hAnsi="Arial" w:cs="Arial"/>
                                      <w:sz w:val="20"/>
                                    </w:rPr>
                                    <w:t>50</w:t>
                                  </w:r>
                                </w:p>
                              </w:tc>
                              <w:tc>
                                <w:tcPr>
                                  <w:tcW w:w="850" w:type="dxa"/>
                                  <w:tcBorders>
                                    <w:bottom w:val="single" w:sz="4" w:space="0" w:color="auto"/>
                                  </w:tcBorders>
                                </w:tcPr>
                                <w:p w14:paraId="0628B776" w14:textId="77777777" w:rsidR="0035690C" w:rsidRDefault="0035690C">
                                  <w:pPr>
                                    <w:rPr>
                                      <w:rFonts w:ascii="Arial" w:hAnsi="Arial" w:cs="Arial"/>
                                      <w:sz w:val="20"/>
                                    </w:rPr>
                                  </w:pPr>
                                  <w:r>
                                    <w:rPr>
                                      <w:rFonts w:ascii="Arial" w:hAnsi="Arial" w:cs="Arial"/>
                                      <w:sz w:val="20"/>
                                    </w:rPr>
                                    <w:t>148</w:t>
                                  </w:r>
                                </w:p>
                              </w:tc>
                            </w:tr>
                            <w:tr w:rsidR="0035690C" w14:paraId="332B7AB1" w14:textId="77777777">
                              <w:tc>
                                <w:tcPr>
                                  <w:tcW w:w="817" w:type="dxa"/>
                                </w:tcPr>
                                <w:p w14:paraId="6746592E" w14:textId="77777777" w:rsidR="0035690C" w:rsidRDefault="0035690C">
                                  <w:pPr>
                                    <w:rPr>
                                      <w:rFonts w:ascii="Arial" w:hAnsi="Arial" w:cs="Arial"/>
                                      <w:sz w:val="20"/>
                                    </w:rPr>
                                  </w:pPr>
                                  <w:r>
                                    <w:rPr>
                                      <w:rFonts w:ascii="Arial" w:hAnsi="Arial" w:cs="Arial"/>
                                      <w:sz w:val="20"/>
                                    </w:rPr>
                                    <w:t>│││</w:t>
                                  </w:r>
                                </w:p>
                              </w:tc>
                              <w:tc>
                                <w:tcPr>
                                  <w:tcW w:w="2464" w:type="dxa"/>
                                </w:tcPr>
                                <w:p w14:paraId="10D82636" w14:textId="77777777" w:rsidR="0035690C" w:rsidRDefault="0035690C">
                                  <w:pPr>
                                    <w:rPr>
                                      <w:rFonts w:ascii="Arial" w:hAnsi="Arial" w:cs="Arial"/>
                                      <w:sz w:val="20"/>
                                    </w:rPr>
                                  </w:pPr>
                                  <w:r>
                                    <w:rPr>
                                      <w:rFonts w:ascii="Arial" w:hAnsi="Arial" w:cs="Arial"/>
                                      <w:sz w:val="20"/>
                                    </w:rPr>
                                    <w:t>Données censurées</w:t>
                                  </w:r>
                                </w:p>
                              </w:tc>
                              <w:tc>
                                <w:tcPr>
                                  <w:tcW w:w="851" w:type="dxa"/>
                                  <w:tcBorders>
                                    <w:top w:val="single" w:sz="4" w:space="0" w:color="auto"/>
                                  </w:tcBorders>
                                </w:tcPr>
                                <w:p w14:paraId="4F3E99B1" w14:textId="77777777" w:rsidR="0035690C" w:rsidRDefault="0035690C">
                                  <w:pPr>
                                    <w:rPr>
                                      <w:rFonts w:ascii="Arial" w:hAnsi="Arial" w:cs="Arial"/>
                                      <w:sz w:val="20"/>
                                    </w:rPr>
                                  </w:pPr>
                                </w:p>
                              </w:tc>
                              <w:tc>
                                <w:tcPr>
                                  <w:tcW w:w="709" w:type="dxa"/>
                                  <w:tcBorders>
                                    <w:top w:val="single" w:sz="4" w:space="0" w:color="auto"/>
                                  </w:tcBorders>
                                </w:tcPr>
                                <w:p w14:paraId="2F9AFE5B" w14:textId="77777777" w:rsidR="0035690C" w:rsidRDefault="0035690C">
                                  <w:pPr>
                                    <w:rPr>
                                      <w:rFonts w:ascii="Arial" w:hAnsi="Arial" w:cs="Arial"/>
                                      <w:sz w:val="20"/>
                                    </w:rPr>
                                  </w:pPr>
                                </w:p>
                              </w:tc>
                              <w:tc>
                                <w:tcPr>
                                  <w:tcW w:w="850" w:type="dxa"/>
                                  <w:tcBorders>
                                    <w:top w:val="single" w:sz="4" w:space="0" w:color="auto"/>
                                  </w:tcBorders>
                                </w:tcPr>
                                <w:p w14:paraId="681CC7D7" w14:textId="77777777" w:rsidR="0035690C" w:rsidRDefault="0035690C">
                                  <w:pPr>
                                    <w:rPr>
                                      <w:rFonts w:ascii="Arial" w:hAnsi="Arial" w:cs="Arial"/>
                                      <w:sz w:val="20"/>
                                    </w:rPr>
                                  </w:pPr>
                                </w:p>
                              </w:tc>
                            </w:tr>
                          </w:tbl>
                          <w:p w14:paraId="260EAE3F" w14:textId="77777777" w:rsidR="0035690C" w:rsidRDefault="0035690C" w:rsidP="00EF4CB3">
                            <w:pPr>
                              <w:rPr>
                                <w:rFonts w:ascii="Arial" w:hAnsi="Arial" w:cs="Arial"/>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3FE812" id="_x0000_s1028" type="#_x0000_t202" style="position:absolute;margin-left:28.35pt;margin-top:94.25pt;width:361.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" filled="f" stroked="f">
                <v:textbox>
                  <w:txbxContent>
                    <w:tbl>
                      <w:tblPr>
                        <w:tblW w:w="0" w:type="auto"/>
                        <w:tblLook w:val="04A0" w:firstRow="1" w:lastRow="0" w:firstColumn="1" w:lastColumn="0" w:noHBand="0" w:noVBand="1"/>
                      </w:tblPr>
                      <w:tblGrid>
                        <w:gridCol w:w="817"/>
                        <w:gridCol w:w="2464"/>
                        <w:gridCol w:w="851"/>
                        <w:gridCol w:w="709"/>
                        <w:gridCol w:w="850"/>
                      </w:tblGrid>
                      <w:tr w:rsidR="0035690C" w14:paraId="36D91CE5" w14:textId="77777777">
                        <w:trPr>
                          <w:gridAfter w:val="3"/>
                          <w:wAfter w:w="2410" w:type="dxa"/>
                        </w:trPr>
                        <w:tc>
                          <w:tcPr>
                            <w:tcW w:w="3281" w:type="dxa"/>
                            <w:gridSpan w:val="2"/>
                          </w:tcPr>
                          <w:p w14:paraId="2B4198AB" w14:textId="77777777" w:rsidR="0035690C" w:rsidRDefault="0035690C">
                            <w:pPr>
                              <w:rPr>
                                <w:rFonts w:ascii="Arial" w:hAnsi="Arial" w:cs="Arial"/>
                                <w:sz w:val="20"/>
                              </w:rPr>
                            </w:pPr>
                            <w:r>
                              <w:rPr>
                                <w:rFonts w:ascii="Arial" w:hAnsi="Arial" w:cs="Arial"/>
                                <w:sz w:val="20"/>
                              </w:rPr>
                              <w:t>P &lt; 0,0001</w:t>
                            </w:r>
                          </w:p>
                          <w:p w14:paraId="0E8AAC92" w14:textId="77777777" w:rsidR="0035690C" w:rsidRDefault="0035690C">
                            <w:pPr>
                              <w:rPr>
                                <w:rFonts w:ascii="Arial" w:hAnsi="Arial" w:cs="Arial"/>
                                <w:sz w:val="20"/>
                              </w:rPr>
                            </w:pPr>
                            <w:r>
                              <w:rPr>
                                <w:rFonts w:ascii="Arial" w:hAnsi="Arial" w:cs="Arial"/>
                                <w:sz w:val="20"/>
                                <w:lang w:val="en-US"/>
                              </w:rPr>
                              <w:t>Hazard ratio</w:t>
                            </w:r>
                            <w:r>
                              <w:rPr>
                                <w:rFonts w:ascii="Arial" w:hAnsi="Arial" w:cs="Arial"/>
                                <w:sz w:val="20"/>
                              </w:rPr>
                              <w:t xml:space="preserve"> 0,46</w:t>
                            </w:r>
                          </w:p>
                          <w:p w14:paraId="790B0559" w14:textId="28C140DE" w:rsidR="0035690C" w:rsidRDefault="0035690C">
                            <w:pPr>
                              <w:rPr>
                                <w:rFonts w:ascii="Arial" w:hAnsi="Arial" w:cs="Arial"/>
                                <w:sz w:val="20"/>
                                <w:lang w:val="de-DE"/>
                              </w:rPr>
                            </w:pPr>
                            <w:r>
                              <w:rPr>
                                <w:rFonts w:ascii="Arial" w:hAnsi="Arial" w:cs="Arial"/>
                                <w:sz w:val="20"/>
                              </w:rPr>
                              <w:t>(</w:t>
                            </w:r>
                            <w:ins w:id="669" w:author="Author">
                              <w:r w:rsidR="00BC39C3">
                                <w:rPr>
                                  <w:rFonts w:ascii="Arial" w:hAnsi="Arial" w:cs="Arial"/>
                                  <w:sz w:val="20"/>
                                  <w:lang w:val="en-US"/>
                                </w:rPr>
                                <w:t xml:space="preserve">IC </w:t>
                              </w:r>
                            </w:ins>
                            <w:r>
                              <w:rPr>
                                <w:rFonts w:ascii="Arial" w:hAnsi="Arial" w:cs="Arial"/>
                                <w:sz w:val="20"/>
                                <w:lang w:val="en-US"/>
                              </w:rPr>
                              <w:t>95%</w:t>
                            </w:r>
                            <w:del w:id="670" w:author="Author">
                              <w:r w:rsidDel="00BC39C3">
                                <w:rPr>
                                  <w:rFonts w:ascii="Arial" w:hAnsi="Arial" w:cs="Arial"/>
                                  <w:sz w:val="20"/>
                                  <w:lang w:val="en-US"/>
                                </w:rPr>
                                <w:delText xml:space="preserve"> IC</w:delText>
                              </w:r>
                            </w:del>
                            <w:r>
                              <w:rPr>
                                <w:rFonts w:ascii="Arial" w:hAnsi="Arial" w:cs="Arial"/>
                                <w:sz w:val="20"/>
                              </w:rPr>
                              <w:t>, 0,32</w:t>
                            </w:r>
                            <w:r>
                              <w:rPr>
                                <w:rFonts w:ascii="Arial" w:hAnsi="Arial" w:cs="Arial"/>
                                <w:sz w:val="20"/>
                              </w:rPr>
                              <w:noBreakHyphen/>
                              <w:t>0,65)</w:t>
                            </w:r>
                          </w:p>
                        </w:tc>
                      </w:tr>
                      <w:tr w:rsidR="0035690C" w14:paraId="3037E199" w14:textId="77777777">
                        <w:tc>
                          <w:tcPr>
                            <w:tcW w:w="817" w:type="dxa"/>
                          </w:tcPr>
                          <w:p w14:paraId="423656E1" w14:textId="77777777" w:rsidR="0035690C" w:rsidRDefault="0035690C">
                            <w:pPr>
                              <w:rPr>
                                <w:rFonts w:ascii="Arial" w:hAnsi="Arial" w:cs="Arial"/>
                                <w:sz w:val="20"/>
                              </w:rPr>
                            </w:pPr>
                          </w:p>
                        </w:tc>
                        <w:tc>
                          <w:tcPr>
                            <w:tcW w:w="2464" w:type="dxa"/>
                          </w:tcPr>
                          <w:p w14:paraId="39AFDFD6" w14:textId="77777777" w:rsidR="0035690C" w:rsidRDefault="0035690C">
                            <w:pPr>
                              <w:rPr>
                                <w:rFonts w:ascii="Arial" w:hAnsi="Arial" w:cs="Arial"/>
                                <w:sz w:val="20"/>
                              </w:rPr>
                            </w:pPr>
                          </w:p>
                        </w:tc>
                        <w:tc>
                          <w:tcPr>
                            <w:tcW w:w="851" w:type="dxa"/>
                            <w:tcBorders>
                              <w:bottom w:val="single" w:sz="4" w:space="0" w:color="auto"/>
                            </w:tcBorders>
                          </w:tcPr>
                          <w:p w14:paraId="2B2AF660" w14:textId="77777777" w:rsidR="0035690C" w:rsidRDefault="0035690C">
                            <w:pPr>
                              <w:rPr>
                                <w:rFonts w:ascii="Arial" w:hAnsi="Arial" w:cs="Arial"/>
                                <w:sz w:val="20"/>
                              </w:rPr>
                            </w:pPr>
                            <w:r>
                              <w:rPr>
                                <w:rFonts w:ascii="Arial" w:hAnsi="Arial" w:cs="Arial"/>
                                <w:sz w:val="20"/>
                                <w:lang w:val="de-DE"/>
                              </w:rPr>
                              <w:t>N</w:t>
                            </w:r>
                          </w:p>
                        </w:tc>
                        <w:tc>
                          <w:tcPr>
                            <w:tcW w:w="709" w:type="dxa"/>
                            <w:tcBorders>
                              <w:bottom w:val="single" w:sz="4" w:space="0" w:color="auto"/>
                            </w:tcBorders>
                          </w:tcPr>
                          <w:p w14:paraId="2A3A8E5A" w14:textId="77777777" w:rsidR="0035690C" w:rsidRDefault="0035690C">
                            <w:pPr>
                              <w:rPr>
                                <w:rFonts w:ascii="Arial" w:hAnsi="Arial" w:cs="Arial"/>
                                <w:sz w:val="20"/>
                              </w:rPr>
                            </w:pPr>
                            <w:r>
                              <w:rPr>
                                <w:rFonts w:ascii="Arial" w:hAnsi="Arial" w:cs="Arial"/>
                                <w:sz w:val="20"/>
                                <w:lang w:val="de-DE"/>
                              </w:rPr>
                              <w:t>Evt</w:t>
                            </w:r>
                          </w:p>
                        </w:tc>
                        <w:tc>
                          <w:tcPr>
                            <w:tcW w:w="850" w:type="dxa"/>
                            <w:tcBorders>
                              <w:bottom w:val="single" w:sz="4" w:space="0" w:color="auto"/>
                            </w:tcBorders>
                          </w:tcPr>
                          <w:p w14:paraId="2373E57E" w14:textId="77777777" w:rsidR="0035690C" w:rsidRDefault="0035690C">
                            <w:pPr>
                              <w:rPr>
                                <w:rFonts w:ascii="Arial" w:hAnsi="Arial" w:cs="Arial"/>
                                <w:sz w:val="20"/>
                              </w:rPr>
                            </w:pPr>
                            <w:r>
                              <w:rPr>
                                <w:rFonts w:ascii="Arial" w:hAnsi="Arial" w:cs="Arial"/>
                                <w:sz w:val="20"/>
                                <w:lang w:val="de-DE"/>
                              </w:rPr>
                              <w:t>Cen</w:t>
                            </w:r>
                          </w:p>
                        </w:tc>
                      </w:tr>
                      <w:tr w:rsidR="0035690C" w14:paraId="34CDBD05" w14:textId="77777777">
                        <w:tc>
                          <w:tcPr>
                            <w:tcW w:w="817" w:type="dxa"/>
                          </w:tcPr>
                          <w:p w14:paraId="6AD687B7" w14:textId="77777777" w:rsidR="0035690C" w:rsidRDefault="0035690C">
                            <w:pPr>
                              <w:rPr>
                                <w:rFonts w:ascii="Arial" w:hAnsi="Arial" w:cs="Arial"/>
                                <w:sz w:val="20"/>
                              </w:rPr>
                            </w:pPr>
                            <w:r>
                              <w:rPr>
                                <w:rFonts w:ascii="Arial" w:hAnsi="Arial" w:cs="Arial"/>
                                <w:b/>
                                <w:sz w:val="20"/>
                              </w:rPr>
                              <w:t>——</w:t>
                            </w:r>
                          </w:p>
                        </w:tc>
                        <w:tc>
                          <w:tcPr>
                            <w:tcW w:w="2464" w:type="dxa"/>
                          </w:tcPr>
                          <w:p w14:paraId="43216F37" w14:textId="77777777" w:rsidR="0035690C" w:rsidRDefault="0035690C">
                            <w:pPr>
                              <w:rPr>
                                <w:rFonts w:ascii="Arial" w:hAnsi="Arial" w:cs="Arial"/>
                                <w:sz w:val="20"/>
                              </w:rPr>
                            </w:pPr>
                            <w:r>
                              <w:rPr>
                                <w:rFonts w:ascii="Arial" w:hAnsi="Arial" w:cs="Arial"/>
                                <w:sz w:val="20"/>
                              </w:rPr>
                              <w:t>(1) Imatinib 12 mois :</w:t>
                            </w:r>
                          </w:p>
                        </w:tc>
                        <w:tc>
                          <w:tcPr>
                            <w:tcW w:w="851" w:type="dxa"/>
                            <w:tcBorders>
                              <w:top w:val="single" w:sz="4" w:space="0" w:color="auto"/>
                            </w:tcBorders>
                          </w:tcPr>
                          <w:p w14:paraId="74B47502" w14:textId="77777777" w:rsidR="0035690C" w:rsidRDefault="0035690C">
                            <w:pPr>
                              <w:rPr>
                                <w:rFonts w:ascii="Arial" w:hAnsi="Arial" w:cs="Arial"/>
                                <w:sz w:val="20"/>
                              </w:rPr>
                            </w:pPr>
                            <w:r>
                              <w:rPr>
                                <w:rFonts w:ascii="Arial" w:hAnsi="Arial" w:cs="Arial"/>
                                <w:sz w:val="20"/>
                              </w:rPr>
                              <w:t>199</w:t>
                            </w:r>
                          </w:p>
                        </w:tc>
                        <w:tc>
                          <w:tcPr>
                            <w:tcW w:w="709" w:type="dxa"/>
                            <w:tcBorders>
                              <w:top w:val="single" w:sz="4" w:space="0" w:color="auto"/>
                            </w:tcBorders>
                          </w:tcPr>
                          <w:p w14:paraId="49F9BA5F" w14:textId="77777777" w:rsidR="0035690C" w:rsidRDefault="0035690C">
                            <w:pPr>
                              <w:rPr>
                                <w:rFonts w:ascii="Arial" w:hAnsi="Arial" w:cs="Arial"/>
                                <w:sz w:val="20"/>
                              </w:rPr>
                            </w:pPr>
                            <w:r>
                              <w:rPr>
                                <w:rFonts w:ascii="Arial" w:hAnsi="Arial" w:cs="Arial"/>
                                <w:sz w:val="20"/>
                              </w:rPr>
                              <w:t>84</w:t>
                            </w:r>
                          </w:p>
                        </w:tc>
                        <w:tc>
                          <w:tcPr>
                            <w:tcW w:w="850" w:type="dxa"/>
                            <w:tcBorders>
                              <w:top w:val="single" w:sz="4" w:space="0" w:color="auto"/>
                            </w:tcBorders>
                          </w:tcPr>
                          <w:p w14:paraId="0C6FB70A" w14:textId="77777777" w:rsidR="0035690C" w:rsidRDefault="0035690C">
                            <w:pPr>
                              <w:rPr>
                                <w:rFonts w:ascii="Arial" w:hAnsi="Arial" w:cs="Arial"/>
                                <w:sz w:val="20"/>
                              </w:rPr>
                            </w:pPr>
                            <w:r>
                              <w:rPr>
                                <w:rFonts w:ascii="Arial" w:hAnsi="Arial" w:cs="Arial"/>
                                <w:sz w:val="20"/>
                              </w:rPr>
                              <w:t>115</w:t>
                            </w:r>
                          </w:p>
                        </w:tc>
                      </w:tr>
                      <w:tr w:rsidR="0035690C" w14:paraId="6312E775" w14:textId="77777777">
                        <w:tc>
                          <w:tcPr>
                            <w:tcW w:w="817" w:type="dxa"/>
                          </w:tcPr>
                          <w:p w14:paraId="53D9401B" w14:textId="77777777" w:rsidR="0035690C" w:rsidRDefault="0035690C">
                            <w:pPr>
                              <w:rPr>
                                <w:rFonts w:ascii="Arial" w:hAnsi="Arial" w:cs="Arial"/>
                                <w:sz w:val="20"/>
                              </w:rPr>
                            </w:pPr>
                            <w:r>
                              <w:rPr>
                                <w:rFonts w:ascii="Arial" w:hAnsi="Arial" w:cs="Arial"/>
                                <w:sz w:val="20"/>
                              </w:rPr>
                              <w:t>-----</w:t>
                            </w:r>
                          </w:p>
                        </w:tc>
                        <w:tc>
                          <w:tcPr>
                            <w:tcW w:w="2464" w:type="dxa"/>
                          </w:tcPr>
                          <w:p w14:paraId="507D3D19" w14:textId="77777777" w:rsidR="0035690C" w:rsidRDefault="0035690C">
                            <w:pPr>
                              <w:rPr>
                                <w:rFonts w:ascii="Arial" w:hAnsi="Arial" w:cs="Arial"/>
                                <w:sz w:val="20"/>
                              </w:rPr>
                            </w:pPr>
                            <w:r>
                              <w:rPr>
                                <w:rFonts w:ascii="Arial" w:hAnsi="Arial" w:cs="Arial"/>
                                <w:sz w:val="20"/>
                              </w:rPr>
                              <w:t>(2) Imatinib 36 mois :</w:t>
                            </w:r>
                          </w:p>
                        </w:tc>
                        <w:tc>
                          <w:tcPr>
                            <w:tcW w:w="851" w:type="dxa"/>
                            <w:tcBorders>
                              <w:bottom w:val="single" w:sz="4" w:space="0" w:color="auto"/>
                            </w:tcBorders>
                          </w:tcPr>
                          <w:p w14:paraId="6F9DDA7F" w14:textId="77777777" w:rsidR="0035690C" w:rsidRDefault="0035690C">
                            <w:pPr>
                              <w:rPr>
                                <w:rFonts w:ascii="Arial" w:hAnsi="Arial" w:cs="Arial"/>
                                <w:sz w:val="20"/>
                              </w:rPr>
                            </w:pPr>
                            <w:r>
                              <w:rPr>
                                <w:rFonts w:ascii="Arial" w:hAnsi="Arial" w:cs="Arial"/>
                                <w:sz w:val="20"/>
                              </w:rPr>
                              <w:t>198</w:t>
                            </w:r>
                          </w:p>
                        </w:tc>
                        <w:tc>
                          <w:tcPr>
                            <w:tcW w:w="709" w:type="dxa"/>
                            <w:tcBorders>
                              <w:bottom w:val="single" w:sz="4" w:space="0" w:color="auto"/>
                            </w:tcBorders>
                          </w:tcPr>
                          <w:p w14:paraId="15D421FE" w14:textId="77777777" w:rsidR="0035690C" w:rsidRDefault="0035690C">
                            <w:pPr>
                              <w:rPr>
                                <w:rFonts w:ascii="Arial" w:hAnsi="Arial" w:cs="Arial"/>
                                <w:sz w:val="20"/>
                              </w:rPr>
                            </w:pPr>
                            <w:r>
                              <w:rPr>
                                <w:rFonts w:ascii="Arial" w:hAnsi="Arial" w:cs="Arial"/>
                                <w:sz w:val="20"/>
                              </w:rPr>
                              <w:t>50</w:t>
                            </w:r>
                          </w:p>
                        </w:tc>
                        <w:tc>
                          <w:tcPr>
                            <w:tcW w:w="850" w:type="dxa"/>
                            <w:tcBorders>
                              <w:bottom w:val="single" w:sz="4" w:space="0" w:color="auto"/>
                            </w:tcBorders>
                          </w:tcPr>
                          <w:p w14:paraId="0628B776" w14:textId="77777777" w:rsidR="0035690C" w:rsidRDefault="0035690C">
                            <w:pPr>
                              <w:rPr>
                                <w:rFonts w:ascii="Arial" w:hAnsi="Arial" w:cs="Arial"/>
                                <w:sz w:val="20"/>
                              </w:rPr>
                            </w:pPr>
                            <w:r>
                              <w:rPr>
                                <w:rFonts w:ascii="Arial" w:hAnsi="Arial" w:cs="Arial"/>
                                <w:sz w:val="20"/>
                              </w:rPr>
                              <w:t>148</w:t>
                            </w:r>
                          </w:p>
                        </w:tc>
                      </w:tr>
                      <w:tr w:rsidR="0035690C" w14:paraId="332B7AB1" w14:textId="77777777">
                        <w:tc>
                          <w:tcPr>
                            <w:tcW w:w="817" w:type="dxa"/>
                          </w:tcPr>
                          <w:p w14:paraId="6746592E" w14:textId="77777777" w:rsidR="0035690C" w:rsidRDefault="0035690C">
                            <w:pPr>
                              <w:rPr>
                                <w:rFonts w:ascii="Arial" w:hAnsi="Arial" w:cs="Arial"/>
                                <w:sz w:val="20"/>
                              </w:rPr>
                            </w:pPr>
                            <w:r>
                              <w:rPr>
                                <w:rFonts w:ascii="Arial" w:hAnsi="Arial" w:cs="Arial"/>
                                <w:sz w:val="20"/>
                              </w:rPr>
                              <w:t>│││</w:t>
                            </w:r>
                          </w:p>
                        </w:tc>
                        <w:tc>
                          <w:tcPr>
                            <w:tcW w:w="2464" w:type="dxa"/>
                          </w:tcPr>
                          <w:p w14:paraId="10D82636" w14:textId="77777777" w:rsidR="0035690C" w:rsidRDefault="0035690C">
                            <w:pPr>
                              <w:rPr>
                                <w:rFonts w:ascii="Arial" w:hAnsi="Arial" w:cs="Arial"/>
                                <w:sz w:val="20"/>
                              </w:rPr>
                            </w:pPr>
                            <w:r>
                              <w:rPr>
                                <w:rFonts w:ascii="Arial" w:hAnsi="Arial" w:cs="Arial"/>
                                <w:sz w:val="20"/>
                              </w:rPr>
                              <w:t>Données censurées</w:t>
                            </w:r>
                          </w:p>
                        </w:tc>
                        <w:tc>
                          <w:tcPr>
                            <w:tcW w:w="851" w:type="dxa"/>
                            <w:tcBorders>
                              <w:top w:val="single" w:sz="4" w:space="0" w:color="auto"/>
                            </w:tcBorders>
                          </w:tcPr>
                          <w:p w14:paraId="4F3E99B1" w14:textId="77777777" w:rsidR="0035690C" w:rsidRDefault="0035690C">
                            <w:pPr>
                              <w:rPr>
                                <w:rFonts w:ascii="Arial" w:hAnsi="Arial" w:cs="Arial"/>
                                <w:sz w:val="20"/>
                              </w:rPr>
                            </w:pPr>
                          </w:p>
                        </w:tc>
                        <w:tc>
                          <w:tcPr>
                            <w:tcW w:w="709" w:type="dxa"/>
                            <w:tcBorders>
                              <w:top w:val="single" w:sz="4" w:space="0" w:color="auto"/>
                            </w:tcBorders>
                          </w:tcPr>
                          <w:p w14:paraId="2F9AFE5B" w14:textId="77777777" w:rsidR="0035690C" w:rsidRDefault="0035690C">
                            <w:pPr>
                              <w:rPr>
                                <w:rFonts w:ascii="Arial" w:hAnsi="Arial" w:cs="Arial"/>
                                <w:sz w:val="20"/>
                              </w:rPr>
                            </w:pPr>
                          </w:p>
                        </w:tc>
                        <w:tc>
                          <w:tcPr>
                            <w:tcW w:w="850" w:type="dxa"/>
                            <w:tcBorders>
                              <w:top w:val="single" w:sz="4" w:space="0" w:color="auto"/>
                            </w:tcBorders>
                          </w:tcPr>
                          <w:p w14:paraId="681CC7D7" w14:textId="77777777" w:rsidR="0035690C" w:rsidRDefault="0035690C">
                            <w:pPr>
                              <w:rPr>
                                <w:rFonts w:ascii="Arial" w:hAnsi="Arial" w:cs="Arial"/>
                                <w:sz w:val="20"/>
                              </w:rPr>
                            </w:pPr>
                          </w:p>
                        </w:tc>
                      </w:tr>
                    </w:tbl>
                    <w:p w14:paraId="260EAE3F" w14:textId="77777777" w:rsidR="0035690C" w:rsidRDefault="0035690C" w:rsidP="00EF4CB3">
                      <w:pPr>
                        <w:rPr>
                          <w:rFonts w:ascii="Arial" w:hAnsi="Arial" w:cs="Arial"/>
                          <w:sz w:val="20"/>
                        </w:rPr>
                      </w:pPr>
                    </w:p>
                  </w:txbxContent>
                </v:textbox>
              </v:shape>
            </w:pict>
          </mc:Fallback>
        </mc:AlternateContent>
      </w:r>
      <w:r w:rsidRPr="008A5F3B">
        <w:rPr>
          <w:noProof/>
          <w:lang w:val="fr-FR" w:eastAsia="fr-FR"/>
        </w:rPr>
        <w:drawing>
          <wp:inline distT="0" distB="0" distL="0" distR="0" wp14:anchorId="7769EAB1" wp14:editId="7D67FA4D">
            <wp:extent cx="5939790" cy="26797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2679700"/>
                    </a:xfrm>
                    <a:prstGeom prst="rect">
                      <a:avLst/>
                    </a:prstGeom>
                    <a:noFill/>
                    <a:ln>
                      <a:noFill/>
                    </a:ln>
                  </pic:spPr>
                </pic:pic>
              </a:graphicData>
            </a:graphic>
          </wp:inline>
        </w:drawing>
      </w:r>
    </w:p>
    <w:p w14:paraId="0A6C1F8C" w14:textId="77777777" w:rsidR="00EF4CB3" w:rsidRPr="008A5F3B" w:rsidRDefault="00EF4CB3" w:rsidP="00E0122B">
      <w:pPr>
        <w:pStyle w:val="EndnoteText"/>
        <w:widowControl w:val="0"/>
        <w:tabs>
          <w:tab w:val="clear" w:pos="567"/>
        </w:tabs>
        <w:rPr>
          <w:color w:val="000000"/>
          <w:szCs w:val="22"/>
          <w:lang w:val="fr-FR"/>
        </w:rPr>
      </w:pPr>
    </w:p>
    <w:p w14:paraId="7102FE98" w14:textId="77777777" w:rsidR="00EF4CB3" w:rsidRPr="008A5F3B" w:rsidRDefault="00EF4CB3" w:rsidP="00E0122B">
      <w:pPr>
        <w:rPr>
          <w:rFonts w:ascii="Times New Roman" w:hAnsi="Times New Roman"/>
          <w:noProof/>
        </w:rPr>
      </w:pPr>
    </w:p>
    <w:tbl>
      <w:tblPr>
        <w:tblW w:w="10599" w:type="dxa"/>
        <w:tblInd w:w="-318" w:type="dxa"/>
        <w:tblLook w:val="04A0" w:firstRow="1" w:lastRow="0" w:firstColumn="1" w:lastColumn="0" w:noHBand="0" w:noVBand="1"/>
      </w:tblPr>
      <w:tblGrid>
        <w:gridCol w:w="450"/>
        <w:gridCol w:w="646"/>
        <w:gridCol w:w="645"/>
        <w:gridCol w:w="745"/>
        <w:gridCol w:w="745"/>
        <w:gridCol w:w="745"/>
        <w:gridCol w:w="752"/>
        <w:gridCol w:w="745"/>
        <w:gridCol w:w="745"/>
        <w:gridCol w:w="652"/>
        <w:gridCol w:w="652"/>
        <w:gridCol w:w="649"/>
        <w:gridCol w:w="660"/>
        <w:gridCol w:w="649"/>
        <w:gridCol w:w="564"/>
        <w:gridCol w:w="555"/>
      </w:tblGrid>
      <w:tr w:rsidR="00EF4CB3" w:rsidRPr="008A5F3B" w14:paraId="3929BE1F" w14:textId="77777777">
        <w:tc>
          <w:tcPr>
            <w:tcW w:w="10599" w:type="dxa"/>
            <w:gridSpan w:val="16"/>
          </w:tcPr>
          <w:p w14:paraId="1AEE0B07" w14:textId="77777777" w:rsidR="00EF4CB3" w:rsidRPr="008A5F3B" w:rsidRDefault="00EF4CB3" w:rsidP="00E0122B">
            <w:pPr>
              <w:ind w:left="-27"/>
              <w:rPr>
                <w:rFonts w:ascii="Arial" w:hAnsi="Arial" w:cs="Arial"/>
                <w:sz w:val="16"/>
                <w:szCs w:val="16"/>
              </w:rPr>
            </w:pPr>
            <w:r w:rsidRPr="008A5F3B">
              <w:rPr>
                <w:rFonts w:ascii="Arial" w:hAnsi="Arial" w:cs="Arial"/>
                <w:sz w:val="20"/>
              </w:rPr>
              <w:t>Patients à risque : Evènements</w:t>
            </w:r>
          </w:p>
        </w:tc>
      </w:tr>
      <w:tr w:rsidR="00EF4CB3" w:rsidRPr="008A5F3B" w14:paraId="3D4F4770" w14:textId="77777777">
        <w:tc>
          <w:tcPr>
            <w:tcW w:w="450" w:type="dxa"/>
          </w:tcPr>
          <w:p w14:paraId="116F760B" w14:textId="77777777" w:rsidR="00EF4CB3" w:rsidRPr="008A5F3B" w:rsidRDefault="00EF4CB3" w:rsidP="00E0122B">
            <w:pPr>
              <w:rPr>
                <w:rFonts w:ascii="Times New Roman" w:hAnsi="Times New Roman"/>
                <w:sz w:val="20"/>
              </w:rPr>
            </w:pPr>
            <w:r w:rsidRPr="008A5F3B">
              <w:rPr>
                <w:rFonts w:ascii="Times New Roman" w:hAnsi="Times New Roman"/>
                <w:sz w:val="20"/>
              </w:rPr>
              <w:t>(1)</w:t>
            </w:r>
          </w:p>
        </w:tc>
        <w:tc>
          <w:tcPr>
            <w:tcW w:w="646" w:type="dxa"/>
          </w:tcPr>
          <w:p w14:paraId="7C10421C"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199:</w:t>
            </w:r>
            <w:proofErr w:type="gramEnd"/>
            <w:r w:rsidRPr="008A5F3B">
              <w:rPr>
                <w:rFonts w:ascii="Times New Roman" w:hAnsi="Times New Roman"/>
                <w:sz w:val="20"/>
              </w:rPr>
              <w:t>0</w:t>
            </w:r>
          </w:p>
        </w:tc>
        <w:tc>
          <w:tcPr>
            <w:tcW w:w="645" w:type="dxa"/>
          </w:tcPr>
          <w:p w14:paraId="16C51C44"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182:</w:t>
            </w:r>
            <w:proofErr w:type="gramEnd"/>
            <w:r w:rsidRPr="008A5F3B">
              <w:rPr>
                <w:rFonts w:ascii="Times New Roman" w:hAnsi="Times New Roman"/>
                <w:sz w:val="20"/>
              </w:rPr>
              <w:t>8</w:t>
            </w:r>
          </w:p>
        </w:tc>
        <w:tc>
          <w:tcPr>
            <w:tcW w:w="745" w:type="dxa"/>
          </w:tcPr>
          <w:p w14:paraId="22DA2C5B"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177:</w:t>
            </w:r>
            <w:proofErr w:type="gramEnd"/>
            <w:r w:rsidRPr="008A5F3B">
              <w:rPr>
                <w:rFonts w:ascii="Times New Roman" w:hAnsi="Times New Roman"/>
                <w:sz w:val="20"/>
              </w:rPr>
              <w:t>12</w:t>
            </w:r>
          </w:p>
        </w:tc>
        <w:tc>
          <w:tcPr>
            <w:tcW w:w="745" w:type="dxa"/>
          </w:tcPr>
          <w:p w14:paraId="26E455C2"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163:</w:t>
            </w:r>
            <w:proofErr w:type="gramEnd"/>
            <w:r w:rsidRPr="008A5F3B">
              <w:rPr>
                <w:rFonts w:ascii="Times New Roman" w:hAnsi="Times New Roman"/>
                <w:sz w:val="20"/>
              </w:rPr>
              <w:t>25</w:t>
            </w:r>
          </w:p>
        </w:tc>
        <w:tc>
          <w:tcPr>
            <w:tcW w:w="745" w:type="dxa"/>
          </w:tcPr>
          <w:p w14:paraId="20BABDE2"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137:</w:t>
            </w:r>
            <w:proofErr w:type="gramEnd"/>
            <w:r w:rsidRPr="008A5F3B">
              <w:rPr>
                <w:rFonts w:ascii="Times New Roman" w:hAnsi="Times New Roman"/>
                <w:sz w:val="20"/>
              </w:rPr>
              <w:t>46</w:t>
            </w:r>
          </w:p>
        </w:tc>
        <w:tc>
          <w:tcPr>
            <w:tcW w:w="752" w:type="dxa"/>
          </w:tcPr>
          <w:p w14:paraId="371348BD"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105:</w:t>
            </w:r>
            <w:proofErr w:type="gramEnd"/>
            <w:r w:rsidRPr="008A5F3B">
              <w:rPr>
                <w:rFonts w:ascii="Times New Roman" w:hAnsi="Times New Roman"/>
                <w:sz w:val="20"/>
              </w:rPr>
              <w:t>65</w:t>
            </w:r>
          </w:p>
        </w:tc>
        <w:tc>
          <w:tcPr>
            <w:tcW w:w="745" w:type="dxa"/>
          </w:tcPr>
          <w:p w14:paraId="79DA58FE"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88:</w:t>
            </w:r>
            <w:proofErr w:type="gramEnd"/>
            <w:r w:rsidRPr="008A5F3B">
              <w:rPr>
                <w:rFonts w:ascii="Times New Roman" w:hAnsi="Times New Roman"/>
                <w:sz w:val="20"/>
              </w:rPr>
              <w:t>72</w:t>
            </w:r>
          </w:p>
        </w:tc>
        <w:tc>
          <w:tcPr>
            <w:tcW w:w="745" w:type="dxa"/>
          </w:tcPr>
          <w:p w14:paraId="4894FC69"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61:</w:t>
            </w:r>
            <w:proofErr w:type="gramEnd"/>
            <w:r w:rsidRPr="008A5F3B">
              <w:rPr>
                <w:rFonts w:ascii="Times New Roman" w:hAnsi="Times New Roman"/>
                <w:sz w:val="20"/>
              </w:rPr>
              <w:t>77</w:t>
            </w:r>
          </w:p>
        </w:tc>
        <w:tc>
          <w:tcPr>
            <w:tcW w:w="652" w:type="dxa"/>
          </w:tcPr>
          <w:p w14:paraId="16A436F7"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49:</w:t>
            </w:r>
            <w:proofErr w:type="gramEnd"/>
            <w:r w:rsidRPr="008A5F3B">
              <w:rPr>
                <w:rFonts w:ascii="Times New Roman" w:hAnsi="Times New Roman"/>
                <w:sz w:val="20"/>
              </w:rPr>
              <w:t>81</w:t>
            </w:r>
          </w:p>
        </w:tc>
        <w:tc>
          <w:tcPr>
            <w:tcW w:w="652" w:type="dxa"/>
          </w:tcPr>
          <w:p w14:paraId="34DD6E02"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36:</w:t>
            </w:r>
            <w:proofErr w:type="gramEnd"/>
            <w:r w:rsidRPr="008A5F3B">
              <w:rPr>
                <w:rFonts w:ascii="Times New Roman" w:hAnsi="Times New Roman"/>
                <w:sz w:val="20"/>
              </w:rPr>
              <w:t>83</w:t>
            </w:r>
          </w:p>
        </w:tc>
        <w:tc>
          <w:tcPr>
            <w:tcW w:w="649" w:type="dxa"/>
          </w:tcPr>
          <w:p w14:paraId="2DD2191F"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27:</w:t>
            </w:r>
            <w:proofErr w:type="gramEnd"/>
            <w:r w:rsidRPr="008A5F3B">
              <w:rPr>
                <w:rFonts w:ascii="Times New Roman" w:hAnsi="Times New Roman"/>
                <w:sz w:val="20"/>
              </w:rPr>
              <w:t>84</w:t>
            </w:r>
          </w:p>
        </w:tc>
        <w:tc>
          <w:tcPr>
            <w:tcW w:w="660" w:type="dxa"/>
          </w:tcPr>
          <w:p w14:paraId="701A7E4B"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14:</w:t>
            </w:r>
            <w:proofErr w:type="gramEnd"/>
            <w:r w:rsidRPr="008A5F3B">
              <w:rPr>
                <w:rFonts w:ascii="Times New Roman" w:hAnsi="Times New Roman"/>
                <w:sz w:val="20"/>
              </w:rPr>
              <w:t>84</w:t>
            </w:r>
          </w:p>
        </w:tc>
        <w:tc>
          <w:tcPr>
            <w:tcW w:w="649" w:type="dxa"/>
          </w:tcPr>
          <w:p w14:paraId="436C00C0"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10:</w:t>
            </w:r>
            <w:proofErr w:type="gramEnd"/>
            <w:r w:rsidRPr="008A5F3B">
              <w:rPr>
                <w:rFonts w:ascii="Times New Roman" w:hAnsi="Times New Roman"/>
                <w:sz w:val="20"/>
              </w:rPr>
              <w:t>84</w:t>
            </w:r>
          </w:p>
        </w:tc>
        <w:tc>
          <w:tcPr>
            <w:tcW w:w="564" w:type="dxa"/>
          </w:tcPr>
          <w:p w14:paraId="2165A92F"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2:</w:t>
            </w:r>
            <w:proofErr w:type="gramEnd"/>
            <w:r w:rsidRPr="008A5F3B">
              <w:rPr>
                <w:rFonts w:ascii="Times New Roman" w:hAnsi="Times New Roman"/>
                <w:sz w:val="20"/>
              </w:rPr>
              <w:t>84</w:t>
            </w:r>
          </w:p>
        </w:tc>
        <w:tc>
          <w:tcPr>
            <w:tcW w:w="555" w:type="dxa"/>
          </w:tcPr>
          <w:p w14:paraId="541824F9"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0:</w:t>
            </w:r>
            <w:proofErr w:type="gramEnd"/>
            <w:r w:rsidRPr="008A5F3B">
              <w:rPr>
                <w:rFonts w:ascii="Times New Roman" w:hAnsi="Times New Roman"/>
                <w:sz w:val="20"/>
              </w:rPr>
              <w:t>84</w:t>
            </w:r>
          </w:p>
        </w:tc>
      </w:tr>
      <w:tr w:rsidR="00EF4CB3" w:rsidRPr="008A5F3B" w14:paraId="3062B7E3" w14:textId="77777777">
        <w:tc>
          <w:tcPr>
            <w:tcW w:w="450" w:type="dxa"/>
          </w:tcPr>
          <w:p w14:paraId="25746B81" w14:textId="77777777" w:rsidR="00EF4CB3" w:rsidRPr="008A5F3B" w:rsidRDefault="00EF4CB3" w:rsidP="00E0122B">
            <w:pPr>
              <w:rPr>
                <w:rFonts w:ascii="Times New Roman" w:hAnsi="Times New Roman"/>
                <w:sz w:val="20"/>
              </w:rPr>
            </w:pPr>
            <w:r w:rsidRPr="008A5F3B">
              <w:rPr>
                <w:rFonts w:ascii="Times New Roman" w:hAnsi="Times New Roman"/>
                <w:sz w:val="20"/>
              </w:rPr>
              <w:t>(2)</w:t>
            </w:r>
          </w:p>
        </w:tc>
        <w:tc>
          <w:tcPr>
            <w:tcW w:w="646" w:type="dxa"/>
          </w:tcPr>
          <w:p w14:paraId="7E4D0934"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198:</w:t>
            </w:r>
            <w:proofErr w:type="gramEnd"/>
            <w:r w:rsidRPr="008A5F3B">
              <w:rPr>
                <w:rFonts w:ascii="Times New Roman" w:hAnsi="Times New Roman"/>
                <w:sz w:val="20"/>
              </w:rPr>
              <w:t>0</w:t>
            </w:r>
          </w:p>
        </w:tc>
        <w:tc>
          <w:tcPr>
            <w:tcW w:w="645" w:type="dxa"/>
          </w:tcPr>
          <w:p w14:paraId="6C670BD2"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189:</w:t>
            </w:r>
            <w:proofErr w:type="gramEnd"/>
            <w:r w:rsidRPr="008A5F3B">
              <w:rPr>
                <w:rFonts w:ascii="Times New Roman" w:hAnsi="Times New Roman"/>
                <w:sz w:val="20"/>
              </w:rPr>
              <w:t>5</w:t>
            </w:r>
          </w:p>
        </w:tc>
        <w:tc>
          <w:tcPr>
            <w:tcW w:w="745" w:type="dxa"/>
          </w:tcPr>
          <w:p w14:paraId="483D61E9"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184:</w:t>
            </w:r>
            <w:proofErr w:type="gramEnd"/>
            <w:r w:rsidRPr="008A5F3B">
              <w:rPr>
                <w:rFonts w:ascii="Times New Roman" w:hAnsi="Times New Roman"/>
                <w:sz w:val="20"/>
              </w:rPr>
              <w:t>8</w:t>
            </w:r>
          </w:p>
        </w:tc>
        <w:tc>
          <w:tcPr>
            <w:tcW w:w="745" w:type="dxa"/>
          </w:tcPr>
          <w:p w14:paraId="75E213C3"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181:</w:t>
            </w:r>
            <w:proofErr w:type="gramEnd"/>
            <w:r w:rsidRPr="008A5F3B">
              <w:rPr>
                <w:rFonts w:ascii="Times New Roman" w:hAnsi="Times New Roman"/>
                <w:sz w:val="20"/>
              </w:rPr>
              <w:t>11</w:t>
            </w:r>
          </w:p>
        </w:tc>
        <w:tc>
          <w:tcPr>
            <w:tcW w:w="745" w:type="dxa"/>
          </w:tcPr>
          <w:p w14:paraId="7D1D2429"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173:</w:t>
            </w:r>
            <w:proofErr w:type="gramEnd"/>
            <w:r w:rsidRPr="008A5F3B">
              <w:rPr>
                <w:rFonts w:ascii="Times New Roman" w:hAnsi="Times New Roman"/>
                <w:sz w:val="20"/>
              </w:rPr>
              <w:t>18</w:t>
            </w:r>
          </w:p>
        </w:tc>
        <w:tc>
          <w:tcPr>
            <w:tcW w:w="752" w:type="dxa"/>
          </w:tcPr>
          <w:p w14:paraId="620130B4"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152:</w:t>
            </w:r>
            <w:proofErr w:type="gramEnd"/>
            <w:r w:rsidRPr="008A5F3B">
              <w:rPr>
                <w:rFonts w:ascii="Times New Roman" w:hAnsi="Times New Roman"/>
                <w:sz w:val="20"/>
              </w:rPr>
              <w:t>22</w:t>
            </w:r>
          </w:p>
        </w:tc>
        <w:tc>
          <w:tcPr>
            <w:tcW w:w="745" w:type="dxa"/>
          </w:tcPr>
          <w:p w14:paraId="62B65450"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133:</w:t>
            </w:r>
            <w:proofErr w:type="gramEnd"/>
            <w:r w:rsidRPr="008A5F3B">
              <w:rPr>
                <w:rFonts w:ascii="Times New Roman" w:hAnsi="Times New Roman"/>
                <w:sz w:val="20"/>
              </w:rPr>
              <w:t>25</w:t>
            </w:r>
          </w:p>
        </w:tc>
        <w:tc>
          <w:tcPr>
            <w:tcW w:w="745" w:type="dxa"/>
          </w:tcPr>
          <w:p w14:paraId="07CD629F"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102:</w:t>
            </w:r>
            <w:proofErr w:type="gramEnd"/>
            <w:r w:rsidRPr="008A5F3B">
              <w:rPr>
                <w:rFonts w:ascii="Times New Roman" w:hAnsi="Times New Roman"/>
                <w:sz w:val="20"/>
              </w:rPr>
              <w:t>29</w:t>
            </w:r>
          </w:p>
        </w:tc>
        <w:tc>
          <w:tcPr>
            <w:tcW w:w="652" w:type="dxa"/>
          </w:tcPr>
          <w:p w14:paraId="6D4D3444"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82:</w:t>
            </w:r>
            <w:proofErr w:type="gramEnd"/>
            <w:r w:rsidRPr="008A5F3B">
              <w:rPr>
                <w:rFonts w:ascii="Times New Roman" w:hAnsi="Times New Roman"/>
                <w:sz w:val="20"/>
              </w:rPr>
              <w:t>35</w:t>
            </w:r>
          </w:p>
        </w:tc>
        <w:tc>
          <w:tcPr>
            <w:tcW w:w="652" w:type="dxa"/>
          </w:tcPr>
          <w:p w14:paraId="45DB11FC"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54:</w:t>
            </w:r>
            <w:proofErr w:type="gramEnd"/>
            <w:r w:rsidRPr="008A5F3B">
              <w:rPr>
                <w:rFonts w:ascii="Times New Roman" w:hAnsi="Times New Roman"/>
                <w:sz w:val="20"/>
              </w:rPr>
              <w:t>46</w:t>
            </w:r>
          </w:p>
        </w:tc>
        <w:tc>
          <w:tcPr>
            <w:tcW w:w="649" w:type="dxa"/>
          </w:tcPr>
          <w:p w14:paraId="004DBF00"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39:</w:t>
            </w:r>
            <w:proofErr w:type="gramEnd"/>
            <w:r w:rsidRPr="008A5F3B">
              <w:rPr>
                <w:rFonts w:ascii="Times New Roman" w:hAnsi="Times New Roman"/>
                <w:sz w:val="20"/>
              </w:rPr>
              <w:t>47</w:t>
            </w:r>
          </w:p>
        </w:tc>
        <w:tc>
          <w:tcPr>
            <w:tcW w:w="660" w:type="dxa"/>
          </w:tcPr>
          <w:p w14:paraId="41A51D4B"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21:</w:t>
            </w:r>
            <w:proofErr w:type="gramEnd"/>
            <w:r w:rsidRPr="008A5F3B">
              <w:rPr>
                <w:rFonts w:ascii="Times New Roman" w:hAnsi="Times New Roman"/>
                <w:sz w:val="20"/>
              </w:rPr>
              <w:t>49</w:t>
            </w:r>
          </w:p>
        </w:tc>
        <w:tc>
          <w:tcPr>
            <w:tcW w:w="649" w:type="dxa"/>
          </w:tcPr>
          <w:p w14:paraId="7661AC39"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8:</w:t>
            </w:r>
            <w:proofErr w:type="gramEnd"/>
            <w:r w:rsidRPr="008A5F3B">
              <w:rPr>
                <w:rFonts w:ascii="Times New Roman" w:hAnsi="Times New Roman"/>
                <w:sz w:val="20"/>
              </w:rPr>
              <w:t>50</w:t>
            </w:r>
          </w:p>
        </w:tc>
        <w:tc>
          <w:tcPr>
            <w:tcW w:w="564" w:type="dxa"/>
          </w:tcPr>
          <w:p w14:paraId="1C18F71A" w14:textId="77777777" w:rsidR="00EF4CB3" w:rsidRPr="008A5F3B" w:rsidRDefault="00EF4CB3" w:rsidP="00E0122B">
            <w:pPr>
              <w:ind w:left="-27"/>
              <w:rPr>
                <w:rFonts w:ascii="Times New Roman" w:hAnsi="Times New Roman"/>
                <w:sz w:val="20"/>
              </w:rPr>
            </w:pPr>
            <w:proofErr w:type="gramStart"/>
            <w:r w:rsidRPr="008A5F3B">
              <w:rPr>
                <w:rFonts w:ascii="Times New Roman" w:hAnsi="Times New Roman"/>
                <w:sz w:val="20"/>
              </w:rPr>
              <w:t>0:</w:t>
            </w:r>
            <w:proofErr w:type="gramEnd"/>
            <w:r w:rsidRPr="008A5F3B">
              <w:rPr>
                <w:rFonts w:ascii="Times New Roman" w:hAnsi="Times New Roman"/>
                <w:sz w:val="20"/>
              </w:rPr>
              <w:t>50</w:t>
            </w:r>
          </w:p>
        </w:tc>
        <w:tc>
          <w:tcPr>
            <w:tcW w:w="555" w:type="dxa"/>
          </w:tcPr>
          <w:p w14:paraId="04CC659C" w14:textId="77777777" w:rsidR="00EF4CB3" w:rsidRPr="008A5F3B" w:rsidRDefault="00EF4CB3" w:rsidP="00E0122B">
            <w:pPr>
              <w:ind w:left="-27"/>
              <w:rPr>
                <w:rFonts w:ascii="Times New Roman" w:hAnsi="Times New Roman"/>
                <w:sz w:val="20"/>
              </w:rPr>
            </w:pPr>
          </w:p>
        </w:tc>
      </w:tr>
    </w:tbl>
    <w:p w14:paraId="56354B5E" w14:textId="77777777" w:rsidR="00EF4CB3" w:rsidRPr="008A5F3B" w:rsidRDefault="00EF4CB3" w:rsidP="00E0122B">
      <w:pPr>
        <w:pStyle w:val="EndnoteText"/>
        <w:widowControl w:val="0"/>
        <w:tabs>
          <w:tab w:val="clear" w:pos="567"/>
        </w:tabs>
        <w:rPr>
          <w:color w:val="000000"/>
          <w:szCs w:val="22"/>
          <w:lang w:val="fr-FR"/>
        </w:rPr>
      </w:pPr>
    </w:p>
    <w:p w14:paraId="55992F10" w14:textId="77777777" w:rsidR="00EF4CB3" w:rsidRPr="008A5F3B" w:rsidRDefault="00EF4CB3" w:rsidP="00E0122B">
      <w:pPr>
        <w:keepNext/>
        <w:ind w:left="1134" w:hanging="1134"/>
        <w:rPr>
          <w:rFonts w:ascii="Times New Roman" w:eastAsia="MS Mincho" w:hAnsi="Times New Roman"/>
          <w:b/>
          <w:szCs w:val="22"/>
        </w:rPr>
      </w:pPr>
      <w:r w:rsidRPr="008A5F3B">
        <w:rPr>
          <w:rFonts w:ascii="Times New Roman" w:eastAsia="MS Mincho" w:hAnsi="Times New Roman"/>
          <w:b/>
          <w:szCs w:val="22"/>
        </w:rPr>
        <w:t>Figure 2</w:t>
      </w:r>
      <w:r w:rsidRPr="008A5F3B">
        <w:rPr>
          <w:rFonts w:ascii="Times New Roman" w:eastAsia="MS Mincho" w:hAnsi="Times New Roman"/>
          <w:b/>
          <w:szCs w:val="22"/>
        </w:rPr>
        <w:tab/>
        <w:t>Estimations de Kaplan-Meier pour la survie globale (population ITT)</w:t>
      </w:r>
    </w:p>
    <w:p w14:paraId="70AF5173" w14:textId="77777777" w:rsidR="00EF4CB3" w:rsidRPr="008A5F3B" w:rsidRDefault="00351949" w:rsidP="00E0122B">
      <w:pPr>
        <w:pStyle w:val="EndnoteText"/>
        <w:keepNext/>
        <w:widowControl w:val="0"/>
        <w:tabs>
          <w:tab w:val="clear" w:pos="567"/>
        </w:tabs>
        <w:rPr>
          <w:color w:val="000000"/>
          <w:szCs w:val="22"/>
          <w:lang w:val="fr-FR"/>
        </w:rPr>
      </w:pPr>
      <w:r w:rsidRPr="008A5F3B">
        <w:rPr>
          <w:noProof/>
          <w:lang w:val="fr-FR" w:eastAsia="fr-FR"/>
        </w:rPr>
        <mc:AlternateContent>
          <mc:Choice Requires="wps">
            <w:drawing>
              <wp:anchor distT="0" distB="0" distL="114300" distR="114300" simplePos="0" relativeHeight="251661312" behindDoc="0" locked="0" layoutInCell="1" allowOverlap="1" wp14:anchorId="5FEE92BF" wp14:editId="5E809A87">
                <wp:simplePos x="0" y="0"/>
                <wp:positionH relativeFrom="column">
                  <wp:posOffset>-293370</wp:posOffset>
                </wp:positionH>
                <wp:positionV relativeFrom="paragraph">
                  <wp:posOffset>122555</wp:posOffset>
                </wp:positionV>
                <wp:extent cx="335915" cy="223266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2326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717CD3" w14:textId="77777777" w:rsidR="0035690C" w:rsidRDefault="0035690C" w:rsidP="00EF4CB3">
                            <w:pPr>
                              <w:rPr>
                                <w:rFonts w:ascii="Arial" w:hAnsi="Arial" w:cs="Arial"/>
                                <w:sz w:val="20"/>
                              </w:rPr>
                            </w:pPr>
                            <w:r>
                              <w:rPr>
                                <w:rFonts w:ascii="Arial" w:hAnsi="Arial" w:cs="Arial"/>
                                <w:sz w:val="20"/>
                              </w:rPr>
                              <w:t>Probabilité de survie globale</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EE92BF" id="_x0000_s1029" type="#_x0000_t202" style="position:absolute;margin-left:-23.1pt;margin-top:9.65pt;width:26.45pt;height:17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" stroked="f">
                <v:fill opacity="0"/>
                <v:textbox style="layout-flow:vertical;mso-layout-flow-alt:bottom-to-top">
                  <w:txbxContent>
                    <w:p w14:paraId="47717CD3" w14:textId="77777777" w:rsidR="0035690C" w:rsidRDefault="0035690C" w:rsidP="00EF4CB3">
                      <w:pPr>
                        <w:rPr>
                          <w:rFonts w:ascii="Arial" w:hAnsi="Arial" w:cs="Arial"/>
                          <w:sz w:val="20"/>
                        </w:rPr>
                      </w:pPr>
                      <w:r>
                        <w:rPr>
                          <w:rFonts w:ascii="Arial" w:hAnsi="Arial" w:cs="Arial"/>
                          <w:sz w:val="20"/>
                        </w:rPr>
                        <w:t>Probabilité de survie globale</w:t>
                      </w:r>
                    </w:p>
                  </w:txbxContent>
                </v:textbox>
              </v:shape>
            </w:pict>
          </mc:Fallback>
        </mc:AlternateContent>
      </w:r>
    </w:p>
    <w:p w14:paraId="10D4A46A" w14:textId="77777777" w:rsidR="00EF4CB3" w:rsidRPr="008A5F3B" w:rsidRDefault="00351949" w:rsidP="00E0122B">
      <w:pPr>
        <w:pStyle w:val="EndnoteText"/>
        <w:widowControl w:val="0"/>
        <w:tabs>
          <w:tab w:val="clear" w:pos="567"/>
        </w:tabs>
        <w:rPr>
          <w:color w:val="000000"/>
          <w:szCs w:val="22"/>
          <w:lang w:val="fr-FR"/>
        </w:rPr>
      </w:pPr>
      <w:r w:rsidRPr="008A5F3B">
        <w:rPr>
          <w:noProof/>
          <w:color w:val="000000"/>
          <w:szCs w:val="22"/>
          <w:lang w:val="fr-FR" w:eastAsia="fr-FR"/>
        </w:rPr>
        <mc:AlternateContent>
          <mc:Choice Requires="wps">
            <w:drawing>
              <wp:anchor distT="0" distB="0" distL="114300" distR="114300" simplePos="0" relativeHeight="251663360" behindDoc="0" locked="0" layoutInCell="1" allowOverlap="1" wp14:anchorId="06B51187" wp14:editId="6B6E0B68">
                <wp:simplePos x="0" y="0"/>
                <wp:positionH relativeFrom="column">
                  <wp:posOffset>2186940</wp:posOffset>
                </wp:positionH>
                <wp:positionV relativeFrom="paragraph">
                  <wp:posOffset>2646045</wp:posOffset>
                </wp:positionV>
                <wp:extent cx="1619250" cy="3238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3238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D47AE6" w14:textId="77777777" w:rsidR="0035690C" w:rsidRDefault="0035690C" w:rsidP="00EF4CB3">
                            <w:pPr>
                              <w:rPr>
                                <w:rFonts w:ascii="Arial" w:hAnsi="Arial" w:cs="Arial"/>
                                <w:sz w:val="20"/>
                              </w:rPr>
                            </w:pPr>
                            <w:r>
                              <w:rPr>
                                <w:rFonts w:ascii="Arial" w:hAnsi="Arial" w:cs="Arial"/>
                                <w:sz w:val="20"/>
                                <w:lang w:val="de-DE"/>
                              </w:rPr>
                              <w:t>Délai de survie en mois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B51187" id="_x0000_s1030" type="#_x0000_t202" style="position:absolute;margin-left:172.2pt;margin-top:208.35pt;width:127.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" stroked="f">
                <v:fill opacity="0"/>
                <v:textbox>
                  <w:txbxContent>
                    <w:p w14:paraId="79D47AE6" w14:textId="77777777" w:rsidR="0035690C" w:rsidRDefault="0035690C" w:rsidP="00EF4CB3">
                      <w:pPr>
                        <w:rPr>
                          <w:rFonts w:ascii="Arial" w:hAnsi="Arial" w:cs="Arial"/>
                          <w:sz w:val="20"/>
                        </w:rPr>
                      </w:pPr>
                      <w:r>
                        <w:rPr>
                          <w:rFonts w:ascii="Arial" w:hAnsi="Arial" w:cs="Arial"/>
                          <w:sz w:val="20"/>
                          <w:lang w:val="de-DE"/>
                        </w:rPr>
                        <w:t>Délai de survie en mois</w:t>
                      </w:r>
                    </w:p>
                  </w:txbxContent>
                </v:textbox>
              </v:shape>
            </w:pict>
          </mc:Fallback>
        </mc:AlternateContent>
      </w:r>
      <w:r w:rsidRPr="008A5F3B">
        <w:rPr>
          <w:noProof/>
          <w:lang w:val="fr-FR" w:eastAsia="fr-FR"/>
        </w:rPr>
        <mc:AlternateContent>
          <mc:Choice Requires="wps">
            <w:drawing>
              <wp:anchor distT="0" distB="0" distL="114300" distR="114300" simplePos="0" relativeHeight="251662336" behindDoc="0" locked="0" layoutInCell="1" allowOverlap="1" wp14:anchorId="77B88ACA" wp14:editId="7DB16AE1">
                <wp:simplePos x="0" y="0"/>
                <wp:positionH relativeFrom="column">
                  <wp:posOffset>340995</wp:posOffset>
                </wp:positionH>
                <wp:positionV relativeFrom="paragraph">
                  <wp:posOffset>899160</wp:posOffset>
                </wp:positionV>
                <wp:extent cx="4585335" cy="142875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CA5E2" w14:textId="77777777" w:rsidR="0035690C" w:rsidRDefault="0035690C" w:rsidP="00EF4CB3">
                            <w:pPr>
                              <w:rPr>
                                <w:rFonts w:ascii="Arial" w:hAnsi="Arial" w:cs="Arial"/>
                                <w:sz w:val="20"/>
                              </w:rPr>
                            </w:pPr>
                          </w:p>
                          <w:tbl>
                            <w:tblPr>
                              <w:tblW w:w="0" w:type="auto"/>
                              <w:tblLook w:val="04A0" w:firstRow="1" w:lastRow="0" w:firstColumn="1" w:lastColumn="0" w:noHBand="0" w:noVBand="1"/>
                            </w:tblPr>
                            <w:tblGrid>
                              <w:gridCol w:w="817"/>
                              <w:gridCol w:w="2464"/>
                              <w:gridCol w:w="851"/>
                              <w:gridCol w:w="709"/>
                              <w:gridCol w:w="850"/>
                            </w:tblGrid>
                            <w:tr w:rsidR="0035690C" w14:paraId="03F62206" w14:textId="77777777">
                              <w:tc>
                                <w:tcPr>
                                  <w:tcW w:w="5691" w:type="dxa"/>
                                  <w:gridSpan w:val="5"/>
                                </w:tcPr>
                                <w:p w14:paraId="18F4861A" w14:textId="77777777" w:rsidR="0035690C" w:rsidRDefault="0035690C">
                                  <w:pPr>
                                    <w:rPr>
                                      <w:rFonts w:ascii="Arial" w:hAnsi="Arial" w:cs="Arial"/>
                                      <w:sz w:val="20"/>
                                      <w:lang w:val="en-US"/>
                                    </w:rPr>
                                  </w:pPr>
                                  <w:r>
                                    <w:rPr>
                                      <w:rFonts w:ascii="Arial" w:hAnsi="Arial" w:cs="Arial"/>
                                      <w:sz w:val="20"/>
                                      <w:lang w:val="en-US"/>
                                    </w:rPr>
                                    <w:t>P = 0,019</w:t>
                                  </w:r>
                                </w:p>
                                <w:p w14:paraId="77C9535B" w14:textId="77777777" w:rsidR="0035690C" w:rsidRDefault="0035690C">
                                  <w:pPr>
                                    <w:rPr>
                                      <w:rFonts w:ascii="Arial" w:hAnsi="Arial" w:cs="Arial"/>
                                      <w:sz w:val="20"/>
                                      <w:lang w:val="en-US"/>
                                    </w:rPr>
                                  </w:pPr>
                                  <w:r>
                                    <w:rPr>
                                      <w:rFonts w:ascii="Arial" w:hAnsi="Arial" w:cs="Arial"/>
                                      <w:sz w:val="20"/>
                                      <w:lang w:val="en-US"/>
                                    </w:rPr>
                                    <w:t>Hazard ratio 0,45</w:t>
                                  </w:r>
                                </w:p>
                                <w:p w14:paraId="018FC7F1" w14:textId="03583375" w:rsidR="0035690C" w:rsidRDefault="0035690C">
                                  <w:pPr>
                                    <w:rPr>
                                      <w:rFonts w:ascii="Arial" w:hAnsi="Arial" w:cs="Arial"/>
                                      <w:sz w:val="20"/>
                                      <w:lang w:val="de-DE"/>
                                    </w:rPr>
                                  </w:pPr>
                                  <w:r>
                                    <w:rPr>
                                      <w:rFonts w:ascii="Arial" w:hAnsi="Arial" w:cs="Arial"/>
                                      <w:sz w:val="20"/>
                                      <w:lang w:val="en-US"/>
                                    </w:rPr>
                                    <w:t>(</w:t>
                                  </w:r>
                                  <w:ins w:id="671" w:author="Author">
                                    <w:r w:rsidR="00BC39C3">
                                      <w:rPr>
                                        <w:rFonts w:ascii="Arial" w:hAnsi="Arial" w:cs="Arial"/>
                                        <w:sz w:val="20"/>
                                        <w:lang w:val="en-US"/>
                                      </w:rPr>
                                      <w:t xml:space="preserve">IC </w:t>
                                    </w:r>
                                  </w:ins>
                                  <w:r>
                                    <w:rPr>
                                      <w:rFonts w:ascii="Arial" w:hAnsi="Arial" w:cs="Arial"/>
                                      <w:sz w:val="20"/>
                                      <w:lang w:val="en-US"/>
                                    </w:rPr>
                                    <w:t>95%</w:t>
                                  </w:r>
                                  <w:del w:id="672" w:author="Author">
                                    <w:r w:rsidDel="00BC39C3">
                                      <w:rPr>
                                        <w:rFonts w:ascii="Arial" w:hAnsi="Arial" w:cs="Arial"/>
                                        <w:sz w:val="20"/>
                                        <w:lang w:val="en-US"/>
                                      </w:rPr>
                                      <w:delText xml:space="preserve"> IC</w:delText>
                                    </w:r>
                                  </w:del>
                                  <w:r>
                                    <w:rPr>
                                      <w:rFonts w:ascii="Arial" w:hAnsi="Arial" w:cs="Arial"/>
                                      <w:sz w:val="20"/>
                                      <w:lang w:val="en-US"/>
                                    </w:rPr>
                                    <w:t>, 0,22</w:t>
                                  </w:r>
                                  <w:r>
                                    <w:rPr>
                                      <w:rFonts w:ascii="Arial" w:hAnsi="Arial" w:cs="Arial"/>
                                      <w:sz w:val="20"/>
                                      <w:lang w:val="en-US"/>
                                    </w:rPr>
                                    <w:noBreakHyphen/>
                                    <w:t>0,89)</w:t>
                                  </w:r>
                                </w:p>
                              </w:tc>
                            </w:tr>
                            <w:tr w:rsidR="0035690C" w14:paraId="6C8DF673" w14:textId="77777777">
                              <w:tc>
                                <w:tcPr>
                                  <w:tcW w:w="817" w:type="dxa"/>
                                </w:tcPr>
                                <w:p w14:paraId="1483FFDF" w14:textId="77777777" w:rsidR="0035690C" w:rsidRDefault="0035690C">
                                  <w:pPr>
                                    <w:rPr>
                                      <w:rFonts w:ascii="Arial" w:hAnsi="Arial" w:cs="Arial"/>
                                      <w:sz w:val="20"/>
                                    </w:rPr>
                                  </w:pPr>
                                </w:p>
                              </w:tc>
                              <w:tc>
                                <w:tcPr>
                                  <w:tcW w:w="2464" w:type="dxa"/>
                                </w:tcPr>
                                <w:p w14:paraId="26FBDC1F" w14:textId="77777777" w:rsidR="0035690C" w:rsidRDefault="0035690C">
                                  <w:pPr>
                                    <w:rPr>
                                      <w:rFonts w:ascii="Arial" w:hAnsi="Arial" w:cs="Arial"/>
                                      <w:sz w:val="20"/>
                                    </w:rPr>
                                  </w:pPr>
                                </w:p>
                              </w:tc>
                              <w:tc>
                                <w:tcPr>
                                  <w:tcW w:w="851" w:type="dxa"/>
                                  <w:tcBorders>
                                    <w:bottom w:val="single" w:sz="4" w:space="0" w:color="auto"/>
                                  </w:tcBorders>
                                </w:tcPr>
                                <w:p w14:paraId="27385E1F" w14:textId="77777777" w:rsidR="0035690C" w:rsidRDefault="0035690C">
                                  <w:pPr>
                                    <w:rPr>
                                      <w:rFonts w:ascii="Arial" w:hAnsi="Arial" w:cs="Arial"/>
                                      <w:sz w:val="20"/>
                                    </w:rPr>
                                  </w:pPr>
                                  <w:r>
                                    <w:rPr>
                                      <w:rFonts w:ascii="Arial" w:hAnsi="Arial" w:cs="Arial"/>
                                      <w:sz w:val="20"/>
                                      <w:lang w:val="de-DE"/>
                                    </w:rPr>
                                    <w:t>N</w:t>
                                  </w:r>
                                </w:p>
                              </w:tc>
                              <w:tc>
                                <w:tcPr>
                                  <w:tcW w:w="709" w:type="dxa"/>
                                  <w:tcBorders>
                                    <w:bottom w:val="single" w:sz="4" w:space="0" w:color="auto"/>
                                  </w:tcBorders>
                                </w:tcPr>
                                <w:p w14:paraId="387F948B" w14:textId="77777777" w:rsidR="0035690C" w:rsidRDefault="0035690C">
                                  <w:pPr>
                                    <w:rPr>
                                      <w:rFonts w:ascii="Arial" w:hAnsi="Arial" w:cs="Arial"/>
                                      <w:sz w:val="20"/>
                                    </w:rPr>
                                  </w:pPr>
                                  <w:r>
                                    <w:rPr>
                                      <w:rFonts w:ascii="Arial" w:hAnsi="Arial" w:cs="Arial"/>
                                      <w:sz w:val="20"/>
                                      <w:lang w:val="de-DE"/>
                                    </w:rPr>
                                    <w:t>Evt</w:t>
                                  </w:r>
                                </w:p>
                              </w:tc>
                              <w:tc>
                                <w:tcPr>
                                  <w:tcW w:w="850" w:type="dxa"/>
                                  <w:tcBorders>
                                    <w:bottom w:val="single" w:sz="4" w:space="0" w:color="auto"/>
                                  </w:tcBorders>
                                </w:tcPr>
                                <w:p w14:paraId="117264B4" w14:textId="77777777" w:rsidR="0035690C" w:rsidRDefault="0035690C">
                                  <w:pPr>
                                    <w:rPr>
                                      <w:rFonts w:ascii="Arial" w:hAnsi="Arial" w:cs="Arial"/>
                                      <w:sz w:val="20"/>
                                    </w:rPr>
                                  </w:pPr>
                                  <w:r>
                                    <w:rPr>
                                      <w:rFonts w:ascii="Arial" w:hAnsi="Arial" w:cs="Arial"/>
                                      <w:sz w:val="20"/>
                                      <w:lang w:val="de-DE"/>
                                    </w:rPr>
                                    <w:t>Cen</w:t>
                                  </w:r>
                                </w:p>
                              </w:tc>
                            </w:tr>
                            <w:tr w:rsidR="0035690C" w14:paraId="3417FFD3" w14:textId="77777777">
                              <w:tc>
                                <w:tcPr>
                                  <w:tcW w:w="817" w:type="dxa"/>
                                </w:tcPr>
                                <w:p w14:paraId="1D34884D" w14:textId="77777777" w:rsidR="0035690C" w:rsidRDefault="0035690C">
                                  <w:pPr>
                                    <w:rPr>
                                      <w:rFonts w:ascii="Arial" w:hAnsi="Arial" w:cs="Arial"/>
                                      <w:sz w:val="20"/>
                                    </w:rPr>
                                  </w:pPr>
                                  <w:r>
                                    <w:rPr>
                                      <w:rFonts w:ascii="Arial" w:hAnsi="Arial" w:cs="Arial"/>
                                      <w:b/>
                                      <w:sz w:val="20"/>
                                    </w:rPr>
                                    <w:t>——</w:t>
                                  </w:r>
                                </w:p>
                              </w:tc>
                              <w:tc>
                                <w:tcPr>
                                  <w:tcW w:w="2464" w:type="dxa"/>
                                </w:tcPr>
                                <w:p w14:paraId="035DA275" w14:textId="77777777" w:rsidR="0035690C" w:rsidRDefault="0035690C">
                                  <w:pPr>
                                    <w:rPr>
                                      <w:rFonts w:ascii="Arial" w:hAnsi="Arial" w:cs="Arial"/>
                                      <w:sz w:val="20"/>
                                    </w:rPr>
                                  </w:pPr>
                                  <w:r>
                                    <w:rPr>
                                      <w:rFonts w:ascii="Arial" w:hAnsi="Arial" w:cs="Arial"/>
                                      <w:sz w:val="20"/>
                                    </w:rPr>
                                    <w:t>(1) Imatinib 12 mois :</w:t>
                                  </w:r>
                                </w:p>
                              </w:tc>
                              <w:tc>
                                <w:tcPr>
                                  <w:tcW w:w="851" w:type="dxa"/>
                                  <w:tcBorders>
                                    <w:top w:val="single" w:sz="4" w:space="0" w:color="auto"/>
                                  </w:tcBorders>
                                </w:tcPr>
                                <w:p w14:paraId="3A2E039F" w14:textId="77777777" w:rsidR="0035690C" w:rsidRDefault="0035690C">
                                  <w:pPr>
                                    <w:rPr>
                                      <w:rFonts w:ascii="Arial" w:hAnsi="Arial" w:cs="Arial"/>
                                      <w:sz w:val="20"/>
                                    </w:rPr>
                                  </w:pPr>
                                  <w:r>
                                    <w:rPr>
                                      <w:rFonts w:ascii="Arial" w:hAnsi="Arial" w:cs="Arial"/>
                                      <w:sz w:val="20"/>
                                    </w:rPr>
                                    <w:t>199</w:t>
                                  </w:r>
                                </w:p>
                              </w:tc>
                              <w:tc>
                                <w:tcPr>
                                  <w:tcW w:w="709" w:type="dxa"/>
                                  <w:tcBorders>
                                    <w:top w:val="single" w:sz="4" w:space="0" w:color="auto"/>
                                  </w:tcBorders>
                                </w:tcPr>
                                <w:p w14:paraId="124DCF8B" w14:textId="77777777" w:rsidR="0035690C" w:rsidRDefault="0035690C">
                                  <w:pPr>
                                    <w:rPr>
                                      <w:rFonts w:ascii="Arial" w:hAnsi="Arial" w:cs="Arial"/>
                                      <w:sz w:val="20"/>
                                    </w:rPr>
                                  </w:pPr>
                                  <w:r>
                                    <w:rPr>
                                      <w:rFonts w:ascii="Arial" w:hAnsi="Arial" w:cs="Arial"/>
                                      <w:sz w:val="20"/>
                                    </w:rPr>
                                    <w:t>25</w:t>
                                  </w:r>
                                </w:p>
                              </w:tc>
                              <w:tc>
                                <w:tcPr>
                                  <w:tcW w:w="850" w:type="dxa"/>
                                  <w:tcBorders>
                                    <w:top w:val="single" w:sz="4" w:space="0" w:color="auto"/>
                                  </w:tcBorders>
                                </w:tcPr>
                                <w:p w14:paraId="4E1FC6BC" w14:textId="77777777" w:rsidR="0035690C" w:rsidRDefault="0035690C">
                                  <w:pPr>
                                    <w:rPr>
                                      <w:rFonts w:ascii="Arial" w:hAnsi="Arial" w:cs="Arial"/>
                                      <w:sz w:val="20"/>
                                    </w:rPr>
                                  </w:pPr>
                                  <w:r>
                                    <w:rPr>
                                      <w:rFonts w:ascii="Arial" w:hAnsi="Arial" w:cs="Arial"/>
                                      <w:sz w:val="20"/>
                                    </w:rPr>
                                    <w:t>174</w:t>
                                  </w:r>
                                </w:p>
                              </w:tc>
                            </w:tr>
                            <w:tr w:rsidR="0035690C" w14:paraId="735D47A0" w14:textId="77777777">
                              <w:tc>
                                <w:tcPr>
                                  <w:tcW w:w="817" w:type="dxa"/>
                                </w:tcPr>
                                <w:p w14:paraId="17BE2037" w14:textId="77777777" w:rsidR="0035690C" w:rsidRDefault="0035690C">
                                  <w:pPr>
                                    <w:rPr>
                                      <w:rFonts w:ascii="Arial" w:hAnsi="Arial" w:cs="Arial"/>
                                      <w:sz w:val="20"/>
                                    </w:rPr>
                                  </w:pPr>
                                  <w:r>
                                    <w:rPr>
                                      <w:rFonts w:ascii="Arial" w:hAnsi="Arial" w:cs="Arial"/>
                                      <w:sz w:val="20"/>
                                    </w:rPr>
                                    <w:t>-----</w:t>
                                  </w:r>
                                </w:p>
                              </w:tc>
                              <w:tc>
                                <w:tcPr>
                                  <w:tcW w:w="2464" w:type="dxa"/>
                                </w:tcPr>
                                <w:p w14:paraId="73E69A4B" w14:textId="77777777" w:rsidR="0035690C" w:rsidRDefault="0035690C">
                                  <w:pPr>
                                    <w:rPr>
                                      <w:rFonts w:ascii="Arial" w:hAnsi="Arial" w:cs="Arial"/>
                                      <w:sz w:val="20"/>
                                    </w:rPr>
                                  </w:pPr>
                                  <w:r>
                                    <w:rPr>
                                      <w:rFonts w:ascii="Arial" w:hAnsi="Arial" w:cs="Arial"/>
                                      <w:sz w:val="20"/>
                                    </w:rPr>
                                    <w:t>(2) Imatinib 36 mois :</w:t>
                                  </w:r>
                                </w:p>
                              </w:tc>
                              <w:tc>
                                <w:tcPr>
                                  <w:tcW w:w="851" w:type="dxa"/>
                                  <w:tcBorders>
                                    <w:bottom w:val="single" w:sz="4" w:space="0" w:color="auto"/>
                                  </w:tcBorders>
                                </w:tcPr>
                                <w:p w14:paraId="70BA37EA" w14:textId="77777777" w:rsidR="0035690C" w:rsidRDefault="0035690C">
                                  <w:pPr>
                                    <w:rPr>
                                      <w:rFonts w:ascii="Arial" w:hAnsi="Arial" w:cs="Arial"/>
                                      <w:sz w:val="20"/>
                                    </w:rPr>
                                  </w:pPr>
                                  <w:r>
                                    <w:rPr>
                                      <w:rFonts w:ascii="Arial" w:hAnsi="Arial" w:cs="Arial"/>
                                      <w:sz w:val="20"/>
                                    </w:rPr>
                                    <w:t>198</w:t>
                                  </w:r>
                                </w:p>
                              </w:tc>
                              <w:tc>
                                <w:tcPr>
                                  <w:tcW w:w="709" w:type="dxa"/>
                                  <w:tcBorders>
                                    <w:bottom w:val="single" w:sz="4" w:space="0" w:color="auto"/>
                                  </w:tcBorders>
                                </w:tcPr>
                                <w:p w14:paraId="32FFF1D6" w14:textId="77777777" w:rsidR="0035690C" w:rsidRDefault="0035690C">
                                  <w:pPr>
                                    <w:rPr>
                                      <w:rFonts w:ascii="Arial" w:hAnsi="Arial" w:cs="Arial"/>
                                      <w:sz w:val="20"/>
                                    </w:rPr>
                                  </w:pPr>
                                  <w:r>
                                    <w:rPr>
                                      <w:rFonts w:ascii="Arial" w:hAnsi="Arial" w:cs="Arial"/>
                                      <w:sz w:val="20"/>
                                    </w:rPr>
                                    <w:t>12</w:t>
                                  </w:r>
                                </w:p>
                              </w:tc>
                              <w:tc>
                                <w:tcPr>
                                  <w:tcW w:w="850" w:type="dxa"/>
                                  <w:tcBorders>
                                    <w:bottom w:val="single" w:sz="4" w:space="0" w:color="auto"/>
                                  </w:tcBorders>
                                </w:tcPr>
                                <w:p w14:paraId="1FED72E4" w14:textId="77777777" w:rsidR="0035690C" w:rsidRDefault="0035690C">
                                  <w:pPr>
                                    <w:rPr>
                                      <w:rFonts w:ascii="Arial" w:hAnsi="Arial" w:cs="Arial"/>
                                      <w:sz w:val="20"/>
                                    </w:rPr>
                                  </w:pPr>
                                  <w:r>
                                    <w:rPr>
                                      <w:rFonts w:ascii="Arial" w:hAnsi="Arial" w:cs="Arial"/>
                                      <w:sz w:val="20"/>
                                    </w:rPr>
                                    <w:t>186</w:t>
                                  </w:r>
                                </w:p>
                              </w:tc>
                            </w:tr>
                            <w:tr w:rsidR="0035690C" w14:paraId="261A8DD8" w14:textId="77777777">
                              <w:tc>
                                <w:tcPr>
                                  <w:tcW w:w="817" w:type="dxa"/>
                                </w:tcPr>
                                <w:p w14:paraId="5C91CB2C" w14:textId="77777777" w:rsidR="0035690C" w:rsidRDefault="0035690C">
                                  <w:pPr>
                                    <w:rPr>
                                      <w:rFonts w:ascii="Arial" w:hAnsi="Arial" w:cs="Arial"/>
                                      <w:sz w:val="20"/>
                                    </w:rPr>
                                  </w:pPr>
                                  <w:r>
                                    <w:rPr>
                                      <w:rFonts w:ascii="Arial" w:hAnsi="Arial" w:cs="Arial"/>
                                      <w:sz w:val="20"/>
                                    </w:rPr>
                                    <w:t>│││</w:t>
                                  </w:r>
                                </w:p>
                              </w:tc>
                              <w:tc>
                                <w:tcPr>
                                  <w:tcW w:w="2464" w:type="dxa"/>
                                </w:tcPr>
                                <w:p w14:paraId="602C2F2C" w14:textId="77777777" w:rsidR="0035690C" w:rsidRDefault="0035690C">
                                  <w:pPr>
                                    <w:rPr>
                                      <w:rFonts w:ascii="Arial" w:hAnsi="Arial" w:cs="Arial"/>
                                      <w:sz w:val="20"/>
                                    </w:rPr>
                                  </w:pPr>
                                  <w:r>
                                    <w:rPr>
                                      <w:rFonts w:ascii="Arial" w:hAnsi="Arial" w:cs="Arial"/>
                                      <w:sz w:val="20"/>
                                    </w:rPr>
                                    <w:t>Données censurées</w:t>
                                  </w:r>
                                </w:p>
                              </w:tc>
                              <w:tc>
                                <w:tcPr>
                                  <w:tcW w:w="851" w:type="dxa"/>
                                  <w:tcBorders>
                                    <w:top w:val="single" w:sz="4" w:space="0" w:color="auto"/>
                                  </w:tcBorders>
                                </w:tcPr>
                                <w:p w14:paraId="1A1AA32C" w14:textId="77777777" w:rsidR="0035690C" w:rsidRDefault="0035690C">
                                  <w:pPr>
                                    <w:rPr>
                                      <w:rFonts w:ascii="Arial" w:hAnsi="Arial" w:cs="Arial"/>
                                      <w:sz w:val="20"/>
                                    </w:rPr>
                                  </w:pPr>
                                </w:p>
                              </w:tc>
                              <w:tc>
                                <w:tcPr>
                                  <w:tcW w:w="709" w:type="dxa"/>
                                  <w:tcBorders>
                                    <w:top w:val="single" w:sz="4" w:space="0" w:color="auto"/>
                                  </w:tcBorders>
                                </w:tcPr>
                                <w:p w14:paraId="0AF28FF3" w14:textId="77777777" w:rsidR="0035690C" w:rsidRDefault="0035690C">
                                  <w:pPr>
                                    <w:rPr>
                                      <w:rFonts w:ascii="Arial" w:hAnsi="Arial" w:cs="Arial"/>
                                      <w:sz w:val="20"/>
                                    </w:rPr>
                                  </w:pPr>
                                </w:p>
                              </w:tc>
                              <w:tc>
                                <w:tcPr>
                                  <w:tcW w:w="850" w:type="dxa"/>
                                  <w:tcBorders>
                                    <w:top w:val="single" w:sz="4" w:space="0" w:color="auto"/>
                                  </w:tcBorders>
                                </w:tcPr>
                                <w:p w14:paraId="16892343" w14:textId="77777777" w:rsidR="0035690C" w:rsidRDefault="0035690C">
                                  <w:pPr>
                                    <w:rPr>
                                      <w:rFonts w:ascii="Arial" w:hAnsi="Arial" w:cs="Arial"/>
                                      <w:sz w:val="20"/>
                                    </w:rPr>
                                  </w:pPr>
                                </w:p>
                              </w:tc>
                            </w:tr>
                          </w:tbl>
                          <w:p w14:paraId="63C05C67" w14:textId="77777777" w:rsidR="0035690C" w:rsidRDefault="0035690C" w:rsidP="00EF4CB3">
                            <w:pPr>
                              <w:rPr>
                                <w:rFonts w:ascii="Arial" w:hAnsi="Arial" w:cs="Arial"/>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B88ACA" id="_x0000_s1031" type="#_x0000_t202" style="position:absolute;margin-left:26.85pt;margin-top:70.8pt;width:361.0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" filled="f" stroked="f">
                <v:textbox>
                  <w:txbxContent>
                    <w:p w14:paraId="107CA5E2" w14:textId="77777777" w:rsidR="0035690C" w:rsidRDefault="0035690C" w:rsidP="00EF4CB3">
                      <w:pPr>
                        <w:rPr>
                          <w:rFonts w:ascii="Arial" w:hAnsi="Arial" w:cs="Arial"/>
                          <w:sz w:val="20"/>
                        </w:rPr>
                      </w:pPr>
                    </w:p>
                    <w:tbl>
                      <w:tblPr>
                        <w:tblW w:w="0" w:type="auto"/>
                        <w:tblLook w:val="04A0" w:firstRow="1" w:lastRow="0" w:firstColumn="1" w:lastColumn="0" w:noHBand="0" w:noVBand="1"/>
                      </w:tblPr>
                      <w:tblGrid>
                        <w:gridCol w:w="817"/>
                        <w:gridCol w:w="2464"/>
                        <w:gridCol w:w="851"/>
                        <w:gridCol w:w="709"/>
                        <w:gridCol w:w="850"/>
                      </w:tblGrid>
                      <w:tr w:rsidR="0035690C" w14:paraId="03F62206" w14:textId="77777777">
                        <w:tc>
                          <w:tcPr>
                            <w:tcW w:w="5691" w:type="dxa"/>
                            <w:gridSpan w:val="5"/>
                          </w:tcPr>
                          <w:p w14:paraId="18F4861A" w14:textId="77777777" w:rsidR="0035690C" w:rsidRDefault="0035690C">
                            <w:pPr>
                              <w:rPr>
                                <w:rFonts w:ascii="Arial" w:hAnsi="Arial" w:cs="Arial"/>
                                <w:sz w:val="20"/>
                                <w:lang w:val="en-US"/>
                              </w:rPr>
                            </w:pPr>
                            <w:r>
                              <w:rPr>
                                <w:rFonts w:ascii="Arial" w:hAnsi="Arial" w:cs="Arial"/>
                                <w:sz w:val="20"/>
                                <w:lang w:val="en-US"/>
                              </w:rPr>
                              <w:t>P = 0,019</w:t>
                            </w:r>
                          </w:p>
                          <w:p w14:paraId="77C9535B" w14:textId="77777777" w:rsidR="0035690C" w:rsidRDefault="0035690C">
                            <w:pPr>
                              <w:rPr>
                                <w:rFonts w:ascii="Arial" w:hAnsi="Arial" w:cs="Arial"/>
                                <w:sz w:val="20"/>
                                <w:lang w:val="en-US"/>
                              </w:rPr>
                            </w:pPr>
                            <w:r>
                              <w:rPr>
                                <w:rFonts w:ascii="Arial" w:hAnsi="Arial" w:cs="Arial"/>
                                <w:sz w:val="20"/>
                                <w:lang w:val="en-US"/>
                              </w:rPr>
                              <w:t>Hazard ratio 0,45</w:t>
                            </w:r>
                          </w:p>
                          <w:p w14:paraId="018FC7F1" w14:textId="03583375" w:rsidR="0035690C" w:rsidRDefault="0035690C">
                            <w:pPr>
                              <w:rPr>
                                <w:rFonts w:ascii="Arial" w:hAnsi="Arial" w:cs="Arial"/>
                                <w:sz w:val="20"/>
                                <w:lang w:val="de-DE"/>
                              </w:rPr>
                            </w:pPr>
                            <w:r>
                              <w:rPr>
                                <w:rFonts w:ascii="Arial" w:hAnsi="Arial" w:cs="Arial"/>
                                <w:sz w:val="20"/>
                                <w:lang w:val="en-US"/>
                              </w:rPr>
                              <w:t>(</w:t>
                            </w:r>
                            <w:ins w:id="673" w:author="Author">
                              <w:r w:rsidR="00BC39C3">
                                <w:rPr>
                                  <w:rFonts w:ascii="Arial" w:hAnsi="Arial" w:cs="Arial"/>
                                  <w:sz w:val="20"/>
                                  <w:lang w:val="en-US"/>
                                </w:rPr>
                                <w:t xml:space="preserve">IC </w:t>
                              </w:r>
                            </w:ins>
                            <w:r>
                              <w:rPr>
                                <w:rFonts w:ascii="Arial" w:hAnsi="Arial" w:cs="Arial"/>
                                <w:sz w:val="20"/>
                                <w:lang w:val="en-US"/>
                              </w:rPr>
                              <w:t>95%</w:t>
                            </w:r>
                            <w:del w:id="674" w:author="Author">
                              <w:r w:rsidDel="00BC39C3">
                                <w:rPr>
                                  <w:rFonts w:ascii="Arial" w:hAnsi="Arial" w:cs="Arial"/>
                                  <w:sz w:val="20"/>
                                  <w:lang w:val="en-US"/>
                                </w:rPr>
                                <w:delText xml:space="preserve"> IC</w:delText>
                              </w:r>
                            </w:del>
                            <w:r>
                              <w:rPr>
                                <w:rFonts w:ascii="Arial" w:hAnsi="Arial" w:cs="Arial"/>
                                <w:sz w:val="20"/>
                                <w:lang w:val="en-US"/>
                              </w:rPr>
                              <w:t>, 0,22</w:t>
                            </w:r>
                            <w:r>
                              <w:rPr>
                                <w:rFonts w:ascii="Arial" w:hAnsi="Arial" w:cs="Arial"/>
                                <w:sz w:val="20"/>
                                <w:lang w:val="en-US"/>
                              </w:rPr>
                              <w:noBreakHyphen/>
                              <w:t>0,89)</w:t>
                            </w:r>
                          </w:p>
                        </w:tc>
                      </w:tr>
                      <w:tr w:rsidR="0035690C" w14:paraId="6C8DF673" w14:textId="77777777">
                        <w:tc>
                          <w:tcPr>
                            <w:tcW w:w="817" w:type="dxa"/>
                          </w:tcPr>
                          <w:p w14:paraId="1483FFDF" w14:textId="77777777" w:rsidR="0035690C" w:rsidRDefault="0035690C">
                            <w:pPr>
                              <w:rPr>
                                <w:rFonts w:ascii="Arial" w:hAnsi="Arial" w:cs="Arial"/>
                                <w:sz w:val="20"/>
                              </w:rPr>
                            </w:pPr>
                          </w:p>
                        </w:tc>
                        <w:tc>
                          <w:tcPr>
                            <w:tcW w:w="2464" w:type="dxa"/>
                          </w:tcPr>
                          <w:p w14:paraId="26FBDC1F" w14:textId="77777777" w:rsidR="0035690C" w:rsidRDefault="0035690C">
                            <w:pPr>
                              <w:rPr>
                                <w:rFonts w:ascii="Arial" w:hAnsi="Arial" w:cs="Arial"/>
                                <w:sz w:val="20"/>
                              </w:rPr>
                            </w:pPr>
                          </w:p>
                        </w:tc>
                        <w:tc>
                          <w:tcPr>
                            <w:tcW w:w="851" w:type="dxa"/>
                            <w:tcBorders>
                              <w:bottom w:val="single" w:sz="4" w:space="0" w:color="auto"/>
                            </w:tcBorders>
                          </w:tcPr>
                          <w:p w14:paraId="27385E1F" w14:textId="77777777" w:rsidR="0035690C" w:rsidRDefault="0035690C">
                            <w:pPr>
                              <w:rPr>
                                <w:rFonts w:ascii="Arial" w:hAnsi="Arial" w:cs="Arial"/>
                                <w:sz w:val="20"/>
                              </w:rPr>
                            </w:pPr>
                            <w:r>
                              <w:rPr>
                                <w:rFonts w:ascii="Arial" w:hAnsi="Arial" w:cs="Arial"/>
                                <w:sz w:val="20"/>
                                <w:lang w:val="de-DE"/>
                              </w:rPr>
                              <w:t>N</w:t>
                            </w:r>
                          </w:p>
                        </w:tc>
                        <w:tc>
                          <w:tcPr>
                            <w:tcW w:w="709" w:type="dxa"/>
                            <w:tcBorders>
                              <w:bottom w:val="single" w:sz="4" w:space="0" w:color="auto"/>
                            </w:tcBorders>
                          </w:tcPr>
                          <w:p w14:paraId="387F948B" w14:textId="77777777" w:rsidR="0035690C" w:rsidRDefault="0035690C">
                            <w:pPr>
                              <w:rPr>
                                <w:rFonts w:ascii="Arial" w:hAnsi="Arial" w:cs="Arial"/>
                                <w:sz w:val="20"/>
                              </w:rPr>
                            </w:pPr>
                            <w:r>
                              <w:rPr>
                                <w:rFonts w:ascii="Arial" w:hAnsi="Arial" w:cs="Arial"/>
                                <w:sz w:val="20"/>
                                <w:lang w:val="de-DE"/>
                              </w:rPr>
                              <w:t>Evt</w:t>
                            </w:r>
                          </w:p>
                        </w:tc>
                        <w:tc>
                          <w:tcPr>
                            <w:tcW w:w="850" w:type="dxa"/>
                            <w:tcBorders>
                              <w:bottom w:val="single" w:sz="4" w:space="0" w:color="auto"/>
                            </w:tcBorders>
                          </w:tcPr>
                          <w:p w14:paraId="117264B4" w14:textId="77777777" w:rsidR="0035690C" w:rsidRDefault="0035690C">
                            <w:pPr>
                              <w:rPr>
                                <w:rFonts w:ascii="Arial" w:hAnsi="Arial" w:cs="Arial"/>
                                <w:sz w:val="20"/>
                              </w:rPr>
                            </w:pPr>
                            <w:r>
                              <w:rPr>
                                <w:rFonts w:ascii="Arial" w:hAnsi="Arial" w:cs="Arial"/>
                                <w:sz w:val="20"/>
                                <w:lang w:val="de-DE"/>
                              </w:rPr>
                              <w:t>Cen</w:t>
                            </w:r>
                          </w:p>
                        </w:tc>
                      </w:tr>
                      <w:tr w:rsidR="0035690C" w14:paraId="3417FFD3" w14:textId="77777777">
                        <w:tc>
                          <w:tcPr>
                            <w:tcW w:w="817" w:type="dxa"/>
                          </w:tcPr>
                          <w:p w14:paraId="1D34884D" w14:textId="77777777" w:rsidR="0035690C" w:rsidRDefault="0035690C">
                            <w:pPr>
                              <w:rPr>
                                <w:rFonts w:ascii="Arial" w:hAnsi="Arial" w:cs="Arial"/>
                                <w:sz w:val="20"/>
                              </w:rPr>
                            </w:pPr>
                            <w:r>
                              <w:rPr>
                                <w:rFonts w:ascii="Arial" w:hAnsi="Arial" w:cs="Arial"/>
                                <w:b/>
                                <w:sz w:val="20"/>
                              </w:rPr>
                              <w:t>——</w:t>
                            </w:r>
                          </w:p>
                        </w:tc>
                        <w:tc>
                          <w:tcPr>
                            <w:tcW w:w="2464" w:type="dxa"/>
                          </w:tcPr>
                          <w:p w14:paraId="035DA275" w14:textId="77777777" w:rsidR="0035690C" w:rsidRDefault="0035690C">
                            <w:pPr>
                              <w:rPr>
                                <w:rFonts w:ascii="Arial" w:hAnsi="Arial" w:cs="Arial"/>
                                <w:sz w:val="20"/>
                              </w:rPr>
                            </w:pPr>
                            <w:r>
                              <w:rPr>
                                <w:rFonts w:ascii="Arial" w:hAnsi="Arial" w:cs="Arial"/>
                                <w:sz w:val="20"/>
                              </w:rPr>
                              <w:t>(1) Imatinib 12 mois :</w:t>
                            </w:r>
                          </w:p>
                        </w:tc>
                        <w:tc>
                          <w:tcPr>
                            <w:tcW w:w="851" w:type="dxa"/>
                            <w:tcBorders>
                              <w:top w:val="single" w:sz="4" w:space="0" w:color="auto"/>
                            </w:tcBorders>
                          </w:tcPr>
                          <w:p w14:paraId="3A2E039F" w14:textId="77777777" w:rsidR="0035690C" w:rsidRDefault="0035690C">
                            <w:pPr>
                              <w:rPr>
                                <w:rFonts w:ascii="Arial" w:hAnsi="Arial" w:cs="Arial"/>
                                <w:sz w:val="20"/>
                              </w:rPr>
                            </w:pPr>
                            <w:r>
                              <w:rPr>
                                <w:rFonts w:ascii="Arial" w:hAnsi="Arial" w:cs="Arial"/>
                                <w:sz w:val="20"/>
                              </w:rPr>
                              <w:t>199</w:t>
                            </w:r>
                          </w:p>
                        </w:tc>
                        <w:tc>
                          <w:tcPr>
                            <w:tcW w:w="709" w:type="dxa"/>
                            <w:tcBorders>
                              <w:top w:val="single" w:sz="4" w:space="0" w:color="auto"/>
                            </w:tcBorders>
                          </w:tcPr>
                          <w:p w14:paraId="124DCF8B" w14:textId="77777777" w:rsidR="0035690C" w:rsidRDefault="0035690C">
                            <w:pPr>
                              <w:rPr>
                                <w:rFonts w:ascii="Arial" w:hAnsi="Arial" w:cs="Arial"/>
                                <w:sz w:val="20"/>
                              </w:rPr>
                            </w:pPr>
                            <w:r>
                              <w:rPr>
                                <w:rFonts w:ascii="Arial" w:hAnsi="Arial" w:cs="Arial"/>
                                <w:sz w:val="20"/>
                              </w:rPr>
                              <w:t>25</w:t>
                            </w:r>
                          </w:p>
                        </w:tc>
                        <w:tc>
                          <w:tcPr>
                            <w:tcW w:w="850" w:type="dxa"/>
                            <w:tcBorders>
                              <w:top w:val="single" w:sz="4" w:space="0" w:color="auto"/>
                            </w:tcBorders>
                          </w:tcPr>
                          <w:p w14:paraId="4E1FC6BC" w14:textId="77777777" w:rsidR="0035690C" w:rsidRDefault="0035690C">
                            <w:pPr>
                              <w:rPr>
                                <w:rFonts w:ascii="Arial" w:hAnsi="Arial" w:cs="Arial"/>
                                <w:sz w:val="20"/>
                              </w:rPr>
                            </w:pPr>
                            <w:r>
                              <w:rPr>
                                <w:rFonts w:ascii="Arial" w:hAnsi="Arial" w:cs="Arial"/>
                                <w:sz w:val="20"/>
                              </w:rPr>
                              <w:t>174</w:t>
                            </w:r>
                          </w:p>
                        </w:tc>
                      </w:tr>
                      <w:tr w:rsidR="0035690C" w14:paraId="735D47A0" w14:textId="77777777">
                        <w:tc>
                          <w:tcPr>
                            <w:tcW w:w="817" w:type="dxa"/>
                          </w:tcPr>
                          <w:p w14:paraId="17BE2037" w14:textId="77777777" w:rsidR="0035690C" w:rsidRDefault="0035690C">
                            <w:pPr>
                              <w:rPr>
                                <w:rFonts w:ascii="Arial" w:hAnsi="Arial" w:cs="Arial"/>
                                <w:sz w:val="20"/>
                              </w:rPr>
                            </w:pPr>
                            <w:r>
                              <w:rPr>
                                <w:rFonts w:ascii="Arial" w:hAnsi="Arial" w:cs="Arial"/>
                                <w:sz w:val="20"/>
                              </w:rPr>
                              <w:t>-----</w:t>
                            </w:r>
                          </w:p>
                        </w:tc>
                        <w:tc>
                          <w:tcPr>
                            <w:tcW w:w="2464" w:type="dxa"/>
                          </w:tcPr>
                          <w:p w14:paraId="73E69A4B" w14:textId="77777777" w:rsidR="0035690C" w:rsidRDefault="0035690C">
                            <w:pPr>
                              <w:rPr>
                                <w:rFonts w:ascii="Arial" w:hAnsi="Arial" w:cs="Arial"/>
                                <w:sz w:val="20"/>
                              </w:rPr>
                            </w:pPr>
                            <w:r>
                              <w:rPr>
                                <w:rFonts w:ascii="Arial" w:hAnsi="Arial" w:cs="Arial"/>
                                <w:sz w:val="20"/>
                              </w:rPr>
                              <w:t>(2) Imatinib 36 mois :</w:t>
                            </w:r>
                          </w:p>
                        </w:tc>
                        <w:tc>
                          <w:tcPr>
                            <w:tcW w:w="851" w:type="dxa"/>
                            <w:tcBorders>
                              <w:bottom w:val="single" w:sz="4" w:space="0" w:color="auto"/>
                            </w:tcBorders>
                          </w:tcPr>
                          <w:p w14:paraId="70BA37EA" w14:textId="77777777" w:rsidR="0035690C" w:rsidRDefault="0035690C">
                            <w:pPr>
                              <w:rPr>
                                <w:rFonts w:ascii="Arial" w:hAnsi="Arial" w:cs="Arial"/>
                                <w:sz w:val="20"/>
                              </w:rPr>
                            </w:pPr>
                            <w:r>
                              <w:rPr>
                                <w:rFonts w:ascii="Arial" w:hAnsi="Arial" w:cs="Arial"/>
                                <w:sz w:val="20"/>
                              </w:rPr>
                              <w:t>198</w:t>
                            </w:r>
                          </w:p>
                        </w:tc>
                        <w:tc>
                          <w:tcPr>
                            <w:tcW w:w="709" w:type="dxa"/>
                            <w:tcBorders>
                              <w:bottom w:val="single" w:sz="4" w:space="0" w:color="auto"/>
                            </w:tcBorders>
                          </w:tcPr>
                          <w:p w14:paraId="32FFF1D6" w14:textId="77777777" w:rsidR="0035690C" w:rsidRDefault="0035690C">
                            <w:pPr>
                              <w:rPr>
                                <w:rFonts w:ascii="Arial" w:hAnsi="Arial" w:cs="Arial"/>
                                <w:sz w:val="20"/>
                              </w:rPr>
                            </w:pPr>
                            <w:r>
                              <w:rPr>
                                <w:rFonts w:ascii="Arial" w:hAnsi="Arial" w:cs="Arial"/>
                                <w:sz w:val="20"/>
                              </w:rPr>
                              <w:t>12</w:t>
                            </w:r>
                          </w:p>
                        </w:tc>
                        <w:tc>
                          <w:tcPr>
                            <w:tcW w:w="850" w:type="dxa"/>
                            <w:tcBorders>
                              <w:bottom w:val="single" w:sz="4" w:space="0" w:color="auto"/>
                            </w:tcBorders>
                          </w:tcPr>
                          <w:p w14:paraId="1FED72E4" w14:textId="77777777" w:rsidR="0035690C" w:rsidRDefault="0035690C">
                            <w:pPr>
                              <w:rPr>
                                <w:rFonts w:ascii="Arial" w:hAnsi="Arial" w:cs="Arial"/>
                                <w:sz w:val="20"/>
                              </w:rPr>
                            </w:pPr>
                            <w:r>
                              <w:rPr>
                                <w:rFonts w:ascii="Arial" w:hAnsi="Arial" w:cs="Arial"/>
                                <w:sz w:val="20"/>
                              </w:rPr>
                              <w:t>186</w:t>
                            </w:r>
                          </w:p>
                        </w:tc>
                      </w:tr>
                      <w:tr w:rsidR="0035690C" w14:paraId="261A8DD8" w14:textId="77777777">
                        <w:tc>
                          <w:tcPr>
                            <w:tcW w:w="817" w:type="dxa"/>
                          </w:tcPr>
                          <w:p w14:paraId="5C91CB2C" w14:textId="77777777" w:rsidR="0035690C" w:rsidRDefault="0035690C">
                            <w:pPr>
                              <w:rPr>
                                <w:rFonts w:ascii="Arial" w:hAnsi="Arial" w:cs="Arial"/>
                                <w:sz w:val="20"/>
                              </w:rPr>
                            </w:pPr>
                            <w:r>
                              <w:rPr>
                                <w:rFonts w:ascii="Arial" w:hAnsi="Arial" w:cs="Arial"/>
                                <w:sz w:val="20"/>
                              </w:rPr>
                              <w:t>│││</w:t>
                            </w:r>
                          </w:p>
                        </w:tc>
                        <w:tc>
                          <w:tcPr>
                            <w:tcW w:w="2464" w:type="dxa"/>
                          </w:tcPr>
                          <w:p w14:paraId="602C2F2C" w14:textId="77777777" w:rsidR="0035690C" w:rsidRDefault="0035690C">
                            <w:pPr>
                              <w:rPr>
                                <w:rFonts w:ascii="Arial" w:hAnsi="Arial" w:cs="Arial"/>
                                <w:sz w:val="20"/>
                              </w:rPr>
                            </w:pPr>
                            <w:r>
                              <w:rPr>
                                <w:rFonts w:ascii="Arial" w:hAnsi="Arial" w:cs="Arial"/>
                                <w:sz w:val="20"/>
                              </w:rPr>
                              <w:t>Données censurées</w:t>
                            </w:r>
                          </w:p>
                        </w:tc>
                        <w:tc>
                          <w:tcPr>
                            <w:tcW w:w="851" w:type="dxa"/>
                            <w:tcBorders>
                              <w:top w:val="single" w:sz="4" w:space="0" w:color="auto"/>
                            </w:tcBorders>
                          </w:tcPr>
                          <w:p w14:paraId="1A1AA32C" w14:textId="77777777" w:rsidR="0035690C" w:rsidRDefault="0035690C">
                            <w:pPr>
                              <w:rPr>
                                <w:rFonts w:ascii="Arial" w:hAnsi="Arial" w:cs="Arial"/>
                                <w:sz w:val="20"/>
                              </w:rPr>
                            </w:pPr>
                          </w:p>
                        </w:tc>
                        <w:tc>
                          <w:tcPr>
                            <w:tcW w:w="709" w:type="dxa"/>
                            <w:tcBorders>
                              <w:top w:val="single" w:sz="4" w:space="0" w:color="auto"/>
                            </w:tcBorders>
                          </w:tcPr>
                          <w:p w14:paraId="0AF28FF3" w14:textId="77777777" w:rsidR="0035690C" w:rsidRDefault="0035690C">
                            <w:pPr>
                              <w:rPr>
                                <w:rFonts w:ascii="Arial" w:hAnsi="Arial" w:cs="Arial"/>
                                <w:sz w:val="20"/>
                              </w:rPr>
                            </w:pPr>
                          </w:p>
                        </w:tc>
                        <w:tc>
                          <w:tcPr>
                            <w:tcW w:w="850" w:type="dxa"/>
                            <w:tcBorders>
                              <w:top w:val="single" w:sz="4" w:space="0" w:color="auto"/>
                            </w:tcBorders>
                          </w:tcPr>
                          <w:p w14:paraId="16892343" w14:textId="77777777" w:rsidR="0035690C" w:rsidRDefault="0035690C">
                            <w:pPr>
                              <w:rPr>
                                <w:rFonts w:ascii="Arial" w:hAnsi="Arial" w:cs="Arial"/>
                                <w:sz w:val="20"/>
                              </w:rPr>
                            </w:pPr>
                          </w:p>
                        </w:tc>
                      </w:tr>
                    </w:tbl>
                    <w:p w14:paraId="63C05C67" w14:textId="77777777" w:rsidR="0035690C" w:rsidRDefault="0035690C" w:rsidP="00EF4CB3">
                      <w:pPr>
                        <w:rPr>
                          <w:rFonts w:ascii="Arial" w:hAnsi="Arial" w:cs="Arial"/>
                          <w:sz w:val="20"/>
                        </w:rPr>
                      </w:pPr>
                    </w:p>
                  </w:txbxContent>
                </v:textbox>
              </v:shape>
            </w:pict>
          </mc:Fallback>
        </mc:AlternateContent>
      </w:r>
      <w:r w:rsidRPr="008A5F3B">
        <w:rPr>
          <w:noProof/>
          <w:lang w:val="fr-FR" w:eastAsia="fr-FR"/>
        </w:rPr>
        <w:drawing>
          <wp:inline distT="0" distB="0" distL="0" distR="0" wp14:anchorId="1A5E318D" wp14:editId="184A81F3">
            <wp:extent cx="5947410" cy="26320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7410" cy="2632075"/>
                    </a:xfrm>
                    <a:prstGeom prst="rect">
                      <a:avLst/>
                    </a:prstGeom>
                    <a:noFill/>
                    <a:ln>
                      <a:noFill/>
                    </a:ln>
                  </pic:spPr>
                </pic:pic>
              </a:graphicData>
            </a:graphic>
          </wp:inline>
        </w:drawing>
      </w:r>
    </w:p>
    <w:p w14:paraId="48B41EE5" w14:textId="77777777" w:rsidR="00EF4CB3" w:rsidRPr="008A5F3B" w:rsidRDefault="00EF4CB3" w:rsidP="00E0122B">
      <w:pPr>
        <w:pStyle w:val="EndnoteText"/>
        <w:widowControl w:val="0"/>
        <w:tabs>
          <w:tab w:val="clear" w:pos="567"/>
        </w:tabs>
        <w:rPr>
          <w:color w:val="000000"/>
          <w:szCs w:val="22"/>
          <w:lang w:val="fr-FR"/>
        </w:rPr>
      </w:pPr>
    </w:p>
    <w:p w14:paraId="41120D5C" w14:textId="77777777" w:rsidR="00EF4CB3" w:rsidRPr="008A5F3B" w:rsidRDefault="00EF4CB3" w:rsidP="00E0122B">
      <w:pPr>
        <w:rPr>
          <w:rFonts w:ascii="Times New Roman" w:hAnsi="Times New Roman"/>
          <w:noProof/>
        </w:rPr>
      </w:pPr>
    </w:p>
    <w:tbl>
      <w:tblPr>
        <w:tblW w:w="10632" w:type="dxa"/>
        <w:tblInd w:w="-318" w:type="dxa"/>
        <w:tblLook w:val="04A0" w:firstRow="1" w:lastRow="0" w:firstColumn="1" w:lastColumn="0" w:noHBand="0" w:noVBand="1"/>
      </w:tblPr>
      <w:tblGrid>
        <w:gridCol w:w="450"/>
        <w:gridCol w:w="687"/>
        <w:gridCol w:w="670"/>
        <w:gridCol w:w="710"/>
        <w:gridCol w:w="717"/>
        <w:gridCol w:w="691"/>
        <w:gridCol w:w="770"/>
        <w:gridCol w:w="779"/>
        <w:gridCol w:w="794"/>
        <w:gridCol w:w="653"/>
        <w:gridCol w:w="630"/>
        <w:gridCol w:w="643"/>
        <w:gridCol w:w="670"/>
        <w:gridCol w:w="683"/>
        <w:gridCol w:w="558"/>
        <w:gridCol w:w="527"/>
      </w:tblGrid>
      <w:tr w:rsidR="00EF4CB3" w:rsidRPr="008A5F3B" w14:paraId="05148F84" w14:textId="77777777">
        <w:tc>
          <w:tcPr>
            <w:tcW w:w="10632" w:type="dxa"/>
            <w:gridSpan w:val="16"/>
          </w:tcPr>
          <w:p w14:paraId="6C9757EA" w14:textId="77777777" w:rsidR="00EF4CB3" w:rsidRPr="008A5F3B" w:rsidRDefault="00EF4CB3" w:rsidP="00E0122B">
            <w:pPr>
              <w:ind w:left="-27"/>
              <w:rPr>
                <w:rFonts w:ascii="Arial" w:hAnsi="Arial" w:cs="Arial"/>
                <w:sz w:val="16"/>
                <w:szCs w:val="16"/>
              </w:rPr>
            </w:pPr>
            <w:r w:rsidRPr="008A5F3B">
              <w:rPr>
                <w:rFonts w:ascii="Arial" w:hAnsi="Arial" w:cs="Arial"/>
                <w:sz w:val="20"/>
              </w:rPr>
              <w:t>Patients à risque : Evènements</w:t>
            </w:r>
          </w:p>
        </w:tc>
      </w:tr>
      <w:tr w:rsidR="00EF4CB3" w:rsidRPr="008A5F3B" w14:paraId="2D9CBD99" w14:textId="77777777">
        <w:tc>
          <w:tcPr>
            <w:tcW w:w="450" w:type="dxa"/>
          </w:tcPr>
          <w:p w14:paraId="00D276D3" w14:textId="77777777" w:rsidR="00EF4CB3" w:rsidRPr="008A5F3B" w:rsidRDefault="00EF4CB3" w:rsidP="00E0122B">
            <w:pPr>
              <w:rPr>
                <w:rFonts w:ascii="Times New Roman" w:hAnsi="Times New Roman"/>
                <w:sz w:val="20"/>
              </w:rPr>
            </w:pPr>
            <w:r w:rsidRPr="008A5F3B">
              <w:rPr>
                <w:rFonts w:ascii="Times New Roman" w:hAnsi="Times New Roman"/>
                <w:sz w:val="20"/>
              </w:rPr>
              <w:t>(1)</w:t>
            </w:r>
          </w:p>
        </w:tc>
        <w:tc>
          <w:tcPr>
            <w:tcW w:w="691" w:type="dxa"/>
          </w:tcPr>
          <w:p w14:paraId="25253526"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199:</w:t>
            </w:r>
            <w:proofErr w:type="gramEnd"/>
            <w:r w:rsidRPr="008A5F3B">
              <w:rPr>
                <w:rFonts w:ascii="Times New Roman" w:hAnsi="Times New Roman"/>
                <w:sz w:val="20"/>
              </w:rPr>
              <w:t>0</w:t>
            </w:r>
          </w:p>
        </w:tc>
        <w:tc>
          <w:tcPr>
            <w:tcW w:w="672" w:type="dxa"/>
          </w:tcPr>
          <w:p w14:paraId="1F74CB00"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190:</w:t>
            </w:r>
            <w:proofErr w:type="gramEnd"/>
            <w:r w:rsidRPr="008A5F3B">
              <w:rPr>
                <w:rFonts w:ascii="Times New Roman" w:hAnsi="Times New Roman"/>
                <w:sz w:val="20"/>
              </w:rPr>
              <w:t>2</w:t>
            </w:r>
          </w:p>
        </w:tc>
        <w:tc>
          <w:tcPr>
            <w:tcW w:w="714" w:type="dxa"/>
          </w:tcPr>
          <w:p w14:paraId="5E9C75F5"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188:</w:t>
            </w:r>
            <w:proofErr w:type="gramEnd"/>
            <w:r w:rsidRPr="008A5F3B">
              <w:rPr>
                <w:rFonts w:ascii="Times New Roman" w:hAnsi="Times New Roman"/>
                <w:sz w:val="20"/>
              </w:rPr>
              <w:t>2</w:t>
            </w:r>
          </w:p>
        </w:tc>
        <w:tc>
          <w:tcPr>
            <w:tcW w:w="722" w:type="dxa"/>
          </w:tcPr>
          <w:p w14:paraId="33662DFB"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183:</w:t>
            </w:r>
            <w:proofErr w:type="gramEnd"/>
            <w:r w:rsidRPr="008A5F3B">
              <w:rPr>
                <w:rFonts w:ascii="Times New Roman" w:hAnsi="Times New Roman"/>
                <w:sz w:val="20"/>
              </w:rPr>
              <w:t>6</w:t>
            </w:r>
          </w:p>
        </w:tc>
        <w:tc>
          <w:tcPr>
            <w:tcW w:w="694" w:type="dxa"/>
          </w:tcPr>
          <w:p w14:paraId="71FEBC9D"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176:</w:t>
            </w:r>
            <w:proofErr w:type="gramEnd"/>
            <w:r w:rsidRPr="008A5F3B">
              <w:rPr>
                <w:rFonts w:ascii="Times New Roman" w:hAnsi="Times New Roman"/>
                <w:sz w:val="20"/>
              </w:rPr>
              <w:t>8</w:t>
            </w:r>
          </w:p>
        </w:tc>
        <w:tc>
          <w:tcPr>
            <w:tcW w:w="772" w:type="dxa"/>
          </w:tcPr>
          <w:p w14:paraId="5496C959"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156:</w:t>
            </w:r>
            <w:proofErr w:type="gramEnd"/>
            <w:r w:rsidRPr="008A5F3B">
              <w:rPr>
                <w:rFonts w:ascii="Times New Roman" w:hAnsi="Times New Roman"/>
                <w:sz w:val="20"/>
              </w:rPr>
              <w:t>10</w:t>
            </w:r>
          </w:p>
        </w:tc>
        <w:tc>
          <w:tcPr>
            <w:tcW w:w="782" w:type="dxa"/>
          </w:tcPr>
          <w:p w14:paraId="37B72DFB"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140:</w:t>
            </w:r>
            <w:proofErr w:type="gramEnd"/>
            <w:r w:rsidRPr="008A5F3B">
              <w:rPr>
                <w:rFonts w:ascii="Times New Roman" w:hAnsi="Times New Roman"/>
                <w:sz w:val="20"/>
              </w:rPr>
              <w:t>11</w:t>
            </w:r>
          </w:p>
        </w:tc>
        <w:tc>
          <w:tcPr>
            <w:tcW w:w="798" w:type="dxa"/>
          </w:tcPr>
          <w:p w14:paraId="096BB713"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105:</w:t>
            </w:r>
            <w:proofErr w:type="gramEnd"/>
            <w:r w:rsidRPr="008A5F3B">
              <w:rPr>
                <w:rFonts w:ascii="Times New Roman" w:hAnsi="Times New Roman"/>
                <w:sz w:val="20"/>
              </w:rPr>
              <w:t>14</w:t>
            </w:r>
          </w:p>
        </w:tc>
        <w:tc>
          <w:tcPr>
            <w:tcW w:w="654" w:type="dxa"/>
          </w:tcPr>
          <w:p w14:paraId="045B12EC"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87:</w:t>
            </w:r>
            <w:proofErr w:type="gramEnd"/>
            <w:r w:rsidRPr="008A5F3B">
              <w:rPr>
                <w:rFonts w:ascii="Times New Roman" w:hAnsi="Times New Roman"/>
                <w:sz w:val="20"/>
              </w:rPr>
              <w:t>18</w:t>
            </w:r>
          </w:p>
        </w:tc>
        <w:tc>
          <w:tcPr>
            <w:tcW w:w="630" w:type="dxa"/>
          </w:tcPr>
          <w:p w14:paraId="34F191FF"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64:</w:t>
            </w:r>
            <w:proofErr w:type="gramEnd"/>
            <w:r w:rsidRPr="008A5F3B">
              <w:rPr>
                <w:rFonts w:ascii="Times New Roman" w:hAnsi="Times New Roman"/>
                <w:sz w:val="20"/>
              </w:rPr>
              <w:t>22</w:t>
            </w:r>
          </w:p>
        </w:tc>
        <w:tc>
          <w:tcPr>
            <w:tcW w:w="644" w:type="dxa"/>
          </w:tcPr>
          <w:p w14:paraId="327AA832"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46:</w:t>
            </w:r>
            <w:proofErr w:type="gramEnd"/>
            <w:r w:rsidRPr="008A5F3B">
              <w:rPr>
                <w:rFonts w:ascii="Times New Roman" w:hAnsi="Times New Roman"/>
                <w:sz w:val="20"/>
              </w:rPr>
              <w:t>23</w:t>
            </w:r>
          </w:p>
        </w:tc>
        <w:tc>
          <w:tcPr>
            <w:tcW w:w="672" w:type="dxa"/>
          </w:tcPr>
          <w:p w14:paraId="269367B9"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27:</w:t>
            </w:r>
            <w:proofErr w:type="gramEnd"/>
            <w:r w:rsidRPr="008A5F3B">
              <w:rPr>
                <w:rFonts w:ascii="Times New Roman" w:hAnsi="Times New Roman"/>
                <w:sz w:val="20"/>
              </w:rPr>
              <w:t>25</w:t>
            </w:r>
          </w:p>
        </w:tc>
        <w:tc>
          <w:tcPr>
            <w:tcW w:w="686" w:type="dxa"/>
          </w:tcPr>
          <w:p w14:paraId="7FFEEAB6"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20:</w:t>
            </w:r>
            <w:proofErr w:type="gramEnd"/>
            <w:r w:rsidRPr="008A5F3B">
              <w:rPr>
                <w:rFonts w:ascii="Times New Roman" w:hAnsi="Times New Roman"/>
                <w:sz w:val="20"/>
              </w:rPr>
              <w:t>25</w:t>
            </w:r>
          </w:p>
        </w:tc>
        <w:tc>
          <w:tcPr>
            <w:tcW w:w="560" w:type="dxa"/>
          </w:tcPr>
          <w:p w14:paraId="717F4565"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2:</w:t>
            </w:r>
            <w:proofErr w:type="gramEnd"/>
            <w:r w:rsidRPr="008A5F3B">
              <w:rPr>
                <w:rFonts w:ascii="Times New Roman" w:hAnsi="Times New Roman"/>
                <w:sz w:val="20"/>
              </w:rPr>
              <w:t>25</w:t>
            </w:r>
          </w:p>
        </w:tc>
        <w:tc>
          <w:tcPr>
            <w:tcW w:w="491" w:type="dxa"/>
          </w:tcPr>
          <w:p w14:paraId="3A962881"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0:</w:t>
            </w:r>
            <w:proofErr w:type="gramEnd"/>
            <w:r w:rsidRPr="008A5F3B">
              <w:rPr>
                <w:rFonts w:ascii="Times New Roman" w:hAnsi="Times New Roman"/>
                <w:sz w:val="20"/>
              </w:rPr>
              <w:t>25</w:t>
            </w:r>
          </w:p>
        </w:tc>
      </w:tr>
      <w:tr w:rsidR="00EF4CB3" w:rsidRPr="008A5F3B" w14:paraId="0D73F33F" w14:textId="77777777">
        <w:tc>
          <w:tcPr>
            <w:tcW w:w="450" w:type="dxa"/>
          </w:tcPr>
          <w:p w14:paraId="71225D29" w14:textId="77777777" w:rsidR="00EF4CB3" w:rsidRPr="008A5F3B" w:rsidRDefault="00EF4CB3" w:rsidP="00E0122B">
            <w:pPr>
              <w:rPr>
                <w:rFonts w:ascii="Times New Roman" w:hAnsi="Times New Roman"/>
                <w:sz w:val="20"/>
              </w:rPr>
            </w:pPr>
            <w:r w:rsidRPr="008A5F3B">
              <w:rPr>
                <w:rFonts w:ascii="Times New Roman" w:hAnsi="Times New Roman"/>
                <w:sz w:val="20"/>
              </w:rPr>
              <w:t>(2)</w:t>
            </w:r>
          </w:p>
        </w:tc>
        <w:tc>
          <w:tcPr>
            <w:tcW w:w="691" w:type="dxa"/>
          </w:tcPr>
          <w:p w14:paraId="4E5CF224"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198:</w:t>
            </w:r>
            <w:proofErr w:type="gramEnd"/>
            <w:r w:rsidRPr="008A5F3B">
              <w:rPr>
                <w:rFonts w:ascii="Times New Roman" w:hAnsi="Times New Roman"/>
                <w:sz w:val="20"/>
              </w:rPr>
              <w:t>0</w:t>
            </w:r>
          </w:p>
        </w:tc>
        <w:tc>
          <w:tcPr>
            <w:tcW w:w="672" w:type="dxa"/>
          </w:tcPr>
          <w:p w14:paraId="5EC23FD8"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196:</w:t>
            </w:r>
            <w:proofErr w:type="gramEnd"/>
            <w:r w:rsidRPr="008A5F3B">
              <w:rPr>
                <w:rFonts w:ascii="Times New Roman" w:hAnsi="Times New Roman"/>
                <w:sz w:val="20"/>
              </w:rPr>
              <w:t>0</w:t>
            </w:r>
          </w:p>
        </w:tc>
        <w:tc>
          <w:tcPr>
            <w:tcW w:w="714" w:type="dxa"/>
          </w:tcPr>
          <w:p w14:paraId="5D182978"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192:</w:t>
            </w:r>
            <w:proofErr w:type="gramEnd"/>
            <w:r w:rsidRPr="008A5F3B">
              <w:rPr>
                <w:rFonts w:ascii="Times New Roman" w:hAnsi="Times New Roman"/>
                <w:sz w:val="20"/>
              </w:rPr>
              <w:t>0</w:t>
            </w:r>
          </w:p>
        </w:tc>
        <w:tc>
          <w:tcPr>
            <w:tcW w:w="722" w:type="dxa"/>
          </w:tcPr>
          <w:p w14:paraId="02FBBEEF"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187:</w:t>
            </w:r>
            <w:proofErr w:type="gramEnd"/>
            <w:r w:rsidRPr="008A5F3B">
              <w:rPr>
                <w:rFonts w:ascii="Times New Roman" w:hAnsi="Times New Roman"/>
                <w:sz w:val="20"/>
              </w:rPr>
              <w:t>4</w:t>
            </w:r>
          </w:p>
        </w:tc>
        <w:tc>
          <w:tcPr>
            <w:tcW w:w="694" w:type="dxa"/>
          </w:tcPr>
          <w:p w14:paraId="0ED87E3D"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184:</w:t>
            </w:r>
            <w:proofErr w:type="gramEnd"/>
            <w:r w:rsidRPr="008A5F3B">
              <w:rPr>
                <w:rFonts w:ascii="Times New Roman" w:hAnsi="Times New Roman"/>
                <w:sz w:val="20"/>
              </w:rPr>
              <w:t>5</w:t>
            </w:r>
          </w:p>
        </w:tc>
        <w:tc>
          <w:tcPr>
            <w:tcW w:w="772" w:type="dxa"/>
          </w:tcPr>
          <w:p w14:paraId="226FB278"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164:</w:t>
            </w:r>
            <w:proofErr w:type="gramEnd"/>
            <w:r w:rsidRPr="008A5F3B">
              <w:rPr>
                <w:rFonts w:ascii="Times New Roman" w:hAnsi="Times New Roman"/>
                <w:sz w:val="20"/>
              </w:rPr>
              <w:t>7</w:t>
            </w:r>
          </w:p>
        </w:tc>
        <w:tc>
          <w:tcPr>
            <w:tcW w:w="782" w:type="dxa"/>
          </w:tcPr>
          <w:p w14:paraId="321E7AF0"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152:</w:t>
            </w:r>
            <w:proofErr w:type="gramEnd"/>
            <w:r w:rsidRPr="008A5F3B">
              <w:rPr>
                <w:rFonts w:ascii="Times New Roman" w:hAnsi="Times New Roman"/>
                <w:sz w:val="20"/>
              </w:rPr>
              <w:t>7</w:t>
            </w:r>
          </w:p>
        </w:tc>
        <w:tc>
          <w:tcPr>
            <w:tcW w:w="798" w:type="dxa"/>
          </w:tcPr>
          <w:p w14:paraId="565F1EC1"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119:</w:t>
            </w:r>
            <w:proofErr w:type="gramEnd"/>
            <w:r w:rsidRPr="008A5F3B">
              <w:rPr>
                <w:rFonts w:ascii="Times New Roman" w:hAnsi="Times New Roman"/>
                <w:sz w:val="20"/>
              </w:rPr>
              <w:t>8</w:t>
            </w:r>
          </w:p>
        </w:tc>
        <w:tc>
          <w:tcPr>
            <w:tcW w:w="654" w:type="dxa"/>
          </w:tcPr>
          <w:p w14:paraId="1A2BBC97"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100:</w:t>
            </w:r>
            <w:proofErr w:type="gramEnd"/>
            <w:r w:rsidRPr="008A5F3B">
              <w:rPr>
                <w:rFonts w:ascii="Times New Roman" w:hAnsi="Times New Roman"/>
                <w:sz w:val="20"/>
              </w:rPr>
              <w:t>8</w:t>
            </w:r>
          </w:p>
        </w:tc>
        <w:tc>
          <w:tcPr>
            <w:tcW w:w="630" w:type="dxa"/>
          </w:tcPr>
          <w:p w14:paraId="1AEEA49B"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76:</w:t>
            </w:r>
            <w:proofErr w:type="gramEnd"/>
            <w:r w:rsidRPr="008A5F3B">
              <w:rPr>
                <w:rFonts w:ascii="Times New Roman" w:hAnsi="Times New Roman"/>
                <w:sz w:val="20"/>
              </w:rPr>
              <w:t>10</w:t>
            </w:r>
          </w:p>
        </w:tc>
        <w:tc>
          <w:tcPr>
            <w:tcW w:w="644" w:type="dxa"/>
          </w:tcPr>
          <w:p w14:paraId="502D872E"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56:</w:t>
            </w:r>
            <w:proofErr w:type="gramEnd"/>
            <w:r w:rsidRPr="008A5F3B">
              <w:rPr>
                <w:rFonts w:ascii="Times New Roman" w:hAnsi="Times New Roman"/>
                <w:sz w:val="20"/>
              </w:rPr>
              <w:t>11</w:t>
            </w:r>
          </w:p>
        </w:tc>
        <w:tc>
          <w:tcPr>
            <w:tcW w:w="672" w:type="dxa"/>
          </w:tcPr>
          <w:p w14:paraId="7DA7C460"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31:</w:t>
            </w:r>
            <w:proofErr w:type="gramEnd"/>
            <w:r w:rsidRPr="008A5F3B">
              <w:rPr>
                <w:rFonts w:ascii="Times New Roman" w:hAnsi="Times New Roman"/>
                <w:sz w:val="20"/>
              </w:rPr>
              <w:t>11</w:t>
            </w:r>
          </w:p>
        </w:tc>
        <w:tc>
          <w:tcPr>
            <w:tcW w:w="686" w:type="dxa"/>
          </w:tcPr>
          <w:p w14:paraId="2825A0D2"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13:</w:t>
            </w:r>
            <w:proofErr w:type="gramEnd"/>
            <w:r w:rsidRPr="008A5F3B">
              <w:rPr>
                <w:rFonts w:ascii="Times New Roman" w:hAnsi="Times New Roman"/>
                <w:sz w:val="20"/>
              </w:rPr>
              <w:t>12</w:t>
            </w:r>
          </w:p>
        </w:tc>
        <w:tc>
          <w:tcPr>
            <w:tcW w:w="560" w:type="dxa"/>
          </w:tcPr>
          <w:p w14:paraId="46975B33" w14:textId="77777777" w:rsidR="00EF4CB3" w:rsidRPr="008A5F3B" w:rsidRDefault="00EF4CB3" w:rsidP="00E0122B">
            <w:pPr>
              <w:ind w:left="-45"/>
              <w:rPr>
                <w:rFonts w:ascii="Times New Roman" w:hAnsi="Times New Roman"/>
                <w:sz w:val="20"/>
              </w:rPr>
            </w:pPr>
            <w:proofErr w:type="gramStart"/>
            <w:r w:rsidRPr="008A5F3B">
              <w:rPr>
                <w:rFonts w:ascii="Times New Roman" w:hAnsi="Times New Roman"/>
                <w:sz w:val="20"/>
              </w:rPr>
              <w:t>0:</w:t>
            </w:r>
            <w:proofErr w:type="gramEnd"/>
            <w:r w:rsidRPr="008A5F3B">
              <w:rPr>
                <w:rFonts w:ascii="Times New Roman" w:hAnsi="Times New Roman"/>
                <w:sz w:val="20"/>
              </w:rPr>
              <w:t>12</w:t>
            </w:r>
          </w:p>
        </w:tc>
        <w:tc>
          <w:tcPr>
            <w:tcW w:w="491" w:type="dxa"/>
          </w:tcPr>
          <w:p w14:paraId="3792953C" w14:textId="77777777" w:rsidR="00EF4CB3" w:rsidRPr="008A5F3B" w:rsidRDefault="00EF4CB3" w:rsidP="00E0122B">
            <w:pPr>
              <w:ind w:left="-45"/>
              <w:rPr>
                <w:rFonts w:ascii="Times New Roman" w:hAnsi="Times New Roman"/>
                <w:sz w:val="20"/>
              </w:rPr>
            </w:pPr>
          </w:p>
        </w:tc>
      </w:tr>
    </w:tbl>
    <w:p w14:paraId="34476033" w14:textId="77777777" w:rsidR="00EF4CB3" w:rsidRPr="008A5F3B" w:rsidRDefault="00EF4CB3" w:rsidP="00E0122B">
      <w:pPr>
        <w:pStyle w:val="EndnoteText"/>
        <w:widowControl w:val="0"/>
        <w:tabs>
          <w:tab w:val="clear" w:pos="567"/>
        </w:tabs>
        <w:rPr>
          <w:color w:val="000000"/>
          <w:szCs w:val="22"/>
          <w:lang w:val="fr-FR"/>
        </w:rPr>
      </w:pPr>
    </w:p>
    <w:p w14:paraId="314253BA" w14:textId="77777777" w:rsidR="00EF4CB3" w:rsidRPr="008A5F3B" w:rsidRDefault="00EF4CB3" w:rsidP="00813A7A">
      <w:pPr>
        <w:pStyle w:val="EndnoteText"/>
        <w:tabs>
          <w:tab w:val="clear" w:pos="567"/>
        </w:tabs>
        <w:rPr>
          <w:color w:val="000000"/>
          <w:szCs w:val="22"/>
          <w:lang w:val="fr-FR"/>
        </w:rPr>
      </w:pPr>
      <w:r w:rsidRPr="008A5F3B">
        <w:rPr>
          <w:color w:val="000000"/>
          <w:szCs w:val="22"/>
          <w:lang w:val="fr-FR"/>
        </w:rPr>
        <w:t>Il n’existe pas d’étude clinique contrôlée chez les patients pédiatriques atteints de GIST c-Kit positive. Dix-sept (17) cas de patients atteints de GIST (avec ou sans mutation de Kit ou PDGFR) ont été rapportés dans 7 publications. L’âge de ces patients allait de 8 à 18 ans et l’imatinib était administré en adjuvant et en situation métastatique à une posologie comprise entre 300 et 800 mg par jour. Les données confirmant les mutations c-Kit ou PDGFR manquaient chez la majorité des patients pédiatriques, ce qui a pu conduire à des résultats cliniques mitigés.</w:t>
      </w:r>
    </w:p>
    <w:p w14:paraId="5892E02F" w14:textId="77777777" w:rsidR="00EF4CB3" w:rsidRPr="008A5F3B" w:rsidRDefault="00EF4CB3" w:rsidP="00813A7A">
      <w:pPr>
        <w:pStyle w:val="EndnoteText"/>
        <w:tabs>
          <w:tab w:val="clear" w:pos="567"/>
        </w:tabs>
        <w:rPr>
          <w:color w:val="000000"/>
          <w:szCs w:val="22"/>
          <w:lang w:val="fr-FR"/>
        </w:rPr>
      </w:pPr>
    </w:p>
    <w:p w14:paraId="37E4DDE8" w14:textId="4761F4CE" w:rsidR="0028607D" w:rsidRPr="008A5F3B" w:rsidRDefault="00EF4CB3" w:rsidP="007F23EE">
      <w:pPr>
        <w:pStyle w:val="EndnoteText"/>
        <w:keepNext/>
        <w:tabs>
          <w:tab w:val="clear" w:pos="567"/>
        </w:tabs>
        <w:rPr>
          <w:color w:val="000000"/>
          <w:szCs w:val="22"/>
          <w:u w:val="single"/>
          <w:lang w:val="fr-FR"/>
        </w:rPr>
      </w:pPr>
      <w:r w:rsidRPr="008A5F3B">
        <w:rPr>
          <w:color w:val="000000"/>
          <w:szCs w:val="22"/>
          <w:u w:val="single"/>
          <w:lang w:val="fr-FR"/>
        </w:rPr>
        <w:lastRenderedPageBreak/>
        <w:t>Etudes cliniques dans le DFSP</w:t>
      </w:r>
    </w:p>
    <w:p w14:paraId="5FCCD15F" w14:textId="77777777" w:rsidR="00935D26" w:rsidRPr="008A5F3B" w:rsidRDefault="00935D26" w:rsidP="007F23EE">
      <w:pPr>
        <w:pStyle w:val="EndnoteText"/>
        <w:keepNext/>
        <w:tabs>
          <w:tab w:val="clear" w:pos="567"/>
        </w:tabs>
        <w:rPr>
          <w:color w:val="000000"/>
          <w:szCs w:val="22"/>
          <w:lang w:val="fr-FR"/>
        </w:rPr>
      </w:pPr>
    </w:p>
    <w:p w14:paraId="015806A6" w14:textId="07498BD3" w:rsidR="00EF4CB3" w:rsidRPr="008A5F3B" w:rsidRDefault="00EF4CB3" w:rsidP="007F23EE">
      <w:pPr>
        <w:pStyle w:val="EndnoteText"/>
        <w:tabs>
          <w:tab w:val="clear" w:pos="567"/>
        </w:tabs>
        <w:rPr>
          <w:color w:val="000000"/>
          <w:szCs w:val="22"/>
          <w:lang w:val="fr-FR"/>
        </w:rPr>
      </w:pPr>
      <w:r w:rsidRPr="008A5F3B">
        <w:rPr>
          <w:color w:val="000000"/>
          <w:szCs w:val="22"/>
          <w:lang w:val="fr-FR"/>
        </w:rPr>
        <w:t>Une étude ouverte multicentrique de phase</w:t>
      </w:r>
      <w:del w:id="675" w:author="Author">
        <w:r w:rsidRPr="008A5F3B" w:rsidDel="00653BF6">
          <w:rPr>
            <w:color w:val="000000"/>
            <w:szCs w:val="22"/>
            <w:lang w:val="fr-FR"/>
          </w:rPr>
          <w:delText xml:space="preserve"> </w:delText>
        </w:r>
      </w:del>
      <w:ins w:id="676" w:author="Author">
        <w:r w:rsidR="00653BF6">
          <w:rPr>
            <w:color w:val="000000"/>
            <w:szCs w:val="22"/>
            <w:lang w:val="fr-FR"/>
          </w:rPr>
          <w:t> </w:t>
        </w:r>
      </w:ins>
      <w:r w:rsidRPr="008A5F3B">
        <w:rPr>
          <w:color w:val="000000"/>
          <w:szCs w:val="22"/>
          <w:lang w:val="fr-FR"/>
        </w:rPr>
        <w:t xml:space="preserve">II (étude B2225) a été menée incluant 12 patients atteints de DFSP traité par Glivec à 800 mg/jour. L’âge des patients atteints de DFSP allait de 23 à 75 ans ; leur maladie était métastatique ou en rechute locale après une chirurgie d’exérèse initiale et n’était pas considéré comme relevant d’une chirurgie d’exérèse supplémentaire au moment de l’entrée dans l’étude. Le critère primaire d’efficacité reposait sur les taux de réponse objective. Parmi les 12 patients inclus, 9 ont répondu, 1 réponse complète et 8 réponses partielles. Trois des répondeurs partiels ont été rendu indemnes de maladie par chirurgie. La durée médiane de traitement dans l’étude B2225 était de 6,2 mois, avec une durée maximale de 24,3 mois. 6 autres patients atteints de DFSP et traités par Glivec ont été rapportés sous la forme de 5 observations individuelles, leur âge allait de 18 mois à 49 ans. Les patients adultes rapportés dans la littérature ont été traités par Glivec soit à la posologie de 400 mg/jour (4 cas) soit par 800 mg/jour (1 cas). Cinq (5) patients ont répondu, 3 complètement et 2 partiellement. La durée médiane de traitement dans la littérature allait de 4 semaines à plus de 20 mois. La </w:t>
      </w:r>
      <w:bookmarkStart w:id="677" w:name="_Hlk210294541"/>
      <w:r w:rsidRPr="008A5F3B">
        <w:rPr>
          <w:color w:val="000000"/>
          <w:szCs w:val="22"/>
          <w:lang w:val="fr-FR"/>
        </w:rPr>
        <w:t xml:space="preserve">translocation </w:t>
      </w:r>
      <w:bookmarkEnd w:id="677"/>
      <w:proofErr w:type="gramStart"/>
      <w:r w:rsidRPr="008A5F3B">
        <w:rPr>
          <w:color w:val="000000"/>
          <w:szCs w:val="22"/>
          <w:lang w:val="fr-FR"/>
        </w:rPr>
        <w:t>t(</w:t>
      </w:r>
      <w:proofErr w:type="gramEnd"/>
      <w:r w:rsidRPr="008A5F3B">
        <w:rPr>
          <w:color w:val="000000"/>
          <w:szCs w:val="22"/>
          <w:lang w:val="fr-FR"/>
        </w:rPr>
        <w:t>17 :</w:t>
      </w:r>
      <w:proofErr w:type="gramStart"/>
      <w:r w:rsidRPr="008A5F3B">
        <w:rPr>
          <w:color w:val="000000"/>
          <w:szCs w:val="22"/>
          <w:lang w:val="fr-FR"/>
        </w:rPr>
        <w:t>22)[</w:t>
      </w:r>
      <w:proofErr w:type="gramEnd"/>
      <w:r w:rsidRPr="008A5F3B">
        <w:rPr>
          <w:color w:val="000000"/>
          <w:szCs w:val="22"/>
          <w:lang w:val="fr-FR"/>
        </w:rPr>
        <w:t>(q22</w:t>
      </w:r>
      <w:proofErr w:type="gramStart"/>
      <w:r w:rsidRPr="008A5F3B">
        <w:rPr>
          <w:color w:val="000000"/>
          <w:szCs w:val="22"/>
          <w:lang w:val="fr-FR"/>
        </w:rPr>
        <w:t> :q</w:t>
      </w:r>
      <w:proofErr w:type="gramEnd"/>
      <w:r w:rsidRPr="008A5F3B">
        <w:rPr>
          <w:color w:val="000000"/>
          <w:szCs w:val="22"/>
          <w:lang w:val="fr-FR"/>
        </w:rPr>
        <w:t>13)], ou la protéine issue de ce gène hybride était présente chez pratiquement tous les répondeurs au traitement par Glivec.</w:t>
      </w:r>
    </w:p>
    <w:p w14:paraId="2903B50B" w14:textId="77777777" w:rsidR="00EF4CB3" w:rsidRPr="008A5F3B" w:rsidRDefault="00EF4CB3" w:rsidP="007F23EE">
      <w:pPr>
        <w:pStyle w:val="EndnoteText"/>
        <w:tabs>
          <w:tab w:val="clear" w:pos="567"/>
        </w:tabs>
        <w:rPr>
          <w:color w:val="000000"/>
          <w:szCs w:val="22"/>
          <w:lang w:val="fr-FR"/>
        </w:rPr>
      </w:pPr>
    </w:p>
    <w:p w14:paraId="0E453D51" w14:textId="77777777" w:rsidR="00EF4CB3" w:rsidRPr="008A5F3B" w:rsidRDefault="00EF4CB3" w:rsidP="007F23EE">
      <w:pPr>
        <w:pStyle w:val="EndnoteText"/>
        <w:tabs>
          <w:tab w:val="clear" w:pos="567"/>
        </w:tabs>
        <w:rPr>
          <w:color w:val="000000"/>
          <w:szCs w:val="22"/>
          <w:lang w:val="fr-FR"/>
        </w:rPr>
      </w:pPr>
      <w:r w:rsidRPr="008A5F3B">
        <w:rPr>
          <w:color w:val="000000"/>
          <w:szCs w:val="22"/>
          <w:lang w:val="fr-FR"/>
        </w:rPr>
        <w:t>Il n’existe pas d’étude clinique chez les patients pédiatriques atteints de DFSP. Cinq (5) cas de patients atteints de DFSP associés à des réarrangements du gène PDGFR ont été rapportés dans 3 publications. L’âge de ces patients allait du nouveau-né à 14 ans et l’imatinib était administré à une posologie de 50 mg par jour ou comprise entre 400 et 520 mg/m² par jour. Tous les patients ont atteint une réponse partielle et/ou complète.</w:t>
      </w:r>
    </w:p>
    <w:p w14:paraId="114E14FF" w14:textId="77777777" w:rsidR="00EF4CB3" w:rsidRPr="008A5F3B" w:rsidRDefault="00EF4CB3" w:rsidP="007F23EE">
      <w:pPr>
        <w:pStyle w:val="EndnoteText"/>
        <w:tabs>
          <w:tab w:val="clear" w:pos="567"/>
        </w:tabs>
        <w:rPr>
          <w:color w:val="000000"/>
          <w:szCs w:val="22"/>
          <w:lang w:val="fr-FR"/>
        </w:rPr>
      </w:pPr>
    </w:p>
    <w:p w14:paraId="7B883E2E" w14:textId="77777777" w:rsidR="007D642D" w:rsidRPr="008A5F3B" w:rsidRDefault="007D642D" w:rsidP="007F23EE">
      <w:pPr>
        <w:keepNext/>
        <w:ind w:left="567" w:hanging="567"/>
        <w:rPr>
          <w:rFonts w:ascii="Times New Roman" w:hAnsi="Times New Roman"/>
          <w:color w:val="000000"/>
          <w:szCs w:val="22"/>
        </w:rPr>
      </w:pPr>
      <w:r w:rsidRPr="008A5F3B">
        <w:rPr>
          <w:rFonts w:ascii="Times New Roman" w:hAnsi="Times New Roman"/>
          <w:b/>
          <w:color w:val="000000"/>
          <w:szCs w:val="22"/>
        </w:rPr>
        <w:t>5.2</w:t>
      </w:r>
      <w:r w:rsidRPr="008A5F3B">
        <w:rPr>
          <w:rFonts w:ascii="Times New Roman" w:hAnsi="Times New Roman"/>
          <w:b/>
          <w:color w:val="000000"/>
          <w:szCs w:val="22"/>
        </w:rPr>
        <w:tab/>
        <w:t>Propriétés pharmacocinétiques</w:t>
      </w:r>
    </w:p>
    <w:p w14:paraId="34C67478" w14:textId="77777777" w:rsidR="007D642D" w:rsidRPr="008A5F3B" w:rsidRDefault="007D642D" w:rsidP="007F23EE">
      <w:pPr>
        <w:pStyle w:val="EndnoteText"/>
        <w:keepNext/>
        <w:tabs>
          <w:tab w:val="clear" w:pos="567"/>
        </w:tabs>
        <w:rPr>
          <w:color w:val="000000"/>
          <w:szCs w:val="22"/>
          <w:lang w:val="fr-FR"/>
        </w:rPr>
      </w:pPr>
    </w:p>
    <w:p w14:paraId="3C6EE44E" w14:textId="6221EB9D" w:rsidR="007D642D" w:rsidRPr="008A5F3B" w:rsidRDefault="007D642D" w:rsidP="007F23EE">
      <w:pPr>
        <w:pStyle w:val="EndnoteText"/>
        <w:keepNext/>
        <w:tabs>
          <w:tab w:val="clear" w:pos="567"/>
        </w:tabs>
        <w:rPr>
          <w:color w:val="000000"/>
          <w:szCs w:val="22"/>
          <w:u w:val="single"/>
          <w:lang w:val="fr-FR"/>
        </w:rPr>
      </w:pPr>
      <w:r w:rsidRPr="008A5F3B">
        <w:rPr>
          <w:color w:val="000000"/>
          <w:szCs w:val="22"/>
          <w:u w:val="single"/>
          <w:lang w:val="fr-FR"/>
        </w:rPr>
        <w:t>Paramètres pharmacocinétiques de Glivec</w:t>
      </w:r>
    </w:p>
    <w:p w14:paraId="4A58DA2C" w14:textId="77777777" w:rsidR="0028607D" w:rsidRPr="008A5F3B" w:rsidRDefault="0028607D" w:rsidP="007F23EE">
      <w:pPr>
        <w:pStyle w:val="EndnoteText"/>
        <w:keepNext/>
        <w:tabs>
          <w:tab w:val="clear" w:pos="567"/>
        </w:tabs>
        <w:rPr>
          <w:color w:val="000000"/>
          <w:szCs w:val="22"/>
          <w:u w:val="single"/>
          <w:lang w:val="fr-FR"/>
        </w:rPr>
      </w:pPr>
    </w:p>
    <w:p w14:paraId="05394D78" w14:textId="39677DD3" w:rsidR="007D642D" w:rsidRPr="008A5F3B" w:rsidRDefault="007D642D" w:rsidP="007F23EE">
      <w:pPr>
        <w:pStyle w:val="EndnoteText"/>
        <w:tabs>
          <w:tab w:val="clear" w:pos="567"/>
        </w:tabs>
        <w:rPr>
          <w:color w:val="000000"/>
          <w:szCs w:val="22"/>
          <w:lang w:val="fr-FR"/>
        </w:rPr>
      </w:pPr>
      <w:r w:rsidRPr="008A5F3B">
        <w:rPr>
          <w:color w:val="000000"/>
          <w:szCs w:val="22"/>
          <w:lang w:val="fr-FR"/>
        </w:rPr>
        <w:t>La pharmacocinétique de Glivec a été évaluée à des doses comprises entre 25 et 1 000 mg. Les profils pharmacocinétiques plasmatiques ont été analysés à J1, puis à J7 ou J28, au moment où les concentrations plasmatiques ont atteint un état d</w:t>
      </w:r>
      <w:r w:rsidR="00813A7A">
        <w:rPr>
          <w:color w:val="000000"/>
          <w:szCs w:val="22"/>
          <w:lang w:val="fr-FR"/>
        </w:rPr>
        <w:t>’</w:t>
      </w:r>
      <w:r w:rsidRPr="008A5F3B">
        <w:rPr>
          <w:color w:val="000000"/>
          <w:szCs w:val="22"/>
          <w:lang w:val="fr-FR"/>
        </w:rPr>
        <w:t>équilibre.</w:t>
      </w:r>
    </w:p>
    <w:p w14:paraId="025DB2DD" w14:textId="77777777" w:rsidR="007D642D" w:rsidRPr="008A5F3B" w:rsidRDefault="007D642D" w:rsidP="007F23EE">
      <w:pPr>
        <w:pStyle w:val="EndnoteText"/>
        <w:tabs>
          <w:tab w:val="clear" w:pos="567"/>
        </w:tabs>
        <w:rPr>
          <w:color w:val="000000"/>
          <w:szCs w:val="22"/>
          <w:lang w:val="fr-FR"/>
        </w:rPr>
      </w:pPr>
    </w:p>
    <w:p w14:paraId="5FA37996" w14:textId="4DB6B8A7" w:rsidR="007D642D" w:rsidRPr="008A5F3B" w:rsidRDefault="007D642D" w:rsidP="007F23EE">
      <w:pPr>
        <w:pStyle w:val="EndnoteText"/>
        <w:keepNext/>
        <w:tabs>
          <w:tab w:val="clear" w:pos="567"/>
        </w:tabs>
        <w:rPr>
          <w:color w:val="000000"/>
          <w:szCs w:val="22"/>
          <w:u w:val="single"/>
          <w:lang w:val="fr-FR"/>
        </w:rPr>
      </w:pPr>
      <w:r w:rsidRPr="008A5F3B">
        <w:rPr>
          <w:color w:val="000000"/>
          <w:szCs w:val="22"/>
          <w:u w:val="single"/>
          <w:lang w:val="fr-FR"/>
        </w:rPr>
        <w:t>Absorption</w:t>
      </w:r>
    </w:p>
    <w:p w14:paraId="75D6C35E" w14:textId="77777777" w:rsidR="0028607D" w:rsidRPr="008A5F3B" w:rsidRDefault="0028607D" w:rsidP="007F23EE">
      <w:pPr>
        <w:pStyle w:val="EndnoteText"/>
        <w:keepNext/>
        <w:tabs>
          <w:tab w:val="clear" w:pos="567"/>
        </w:tabs>
        <w:rPr>
          <w:color w:val="000000"/>
          <w:szCs w:val="22"/>
          <w:lang w:val="fr-FR"/>
        </w:rPr>
      </w:pPr>
    </w:p>
    <w:p w14:paraId="1D7C5D44" w14:textId="2F2F5277" w:rsidR="007D642D" w:rsidRPr="008A5F3B" w:rsidRDefault="007D642D" w:rsidP="007F23EE">
      <w:pPr>
        <w:pStyle w:val="EndnoteText"/>
        <w:tabs>
          <w:tab w:val="clear" w:pos="567"/>
        </w:tabs>
        <w:rPr>
          <w:color w:val="000000"/>
          <w:szCs w:val="22"/>
          <w:lang w:val="fr-FR"/>
        </w:rPr>
      </w:pPr>
      <w:r w:rsidRPr="008A5F3B">
        <w:rPr>
          <w:color w:val="000000"/>
          <w:szCs w:val="22"/>
          <w:lang w:val="fr-FR"/>
        </w:rPr>
        <w:t>La biodisponibilité absolue moyenne de l’imatinib est de 98%. Il existe une forte variabilité inter-patient de l’ASC de l’imatinib plasmatique après une prise orale. Lorsqu’il est pris au cours d’un repas riche en lipides, le taux d</w:t>
      </w:r>
      <w:r w:rsidR="00813A7A">
        <w:rPr>
          <w:color w:val="000000"/>
          <w:szCs w:val="22"/>
          <w:lang w:val="fr-FR"/>
        </w:rPr>
        <w:t>’</w:t>
      </w:r>
      <w:r w:rsidRPr="008A5F3B">
        <w:rPr>
          <w:color w:val="000000"/>
          <w:szCs w:val="22"/>
          <w:lang w:val="fr-FR"/>
        </w:rPr>
        <w:t>absorption de l</w:t>
      </w:r>
      <w:r w:rsidR="00813A7A">
        <w:rPr>
          <w:color w:val="000000"/>
          <w:szCs w:val="22"/>
          <w:lang w:val="fr-FR"/>
        </w:rPr>
        <w:t>’</w:t>
      </w:r>
      <w:r w:rsidRPr="008A5F3B">
        <w:rPr>
          <w:color w:val="000000"/>
          <w:szCs w:val="22"/>
          <w:lang w:val="fr-FR"/>
        </w:rPr>
        <w:t>imatinib est peu réduit (diminution de 11% de la C</w:t>
      </w:r>
      <w:r w:rsidRPr="008A5F3B">
        <w:rPr>
          <w:color w:val="000000"/>
          <w:szCs w:val="22"/>
          <w:vertAlign w:val="subscript"/>
          <w:lang w:val="fr-FR"/>
        </w:rPr>
        <w:t>max</w:t>
      </w:r>
      <w:r w:rsidRPr="008A5F3B">
        <w:rPr>
          <w:color w:val="000000"/>
          <w:szCs w:val="22"/>
          <w:lang w:val="fr-FR"/>
        </w:rPr>
        <w:t xml:space="preserve"> et prolongation de 1,5 h de </w:t>
      </w:r>
      <w:proofErr w:type="spellStart"/>
      <w:r w:rsidRPr="008A5F3B">
        <w:rPr>
          <w:color w:val="000000"/>
          <w:szCs w:val="22"/>
          <w:lang w:val="fr-FR"/>
        </w:rPr>
        <w:t>t</w:t>
      </w:r>
      <w:r w:rsidRPr="008A5F3B">
        <w:rPr>
          <w:color w:val="000000"/>
          <w:szCs w:val="22"/>
          <w:vertAlign w:val="subscript"/>
          <w:lang w:val="fr-FR"/>
        </w:rPr>
        <w:t>max</w:t>
      </w:r>
      <w:proofErr w:type="spellEnd"/>
      <w:r w:rsidRPr="008A5F3B">
        <w:rPr>
          <w:color w:val="000000"/>
          <w:szCs w:val="22"/>
          <w:lang w:val="fr-FR"/>
        </w:rPr>
        <w:t>), avec une légère diminution de l’ASC (7,4%) comparée à une prise à jeun. L’effet d’une chirurgie gastro-intestinale antérieure sur l’absorption du produit n’a pas été étudiée.</w:t>
      </w:r>
    </w:p>
    <w:p w14:paraId="4712C827" w14:textId="77777777" w:rsidR="007D642D" w:rsidRPr="008A5F3B" w:rsidRDefault="007D642D" w:rsidP="007F23EE">
      <w:pPr>
        <w:pStyle w:val="EndnoteText"/>
        <w:tabs>
          <w:tab w:val="clear" w:pos="567"/>
        </w:tabs>
        <w:rPr>
          <w:color w:val="000000"/>
          <w:szCs w:val="22"/>
          <w:lang w:val="fr-FR"/>
        </w:rPr>
      </w:pPr>
    </w:p>
    <w:p w14:paraId="369560D4" w14:textId="4B11F225" w:rsidR="007D642D" w:rsidRPr="008A5F3B" w:rsidRDefault="007D642D" w:rsidP="007F23EE">
      <w:pPr>
        <w:pStyle w:val="EndnoteText"/>
        <w:keepNext/>
        <w:tabs>
          <w:tab w:val="clear" w:pos="567"/>
        </w:tabs>
        <w:rPr>
          <w:color w:val="000000"/>
          <w:szCs w:val="22"/>
          <w:u w:val="single"/>
          <w:lang w:val="fr-FR"/>
        </w:rPr>
      </w:pPr>
      <w:r w:rsidRPr="008A5F3B">
        <w:rPr>
          <w:color w:val="000000"/>
          <w:szCs w:val="22"/>
          <w:u w:val="single"/>
          <w:lang w:val="fr-FR"/>
        </w:rPr>
        <w:t>Distribution</w:t>
      </w:r>
    </w:p>
    <w:p w14:paraId="0A835F2B" w14:textId="77777777" w:rsidR="0028607D" w:rsidRPr="008A5F3B" w:rsidRDefault="0028607D" w:rsidP="007F23EE">
      <w:pPr>
        <w:pStyle w:val="EndnoteText"/>
        <w:keepNext/>
        <w:tabs>
          <w:tab w:val="clear" w:pos="567"/>
        </w:tabs>
        <w:rPr>
          <w:color w:val="000000"/>
          <w:szCs w:val="22"/>
          <w:lang w:val="fr-FR"/>
        </w:rPr>
      </w:pPr>
    </w:p>
    <w:p w14:paraId="1BB064A2" w14:textId="77777777" w:rsidR="007D642D" w:rsidRPr="008A5F3B" w:rsidRDefault="007D642D" w:rsidP="007F23EE">
      <w:pPr>
        <w:pStyle w:val="EndnoteText"/>
        <w:tabs>
          <w:tab w:val="clear" w:pos="567"/>
        </w:tabs>
        <w:rPr>
          <w:color w:val="000000"/>
          <w:szCs w:val="22"/>
          <w:lang w:val="fr-FR"/>
        </w:rPr>
      </w:pPr>
      <w:r w:rsidRPr="008A5F3B">
        <w:rPr>
          <w:color w:val="000000"/>
          <w:szCs w:val="22"/>
          <w:lang w:val="fr-FR"/>
        </w:rPr>
        <w:t xml:space="preserve">A des concentrations d’imatinib cliniquement significatives, la fraction liée aux protéines plasmatiques est approximativement de 95%, sur la base des études </w:t>
      </w:r>
      <w:r w:rsidRPr="008A5F3B">
        <w:rPr>
          <w:i/>
          <w:color w:val="000000"/>
          <w:szCs w:val="22"/>
          <w:lang w:val="fr-FR"/>
        </w:rPr>
        <w:t>in vitro</w:t>
      </w:r>
      <w:r w:rsidRPr="008A5F3B">
        <w:rPr>
          <w:color w:val="000000"/>
          <w:szCs w:val="22"/>
          <w:lang w:val="fr-FR"/>
        </w:rPr>
        <w:t> ; il s’agit principalement d’une liaison à l’albumine et aux alpha-glycoprotéines acides, et dans une faible mesure aux lipoprotéines.</w:t>
      </w:r>
    </w:p>
    <w:p w14:paraId="5911567E" w14:textId="77777777" w:rsidR="007D642D" w:rsidRPr="008A5F3B" w:rsidRDefault="007D642D" w:rsidP="007F23EE">
      <w:pPr>
        <w:pStyle w:val="EndnoteText"/>
        <w:tabs>
          <w:tab w:val="clear" w:pos="567"/>
        </w:tabs>
        <w:rPr>
          <w:color w:val="000000"/>
          <w:szCs w:val="22"/>
          <w:lang w:val="fr-FR"/>
        </w:rPr>
      </w:pPr>
    </w:p>
    <w:p w14:paraId="09301018" w14:textId="6CE6B369" w:rsidR="007D642D" w:rsidRPr="008A5F3B" w:rsidRDefault="007D642D" w:rsidP="007F23EE">
      <w:pPr>
        <w:pStyle w:val="EndnoteText"/>
        <w:keepNext/>
        <w:tabs>
          <w:tab w:val="clear" w:pos="567"/>
        </w:tabs>
        <w:rPr>
          <w:color w:val="000000"/>
          <w:szCs w:val="22"/>
          <w:u w:val="single"/>
          <w:lang w:val="fr-FR"/>
        </w:rPr>
      </w:pPr>
      <w:r w:rsidRPr="008A5F3B">
        <w:rPr>
          <w:color w:val="000000"/>
          <w:szCs w:val="22"/>
          <w:u w:val="single"/>
          <w:lang w:val="fr-FR"/>
        </w:rPr>
        <w:t>Biotransformation</w:t>
      </w:r>
    </w:p>
    <w:p w14:paraId="697DA539" w14:textId="77777777" w:rsidR="0028607D" w:rsidRPr="008A5F3B" w:rsidRDefault="0028607D" w:rsidP="007F23EE">
      <w:pPr>
        <w:pStyle w:val="EndnoteText"/>
        <w:keepNext/>
        <w:tabs>
          <w:tab w:val="clear" w:pos="567"/>
        </w:tabs>
        <w:rPr>
          <w:color w:val="000000"/>
          <w:szCs w:val="22"/>
          <w:lang w:val="fr-FR"/>
        </w:rPr>
      </w:pPr>
    </w:p>
    <w:p w14:paraId="13E626EA" w14:textId="4123D7EB" w:rsidR="007D642D" w:rsidRPr="008A5F3B" w:rsidRDefault="007D642D" w:rsidP="007F23EE">
      <w:pPr>
        <w:pStyle w:val="EndnoteText"/>
        <w:tabs>
          <w:tab w:val="clear" w:pos="567"/>
        </w:tabs>
        <w:rPr>
          <w:color w:val="000000"/>
          <w:szCs w:val="22"/>
          <w:lang w:val="fr-FR"/>
        </w:rPr>
      </w:pPr>
      <w:r w:rsidRPr="008A5F3B">
        <w:rPr>
          <w:color w:val="000000"/>
          <w:szCs w:val="22"/>
          <w:lang w:val="fr-FR"/>
        </w:rPr>
        <w:t xml:space="preserve">Chez l’homme, le principal métabolite circulant est le dérivé pipérazine N-déméthylé qui présente </w:t>
      </w:r>
      <w:r w:rsidRPr="008A5F3B">
        <w:rPr>
          <w:i/>
          <w:color w:val="000000"/>
          <w:szCs w:val="22"/>
          <w:lang w:val="fr-FR"/>
        </w:rPr>
        <w:t>in vitro</w:t>
      </w:r>
      <w:r w:rsidRPr="008A5F3B">
        <w:rPr>
          <w:color w:val="000000"/>
          <w:szCs w:val="22"/>
          <w:lang w:val="fr-FR"/>
        </w:rPr>
        <w:t xml:space="preserve"> une activité similaire à l’imatinib. L</w:t>
      </w:r>
      <w:r w:rsidR="00653BF6">
        <w:rPr>
          <w:color w:val="000000"/>
          <w:szCs w:val="22"/>
          <w:lang w:val="fr-FR"/>
        </w:rPr>
        <w:t>’</w:t>
      </w:r>
      <w:r w:rsidRPr="008A5F3B">
        <w:rPr>
          <w:color w:val="000000"/>
          <w:szCs w:val="22"/>
          <w:lang w:val="fr-FR"/>
        </w:rPr>
        <w:t>ASC plasmatique de ce métabolite n’atteint que 16% de l</w:t>
      </w:r>
      <w:r w:rsidR="00653BF6">
        <w:rPr>
          <w:color w:val="000000"/>
          <w:szCs w:val="22"/>
          <w:lang w:val="fr-FR"/>
        </w:rPr>
        <w:t>’</w:t>
      </w:r>
      <w:r w:rsidRPr="008A5F3B">
        <w:rPr>
          <w:color w:val="000000"/>
          <w:szCs w:val="22"/>
          <w:lang w:val="fr-FR"/>
        </w:rPr>
        <w:t>ASC de l</w:t>
      </w:r>
      <w:r w:rsidR="00653BF6">
        <w:rPr>
          <w:color w:val="000000"/>
          <w:szCs w:val="22"/>
          <w:lang w:val="fr-FR"/>
        </w:rPr>
        <w:t>’</w:t>
      </w:r>
      <w:r w:rsidRPr="008A5F3B">
        <w:rPr>
          <w:color w:val="000000"/>
          <w:szCs w:val="22"/>
          <w:lang w:val="fr-FR"/>
        </w:rPr>
        <w:t>imatinib. L’affinité pour les protéines plasmatiques du métabolite N-déméthylé est similaire à celle de la molécule mère.</w:t>
      </w:r>
    </w:p>
    <w:p w14:paraId="7F6F8957" w14:textId="77777777" w:rsidR="007D642D" w:rsidRPr="008A5F3B" w:rsidRDefault="007D642D" w:rsidP="007F23EE">
      <w:pPr>
        <w:pStyle w:val="EndnoteText"/>
        <w:tabs>
          <w:tab w:val="clear" w:pos="567"/>
        </w:tabs>
        <w:rPr>
          <w:color w:val="000000"/>
          <w:szCs w:val="22"/>
          <w:lang w:val="fr-FR"/>
        </w:rPr>
      </w:pPr>
    </w:p>
    <w:p w14:paraId="74F4C07E" w14:textId="77777777" w:rsidR="007D642D" w:rsidRPr="008A5F3B" w:rsidRDefault="007D642D" w:rsidP="007F23EE">
      <w:pPr>
        <w:pStyle w:val="EndnoteText"/>
        <w:tabs>
          <w:tab w:val="clear" w:pos="567"/>
        </w:tabs>
        <w:rPr>
          <w:color w:val="000000"/>
          <w:szCs w:val="22"/>
          <w:lang w:val="fr-FR"/>
        </w:rPr>
      </w:pPr>
      <w:r w:rsidRPr="008A5F3B">
        <w:rPr>
          <w:color w:val="000000"/>
          <w:szCs w:val="22"/>
          <w:lang w:val="fr-FR"/>
        </w:rPr>
        <w:t>L’imatinib et le métabolite N-déméthylé représentent au total environ 65% du taux circulant de radioactivité (ASC</w:t>
      </w:r>
      <w:r w:rsidRPr="008A5F3B">
        <w:rPr>
          <w:color w:val="000000"/>
          <w:szCs w:val="22"/>
          <w:vertAlign w:val="subscript"/>
          <w:lang w:val="fr-FR"/>
        </w:rPr>
        <w:t>(0-48h)</w:t>
      </w:r>
      <w:r w:rsidRPr="008A5F3B">
        <w:rPr>
          <w:color w:val="000000"/>
          <w:szCs w:val="22"/>
          <w:lang w:val="fr-FR"/>
        </w:rPr>
        <w:t>). Le taux circulant de radioactivité restant correspond à un nombre de métabolites mineurs.</w:t>
      </w:r>
    </w:p>
    <w:p w14:paraId="6C89A592" w14:textId="77777777" w:rsidR="007D642D" w:rsidRPr="008A5F3B" w:rsidRDefault="007D642D" w:rsidP="007F23EE">
      <w:pPr>
        <w:pStyle w:val="EndnoteText"/>
        <w:tabs>
          <w:tab w:val="clear" w:pos="567"/>
        </w:tabs>
        <w:rPr>
          <w:color w:val="000000"/>
          <w:szCs w:val="22"/>
          <w:lang w:val="fr-FR"/>
        </w:rPr>
      </w:pPr>
    </w:p>
    <w:p w14:paraId="77A1BF5B" w14:textId="77777777" w:rsidR="007D642D" w:rsidRPr="008A5F3B" w:rsidRDefault="007D642D" w:rsidP="007F23EE">
      <w:pPr>
        <w:pStyle w:val="EndnoteText"/>
        <w:tabs>
          <w:tab w:val="clear" w:pos="567"/>
        </w:tabs>
        <w:rPr>
          <w:color w:val="000000"/>
          <w:szCs w:val="22"/>
          <w:lang w:val="fr-FR"/>
        </w:rPr>
      </w:pPr>
      <w:r w:rsidRPr="008A5F3B">
        <w:rPr>
          <w:color w:val="000000"/>
          <w:szCs w:val="22"/>
          <w:lang w:val="fr-FR"/>
        </w:rPr>
        <w:lastRenderedPageBreak/>
        <w:t xml:space="preserve">Les tests </w:t>
      </w:r>
      <w:r w:rsidRPr="008A5F3B">
        <w:rPr>
          <w:i/>
          <w:color w:val="000000"/>
          <w:szCs w:val="22"/>
          <w:lang w:val="fr-FR"/>
        </w:rPr>
        <w:t>in vitro</w:t>
      </w:r>
      <w:r w:rsidRPr="008A5F3B">
        <w:rPr>
          <w:color w:val="000000"/>
          <w:szCs w:val="22"/>
          <w:lang w:val="fr-FR"/>
        </w:rPr>
        <w:t xml:space="preserve"> montrent que le CYP3A4 est le principal enzyme du cytochrome P450 humain catalysant la biotransformation de l’imatinib. Parmi un éventail de médicaments potentiellement </w:t>
      </w:r>
      <w:proofErr w:type="spellStart"/>
      <w:r w:rsidRPr="008A5F3B">
        <w:rPr>
          <w:color w:val="000000"/>
          <w:szCs w:val="22"/>
          <w:lang w:val="fr-FR"/>
        </w:rPr>
        <w:t>co-administrés</w:t>
      </w:r>
      <w:proofErr w:type="spellEnd"/>
      <w:r w:rsidRPr="008A5F3B">
        <w:rPr>
          <w:color w:val="000000"/>
          <w:szCs w:val="22"/>
          <w:lang w:val="fr-FR"/>
        </w:rPr>
        <w:t xml:space="preserve"> (paracétamol, aciclovir, allopurinol, amphotéricine, cytarabine, érythromycine, </w:t>
      </w:r>
      <w:proofErr w:type="spellStart"/>
      <w:r w:rsidRPr="008A5F3B">
        <w:rPr>
          <w:color w:val="000000"/>
          <w:szCs w:val="22"/>
          <w:lang w:val="fr-FR"/>
        </w:rPr>
        <w:t>fluconazole</w:t>
      </w:r>
      <w:proofErr w:type="spellEnd"/>
      <w:r w:rsidRPr="008A5F3B">
        <w:rPr>
          <w:color w:val="000000"/>
          <w:szCs w:val="22"/>
          <w:lang w:val="fr-FR"/>
        </w:rPr>
        <w:t xml:space="preserve">, </w:t>
      </w:r>
      <w:proofErr w:type="spellStart"/>
      <w:r w:rsidRPr="008A5F3B">
        <w:rPr>
          <w:color w:val="000000"/>
          <w:szCs w:val="22"/>
          <w:lang w:val="fr-FR"/>
        </w:rPr>
        <w:t>hydroxyurée</w:t>
      </w:r>
      <w:proofErr w:type="spellEnd"/>
      <w:r w:rsidRPr="008A5F3B">
        <w:rPr>
          <w:color w:val="000000"/>
          <w:szCs w:val="22"/>
          <w:lang w:val="fr-FR"/>
        </w:rPr>
        <w:t xml:space="preserve">, </w:t>
      </w:r>
      <w:proofErr w:type="spellStart"/>
      <w:r w:rsidRPr="008A5F3B">
        <w:rPr>
          <w:color w:val="000000"/>
          <w:szCs w:val="22"/>
          <w:lang w:val="fr-FR"/>
        </w:rPr>
        <w:t>norfloxacine</w:t>
      </w:r>
      <w:proofErr w:type="spellEnd"/>
      <w:r w:rsidRPr="008A5F3B">
        <w:rPr>
          <w:color w:val="000000"/>
          <w:szCs w:val="22"/>
          <w:lang w:val="fr-FR"/>
        </w:rPr>
        <w:t>, pénicilline V) seuls l’érythromycine (IC</w:t>
      </w:r>
      <w:r w:rsidRPr="008A5F3B">
        <w:rPr>
          <w:color w:val="000000"/>
          <w:szCs w:val="22"/>
          <w:vertAlign w:val="subscript"/>
          <w:lang w:val="fr-FR"/>
        </w:rPr>
        <w:t>50</w:t>
      </w:r>
      <w:r w:rsidRPr="008A5F3B">
        <w:rPr>
          <w:color w:val="000000"/>
          <w:szCs w:val="22"/>
          <w:lang w:val="fr-FR"/>
        </w:rPr>
        <w:t xml:space="preserve"> 50 µM) et le </w:t>
      </w:r>
      <w:proofErr w:type="spellStart"/>
      <w:r w:rsidRPr="008A5F3B">
        <w:rPr>
          <w:color w:val="000000"/>
          <w:szCs w:val="22"/>
          <w:lang w:val="fr-FR"/>
        </w:rPr>
        <w:t>fluconazole</w:t>
      </w:r>
      <w:proofErr w:type="spellEnd"/>
      <w:r w:rsidRPr="008A5F3B">
        <w:rPr>
          <w:color w:val="000000"/>
          <w:szCs w:val="22"/>
          <w:lang w:val="fr-FR"/>
        </w:rPr>
        <w:t xml:space="preserve"> (IC</w:t>
      </w:r>
      <w:r w:rsidRPr="008A5F3B">
        <w:rPr>
          <w:color w:val="000000"/>
          <w:szCs w:val="22"/>
          <w:vertAlign w:val="subscript"/>
          <w:lang w:val="fr-FR"/>
        </w:rPr>
        <w:t>50</w:t>
      </w:r>
      <w:r w:rsidRPr="008A5F3B">
        <w:rPr>
          <w:color w:val="000000"/>
          <w:szCs w:val="22"/>
          <w:lang w:val="fr-FR"/>
        </w:rPr>
        <w:t xml:space="preserve"> 118 µM) ont montré une inhibition du métabolisme de l’imatinib pouvant être cliniquement significative.</w:t>
      </w:r>
    </w:p>
    <w:p w14:paraId="133706DD" w14:textId="77777777" w:rsidR="007D642D" w:rsidRPr="008A5F3B" w:rsidRDefault="007D642D" w:rsidP="007F23EE">
      <w:pPr>
        <w:pStyle w:val="EndnoteText"/>
        <w:tabs>
          <w:tab w:val="clear" w:pos="567"/>
        </w:tabs>
        <w:rPr>
          <w:color w:val="000000"/>
          <w:szCs w:val="22"/>
          <w:lang w:val="fr-FR"/>
        </w:rPr>
      </w:pPr>
    </w:p>
    <w:p w14:paraId="410F090D" w14:textId="651AEBE7" w:rsidR="007D642D" w:rsidRPr="008A5F3B" w:rsidRDefault="007D642D" w:rsidP="007F23EE">
      <w:pPr>
        <w:pStyle w:val="EndnoteText"/>
        <w:tabs>
          <w:tab w:val="clear" w:pos="567"/>
        </w:tabs>
        <w:rPr>
          <w:color w:val="000000"/>
          <w:szCs w:val="22"/>
          <w:lang w:val="fr-FR"/>
        </w:rPr>
      </w:pPr>
      <w:r w:rsidRPr="008A5F3B">
        <w:rPr>
          <w:i/>
          <w:color w:val="000000"/>
          <w:szCs w:val="22"/>
          <w:lang w:val="fr-FR"/>
        </w:rPr>
        <w:t>In vitro</w:t>
      </w:r>
      <w:r w:rsidRPr="008A5F3B">
        <w:rPr>
          <w:color w:val="000000"/>
          <w:szCs w:val="22"/>
          <w:lang w:val="fr-FR"/>
        </w:rPr>
        <w:t>, l’imatinib est un inhibiteur compétitif des substrats marqués du CYP2C9, des CYP2D6 et des CYP3A4/5 avec des valeurs de Ki de 27, 7,5 et 7,9 respectivement obtenues sur les microsomes hépatiques humains. Les concentrations plasmatiques maximales de l’imatinib sont de 2–4 µmol/</w:t>
      </w:r>
      <w:del w:id="678" w:author="Author">
        <w:r w:rsidRPr="008A5F3B" w:rsidDel="00503B83">
          <w:rPr>
            <w:color w:val="000000"/>
            <w:szCs w:val="22"/>
            <w:lang w:val="fr-FR"/>
          </w:rPr>
          <w:delText>l</w:delText>
        </w:r>
      </w:del>
      <w:ins w:id="679" w:author="Author">
        <w:r w:rsidR="00503B83" w:rsidRPr="00503B83">
          <w:rPr>
            <w:color w:val="000000"/>
            <w:szCs w:val="22"/>
            <w:lang w:val="fr-FR"/>
          </w:rPr>
          <w:t>L</w:t>
        </w:r>
      </w:ins>
      <w:r w:rsidRPr="008A5F3B">
        <w:rPr>
          <w:color w:val="000000"/>
          <w:szCs w:val="22"/>
          <w:lang w:val="fr-FR"/>
        </w:rPr>
        <w:t xml:space="preserve">. Par conséquent, une inhibition du métabolisme de produits </w:t>
      </w:r>
      <w:proofErr w:type="spellStart"/>
      <w:r w:rsidRPr="008A5F3B">
        <w:rPr>
          <w:color w:val="000000"/>
          <w:szCs w:val="22"/>
          <w:lang w:val="fr-FR"/>
        </w:rPr>
        <w:t>co-administrés</w:t>
      </w:r>
      <w:proofErr w:type="spellEnd"/>
      <w:r w:rsidRPr="008A5F3B">
        <w:rPr>
          <w:color w:val="000000"/>
          <w:szCs w:val="22"/>
          <w:lang w:val="fr-FR"/>
        </w:rPr>
        <w:t xml:space="preserve"> mettant en jeu les CYP2D6 et CYP3A4/5 est possible.</w:t>
      </w:r>
      <w:r w:rsidR="00813A7A">
        <w:rPr>
          <w:color w:val="000000"/>
          <w:szCs w:val="22"/>
          <w:lang w:val="fr-FR"/>
        </w:rPr>
        <w:t xml:space="preserve"> </w:t>
      </w:r>
      <w:r w:rsidRPr="008A5F3B">
        <w:rPr>
          <w:color w:val="000000"/>
          <w:szCs w:val="22"/>
          <w:lang w:val="fr-FR"/>
        </w:rPr>
        <w:t>L’imatinib n’interfère pas avec la biotransformation du 5-fluorouracile mais inhibe le métabolisme du paclitaxel par inhibition compétitive du CYP2C8 (K</w:t>
      </w:r>
      <w:r w:rsidRPr="008A5F3B">
        <w:rPr>
          <w:color w:val="000000"/>
          <w:szCs w:val="22"/>
          <w:vertAlign w:val="subscript"/>
          <w:lang w:val="fr-FR"/>
        </w:rPr>
        <w:t>i</w:t>
      </w:r>
      <w:r w:rsidRPr="008A5F3B">
        <w:rPr>
          <w:color w:val="000000"/>
          <w:szCs w:val="22"/>
          <w:lang w:val="fr-FR"/>
        </w:rPr>
        <w:t xml:space="preserve"> = 34,7). Cette valeur de Ki est de loin supérieure aux taux plasmatiques d’imatinib prévisibles chez les patients. Par conséquent, aucune interaction n’est attendue en cas de </w:t>
      </w:r>
      <w:proofErr w:type="spellStart"/>
      <w:r w:rsidRPr="008A5F3B">
        <w:rPr>
          <w:color w:val="000000"/>
          <w:szCs w:val="22"/>
          <w:lang w:val="fr-FR"/>
        </w:rPr>
        <w:t>co</w:t>
      </w:r>
      <w:proofErr w:type="spellEnd"/>
      <w:r w:rsidRPr="008A5F3B">
        <w:rPr>
          <w:color w:val="000000"/>
          <w:szCs w:val="22"/>
          <w:lang w:val="fr-FR"/>
        </w:rPr>
        <w:t>-administration de l’imatinib avec le 5-fluorouracile ou le paclitaxel.</w:t>
      </w:r>
    </w:p>
    <w:p w14:paraId="78DB1D79" w14:textId="77777777" w:rsidR="007D642D" w:rsidRPr="008A5F3B" w:rsidRDefault="007D642D" w:rsidP="007F23EE">
      <w:pPr>
        <w:pStyle w:val="EndnoteText"/>
        <w:tabs>
          <w:tab w:val="clear" w:pos="567"/>
        </w:tabs>
        <w:rPr>
          <w:color w:val="000000"/>
          <w:szCs w:val="22"/>
          <w:lang w:val="fr-FR"/>
        </w:rPr>
      </w:pPr>
    </w:p>
    <w:p w14:paraId="09069E6D" w14:textId="14387312" w:rsidR="007D642D" w:rsidRPr="008A5F3B" w:rsidRDefault="006E7418" w:rsidP="007F23EE">
      <w:pPr>
        <w:pStyle w:val="EndnoteText"/>
        <w:keepNext/>
        <w:tabs>
          <w:tab w:val="clear" w:pos="567"/>
        </w:tabs>
        <w:rPr>
          <w:color w:val="000000"/>
          <w:szCs w:val="22"/>
          <w:u w:val="single"/>
          <w:lang w:val="fr-FR"/>
        </w:rPr>
      </w:pPr>
      <w:r w:rsidRPr="008A5F3B">
        <w:rPr>
          <w:color w:val="000000"/>
          <w:szCs w:val="22"/>
          <w:u w:val="single"/>
          <w:lang w:val="fr-FR"/>
        </w:rPr>
        <w:t>É</w:t>
      </w:r>
      <w:r w:rsidR="007D642D" w:rsidRPr="008A5F3B">
        <w:rPr>
          <w:color w:val="000000"/>
          <w:szCs w:val="22"/>
          <w:u w:val="single"/>
          <w:lang w:val="fr-FR"/>
        </w:rPr>
        <w:t>limination</w:t>
      </w:r>
    </w:p>
    <w:p w14:paraId="54A33A93" w14:textId="77777777" w:rsidR="0028607D" w:rsidRPr="008A5F3B" w:rsidRDefault="0028607D" w:rsidP="007F23EE">
      <w:pPr>
        <w:pStyle w:val="EndnoteText"/>
        <w:keepNext/>
        <w:tabs>
          <w:tab w:val="clear" w:pos="567"/>
        </w:tabs>
        <w:rPr>
          <w:color w:val="000000"/>
          <w:szCs w:val="22"/>
          <w:lang w:val="fr-FR"/>
        </w:rPr>
      </w:pPr>
    </w:p>
    <w:p w14:paraId="5DF86BA0" w14:textId="722EA4A4" w:rsidR="007D642D" w:rsidRPr="008A5F3B" w:rsidRDefault="007D642D" w:rsidP="007F23EE">
      <w:pPr>
        <w:pStyle w:val="EndnoteText"/>
        <w:tabs>
          <w:tab w:val="clear" w:pos="567"/>
        </w:tabs>
        <w:rPr>
          <w:color w:val="000000"/>
          <w:szCs w:val="22"/>
          <w:lang w:val="fr-FR"/>
        </w:rPr>
      </w:pPr>
      <w:r w:rsidRPr="008A5F3B">
        <w:rPr>
          <w:color w:val="000000"/>
          <w:szCs w:val="22"/>
          <w:lang w:val="fr-FR"/>
        </w:rPr>
        <w:t>Après administration d</w:t>
      </w:r>
      <w:r w:rsidR="00813A7A">
        <w:rPr>
          <w:color w:val="000000"/>
          <w:szCs w:val="22"/>
          <w:lang w:val="fr-FR"/>
        </w:rPr>
        <w:t>’</w:t>
      </w:r>
      <w:r w:rsidRPr="008A5F3B">
        <w:rPr>
          <w:color w:val="000000"/>
          <w:szCs w:val="22"/>
          <w:lang w:val="fr-FR"/>
        </w:rPr>
        <w:t>une dose orale d</w:t>
      </w:r>
      <w:r w:rsidR="00813A7A">
        <w:rPr>
          <w:color w:val="000000"/>
          <w:szCs w:val="22"/>
          <w:lang w:val="fr-FR"/>
        </w:rPr>
        <w:t>’</w:t>
      </w:r>
      <w:r w:rsidRPr="008A5F3B">
        <w:rPr>
          <w:color w:val="000000"/>
          <w:szCs w:val="22"/>
          <w:lang w:val="fr-FR"/>
        </w:rPr>
        <w:t xml:space="preserve">imatinib marqué au </w:t>
      </w:r>
      <w:smartTag w:uri="urn:schemas-microsoft-com:office:smarttags" w:element="metricconverter">
        <w:smartTagPr>
          <w:attr w:name="ProductID" w:val="14C"/>
        </w:smartTagPr>
        <w:r w:rsidRPr="008A5F3B">
          <w:rPr>
            <w:color w:val="000000"/>
            <w:szCs w:val="22"/>
            <w:vertAlign w:val="superscript"/>
            <w:lang w:val="fr-FR"/>
          </w:rPr>
          <w:t>14</w:t>
        </w:r>
        <w:r w:rsidRPr="008A5F3B">
          <w:rPr>
            <w:color w:val="000000"/>
            <w:szCs w:val="22"/>
            <w:lang w:val="fr-FR"/>
          </w:rPr>
          <w:t>C</w:t>
        </w:r>
      </w:smartTag>
      <w:r w:rsidRPr="008A5F3B">
        <w:rPr>
          <w:color w:val="000000"/>
          <w:szCs w:val="22"/>
          <w:lang w:val="fr-FR"/>
        </w:rPr>
        <w:t>, environ 81% de la dose est éliminée au bout de 7 jours (68% dans les fèces et 13% dans les urines). La forme inchangée représente 25% de la dose (5% dans les urines, 20% dans les fèces), le reste étant composé de métabolites.</w:t>
      </w:r>
    </w:p>
    <w:p w14:paraId="1E45C387" w14:textId="77777777" w:rsidR="007D642D" w:rsidRPr="008A5F3B" w:rsidRDefault="007D642D" w:rsidP="007F23EE">
      <w:pPr>
        <w:pStyle w:val="EndnoteText"/>
        <w:tabs>
          <w:tab w:val="clear" w:pos="567"/>
        </w:tabs>
        <w:rPr>
          <w:color w:val="000000"/>
          <w:szCs w:val="22"/>
          <w:lang w:val="fr-FR"/>
        </w:rPr>
      </w:pPr>
    </w:p>
    <w:p w14:paraId="756AC2D1" w14:textId="150B0CB8" w:rsidR="007D642D" w:rsidRPr="008A5F3B" w:rsidRDefault="007D642D" w:rsidP="007F23EE">
      <w:pPr>
        <w:pStyle w:val="EndnoteText"/>
        <w:keepNext/>
        <w:tabs>
          <w:tab w:val="clear" w:pos="567"/>
        </w:tabs>
        <w:rPr>
          <w:color w:val="000000"/>
          <w:szCs w:val="22"/>
          <w:u w:val="single"/>
          <w:lang w:val="fr-FR"/>
        </w:rPr>
      </w:pPr>
      <w:r w:rsidRPr="008A5F3B">
        <w:rPr>
          <w:color w:val="000000"/>
          <w:szCs w:val="22"/>
          <w:u w:val="single"/>
          <w:lang w:val="fr-FR"/>
        </w:rPr>
        <w:t>Pharmacocinétique plasmatique</w:t>
      </w:r>
    </w:p>
    <w:p w14:paraId="63F3B739" w14:textId="77777777" w:rsidR="0028607D" w:rsidRPr="008A5F3B" w:rsidRDefault="0028607D" w:rsidP="007F23EE">
      <w:pPr>
        <w:pStyle w:val="EndnoteText"/>
        <w:keepNext/>
        <w:tabs>
          <w:tab w:val="clear" w:pos="567"/>
        </w:tabs>
        <w:rPr>
          <w:color w:val="000000"/>
          <w:szCs w:val="22"/>
          <w:lang w:val="fr-FR"/>
        </w:rPr>
      </w:pPr>
    </w:p>
    <w:p w14:paraId="1BC0D5A6" w14:textId="37AB3D1F" w:rsidR="007D642D" w:rsidRPr="008A5F3B" w:rsidRDefault="007D642D" w:rsidP="007F23EE">
      <w:pPr>
        <w:pStyle w:val="EndnoteText"/>
        <w:tabs>
          <w:tab w:val="clear" w:pos="567"/>
        </w:tabs>
        <w:rPr>
          <w:color w:val="000000"/>
          <w:szCs w:val="22"/>
          <w:lang w:val="fr-FR"/>
        </w:rPr>
      </w:pPr>
      <w:r w:rsidRPr="008A5F3B">
        <w:rPr>
          <w:color w:val="000000"/>
          <w:szCs w:val="22"/>
          <w:lang w:val="fr-FR"/>
        </w:rPr>
        <w:t>Après administration par voie orale chez le volontaire sain, la demi-vie, d’environ 18 h, est compatible avec une prise quotidienne unique. L</w:t>
      </w:r>
      <w:r w:rsidR="00813A7A">
        <w:rPr>
          <w:color w:val="000000"/>
          <w:szCs w:val="22"/>
          <w:lang w:val="fr-FR"/>
        </w:rPr>
        <w:t>’</w:t>
      </w:r>
      <w:r w:rsidRPr="008A5F3B">
        <w:rPr>
          <w:color w:val="000000"/>
          <w:szCs w:val="22"/>
          <w:lang w:val="fr-FR"/>
        </w:rPr>
        <w:t>augmentation de l</w:t>
      </w:r>
      <w:r w:rsidR="00813A7A">
        <w:rPr>
          <w:color w:val="000000"/>
          <w:szCs w:val="22"/>
          <w:lang w:val="fr-FR"/>
        </w:rPr>
        <w:t>’</w:t>
      </w:r>
      <w:r w:rsidRPr="008A5F3B">
        <w:rPr>
          <w:color w:val="000000"/>
          <w:szCs w:val="22"/>
          <w:lang w:val="fr-FR"/>
        </w:rPr>
        <w:t>ASC moyenne de l</w:t>
      </w:r>
      <w:r w:rsidR="00813A7A">
        <w:rPr>
          <w:color w:val="000000"/>
          <w:szCs w:val="22"/>
          <w:lang w:val="fr-FR"/>
        </w:rPr>
        <w:t>’</w:t>
      </w:r>
      <w:r w:rsidRPr="008A5F3B">
        <w:rPr>
          <w:color w:val="000000"/>
          <w:szCs w:val="22"/>
          <w:lang w:val="fr-FR"/>
        </w:rPr>
        <w:t>imatinib est linéaire et proportionnelle à la dose administrée à des doses orales allant de 25 à 1 000 mg. Lors d’administrations répétées en prise quotidienne unique, la cinétique de l</w:t>
      </w:r>
      <w:r w:rsidR="00813A7A">
        <w:rPr>
          <w:color w:val="000000"/>
          <w:szCs w:val="22"/>
          <w:lang w:val="fr-FR"/>
        </w:rPr>
        <w:t>’</w:t>
      </w:r>
      <w:r w:rsidRPr="008A5F3B">
        <w:rPr>
          <w:color w:val="000000"/>
          <w:szCs w:val="22"/>
          <w:lang w:val="fr-FR"/>
        </w:rPr>
        <w:t>imatinib n’est pas modifiée, mais son accumulation, à l’état d</w:t>
      </w:r>
      <w:r w:rsidR="00813A7A">
        <w:rPr>
          <w:color w:val="000000"/>
          <w:szCs w:val="22"/>
          <w:lang w:val="fr-FR"/>
        </w:rPr>
        <w:t>’</w:t>
      </w:r>
      <w:r w:rsidRPr="008A5F3B">
        <w:rPr>
          <w:color w:val="000000"/>
          <w:szCs w:val="22"/>
          <w:lang w:val="fr-FR"/>
        </w:rPr>
        <w:t>équilibre, est augmentée d’un facteur de 1,5 à 2,5.</w:t>
      </w:r>
    </w:p>
    <w:p w14:paraId="4FD0EF63" w14:textId="77777777" w:rsidR="007D642D" w:rsidRPr="008A5F3B" w:rsidRDefault="007D642D" w:rsidP="007F23EE">
      <w:pPr>
        <w:pStyle w:val="EndnoteText"/>
        <w:tabs>
          <w:tab w:val="clear" w:pos="567"/>
        </w:tabs>
        <w:rPr>
          <w:color w:val="000000"/>
          <w:szCs w:val="22"/>
          <w:lang w:val="fr-FR"/>
        </w:rPr>
      </w:pPr>
    </w:p>
    <w:p w14:paraId="1D7C77A4" w14:textId="17C8F162" w:rsidR="007D642D" w:rsidRPr="008A5F3B" w:rsidRDefault="007D642D" w:rsidP="007F23EE">
      <w:pPr>
        <w:pStyle w:val="EndnoteText"/>
        <w:keepNext/>
        <w:tabs>
          <w:tab w:val="clear" w:pos="567"/>
        </w:tabs>
        <w:rPr>
          <w:color w:val="000000"/>
          <w:szCs w:val="22"/>
          <w:u w:val="single"/>
          <w:lang w:val="fr-FR"/>
        </w:rPr>
      </w:pPr>
      <w:r w:rsidRPr="008A5F3B">
        <w:rPr>
          <w:color w:val="000000"/>
          <w:szCs w:val="22"/>
          <w:u w:val="single"/>
          <w:lang w:val="fr-FR"/>
        </w:rPr>
        <w:t>Pharmacocinétique chez des patients atteints de GIST</w:t>
      </w:r>
    </w:p>
    <w:p w14:paraId="12E0F0C1" w14:textId="77777777" w:rsidR="0028607D" w:rsidRPr="008A5F3B" w:rsidRDefault="0028607D" w:rsidP="007F23EE">
      <w:pPr>
        <w:pStyle w:val="EndnoteText"/>
        <w:keepNext/>
        <w:tabs>
          <w:tab w:val="clear" w:pos="567"/>
        </w:tabs>
        <w:rPr>
          <w:color w:val="000000"/>
          <w:szCs w:val="22"/>
          <w:u w:val="single"/>
          <w:lang w:val="fr-FR"/>
        </w:rPr>
      </w:pPr>
    </w:p>
    <w:p w14:paraId="4B069DC7" w14:textId="77777777" w:rsidR="007D642D" w:rsidRPr="008A5F3B" w:rsidRDefault="007D642D" w:rsidP="007F23EE">
      <w:pPr>
        <w:pStyle w:val="EndnoteText"/>
        <w:tabs>
          <w:tab w:val="clear" w:pos="567"/>
        </w:tabs>
        <w:rPr>
          <w:color w:val="000000"/>
          <w:szCs w:val="22"/>
          <w:lang w:val="fr-FR"/>
        </w:rPr>
      </w:pPr>
      <w:r w:rsidRPr="008A5F3B">
        <w:rPr>
          <w:color w:val="000000"/>
          <w:szCs w:val="22"/>
          <w:lang w:val="fr-FR"/>
        </w:rPr>
        <w:t xml:space="preserve">Chez des patients atteints de GIST, l’exposition à l’état d’équilibre était 1,5 fois supérieure à celle observée à la même dose (400 mg/jour) chez des patients atteints de LMC. Sur la base d’une analyse préliminaire de pharmacocinétique de population de patients atteints de GIST, on a identifié 3 variables (albumine, taux de globules blancs et bilirubine) qui présentaient une relation statistiquement significative avec la pharmacocinétique de l’imatinib. Des valeurs diminuées de l’albumine étaient associées à une diminution de la clairance (Cl/f) et les valeurs plus élevées du taux de globules blancs étaient associées à une réduction de </w:t>
      </w:r>
      <w:smartTag w:uri="urn:schemas-microsoft-com:office:smarttags" w:element="PersonName">
        <w:smartTagPr>
          <w:attr w:name="ProductID" w:val="la Cl"/>
        </w:smartTagPr>
        <w:r w:rsidRPr="008A5F3B">
          <w:rPr>
            <w:color w:val="000000"/>
            <w:szCs w:val="22"/>
            <w:lang w:val="fr-FR"/>
          </w:rPr>
          <w:t>la Cl</w:t>
        </w:r>
      </w:smartTag>
      <w:r w:rsidRPr="008A5F3B">
        <w:rPr>
          <w:color w:val="000000"/>
          <w:szCs w:val="22"/>
          <w:lang w:val="fr-FR"/>
        </w:rPr>
        <w:t>/f. Toutefois, ces associations n’étaient pas suffisantes pour justifier un ajustement des doses. Dans cette population de patients, la présence de métastases hépatiques pourrait potentiellement conduire à une insuffisance hépatique et à une diminution du métabolisme.</w:t>
      </w:r>
    </w:p>
    <w:p w14:paraId="57DFB4E8" w14:textId="77777777" w:rsidR="007D642D" w:rsidRPr="008A5F3B" w:rsidRDefault="007D642D" w:rsidP="007F23EE">
      <w:pPr>
        <w:pStyle w:val="EndnoteText"/>
        <w:tabs>
          <w:tab w:val="clear" w:pos="567"/>
        </w:tabs>
        <w:rPr>
          <w:color w:val="000000"/>
          <w:szCs w:val="22"/>
          <w:lang w:val="fr-FR"/>
        </w:rPr>
      </w:pPr>
    </w:p>
    <w:p w14:paraId="3C2C0B69" w14:textId="5A80DFC6" w:rsidR="007D642D" w:rsidRPr="008A5F3B" w:rsidRDefault="007D642D" w:rsidP="007F23EE">
      <w:pPr>
        <w:pStyle w:val="EndnoteText"/>
        <w:keepNext/>
        <w:tabs>
          <w:tab w:val="clear" w:pos="567"/>
        </w:tabs>
        <w:rPr>
          <w:color w:val="000000"/>
          <w:szCs w:val="22"/>
          <w:u w:val="single"/>
          <w:lang w:val="fr-FR"/>
        </w:rPr>
      </w:pPr>
      <w:r w:rsidRPr="008A5F3B">
        <w:rPr>
          <w:color w:val="000000"/>
          <w:szCs w:val="22"/>
          <w:u w:val="single"/>
          <w:lang w:val="fr-FR"/>
        </w:rPr>
        <w:t>Pharmacocinétiques de population</w:t>
      </w:r>
    </w:p>
    <w:p w14:paraId="1D158998" w14:textId="77777777" w:rsidR="0028607D" w:rsidRPr="008A5F3B" w:rsidRDefault="0028607D" w:rsidP="007F23EE">
      <w:pPr>
        <w:pStyle w:val="EndnoteText"/>
        <w:keepNext/>
        <w:tabs>
          <w:tab w:val="clear" w:pos="567"/>
        </w:tabs>
        <w:rPr>
          <w:color w:val="000000"/>
          <w:szCs w:val="22"/>
          <w:u w:val="single"/>
          <w:lang w:val="fr-FR"/>
        </w:rPr>
      </w:pPr>
    </w:p>
    <w:p w14:paraId="00BEA0E7" w14:textId="7C880F6A" w:rsidR="007D642D" w:rsidRPr="008A5F3B" w:rsidRDefault="007D642D" w:rsidP="007F23EE">
      <w:pPr>
        <w:pStyle w:val="EndnoteText"/>
        <w:tabs>
          <w:tab w:val="clear" w:pos="567"/>
        </w:tabs>
        <w:rPr>
          <w:color w:val="000000"/>
          <w:szCs w:val="22"/>
          <w:lang w:val="fr-FR"/>
        </w:rPr>
      </w:pPr>
      <w:r w:rsidRPr="008A5F3B">
        <w:rPr>
          <w:color w:val="000000"/>
          <w:szCs w:val="22"/>
          <w:lang w:val="fr-FR"/>
        </w:rPr>
        <w:t>Une analyse de pharmacocinétique de population de patients atteints de LMC a montré une légère influence de l</w:t>
      </w:r>
      <w:ins w:id="680" w:author="Author">
        <w:r w:rsidR="00813A7A">
          <w:rPr>
            <w:color w:val="000000"/>
            <w:szCs w:val="22"/>
            <w:lang w:val="fr-FR"/>
          </w:rPr>
          <w:t>’</w:t>
        </w:r>
      </w:ins>
      <w:del w:id="681" w:author="Author">
        <w:r w:rsidRPr="008A5F3B" w:rsidDel="00813A7A">
          <w:rPr>
            <w:color w:val="000000"/>
            <w:szCs w:val="22"/>
            <w:lang w:val="fr-FR"/>
          </w:rPr>
          <w:delText>'</w:delText>
        </w:r>
      </w:del>
      <w:r w:rsidRPr="008A5F3B">
        <w:rPr>
          <w:color w:val="000000"/>
          <w:szCs w:val="22"/>
          <w:lang w:val="fr-FR"/>
        </w:rPr>
        <w:t>âge sur le volume de distribution (augmentation de 12% chez les patients &gt; 65 ans), mais cette variation ne semble pas cliniquement significative. Bien que l’effet du poids corporel sur la clairance de l</w:t>
      </w:r>
      <w:r w:rsidR="00813A7A">
        <w:rPr>
          <w:color w:val="000000"/>
          <w:szCs w:val="22"/>
          <w:lang w:val="fr-FR"/>
        </w:rPr>
        <w:t>’</w:t>
      </w:r>
      <w:r w:rsidRPr="008A5F3B">
        <w:rPr>
          <w:color w:val="000000"/>
          <w:szCs w:val="22"/>
          <w:lang w:val="fr-FR"/>
        </w:rPr>
        <w:t>imatinib laisse attendre une clairance moyenne de 8,5 </w:t>
      </w:r>
      <w:del w:id="682" w:author="Author">
        <w:r w:rsidRPr="008A5F3B" w:rsidDel="00F80EF7">
          <w:rPr>
            <w:color w:val="000000"/>
            <w:szCs w:val="22"/>
            <w:lang w:val="fr-FR"/>
          </w:rPr>
          <w:delText>l</w:delText>
        </w:r>
      </w:del>
      <w:ins w:id="683" w:author="Author">
        <w:r w:rsidR="00F80EF7">
          <w:rPr>
            <w:color w:val="000000"/>
            <w:szCs w:val="22"/>
            <w:lang w:val="fr-FR"/>
          </w:rPr>
          <w:t>L</w:t>
        </w:r>
      </w:ins>
      <w:r w:rsidRPr="008A5F3B">
        <w:rPr>
          <w:color w:val="000000"/>
          <w:szCs w:val="22"/>
          <w:lang w:val="fr-FR"/>
        </w:rPr>
        <w:t xml:space="preserve">/h pour un patient pesant </w:t>
      </w:r>
      <w:smartTag w:uri="urn:schemas-microsoft-com:office:smarttags" w:element="metricconverter">
        <w:smartTagPr>
          <w:attr w:name="ProductID" w:val="50ﾠkg"/>
        </w:smartTagPr>
        <w:r w:rsidRPr="008A5F3B">
          <w:rPr>
            <w:color w:val="000000"/>
            <w:szCs w:val="22"/>
            <w:lang w:val="fr-FR"/>
          </w:rPr>
          <w:t>50 kg</w:t>
        </w:r>
      </w:smartTag>
      <w:r w:rsidRPr="008A5F3B">
        <w:rPr>
          <w:color w:val="000000"/>
          <w:szCs w:val="22"/>
          <w:lang w:val="fr-FR"/>
        </w:rPr>
        <w:t>, contre 11,8 </w:t>
      </w:r>
      <w:del w:id="684" w:author="Author">
        <w:r w:rsidRPr="008A5F3B" w:rsidDel="00F80EF7">
          <w:rPr>
            <w:color w:val="000000"/>
            <w:szCs w:val="22"/>
            <w:lang w:val="fr-FR"/>
          </w:rPr>
          <w:delText>l</w:delText>
        </w:r>
      </w:del>
      <w:ins w:id="685" w:author="Author">
        <w:r w:rsidR="00F80EF7">
          <w:rPr>
            <w:color w:val="000000"/>
            <w:szCs w:val="22"/>
            <w:lang w:val="fr-FR"/>
          </w:rPr>
          <w:t>L</w:t>
        </w:r>
      </w:ins>
      <w:r w:rsidRPr="008A5F3B">
        <w:rPr>
          <w:color w:val="000000"/>
          <w:szCs w:val="22"/>
          <w:lang w:val="fr-FR"/>
        </w:rPr>
        <w:t xml:space="preserve">/h pour un patient pesant </w:t>
      </w:r>
      <w:smartTag w:uri="urn:schemas-microsoft-com:office:smarttags" w:element="metricconverter">
        <w:smartTagPr>
          <w:attr w:name="ProductID" w:val="100ﾠkg"/>
        </w:smartTagPr>
        <w:r w:rsidRPr="008A5F3B">
          <w:rPr>
            <w:color w:val="000000"/>
            <w:szCs w:val="22"/>
            <w:lang w:val="fr-FR"/>
          </w:rPr>
          <w:t>100 kg</w:t>
        </w:r>
      </w:smartTag>
      <w:r w:rsidRPr="008A5F3B">
        <w:rPr>
          <w:color w:val="000000"/>
          <w:szCs w:val="22"/>
          <w:lang w:val="fr-FR"/>
        </w:rPr>
        <w:t>, une adaptation de la posologie en fonction du poids n’est pas requise. Le sexe n</w:t>
      </w:r>
      <w:ins w:id="686" w:author="Author">
        <w:r w:rsidR="00813A7A">
          <w:rPr>
            <w:color w:val="000000"/>
            <w:szCs w:val="22"/>
            <w:lang w:val="fr-FR"/>
          </w:rPr>
          <w:t>’</w:t>
        </w:r>
      </w:ins>
      <w:del w:id="687" w:author="Author">
        <w:r w:rsidRPr="008A5F3B" w:rsidDel="00813A7A">
          <w:rPr>
            <w:color w:val="000000"/>
            <w:szCs w:val="22"/>
            <w:lang w:val="fr-FR"/>
          </w:rPr>
          <w:delText>'</w:delText>
        </w:r>
      </w:del>
      <w:r w:rsidRPr="008A5F3B">
        <w:rPr>
          <w:color w:val="000000"/>
          <w:szCs w:val="22"/>
          <w:lang w:val="fr-FR"/>
        </w:rPr>
        <w:t>a aucune influence sur les paramètres cinétiques de l</w:t>
      </w:r>
      <w:r w:rsidR="00813A7A">
        <w:rPr>
          <w:color w:val="000000"/>
          <w:szCs w:val="22"/>
          <w:lang w:val="fr-FR"/>
        </w:rPr>
        <w:t>’</w:t>
      </w:r>
      <w:r w:rsidRPr="008A5F3B">
        <w:rPr>
          <w:color w:val="000000"/>
          <w:szCs w:val="22"/>
          <w:lang w:val="fr-FR"/>
        </w:rPr>
        <w:t>imatinib.</w:t>
      </w:r>
    </w:p>
    <w:p w14:paraId="2C2F64A8" w14:textId="77777777" w:rsidR="007D642D" w:rsidRPr="008A5F3B" w:rsidRDefault="007D642D" w:rsidP="007F23EE">
      <w:pPr>
        <w:pStyle w:val="EndnoteText"/>
        <w:tabs>
          <w:tab w:val="clear" w:pos="567"/>
        </w:tabs>
        <w:rPr>
          <w:color w:val="000000"/>
          <w:szCs w:val="22"/>
          <w:lang w:val="fr-FR"/>
        </w:rPr>
      </w:pPr>
    </w:p>
    <w:p w14:paraId="3135575A" w14:textId="195BC6C0" w:rsidR="007D642D" w:rsidRPr="008A5F3B" w:rsidRDefault="007D642D" w:rsidP="007F23EE">
      <w:pPr>
        <w:pStyle w:val="EndnoteText"/>
        <w:keepNext/>
        <w:tabs>
          <w:tab w:val="clear" w:pos="567"/>
        </w:tabs>
        <w:rPr>
          <w:color w:val="000000"/>
          <w:szCs w:val="22"/>
          <w:u w:val="single"/>
          <w:lang w:val="fr-FR"/>
        </w:rPr>
      </w:pPr>
      <w:r w:rsidRPr="008A5F3B">
        <w:rPr>
          <w:color w:val="000000"/>
          <w:szCs w:val="22"/>
          <w:u w:val="single"/>
          <w:lang w:val="fr-FR"/>
        </w:rPr>
        <w:t>Pharmacocinétique chez l</w:t>
      </w:r>
      <w:ins w:id="688" w:author="Author">
        <w:r w:rsidR="00813A7A">
          <w:rPr>
            <w:color w:val="000000"/>
            <w:szCs w:val="22"/>
            <w:u w:val="single"/>
            <w:lang w:val="fr-FR"/>
          </w:rPr>
          <w:t>’</w:t>
        </w:r>
      </w:ins>
      <w:del w:id="689" w:author="Author">
        <w:r w:rsidRPr="008A5F3B" w:rsidDel="00813A7A">
          <w:rPr>
            <w:color w:val="000000"/>
            <w:szCs w:val="22"/>
            <w:u w:val="single"/>
            <w:lang w:val="fr-FR"/>
          </w:rPr>
          <w:delText>'</w:delText>
        </w:r>
      </w:del>
      <w:r w:rsidRPr="008A5F3B">
        <w:rPr>
          <w:color w:val="000000"/>
          <w:szCs w:val="22"/>
          <w:u w:val="single"/>
          <w:lang w:val="fr-FR"/>
        </w:rPr>
        <w:t>enfant</w:t>
      </w:r>
    </w:p>
    <w:p w14:paraId="32B7ED59" w14:textId="77777777" w:rsidR="0028607D" w:rsidRPr="008A5F3B" w:rsidRDefault="0028607D" w:rsidP="007F23EE">
      <w:pPr>
        <w:pStyle w:val="EndnoteText"/>
        <w:keepNext/>
        <w:tabs>
          <w:tab w:val="clear" w:pos="567"/>
        </w:tabs>
        <w:rPr>
          <w:color w:val="000000"/>
          <w:szCs w:val="22"/>
          <w:u w:val="single"/>
          <w:lang w:val="fr-FR"/>
        </w:rPr>
      </w:pPr>
    </w:p>
    <w:p w14:paraId="6664E043" w14:textId="622E2715" w:rsidR="007D642D" w:rsidRPr="008A5F3B" w:rsidRDefault="007D642D" w:rsidP="007F23EE">
      <w:pPr>
        <w:pStyle w:val="EndnoteText"/>
        <w:rPr>
          <w:color w:val="000000"/>
          <w:szCs w:val="22"/>
          <w:lang w:val="fr-FR"/>
        </w:rPr>
      </w:pPr>
      <w:r w:rsidRPr="008A5F3B">
        <w:rPr>
          <w:color w:val="000000"/>
          <w:szCs w:val="22"/>
          <w:lang w:val="fr-FR"/>
        </w:rPr>
        <w:t>Comme chez l</w:t>
      </w:r>
      <w:ins w:id="690" w:author="Author">
        <w:r w:rsidR="00813A7A">
          <w:rPr>
            <w:color w:val="000000"/>
            <w:szCs w:val="22"/>
            <w:lang w:val="fr-FR"/>
          </w:rPr>
          <w:t>’</w:t>
        </w:r>
      </w:ins>
      <w:del w:id="691" w:author="Author">
        <w:r w:rsidRPr="008A5F3B" w:rsidDel="00813A7A">
          <w:rPr>
            <w:color w:val="000000"/>
            <w:szCs w:val="22"/>
            <w:lang w:val="fr-FR"/>
          </w:rPr>
          <w:delText>'</w:delText>
        </w:r>
      </w:del>
      <w:r w:rsidRPr="008A5F3B">
        <w:rPr>
          <w:color w:val="000000"/>
          <w:szCs w:val="22"/>
          <w:lang w:val="fr-FR"/>
        </w:rPr>
        <w:t>adulte, l</w:t>
      </w:r>
      <w:del w:id="692" w:author="Author">
        <w:r w:rsidRPr="008A5F3B" w:rsidDel="00813A7A">
          <w:rPr>
            <w:color w:val="000000"/>
            <w:szCs w:val="22"/>
            <w:lang w:val="fr-FR"/>
          </w:rPr>
          <w:delText>'</w:delText>
        </w:r>
      </w:del>
      <w:ins w:id="693" w:author="Author">
        <w:r w:rsidR="00813A7A">
          <w:rPr>
            <w:color w:val="000000"/>
            <w:szCs w:val="22"/>
            <w:lang w:val="fr-FR"/>
          </w:rPr>
          <w:t>’</w:t>
        </w:r>
      </w:ins>
      <w:r w:rsidRPr="008A5F3B">
        <w:rPr>
          <w:color w:val="000000"/>
          <w:szCs w:val="22"/>
          <w:lang w:val="fr-FR"/>
        </w:rPr>
        <w:t>imatinib a été rapidement absorbé après administration orale chez le patient pédiatrique dans des études de phase I et de phase</w:t>
      </w:r>
      <w:ins w:id="694" w:author="Author">
        <w:r w:rsidR="00813A7A">
          <w:rPr>
            <w:color w:val="000000"/>
            <w:szCs w:val="22"/>
            <w:lang w:val="fr-FR"/>
          </w:rPr>
          <w:t> </w:t>
        </w:r>
      </w:ins>
      <w:del w:id="695" w:author="Author">
        <w:r w:rsidRPr="008A5F3B" w:rsidDel="00813A7A">
          <w:rPr>
            <w:color w:val="000000"/>
            <w:szCs w:val="22"/>
            <w:lang w:val="fr-FR"/>
          </w:rPr>
          <w:delText xml:space="preserve"> </w:delText>
        </w:r>
      </w:del>
      <w:r w:rsidRPr="008A5F3B">
        <w:rPr>
          <w:color w:val="000000"/>
          <w:szCs w:val="22"/>
          <w:lang w:val="fr-FR"/>
        </w:rPr>
        <w:t>II. Chez l</w:t>
      </w:r>
      <w:r w:rsidR="00813A7A">
        <w:rPr>
          <w:color w:val="000000"/>
          <w:szCs w:val="22"/>
          <w:lang w:val="fr-FR"/>
        </w:rPr>
        <w:t>’</w:t>
      </w:r>
      <w:r w:rsidRPr="008A5F3B">
        <w:rPr>
          <w:color w:val="000000"/>
          <w:szCs w:val="22"/>
          <w:lang w:val="fr-FR"/>
        </w:rPr>
        <w:t>enfant, l</w:t>
      </w:r>
      <w:ins w:id="696" w:author="Author">
        <w:r w:rsidR="00813A7A">
          <w:rPr>
            <w:color w:val="000000"/>
            <w:szCs w:val="22"/>
            <w:lang w:val="fr-FR"/>
          </w:rPr>
          <w:t>’</w:t>
        </w:r>
      </w:ins>
      <w:del w:id="697" w:author="Author">
        <w:r w:rsidRPr="008A5F3B" w:rsidDel="00813A7A">
          <w:rPr>
            <w:color w:val="000000"/>
            <w:szCs w:val="22"/>
            <w:lang w:val="fr-FR"/>
          </w:rPr>
          <w:delText>'</w:delText>
        </w:r>
      </w:del>
      <w:r w:rsidRPr="008A5F3B">
        <w:rPr>
          <w:color w:val="000000"/>
          <w:szCs w:val="22"/>
          <w:lang w:val="fr-FR"/>
        </w:rPr>
        <w:t xml:space="preserve">administration de doses de 260 </w:t>
      </w:r>
      <w:r w:rsidRPr="008A5F3B">
        <w:rPr>
          <w:color w:val="000000"/>
          <w:szCs w:val="22"/>
          <w:lang w:val="fr-FR"/>
        </w:rPr>
        <w:lastRenderedPageBreak/>
        <w:t>et 340 mg/m</w:t>
      </w:r>
      <w:r w:rsidRPr="008A5F3B">
        <w:rPr>
          <w:color w:val="000000"/>
          <w:szCs w:val="22"/>
          <w:vertAlign w:val="superscript"/>
          <w:lang w:val="fr-FR"/>
        </w:rPr>
        <w:t>2</w:t>
      </w:r>
      <w:r w:rsidRPr="008A5F3B">
        <w:rPr>
          <w:color w:val="000000"/>
          <w:szCs w:val="22"/>
          <w:lang w:val="fr-FR"/>
        </w:rPr>
        <w:t>/jour a permis d</w:t>
      </w:r>
      <w:r w:rsidR="00813A7A">
        <w:rPr>
          <w:color w:val="000000"/>
          <w:szCs w:val="22"/>
          <w:lang w:val="fr-FR"/>
        </w:rPr>
        <w:t>’</w:t>
      </w:r>
      <w:r w:rsidRPr="008A5F3B">
        <w:rPr>
          <w:color w:val="000000"/>
          <w:szCs w:val="22"/>
          <w:lang w:val="fr-FR"/>
        </w:rPr>
        <w:t>obtenir des concentrations plasmatiques équivalentes aux doses de respectivement 400 mg et 600 mg chez l</w:t>
      </w:r>
      <w:r w:rsidR="00813A7A">
        <w:rPr>
          <w:color w:val="000000"/>
          <w:szCs w:val="22"/>
          <w:lang w:val="fr-FR"/>
        </w:rPr>
        <w:t>’</w:t>
      </w:r>
      <w:r w:rsidRPr="008A5F3B">
        <w:rPr>
          <w:color w:val="000000"/>
          <w:szCs w:val="22"/>
          <w:lang w:val="fr-FR"/>
        </w:rPr>
        <w:t xml:space="preserve">adulte. La comparaison de </w:t>
      </w:r>
      <w:proofErr w:type="gramStart"/>
      <w:r w:rsidRPr="008A5F3B">
        <w:rPr>
          <w:color w:val="000000"/>
          <w:szCs w:val="22"/>
          <w:lang w:val="fr-FR"/>
        </w:rPr>
        <w:t>l</w:t>
      </w:r>
      <w:r w:rsidR="00813A7A">
        <w:rPr>
          <w:color w:val="000000"/>
          <w:szCs w:val="22"/>
          <w:lang w:val="fr-FR"/>
        </w:rPr>
        <w:t>’</w:t>
      </w:r>
      <w:r w:rsidRPr="008A5F3B">
        <w:rPr>
          <w:color w:val="000000"/>
          <w:szCs w:val="22"/>
          <w:lang w:val="fr-FR"/>
        </w:rPr>
        <w:t>ASC</w:t>
      </w:r>
      <w:r w:rsidRPr="008A5F3B">
        <w:rPr>
          <w:color w:val="000000"/>
          <w:szCs w:val="22"/>
          <w:vertAlign w:val="subscript"/>
          <w:lang w:val="fr-FR"/>
        </w:rPr>
        <w:t>(</w:t>
      </w:r>
      <w:proofErr w:type="gramEnd"/>
      <w:r w:rsidRPr="008A5F3B">
        <w:rPr>
          <w:color w:val="000000"/>
          <w:szCs w:val="22"/>
          <w:vertAlign w:val="subscript"/>
          <w:lang w:val="fr-FR"/>
        </w:rPr>
        <w:t>0-24)</w:t>
      </w:r>
      <w:r w:rsidRPr="008A5F3B">
        <w:rPr>
          <w:color w:val="000000"/>
          <w:szCs w:val="22"/>
          <w:lang w:val="fr-FR"/>
        </w:rPr>
        <w:t xml:space="preserve"> à J 8 et J 1 pour une dose de 340 mg/m</w:t>
      </w:r>
      <w:r w:rsidRPr="008A5F3B">
        <w:rPr>
          <w:color w:val="000000"/>
          <w:szCs w:val="22"/>
          <w:vertAlign w:val="superscript"/>
          <w:lang w:val="fr-FR"/>
        </w:rPr>
        <w:t>2</w:t>
      </w:r>
      <w:r w:rsidRPr="008A5F3B">
        <w:rPr>
          <w:color w:val="000000"/>
          <w:szCs w:val="22"/>
          <w:lang w:val="fr-FR"/>
        </w:rPr>
        <w:t>/jour a révélé une accumulation de 1,7 fois après des prises uniques quotidiennes itératives.</w:t>
      </w:r>
    </w:p>
    <w:p w14:paraId="46FC5440" w14:textId="77777777" w:rsidR="007D642D" w:rsidRPr="008A5F3B" w:rsidRDefault="007D642D" w:rsidP="007F23EE">
      <w:pPr>
        <w:pStyle w:val="EndnoteText"/>
        <w:tabs>
          <w:tab w:val="clear" w:pos="567"/>
        </w:tabs>
        <w:rPr>
          <w:color w:val="000000"/>
          <w:szCs w:val="22"/>
          <w:lang w:val="fr-FR"/>
        </w:rPr>
      </w:pPr>
    </w:p>
    <w:p w14:paraId="5938FE9B" w14:textId="77777777" w:rsidR="006D51E4" w:rsidRPr="008A5F3B" w:rsidRDefault="006D51E4" w:rsidP="007F23EE">
      <w:pPr>
        <w:pStyle w:val="EndnoteText"/>
        <w:tabs>
          <w:tab w:val="clear" w:pos="567"/>
        </w:tabs>
        <w:rPr>
          <w:color w:val="000000"/>
          <w:szCs w:val="22"/>
          <w:lang w:val="fr-FR"/>
        </w:rPr>
      </w:pPr>
      <w:r w:rsidRPr="008A5F3B">
        <w:rPr>
          <w:color w:val="000000"/>
          <w:szCs w:val="22"/>
          <w:lang w:val="fr-FR"/>
        </w:rPr>
        <w:t xml:space="preserve">Des analyses </w:t>
      </w:r>
      <w:proofErr w:type="spellStart"/>
      <w:r w:rsidRPr="008A5F3B">
        <w:rPr>
          <w:color w:val="000000"/>
          <w:szCs w:val="22"/>
          <w:lang w:val="fr-FR"/>
        </w:rPr>
        <w:t>poolées</w:t>
      </w:r>
      <w:proofErr w:type="spellEnd"/>
      <w:r w:rsidRPr="008A5F3B">
        <w:rPr>
          <w:color w:val="000000"/>
          <w:szCs w:val="22"/>
          <w:lang w:val="fr-FR"/>
        </w:rPr>
        <w:t xml:space="preserve"> de données de pharmacocinétique de population chez les enfants atteints d’affections hématologiques (LMC, LAL Ph+, ou autres affections hématologiques traitées par l’imatinib) ont montré que la clairance de l’imatinib augmente parallèlement à celle de la surface corporelle (SC). Après correction de l’effet de </w:t>
      </w:r>
      <w:smartTag w:uri="urn:schemas-microsoft-com:office:smarttags" w:element="PersonName">
        <w:smartTagPr>
          <w:attr w:name="ProductID" w:val="la SC"/>
        </w:smartTagPr>
        <w:r w:rsidRPr="008A5F3B">
          <w:rPr>
            <w:color w:val="000000"/>
            <w:szCs w:val="22"/>
            <w:lang w:val="fr-FR"/>
          </w:rPr>
          <w:t>la SC</w:t>
        </w:r>
      </w:smartTag>
      <w:r w:rsidRPr="008A5F3B">
        <w:rPr>
          <w:color w:val="000000"/>
          <w:szCs w:val="22"/>
          <w:lang w:val="fr-FR"/>
        </w:rPr>
        <w:t>, d’autres caractéristiques démographiques telles que l’âge, le poids corporel, et l’indice de masse corporelle n’avaient pas d’effet cliniquement significatif sur l’exposition à l’imatinib. L’analyse a confirmé que l’exposition à l’imatinib chez les enfants recevant 260 mg/m² une fois par jour (sans dépasser 400 mg une fois par jour) ou 340 mg/m² une fois par jour (sans dépasser 600 mg une fois par jour) était comparable à celle des adultes qui ont reçu 400 mg ou 600 mg d’imatinib une fois par jour.</w:t>
      </w:r>
    </w:p>
    <w:p w14:paraId="7A8C549A" w14:textId="77777777" w:rsidR="006D51E4" w:rsidRPr="008A5F3B" w:rsidRDefault="006D51E4" w:rsidP="007F23EE">
      <w:pPr>
        <w:pStyle w:val="EndnoteText"/>
        <w:tabs>
          <w:tab w:val="clear" w:pos="567"/>
        </w:tabs>
        <w:rPr>
          <w:color w:val="000000"/>
          <w:szCs w:val="22"/>
          <w:lang w:val="fr-FR"/>
        </w:rPr>
      </w:pPr>
    </w:p>
    <w:p w14:paraId="74967F0B" w14:textId="551941AD" w:rsidR="007D642D" w:rsidRPr="008A5F3B" w:rsidRDefault="007D642D" w:rsidP="007F23EE">
      <w:pPr>
        <w:pStyle w:val="EndnoteText"/>
        <w:keepNext/>
        <w:tabs>
          <w:tab w:val="clear" w:pos="567"/>
        </w:tabs>
        <w:rPr>
          <w:color w:val="000000"/>
          <w:szCs w:val="22"/>
          <w:u w:val="single"/>
          <w:lang w:val="fr-FR"/>
        </w:rPr>
      </w:pPr>
      <w:r w:rsidRPr="008A5F3B">
        <w:rPr>
          <w:color w:val="000000"/>
          <w:szCs w:val="22"/>
          <w:u w:val="single"/>
          <w:lang w:val="fr-FR"/>
        </w:rPr>
        <w:t>Altération des fonctions organiques</w:t>
      </w:r>
    </w:p>
    <w:p w14:paraId="44F97B97" w14:textId="77777777" w:rsidR="0028607D" w:rsidRPr="008A5F3B" w:rsidRDefault="0028607D" w:rsidP="007F23EE">
      <w:pPr>
        <w:pStyle w:val="EndnoteText"/>
        <w:keepNext/>
        <w:tabs>
          <w:tab w:val="clear" w:pos="567"/>
        </w:tabs>
        <w:rPr>
          <w:color w:val="000000"/>
          <w:szCs w:val="22"/>
          <w:lang w:val="fr-FR"/>
        </w:rPr>
      </w:pPr>
    </w:p>
    <w:p w14:paraId="4C94C6CD" w14:textId="0B108407" w:rsidR="007D642D" w:rsidRPr="008A5F3B" w:rsidRDefault="007D642D" w:rsidP="007F23EE">
      <w:pPr>
        <w:pStyle w:val="EndnoteText"/>
        <w:tabs>
          <w:tab w:val="clear" w:pos="567"/>
        </w:tabs>
        <w:rPr>
          <w:color w:val="000000"/>
          <w:szCs w:val="22"/>
          <w:lang w:val="fr-FR"/>
        </w:rPr>
      </w:pPr>
      <w:r w:rsidRPr="008A5F3B">
        <w:rPr>
          <w:color w:val="000000"/>
          <w:szCs w:val="22"/>
          <w:lang w:val="fr-FR"/>
        </w:rPr>
        <w:t>L’imatinib et ses métabolites ne sont pas excrétés de façon significative par le rein. Les patients ayant une altération de la fonction rénale légère à modérée présentent une exposition plasmatique supérieure à celle des patients présentant une fonction rénale normale. L’augmentation est approximativement 1,5 à 2 fois plus, correspondant à une augmentation de 1,5 fois le taux plasmatique d’AGP à laquelle l’imatinib est fortement lié. La clairance de l’imatinib libre chez les patients ayant une altération de la fonction rénale est probablement similaire à celle des patients avec une fonction rénale normale, puisque l’excrétion rénale représente une voie d’élimination mineure de l’imatinib (voir rubrique</w:t>
      </w:r>
      <w:ins w:id="698" w:author="Author">
        <w:r w:rsidR="00F80EF7">
          <w:rPr>
            <w:color w:val="000000"/>
            <w:szCs w:val="22"/>
            <w:lang w:val="fr-FR"/>
          </w:rPr>
          <w:t>s</w:t>
        </w:r>
      </w:ins>
      <w:r w:rsidRPr="008A5F3B">
        <w:rPr>
          <w:color w:val="000000"/>
          <w:szCs w:val="22"/>
          <w:lang w:val="fr-FR"/>
        </w:rPr>
        <w:t> 4.2 et</w:t>
      </w:r>
      <w:r w:rsidR="002F003A">
        <w:rPr>
          <w:color w:val="000000"/>
          <w:szCs w:val="22"/>
          <w:lang w:val="fr-FR"/>
        </w:rPr>
        <w:t> </w:t>
      </w:r>
      <w:r w:rsidRPr="008A5F3B">
        <w:rPr>
          <w:color w:val="000000"/>
          <w:szCs w:val="22"/>
          <w:lang w:val="fr-FR"/>
        </w:rPr>
        <w:t>4.4).</w:t>
      </w:r>
    </w:p>
    <w:p w14:paraId="029B7F6B" w14:textId="77777777" w:rsidR="007D642D" w:rsidRPr="008A5F3B" w:rsidRDefault="007D642D" w:rsidP="007F23EE">
      <w:pPr>
        <w:pStyle w:val="EndnoteText"/>
        <w:tabs>
          <w:tab w:val="clear" w:pos="567"/>
        </w:tabs>
        <w:rPr>
          <w:color w:val="000000"/>
          <w:szCs w:val="22"/>
          <w:lang w:val="fr-FR"/>
        </w:rPr>
      </w:pPr>
    </w:p>
    <w:p w14:paraId="2273D04A" w14:textId="1A3740DE" w:rsidR="007D642D" w:rsidRPr="008A5F3B" w:rsidRDefault="007D642D" w:rsidP="007F23EE">
      <w:pPr>
        <w:pStyle w:val="EndnoteText"/>
        <w:tabs>
          <w:tab w:val="clear" w:pos="567"/>
        </w:tabs>
        <w:rPr>
          <w:color w:val="000000"/>
          <w:szCs w:val="22"/>
          <w:lang w:val="fr-FR"/>
        </w:rPr>
      </w:pPr>
      <w:r w:rsidRPr="008A5F3B">
        <w:rPr>
          <w:color w:val="000000"/>
          <w:szCs w:val="22"/>
          <w:lang w:val="fr-FR"/>
        </w:rPr>
        <w:t xml:space="preserve">Bien que l’analyse des résultats pharmacocinétiques ait montré une variabilité interindividuelle considérable, l’exposition moyenne à l’imatinib n’était pas augmentée chez des patients qui présentaient une altération de la fonction hépatique à des degrés variables par comparaison aux patients ayant une fonction hépatique normale (voir </w:t>
      </w:r>
      <w:del w:id="699" w:author="Author">
        <w:r w:rsidRPr="008A5F3B" w:rsidDel="00F80EF7">
          <w:rPr>
            <w:color w:val="000000"/>
            <w:szCs w:val="22"/>
            <w:lang w:val="fr-FR"/>
          </w:rPr>
          <w:delText xml:space="preserve">les </w:delText>
        </w:r>
      </w:del>
      <w:r w:rsidRPr="008A5F3B">
        <w:rPr>
          <w:color w:val="000000"/>
          <w:szCs w:val="22"/>
          <w:lang w:val="fr-FR"/>
        </w:rPr>
        <w:t>rubriques</w:t>
      </w:r>
      <w:r w:rsidR="002F003A">
        <w:rPr>
          <w:color w:val="000000"/>
          <w:szCs w:val="22"/>
          <w:lang w:val="fr-FR"/>
        </w:rPr>
        <w:t> </w:t>
      </w:r>
      <w:r w:rsidRPr="008A5F3B">
        <w:rPr>
          <w:color w:val="000000"/>
          <w:szCs w:val="22"/>
          <w:lang w:val="fr-FR"/>
        </w:rPr>
        <w:t>4.2, 4.4 et</w:t>
      </w:r>
      <w:r w:rsidR="002F003A">
        <w:rPr>
          <w:color w:val="000000"/>
          <w:szCs w:val="22"/>
          <w:lang w:val="fr-FR"/>
        </w:rPr>
        <w:t> </w:t>
      </w:r>
      <w:r w:rsidRPr="008A5F3B">
        <w:rPr>
          <w:color w:val="000000"/>
          <w:szCs w:val="22"/>
          <w:lang w:val="fr-FR"/>
        </w:rPr>
        <w:t>4.8).</w:t>
      </w:r>
    </w:p>
    <w:p w14:paraId="500A6500" w14:textId="77777777" w:rsidR="007D642D" w:rsidRPr="008A5F3B" w:rsidRDefault="007D642D" w:rsidP="007F23EE">
      <w:pPr>
        <w:pStyle w:val="EndnoteText"/>
        <w:tabs>
          <w:tab w:val="clear" w:pos="567"/>
        </w:tabs>
        <w:rPr>
          <w:color w:val="000000"/>
          <w:szCs w:val="22"/>
          <w:lang w:val="fr-FR"/>
        </w:rPr>
      </w:pPr>
    </w:p>
    <w:p w14:paraId="39D191BC" w14:textId="77777777" w:rsidR="007D642D" w:rsidRPr="008A5F3B" w:rsidRDefault="007D642D" w:rsidP="007F23EE">
      <w:pPr>
        <w:keepNext/>
        <w:ind w:left="567" w:hanging="567"/>
        <w:rPr>
          <w:rFonts w:ascii="Times New Roman" w:hAnsi="Times New Roman"/>
          <w:color w:val="000000"/>
          <w:szCs w:val="22"/>
        </w:rPr>
      </w:pPr>
      <w:r w:rsidRPr="008A5F3B">
        <w:rPr>
          <w:rFonts w:ascii="Times New Roman" w:hAnsi="Times New Roman"/>
          <w:b/>
          <w:color w:val="000000"/>
          <w:szCs w:val="22"/>
        </w:rPr>
        <w:t>5.3</w:t>
      </w:r>
      <w:r w:rsidRPr="008A5F3B">
        <w:rPr>
          <w:rFonts w:ascii="Times New Roman" w:hAnsi="Times New Roman"/>
          <w:b/>
          <w:color w:val="000000"/>
          <w:szCs w:val="22"/>
        </w:rPr>
        <w:tab/>
        <w:t>Données de sécurité préclinique</w:t>
      </w:r>
    </w:p>
    <w:p w14:paraId="37D09FE1" w14:textId="77777777" w:rsidR="007D642D" w:rsidRPr="008A5F3B" w:rsidRDefault="007D642D" w:rsidP="007F23EE">
      <w:pPr>
        <w:pStyle w:val="EndnoteText"/>
        <w:keepNext/>
        <w:tabs>
          <w:tab w:val="clear" w:pos="567"/>
        </w:tabs>
        <w:rPr>
          <w:color w:val="000000"/>
          <w:szCs w:val="22"/>
          <w:lang w:val="fr-FR"/>
        </w:rPr>
      </w:pPr>
    </w:p>
    <w:p w14:paraId="5992589F"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Le profil de tolérance préclinique de l’imatinib a été évalué chez le rat, le chien, le singe et le lapin.</w:t>
      </w:r>
    </w:p>
    <w:p w14:paraId="5E5EBC74" w14:textId="77777777" w:rsidR="007D642D" w:rsidRPr="008A5F3B" w:rsidRDefault="007D642D" w:rsidP="007F23EE">
      <w:pPr>
        <w:rPr>
          <w:rFonts w:ascii="Times New Roman" w:hAnsi="Times New Roman"/>
          <w:color w:val="000000"/>
          <w:szCs w:val="22"/>
        </w:rPr>
      </w:pPr>
    </w:p>
    <w:p w14:paraId="73708F2C"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Des études de toxicité à doses multiples ont mis en évidence des modifications hématologiques légères à modérées chez le rat, le chien et le singe, avec des modifications de la moelle osseuse chez le rat et le chien.</w:t>
      </w:r>
    </w:p>
    <w:p w14:paraId="40316D71" w14:textId="77777777" w:rsidR="007D642D" w:rsidRPr="008A5F3B" w:rsidRDefault="007D642D" w:rsidP="007F23EE">
      <w:pPr>
        <w:rPr>
          <w:rFonts w:ascii="Times New Roman" w:hAnsi="Times New Roman"/>
          <w:color w:val="000000"/>
          <w:szCs w:val="22"/>
        </w:rPr>
      </w:pPr>
    </w:p>
    <w:p w14:paraId="4340559A" w14:textId="77777777" w:rsidR="007D642D" w:rsidRPr="008A5F3B" w:rsidRDefault="007D642D" w:rsidP="007F23EE">
      <w:pPr>
        <w:pStyle w:val="paragraphSIF"/>
        <w:tabs>
          <w:tab w:val="clear" w:pos="-720"/>
        </w:tabs>
        <w:jc w:val="left"/>
        <w:rPr>
          <w:color w:val="000000"/>
          <w:szCs w:val="22"/>
          <w:lang w:val="fr-FR"/>
        </w:rPr>
      </w:pPr>
      <w:r w:rsidRPr="008A5F3B">
        <w:rPr>
          <w:color w:val="000000"/>
          <w:szCs w:val="22"/>
          <w:lang w:val="fr-FR"/>
        </w:rPr>
        <w:t>Le foie est un organe cible chez le rat et le chien. Des augmentations faibles à modérées des transaminases et de légères diminutions des taux de cholestérol, triglycérides, protéines totales et albumine ont été observées chez les deux espèces. Aucune modification histopathologique n’a été mise en évidence sur le foie de rat. Une toxicité hépatique sévère a été observée chez des chiens traités pendant deux semaines, avec une élévation des enzymes hépatiques, une nécrose hépato-cellulaire, une nécrose des canaux biliaires et une hyperplasie des canaux biliaires.</w:t>
      </w:r>
    </w:p>
    <w:p w14:paraId="1620CEB6" w14:textId="77777777" w:rsidR="007D642D" w:rsidRPr="008A5F3B" w:rsidRDefault="007D642D" w:rsidP="007F23EE">
      <w:pPr>
        <w:rPr>
          <w:rFonts w:ascii="Times New Roman" w:hAnsi="Times New Roman"/>
          <w:color w:val="000000"/>
          <w:szCs w:val="22"/>
        </w:rPr>
      </w:pPr>
    </w:p>
    <w:p w14:paraId="03A6E6D3"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Une toxicité rénale a été observée chez des singes traités pendant deux semaines, avec une minéralisation et une dilatation focales des tubules rénaux et une néphrose tubulaire. Une augmentation de la créatinine et de l’azotémie a été observée chez plusieurs de ces animaux. Chez les rats une hyperplasie de l’épithélium de transition dans la papille rénale et dans la vessie a été observée à des doses &gt; 6 mg/kg dans l’étude de 13 semaines, sans modification des paramètres urinaires et sanguins. Une augmentation du nombre d’infections opportunistes a été observée avec le traitement chronique par l’imatinib.</w:t>
      </w:r>
    </w:p>
    <w:p w14:paraId="34F1E3CD" w14:textId="77777777" w:rsidR="007D642D" w:rsidRPr="008A5F3B" w:rsidRDefault="007D642D" w:rsidP="007F23EE">
      <w:pPr>
        <w:rPr>
          <w:rFonts w:ascii="Times New Roman" w:hAnsi="Times New Roman"/>
          <w:color w:val="000000"/>
          <w:szCs w:val="22"/>
        </w:rPr>
      </w:pPr>
    </w:p>
    <w:p w14:paraId="3EBCFD53"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 xml:space="preserve">Dans une étude de 39 semaines chez le singe, la dose dépourvue d’effet indésirable observable n’a pu être définie avec la plus faible dose de 15 mg/kg, correspondant approximativement à un tiers de la </w:t>
      </w:r>
      <w:r w:rsidRPr="008A5F3B">
        <w:rPr>
          <w:rFonts w:ascii="Times New Roman" w:hAnsi="Times New Roman"/>
          <w:color w:val="000000"/>
          <w:szCs w:val="22"/>
        </w:rPr>
        <w:lastRenderedPageBreak/>
        <w:t>dose maximale de 800 mg chez l’homme basée sur la surface corporelle. Le traitement a entraîné une aggravation des infections paludéennes normalement réprimées chez ces animaux.</w:t>
      </w:r>
    </w:p>
    <w:p w14:paraId="734F286C" w14:textId="77777777" w:rsidR="007D642D" w:rsidRPr="008A5F3B" w:rsidRDefault="007D642D" w:rsidP="007F23EE">
      <w:pPr>
        <w:rPr>
          <w:rFonts w:ascii="Times New Roman" w:hAnsi="Times New Roman"/>
          <w:color w:val="000000"/>
          <w:szCs w:val="22"/>
        </w:rPr>
      </w:pPr>
    </w:p>
    <w:p w14:paraId="3ECEBE2E"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 xml:space="preserve">L’imatinib n’a pas été considéré comme génotoxique dans un test sur cellules bactériennes </w:t>
      </w:r>
      <w:r w:rsidRPr="008A5F3B">
        <w:rPr>
          <w:rFonts w:ascii="Times New Roman" w:hAnsi="Times New Roman"/>
          <w:i/>
          <w:color w:val="000000"/>
          <w:szCs w:val="22"/>
        </w:rPr>
        <w:t xml:space="preserve">in vitro </w:t>
      </w:r>
      <w:r w:rsidRPr="008A5F3B">
        <w:rPr>
          <w:rFonts w:ascii="Times New Roman" w:hAnsi="Times New Roman"/>
          <w:color w:val="000000"/>
          <w:szCs w:val="22"/>
        </w:rPr>
        <w:t>(test d’</w:t>
      </w:r>
      <w:smartTag w:uri="urn:schemas-microsoft-com:office:smarttags" w:element="stockticker">
        <w:r w:rsidRPr="008A5F3B">
          <w:rPr>
            <w:rFonts w:ascii="Times New Roman" w:hAnsi="Times New Roman"/>
            <w:color w:val="000000"/>
            <w:szCs w:val="22"/>
          </w:rPr>
          <w:t>AMES</w:t>
        </w:r>
      </w:smartTag>
      <w:r w:rsidRPr="008A5F3B">
        <w:rPr>
          <w:rFonts w:ascii="Times New Roman" w:hAnsi="Times New Roman"/>
          <w:color w:val="000000"/>
          <w:szCs w:val="22"/>
        </w:rPr>
        <w:t xml:space="preserve">), dans un test sur cellules de mammifères </w:t>
      </w:r>
      <w:r w:rsidRPr="008A5F3B">
        <w:rPr>
          <w:rFonts w:ascii="Times New Roman" w:hAnsi="Times New Roman"/>
          <w:i/>
          <w:color w:val="000000"/>
          <w:szCs w:val="22"/>
        </w:rPr>
        <w:t>in vitro</w:t>
      </w:r>
      <w:r w:rsidRPr="008A5F3B">
        <w:rPr>
          <w:rFonts w:ascii="Times New Roman" w:hAnsi="Times New Roman"/>
          <w:color w:val="000000"/>
          <w:szCs w:val="22"/>
        </w:rPr>
        <w:t xml:space="preserve"> (lymphome de souris) et dans un test sur micronoyaux de rat </w:t>
      </w:r>
      <w:r w:rsidRPr="008A5F3B">
        <w:rPr>
          <w:rFonts w:ascii="Times New Roman" w:hAnsi="Times New Roman"/>
          <w:i/>
          <w:color w:val="000000"/>
          <w:szCs w:val="22"/>
        </w:rPr>
        <w:t>in vivo</w:t>
      </w:r>
      <w:r w:rsidRPr="008A5F3B">
        <w:rPr>
          <w:rFonts w:ascii="Times New Roman" w:hAnsi="Times New Roman"/>
          <w:color w:val="000000"/>
          <w:szCs w:val="22"/>
        </w:rPr>
        <w:t xml:space="preserve">. Toutefois, des effets génotoxiques positifs ont été obtenus avec l’imatinib dans un test de </w:t>
      </w:r>
      <w:proofErr w:type="spellStart"/>
      <w:r w:rsidRPr="008A5F3B">
        <w:rPr>
          <w:rFonts w:ascii="Times New Roman" w:hAnsi="Times New Roman"/>
          <w:color w:val="000000"/>
          <w:szCs w:val="22"/>
        </w:rPr>
        <w:t>clastogenèse</w:t>
      </w:r>
      <w:proofErr w:type="spellEnd"/>
      <w:r w:rsidRPr="008A5F3B">
        <w:rPr>
          <w:rFonts w:ascii="Times New Roman" w:hAnsi="Times New Roman"/>
          <w:color w:val="000000"/>
          <w:szCs w:val="22"/>
        </w:rPr>
        <w:t xml:space="preserve"> (aberration chromosomique) sur cellules de mammifères </w:t>
      </w:r>
      <w:r w:rsidRPr="008A5F3B">
        <w:rPr>
          <w:rFonts w:ascii="Times New Roman" w:hAnsi="Times New Roman"/>
          <w:i/>
          <w:color w:val="000000"/>
          <w:szCs w:val="22"/>
        </w:rPr>
        <w:t>in vitro</w:t>
      </w:r>
      <w:r w:rsidRPr="008A5F3B">
        <w:rPr>
          <w:rFonts w:ascii="Times New Roman" w:hAnsi="Times New Roman"/>
          <w:color w:val="000000"/>
          <w:szCs w:val="22"/>
        </w:rPr>
        <w:t xml:space="preserve"> (cellules ovariennes de hamster chinois) avec activation métabolique. Deux intermédiaires de synthèse, présents dans le produit final, sont positifs au test de mutagenèse d’</w:t>
      </w:r>
      <w:smartTag w:uri="urn:schemas-microsoft-com:office:smarttags" w:element="stockticker">
        <w:r w:rsidRPr="008A5F3B">
          <w:rPr>
            <w:rFonts w:ascii="Times New Roman" w:hAnsi="Times New Roman"/>
            <w:color w:val="000000"/>
            <w:szCs w:val="22"/>
          </w:rPr>
          <w:t>AMES</w:t>
        </w:r>
      </w:smartTag>
      <w:r w:rsidRPr="008A5F3B">
        <w:rPr>
          <w:rFonts w:ascii="Times New Roman" w:hAnsi="Times New Roman"/>
          <w:color w:val="000000"/>
          <w:szCs w:val="22"/>
        </w:rPr>
        <w:t>. L’un de ces intermédiaires était aussi positif dans le test sur le lymphome de souris.</w:t>
      </w:r>
    </w:p>
    <w:p w14:paraId="1C62C9CC" w14:textId="77777777" w:rsidR="007D642D" w:rsidRPr="008A5F3B" w:rsidRDefault="007D642D" w:rsidP="007F23EE">
      <w:pPr>
        <w:pStyle w:val="paragraphSIF"/>
        <w:tabs>
          <w:tab w:val="clear" w:pos="-720"/>
        </w:tabs>
        <w:jc w:val="left"/>
        <w:rPr>
          <w:color w:val="000000"/>
          <w:szCs w:val="22"/>
          <w:lang w:val="fr-FR"/>
        </w:rPr>
      </w:pPr>
    </w:p>
    <w:p w14:paraId="14E45DD8"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 xml:space="preserve">Dans une étude de fertilité, chez le rat mâle traité pendant 70 j avant accouplement, le poids des testicules et de l’épididyme et le pourcentage de mobilité des spermatozoïdes ont diminué à la dose de 60 mg/kg, approximativement équivalente à la dose clinique maximale de 800 mg/j, basée sur la surface corporelle. Cela n’a pas été observé à des doses </w:t>
      </w:r>
      <w:r w:rsidRPr="008A5F3B">
        <w:rPr>
          <w:rFonts w:ascii="Times New Roman" w:hAnsi="Times New Roman"/>
          <w:color w:val="000000"/>
          <w:szCs w:val="22"/>
        </w:rPr>
        <w:sym w:font="Symbol" w:char="F0A3"/>
      </w:r>
      <w:r w:rsidRPr="008A5F3B">
        <w:rPr>
          <w:rFonts w:ascii="Times New Roman" w:hAnsi="Times New Roman"/>
          <w:color w:val="000000"/>
          <w:szCs w:val="22"/>
        </w:rPr>
        <w:t xml:space="preserve"> 20 mg/kg. Une réduction légère à modérée de la spermatogenèse a aussi été observée chez le chien à des doses orales &gt; 30 mg/kg. Chez des rats femelles traitées pendant 14 jours avant accouplement et pendant 6 jours de gestation, aucun effet n’a été observé sur l’accouplement ou sur le nombre de femelles gestantes. </w:t>
      </w:r>
      <w:proofErr w:type="gramStart"/>
      <w:r w:rsidRPr="008A5F3B">
        <w:rPr>
          <w:rFonts w:ascii="Times New Roman" w:hAnsi="Times New Roman"/>
          <w:color w:val="000000"/>
          <w:szCs w:val="22"/>
        </w:rPr>
        <w:t>Par contre</w:t>
      </w:r>
      <w:proofErr w:type="gramEnd"/>
      <w:r w:rsidRPr="008A5F3B">
        <w:rPr>
          <w:rFonts w:ascii="Times New Roman" w:hAnsi="Times New Roman"/>
          <w:color w:val="000000"/>
          <w:szCs w:val="22"/>
        </w:rPr>
        <w:t xml:space="preserve">, à la dose de 60 mg/kg, les rats femelles ont présenté une perte fœtale post-implantation significative et un nombre de fœtus vivants réduit significativement. Ceci n’a pas été observé à des doses </w:t>
      </w:r>
      <w:r w:rsidRPr="008A5F3B">
        <w:rPr>
          <w:rFonts w:ascii="Times New Roman" w:hAnsi="Times New Roman"/>
          <w:color w:val="000000"/>
          <w:szCs w:val="22"/>
        </w:rPr>
        <w:sym w:font="Symbol" w:char="F0A3"/>
      </w:r>
      <w:r w:rsidRPr="008A5F3B">
        <w:rPr>
          <w:rFonts w:ascii="Times New Roman" w:hAnsi="Times New Roman"/>
          <w:color w:val="000000"/>
          <w:szCs w:val="22"/>
        </w:rPr>
        <w:t> 20 mg/kg.</w:t>
      </w:r>
    </w:p>
    <w:p w14:paraId="17F0ECEE" w14:textId="77777777" w:rsidR="007D642D" w:rsidRPr="008A5F3B" w:rsidRDefault="007D642D" w:rsidP="007F23EE">
      <w:pPr>
        <w:rPr>
          <w:rFonts w:ascii="Times New Roman" w:hAnsi="Times New Roman"/>
          <w:color w:val="000000"/>
          <w:szCs w:val="22"/>
        </w:rPr>
      </w:pPr>
    </w:p>
    <w:p w14:paraId="10BE288D" w14:textId="5AA90E29" w:rsidR="007D642D" w:rsidRPr="008A5F3B" w:rsidRDefault="007D642D" w:rsidP="007F23EE">
      <w:pPr>
        <w:pStyle w:val="Text"/>
        <w:spacing w:before="0"/>
        <w:jc w:val="left"/>
        <w:rPr>
          <w:color w:val="000000"/>
          <w:sz w:val="22"/>
          <w:szCs w:val="22"/>
          <w:lang w:val="fr-FR"/>
        </w:rPr>
      </w:pPr>
      <w:r w:rsidRPr="008A5F3B">
        <w:rPr>
          <w:color w:val="000000"/>
          <w:sz w:val="22"/>
          <w:szCs w:val="22"/>
          <w:lang w:val="fr-FR"/>
        </w:rPr>
        <w:t>Après administration orale au cours d</w:t>
      </w:r>
      <w:r w:rsidR="00813A7A">
        <w:rPr>
          <w:color w:val="000000"/>
          <w:sz w:val="22"/>
          <w:szCs w:val="22"/>
          <w:lang w:val="fr-FR"/>
        </w:rPr>
        <w:t>’</w:t>
      </w:r>
      <w:r w:rsidRPr="008A5F3B">
        <w:rPr>
          <w:color w:val="000000"/>
          <w:sz w:val="22"/>
          <w:szCs w:val="22"/>
          <w:lang w:val="fr-FR"/>
        </w:rPr>
        <w:t>une étude sur le développement prénatal et post-natal chez le rat un écoulement vaginal rouge a été observé dans le groupe sous 45 mg/kg/jour au 14–15</w:t>
      </w:r>
      <w:r w:rsidRPr="008A5F3B">
        <w:rPr>
          <w:color w:val="000000"/>
          <w:sz w:val="22"/>
          <w:szCs w:val="22"/>
          <w:vertAlign w:val="superscript"/>
          <w:lang w:val="fr-FR"/>
        </w:rPr>
        <w:t>ème</w:t>
      </w:r>
      <w:r w:rsidRPr="008A5F3B">
        <w:rPr>
          <w:color w:val="000000"/>
          <w:sz w:val="22"/>
          <w:szCs w:val="22"/>
          <w:lang w:val="fr-FR"/>
        </w:rPr>
        <w:t xml:space="preserve"> jour de gestation. A la même dose, le nombre de ratons mort-nés ou décédant au cours des 4 premiers jours du post-partum était plus élevé. Dans la descendance F</w:t>
      </w:r>
      <w:r w:rsidRPr="008A5F3B">
        <w:rPr>
          <w:color w:val="000000"/>
          <w:sz w:val="22"/>
          <w:szCs w:val="22"/>
          <w:vertAlign w:val="subscript"/>
          <w:lang w:val="fr-FR"/>
        </w:rPr>
        <w:t>1</w:t>
      </w:r>
      <w:r w:rsidRPr="008A5F3B">
        <w:rPr>
          <w:color w:val="000000"/>
          <w:sz w:val="22"/>
          <w:szCs w:val="22"/>
          <w:lang w:val="fr-FR"/>
        </w:rPr>
        <w:t>, à la même dose, les poids moyens étaient réduits de la naissance jusqu’au sacrifice final et le nombre de portées atteignant le critère de séparation prépu</w:t>
      </w:r>
      <w:r w:rsidR="003A71E7">
        <w:rPr>
          <w:color w:val="000000"/>
          <w:sz w:val="22"/>
          <w:szCs w:val="22"/>
          <w:lang w:val="fr-FR"/>
        </w:rPr>
        <w:t>t</w:t>
      </w:r>
      <w:r w:rsidRPr="008A5F3B">
        <w:rPr>
          <w:color w:val="000000"/>
          <w:sz w:val="22"/>
          <w:szCs w:val="22"/>
          <w:lang w:val="fr-FR"/>
        </w:rPr>
        <w:t>iale était légèrement plus faible. La fertilité de la descendance F</w:t>
      </w:r>
      <w:r w:rsidRPr="008A5F3B">
        <w:rPr>
          <w:color w:val="000000"/>
          <w:sz w:val="22"/>
          <w:szCs w:val="22"/>
          <w:vertAlign w:val="subscript"/>
          <w:lang w:val="fr-FR"/>
        </w:rPr>
        <w:t>1</w:t>
      </w:r>
      <w:r w:rsidRPr="008A5F3B">
        <w:rPr>
          <w:color w:val="000000"/>
          <w:sz w:val="22"/>
          <w:szCs w:val="22"/>
          <w:lang w:val="fr-FR"/>
        </w:rPr>
        <w:t xml:space="preserve"> n</w:t>
      </w:r>
      <w:r w:rsidR="00813A7A">
        <w:rPr>
          <w:color w:val="000000"/>
          <w:sz w:val="22"/>
          <w:szCs w:val="22"/>
          <w:lang w:val="fr-FR"/>
        </w:rPr>
        <w:t>’</w:t>
      </w:r>
      <w:r w:rsidRPr="008A5F3B">
        <w:rPr>
          <w:color w:val="000000"/>
          <w:sz w:val="22"/>
          <w:szCs w:val="22"/>
          <w:lang w:val="fr-FR"/>
        </w:rPr>
        <w:t>était pas modifiée alors qu'un nombre accru de résorptions fœtales et une diminution du nombre de fœtus viables étaient observés à 45 mg/kg/jour. La dose sans effet observable (DSEO) pour les mères et la génération F</w:t>
      </w:r>
      <w:r w:rsidRPr="008A5F3B">
        <w:rPr>
          <w:color w:val="000000"/>
          <w:sz w:val="22"/>
          <w:szCs w:val="22"/>
          <w:vertAlign w:val="subscript"/>
          <w:lang w:val="fr-FR"/>
        </w:rPr>
        <w:t>1</w:t>
      </w:r>
      <w:r w:rsidRPr="008A5F3B">
        <w:rPr>
          <w:color w:val="000000"/>
          <w:sz w:val="22"/>
          <w:szCs w:val="22"/>
          <w:lang w:val="fr-FR"/>
        </w:rPr>
        <w:t xml:space="preserve"> était de 15 mg/kg/jour (soit un quart de la dose maximale humaine de 800 mg).</w:t>
      </w:r>
    </w:p>
    <w:p w14:paraId="6A2664A3" w14:textId="77777777" w:rsidR="007D642D" w:rsidRPr="008A5F3B" w:rsidRDefault="007D642D" w:rsidP="007F23EE">
      <w:pPr>
        <w:rPr>
          <w:rFonts w:ascii="Times New Roman" w:hAnsi="Times New Roman"/>
          <w:color w:val="000000"/>
          <w:szCs w:val="22"/>
        </w:rPr>
      </w:pPr>
    </w:p>
    <w:p w14:paraId="5DEFC2FD"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 xml:space="preserve">L’imatinib est tératogène chez les rats lorsqu’il est administré au cours de l’organogenèse, à des doses </w:t>
      </w:r>
      <w:r w:rsidRPr="008A5F3B">
        <w:rPr>
          <w:rFonts w:ascii="Times New Roman" w:hAnsi="Times New Roman"/>
          <w:color w:val="000000"/>
          <w:szCs w:val="22"/>
        </w:rPr>
        <w:sym w:font="Symbol" w:char="F0B3"/>
      </w:r>
      <w:r w:rsidRPr="008A5F3B">
        <w:rPr>
          <w:rFonts w:ascii="Times New Roman" w:hAnsi="Times New Roman"/>
          <w:color w:val="000000"/>
          <w:szCs w:val="22"/>
        </w:rPr>
        <w:t xml:space="preserve"> 100 mg/kg, approximativement équivalente à la dose clinique maximale de 800 mg/j, basée sur la surface corporelle. Les effets tératogènes observés sont : une exencéphalie, une encéphalocèle, une réduction/absence de l’os frontal et une absence des os pariétaux. Ces effets n’ont pas été observés à des doses </w:t>
      </w:r>
      <w:r w:rsidRPr="008A5F3B">
        <w:rPr>
          <w:rFonts w:ascii="Times New Roman" w:hAnsi="Times New Roman"/>
          <w:color w:val="000000"/>
          <w:szCs w:val="22"/>
        </w:rPr>
        <w:sym w:font="Symbol" w:char="F0A3"/>
      </w:r>
      <w:r w:rsidRPr="008A5F3B">
        <w:rPr>
          <w:rFonts w:ascii="Times New Roman" w:hAnsi="Times New Roman"/>
          <w:color w:val="000000"/>
          <w:szCs w:val="22"/>
        </w:rPr>
        <w:t> 30 mg/kg.</w:t>
      </w:r>
    </w:p>
    <w:p w14:paraId="521854D4" w14:textId="77777777" w:rsidR="00FD59BC" w:rsidRPr="008A5F3B" w:rsidRDefault="00FD59BC" w:rsidP="007F23EE">
      <w:pPr>
        <w:rPr>
          <w:rFonts w:ascii="Times New Roman" w:hAnsi="Times New Roman"/>
          <w:color w:val="000000"/>
          <w:szCs w:val="22"/>
        </w:rPr>
      </w:pPr>
    </w:p>
    <w:p w14:paraId="0A7B1898" w14:textId="42CDC183" w:rsidR="00FD59BC" w:rsidRPr="008A5F3B" w:rsidRDefault="00FD59BC" w:rsidP="007F23EE">
      <w:pPr>
        <w:pStyle w:val="EndnoteText"/>
        <w:tabs>
          <w:tab w:val="clear" w:pos="567"/>
        </w:tabs>
        <w:rPr>
          <w:color w:val="000000"/>
          <w:szCs w:val="22"/>
          <w:lang w:val="fr-FR"/>
        </w:rPr>
      </w:pPr>
      <w:r w:rsidRPr="008A5F3B">
        <w:rPr>
          <w:color w:val="000000"/>
          <w:szCs w:val="22"/>
          <w:lang w:val="fr-FR"/>
        </w:rPr>
        <w:t>Au cours d’une étude de toxicité sur le développement du rat juvénile (jours 10 à 70 post-partum), aucun nouvel organe-cible n’a été identifié par rapport aux organes cibles connus chez le rat adulte. Dans l’étude de toxicité réalisée chez les rats juvéniles, des effets sur la croissance, un retard de l’ouverture vaginale et de la séparation préputiale ont été observés à la plus haute dose recommandée de 340 mg/m</w:t>
      </w:r>
      <w:r w:rsidRPr="008A5F3B">
        <w:rPr>
          <w:color w:val="000000"/>
          <w:szCs w:val="22"/>
          <w:vertAlign w:val="superscript"/>
          <w:lang w:val="fr-FR"/>
        </w:rPr>
        <w:t>2</w:t>
      </w:r>
      <w:r w:rsidRPr="008A5F3B">
        <w:rPr>
          <w:color w:val="000000"/>
          <w:szCs w:val="22"/>
          <w:lang w:val="fr-FR"/>
        </w:rPr>
        <w:t xml:space="preserve"> correspondant à environ 0,3 à 2 fois l’exposition pédiatrique moyenne. De plus, des décès ont été observés chez les animaux juvéniles (autour de la phase de sevrage) à la dose la plus haute recommandée de 340 mg/m</w:t>
      </w:r>
      <w:r w:rsidRPr="008A5F3B">
        <w:rPr>
          <w:color w:val="000000"/>
          <w:szCs w:val="22"/>
          <w:vertAlign w:val="superscript"/>
          <w:lang w:val="fr-FR"/>
        </w:rPr>
        <w:t>2</w:t>
      </w:r>
      <w:r w:rsidRPr="008A5F3B">
        <w:rPr>
          <w:color w:val="000000"/>
          <w:szCs w:val="22"/>
          <w:lang w:val="fr-FR"/>
        </w:rPr>
        <w:t xml:space="preserve"> correspondant à environ 2 fois l’exposition pédiatrique moyenne.</w:t>
      </w:r>
    </w:p>
    <w:p w14:paraId="2F6B2EF3" w14:textId="77777777" w:rsidR="007D642D" w:rsidRPr="008A5F3B" w:rsidRDefault="007D642D" w:rsidP="007F23EE">
      <w:pPr>
        <w:pStyle w:val="EndnoteText"/>
        <w:tabs>
          <w:tab w:val="clear" w:pos="567"/>
        </w:tabs>
        <w:rPr>
          <w:color w:val="000000"/>
          <w:szCs w:val="22"/>
          <w:lang w:val="fr-FR"/>
        </w:rPr>
      </w:pPr>
    </w:p>
    <w:p w14:paraId="3DF4EECD" w14:textId="49149426" w:rsidR="007D642D" w:rsidRPr="008A5F3B" w:rsidRDefault="007D642D" w:rsidP="007F23EE">
      <w:pPr>
        <w:pStyle w:val="EndnoteText"/>
        <w:tabs>
          <w:tab w:val="clear" w:pos="567"/>
        </w:tabs>
        <w:rPr>
          <w:color w:val="000000"/>
          <w:szCs w:val="22"/>
          <w:lang w:val="fr-FR"/>
        </w:rPr>
      </w:pPr>
      <w:r w:rsidRPr="008A5F3B">
        <w:rPr>
          <w:color w:val="000000"/>
          <w:szCs w:val="22"/>
          <w:lang w:val="fr-FR"/>
        </w:rPr>
        <w:t xml:space="preserve">Dans une étude de carcinogénicité d’une durée de </w:t>
      </w:r>
      <w:proofErr w:type="gramStart"/>
      <w:r w:rsidRPr="008A5F3B">
        <w:rPr>
          <w:color w:val="000000"/>
          <w:szCs w:val="22"/>
          <w:lang w:val="fr-FR"/>
        </w:rPr>
        <w:t>deux ans menée</w:t>
      </w:r>
      <w:proofErr w:type="gramEnd"/>
      <w:r w:rsidRPr="008A5F3B">
        <w:rPr>
          <w:color w:val="000000"/>
          <w:szCs w:val="22"/>
          <w:lang w:val="fr-FR"/>
        </w:rPr>
        <w:t xml:space="preserve"> chez le rat avec imatinib administré à la dose de 15, 30 et 60 mg/kg/j, une réduction statistiquement significative de la longévité a été observée chez les mâles à la dose de 60 mg/kg/j et chez les femelles à une dose </w:t>
      </w:r>
      <w:r w:rsidRPr="008A5F3B">
        <w:rPr>
          <w:color w:val="000000"/>
          <w:szCs w:val="22"/>
          <w:lang w:val="fr-FR"/>
        </w:rPr>
        <w:sym w:font="Symbol" w:char="F0B3"/>
      </w:r>
      <w:r w:rsidRPr="008A5F3B">
        <w:rPr>
          <w:color w:val="000000"/>
          <w:szCs w:val="22"/>
          <w:lang w:val="fr-FR"/>
        </w:rPr>
        <w:t xml:space="preserve"> 30 mg/kg/j. L’examen </w:t>
      </w:r>
      <w:proofErr w:type="spellStart"/>
      <w:r w:rsidRPr="008A5F3B">
        <w:rPr>
          <w:color w:val="000000"/>
          <w:szCs w:val="22"/>
          <w:lang w:val="fr-FR"/>
        </w:rPr>
        <w:t>histo-pathologique</w:t>
      </w:r>
      <w:proofErr w:type="spellEnd"/>
      <w:r w:rsidRPr="008A5F3B">
        <w:rPr>
          <w:color w:val="000000"/>
          <w:szCs w:val="22"/>
          <w:lang w:val="fr-FR"/>
        </w:rPr>
        <w:t xml:space="preserve"> des animaux a mis en évidence comme cause principale de déc</w:t>
      </w:r>
      <w:r w:rsidR="00A2334D">
        <w:rPr>
          <w:color w:val="000000"/>
          <w:szCs w:val="22"/>
          <w:lang w:val="fr-FR"/>
        </w:rPr>
        <w:t>è</w:t>
      </w:r>
      <w:r w:rsidRPr="008A5F3B">
        <w:rPr>
          <w:color w:val="000000"/>
          <w:szCs w:val="22"/>
          <w:lang w:val="fr-FR"/>
        </w:rPr>
        <w:t>s ou de sacrifice des cardiomyopathies (pour les deux sexes), des néphropathies chroniques en progression (chez les femelles) et des papillomes des glandes prépu</w:t>
      </w:r>
      <w:r w:rsidR="00A2334D">
        <w:rPr>
          <w:color w:val="000000"/>
          <w:szCs w:val="22"/>
          <w:lang w:val="fr-FR"/>
        </w:rPr>
        <w:t>t</w:t>
      </w:r>
      <w:r w:rsidRPr="008A5F3B">
        <w:rPr>
          <w:color w:val="000000"/>
          <w:szCs w:val="22"/>
          <w:lang w:val="fr-FR"/>
        </w:rPr>
        <w:t>iales. Les organes cibles des modifications néoplasiques étaient les reins, la vessie, l’urètre, les glandes prépu</w:t>
      </w:r>
      <w:r w:rsidR="00A2334D">
        <w:rPr>
          <w:color w:val="000000"/>
          <w:szCs w:val="22"/>
          <w:lang w:val="fr-FR"/>
        </w:rPr>
        <w:t>t</w:t>
      </w:r>
      <w:r w:rsidRPr="008A5F3B">
        <w:rPr>
          <w:color w:val="000000"/>
          <w:szCs w:val="22"/>
          <w:lang w:val="fr-FR"/>
        </w:rPr>
        <w:t>iales et clitoridiennes, l’intestin grêle, les glandes parathyroïdes, les glandes surrénales, et l’estomac (hors tissu glandulaire).</w:t>
      </w:r>
    </w:p>
    <w:p w14:paraId="787A1618" w14:textId="77777777" w:rsidR="007D642D" w:rsidRPr="008A5F3B" w:rsidRDefault="007D642D" w:rsidP="007F23EE">
      <w:pPr>
        <w:pStyle w:val="EndnoteText"/>
        <w:tabs>
          <w:tab w:val="clear" w:pos="567"/>
        </w:tabs>
        <w:rPr>
          <w:color w:val="000000"/>
          <w:szCs w:val="22"/>
          <w:lang w:val="fr-FR"/>
        </w:rPr>
      </w:pPr>
    </w:p>
    <w:p w14:paraId="7EAE9EEF" w14:textId="358447C7" w:rsidR="007D642D" w:rsidRPr="008A5F3B" w:rsidRDefault="007D642D" w:rsidP="007F23EE">
      <w:pPr>
        <w:pStyle w:val="EndnoteText"/>
        <w:tabs>
          <w:tab w:val="clear" w:pos="567"/>
        </w:tabs>
        <w:rPr>
          <w:color w:val="000000"/>
          <w:szCs w:val="22"/>
          <w:lang w:val="fr-FR"/>
        </w:rPr>
      </w:pPr>
      <w:r w:rsidRPr="008A5F3B">
        <w:rPr>
          <w:color w:val="000000"/>
          <w:szCs w:val="22"/>
          <w:lang w:val="fr-FR"/>
        </w:rPr>
        <w:t>Des papillomes/carcinomes des glandes prépu</w:t>
      </w:r>
      <w:r w:rsidR="00A2334D">
        <w:rPr>
          <w:color w:val="000000"/>
          <w:szCs w:val="22"/>
          <w:lang w:val="fr-FR"/>
        </w:rPr>
        <w:t>t</w:t>
      </w:r>
      <w:r w:rsidRPr="008A5F3B">
        <w:rPr>
          <w:color w:val="000000"/>
          <w:szCs w:val="22"/>
          <w:lang w:val="fr-FR"/>
        </w:rPr>
        <w:t xml:space="preserve">iales et clitoridiennes ont été observés à partir des doses de 30 mg/kg/j représentant approximativement 0,5 ou 0,3 fois l’exposition journalière (basée sur l’ASC) chez l’homme traité par 400 mg/j ou 800 mg/j respectivement et 0,4 fois l’exposition </w:t>
      </w:r>
      <w:r w:rsidRPr="008A5F3B">
        <w:rPr>
          <w:color w:val="000000"/>
          <w:szCs w:val="22"/>
          <w:lang w:val="fr-FR"/>
        </w:rPr>
        <w:lastRenderedPageBreak/>
        <w:t>journalière (basée sur l’ASC) chez l’enfant traité par 340 mg/m</w:t>
      </w:r>
      <w:r w:rsidRPr="008A5F3B">
        <w:rPr>
          <w:color w:val="000000"/>
          <w:szCs w:val="22"/>
          <w:vertAlign w:val="superscript"/>
          <w:lang w:val="fr-FR"/>
        </w:rPr>
        <w:t>2</w:t>
      </w:r>
      <w:r w:rsidRPr="008A5F3B">
        <w:rPr>
          <w:color w:val="000000"/>
          <w:szCs w:val="22"/>
          <w:lang w:val="fr-FR"/>
        </w:rPr>
        <w:t>/jour. La dose sans effet observable (DSEO) était de 15 mg/kg/j. Les adénomes/carcinomes rénaux et les papillomes de la vessie et de l’urètre, les adénocarcinomes de l’intestin grêle, les adénomes des parathyroïdes, les tumeurs médullaires bénignes et malignes des glandes surrénales et les carcinomes/papillomes de l’estomac (hors tissu glandulaire) ont été observés à la dose de 60 mg/kg/j, représentant approximativement 1,7 ou 1 fois l’exposition journalière (basée sur l’ASC) chez l’homme traité par 400 mg/j ou 800 mg/j respectivement et 1,2 fois l’exposition journalière (basée sur l’ASC) chez l’enfant traité par 340 mg/m</w:t>
      </w:r>
      <w:r w:rsidRPr="008A5F3B">
        <w:rPr>
          <w:color w:val="000000"/>
          <w:szCs w:val="22"/>
          <w:vertAlign w:val="superscript"/>
          <w:lang w:val="fr-FR"/>
        </w:rPr>
        <w:t>2</w:t>
      </w:r>
      <w:r w:rsidRPr="008A5F3B">
        <w:rPr>
          <w:color w:val="000000"/>
          <w:szCs w:val="22"/>
          <w:lang w:val="fr-FR"/>
        </w:rPr>
        <w:t>/jour. La dose sans effet observable (DSEO) était de 30 mg/kg/j.</w:t>
      </w:r>
    </w:p>
    <w:p w14:paraId="0C143FB9" w14:textId="77777777" w:rsidR="007D642D" w:rsidRPr="008A5F3B" w:rsidRDefault="007D642D" w:rsidP="007F23EE">
      <w:pPr>
        <w:pStyle w:val="EndnoteText"/>
        <w:tabs>
          <w:tab w:val="clear" w:pos="567"/>
        </w:tabs>
        <w:rPr>
          <w:color w:val="000000"/>
          <w:szCs w:val="22"/>
          <w:lang w:val="fr-FR"/>
        </w:rPr>
      </w:pPr>
    </w:p>
    <w:p w14:paraId="7FDD4A49" w14:textId="77777777" w:rsidR="007D642D" w:rsidRPr="008A5F3B" w:rsidRDefault="007D642D" w:rsidP="007F23EE">
      <w:pPr>
        <w:pStyle w:val="EndnoteText"/>
        <w:tabs>
          <w:tab w:val="clear" w:pos="567"/>
        </w:tabs>
        <w:rPr>
          <w:color w:val="000000"/>
          <w:szCs w:val="22"/>
          <w:lang w:val="fr-FR"/>
        </w:rPr>
      </w:pPr>
      <w:r w:rsidRPr="008A5F3B">
        <w:rPr>
          <w:color w:val="000000"/>
          <w:szCs w:val="22"/>
          <w:lang w:val="fr-FR"/>
        </w:rPr>
        <w:t>Le mécanisme et la pertinence chez l’homme des résultats de l’étude de carcinogénicité menée chez le rat ne sont pas encore clarifiés.</w:t>
      </w:r>
    </w:p>
    <w:p w14:paraId="6777C78E" w14:textId="77777777" w:rsidR="007D642D" w:rsidRPr="008A5F3B" w:rsidRDefault="007D642D" w:rsidP="007F23EE">
      <w:pPr>
        <w:pStyle w:val="EndnoteText"/>
        <w:tabs>
          <w:tab w:val="clear" w:pos="567"/>
        </w:tabs>
        <w:rPr>
          <w:color w:val="000000"/>
          <w:szCs w:val="22"/>
          <w:lang w:val="fr-FR"/>
        </w:rPr>
      </w:pPr>
    </w:p>
    <w:p w14:paraId="792F884C" w14:textId="77777777" w:rsidR="007D642D" w:rsidRPr="008A5F3B" w:rsidRDefault="007D642D" w:rsidP="007F23EE">
      <w:pPr>
        <w:pStyle w:val="EndnoteText"/>
        <w:tabs>
          <w:tab w:val="clear" w:pos="567"/>
        </w:tabs>
        <w:rPr>
          <w:color w:val="000000"/>
          <w:szCs w:val="22"/>
          <w:lang w:val="fr-FR"/>
        </w:rPr>
      </w:pPr>
      <w:r w:rsidRPr="008A5F3B">
        <w:rPr>
          <w:color w:val="000000"/>
          <w:szCs w:val="22"/>
          <w:lang w:val="fr-FR"/>
        </w:rPr>
        <w:t>Des lésions non-néoplasiques qui n’avaient pas été identifiées au cours d’études précliniques antérieures, ont été observées sur le système cardiovasculaire, le pancréas, les glandes endocrines et les dents. Les modifications les plus importantes comprenaient l’hypertrophie et la dilatation cardiaque responsables de signes d’insuffisance cardiaque.</w:t>
      </w:r>
    </w:p>
    <w:p w14:paraId="2F8CB329" w14:textId="77777777" w:rsidR="001B31F3" w:rsidRPr="008A5F3B" w:rsidRDefault="001B31F3" w:rsidP="007F23EE">
      <w:pPr>
        <w:pStyle w:val="EndnoteText"/>
        <w:tabs>
          <w:tab w:val="clear" w:pos="567"/>
        </w:tabs>
        <w:rPr>
          <w:color w:val="000000"/>
          <w:szCs w:val="22"/>
          <w:lang w:val="fr-FR"/>
        </w:rPr>
      </w:pPr>
    </w:p>
    <w:p w14:paraId="43C206EF" w14:textId="77777777" w:rsidR="001B31F3" w:rsidRPr="008A5F3B" w:rsidRDefault="001B31F3" w:rsidP="007F23EE">
      <w:pPr>
        <w:pStyle w:val="EndnoteText"/>
        <w:tabs>
          <w:tab w:val="clear" w:pos="567"/>
        </w:tabs>
        <w:rPr>
          <w:color w:val="000000"/>
          <w:szCs w:val="22"/>
          <w:lang w:val="fr-FR"/>
        </w:rPr>
      </w:pPr>
      <w:r w:rsidRPr="008A5F3B">
        <w:rPr>
          <w:color w:val="000000"/>
          <w:szCs w:val="22"/>
          <w:lang w:val="fr-FR"/>
        </w:rPr>
        <w:t>La substance active imatinib présente un risque environnemental pour les organismes vivant dans les sédiments.</w:t>
      </w:r>
    </w:p>
    <w:p w14:paraId="0590CCE7" w14:textId="77777777" w:rsidR="007D642D" w:rsidRPr="008A5F3B" w:rsidRDefault="007D642D" w:rsidP="007F23EE">
      <w:pPr>
        <w:pStyle w:val="EndnoteText"/>
        <w:tabs>
          <w:tab w:val="clear" w:pos="567"/>
        </w:tabs>
        <w:rPr>
          <w:color w:val="000000"/>
          <w:szCs w:val="22"/>
          <w:lang w:val="fr-FR"/>
        </w:rPr>
      </w:pPr>
    </w:p>
    <w:p w14:paraId="1F1177BC" w14:textId="77777777" w:rsidR="007D642D" w:rsidRPr="008A5F3B" w:rsidRDefault="007D642D" w:rsidP="007F23EE">
      <w:pPr>
        <w:pStyle w:val="EndnoteText"/>
        <w:tabs>
          <w:tab w:val="clear" w:pos="567"/>
        </w:tabs>
        <w:rPr>
          <w:color w:val="000000"/>
          <w:szCs w:val="22"/>
          <w:lang w:val="fr-FR"/>
        </w:rPr>
      </w:pPr>
    </w:p>
    <w:p w14:paraId="7C2B3B83" w14:textId="77777777" w:rsidR="007D642D" w:rsidRPr="008A5F3B" w:rsidRDefault="007D642D" w:rsidP="007F23EE">
      <w:pPr>
        <w:keepNext/>
        <w:ind w:left="567" w:hanging="567"/>
        <w:rPr>
          <w:rFonts w:ascii="Times New Roman" w:hAnsi="Times New Roman"/>
          <w:b/>
          <w:color w:val="000000"/>
          <w:szCs w:val="22"/>
        </w:rPr>
      </w:pPr>
      <w:r w:rsidRPr="008A5F3B">
        <w:rPr>
          <w:rFonts w:ascii="Times New Roman" w:hAnsi="Times New Roman"/>
          <w:b/>
          <w:color w:val="000000"/>
          <w:szCs w:val="22"/>
        </w:rPr>
        <w:t>6.</w:t>
      </w:r>
      <w:r w:rsidRPr="008A5F3B">
        <w:rPr>
          <w:rFonts w:ascii="Times New Roman" w:hAnsi="Times New Roman"/>
          <w:b/>
          <w:color w:val="000000"/>
          <w:szCs w:val="22"/>
        </w:rPr>
        <w:tab/>
        <w:t>DONN</w:t>
      </w:r>
      <w:r w:rsidR="006C27AC" w:rsidRPr="008A5F3B">
        <w:rPr>
          <w:rFonts w:ascii="Times New Roman" w:hAnsi="Times New Roman"/>
          <w:b/>
          <w:color w:val="000000"/>
          <w:szCs w:val="22"/>
        </w:rPr>
        <w:t>É</w:t>
      </w:r>
      <w:r w:rsidRPr="008A5F3B">
        <w:rPr>
          <w:rFonts w:ascii="Times New Roman" w:hAnsi="Times New Roman"/>
          <w:b/>
          <w:color w:val="000000"/>
          <w:szCs w:val="22"/>
        </w:rPr>
        <w:t>ES PHARMACEUTIQUES</w:t>
      </w:r>
    </w:p>
    <w:p w14:paraId="21971717" w14:textId="77777777" w:rsidR="007D642D" w:rsidRPr="008A5F3B" w:rsidRDefault="007D642D" w:rsidP="007F23EE">
      <w:pPr>
        <w:pStyle w:val="EndnoteText"/>
        <w:keepNext/>
        <w:tabs>
          <w:tab w:val="clear" w:pos="567"/>
        </w:tabs>
        <w:rPr>
          <w:color w:val="000000"/>
          <w:szCs w:val="22"/>
          <w:lang w:val="fr-FR"/>
        </w:rPr>
      </w:pPr>
    </w:p>
    <w:p w14:paraId="3C5D82A1" w14:textId="77777777" w:rsidR="007D642D" w:rsidRPr="008A5F3B" w:rsidRDefault="007D642D" w:rsidP="007F23EE">
      <w:pPr>
        <w:keepNext/>
        <w:ind w:left="567" w:hanging="567"/>
        <w:rPr>
          <w:rFonts w:ascii="Times New Roman" w:hAnsi="Times New Roman"/>
          <w:color w:val="000000"/>
          <w:szCs w:val="22"/>
        </w:rPr>
      </w:pPr>
      <w:r w:rsidRPr="008A5F3B">
        <w:rPr>
          <w:rFonts w:ascii="Times New Roman" w:hAnsi="Times New Roman"/>
          <w:b/>
          <w:color w:val="000000"/>
          <w:szCs w:val="22"/>
        </w:rPr>
        <w:t>6.1</w:t>
      </w:r>
      <w:r w:rsidRPr="008A5F3B">
        <w:rPr>
          <w:rFonts w:ascii="Times New Roman" w:hAnsi="Times New Roman"/>
          <w:b/>
          <w:color w:val="000000"/>
          <w:szCs w:val="22"/>
        </w:rPr>
        <w:tab/>
        <w:t>Liste des excipients</w:t>
      </w:r>
    </w:p>
    <w:p w14:paraId="6A6939F2" w14:textId="77777777" w:rsidR="007D642D" w:rsidRPr="008A5F3B" w:rsidRDefault="007D642D" w:rsidP="007F23EE">
      <w:pPr>
        <w:keepNext/>
        <w:rPr>
          <w:rFonts w:ascii="Times New Roman" w:hAnsi="Times New Roman"/>
          <w:color w:val="000000"/>
          <w:szCs w:val="22"/>
        </w:rPr>
      </w:pPr>
    </w:p>
    <w:p w14:paraId="61E0E27C" w14:textId="77777777" w:rsidR="007D642D" w:rsidRPr="008A5F3B" w:rsidRDefault="007D642D" w:rsidP="007F23EE">
      <w:pPr>
        <w:keepNext/>
        <w:rPr>
          <w:rFonts w:ascii="Times New Roman" w:hAnsi="Times New Roman"/>
          <w:color w:val="000000"/>
          <w:szCs w:val="22"/>
        </w:rPr>
      </w:pPr>
      <w:r w:rsidRPr="008A5F3B">
        <w:rPr>
          <w:rFonts w:ascii="Times New Roman" w:hAnsi="Times New Roman"/>
          <w:color w:val="000000"/>
          <w:szCs w:val="22"/>
        </w:rPr>
        <w:t>Noyau du comprimé :</w:t>
      </w:r>
    </w:p>
    <w:p w14:paraId="0B5DACA1" w14:textId="77777777" w:rsidR="007D642D" w:rsidRPr="008A5F3B" w:rsidRDefault="007D642D" w:rsidP="007F23EE">
      <w:pPr>
        <w:keepNext/>
        <w:rPr>
          <w:rFonts w:ascii="Times New Roman" w:hAnsi="Times New Roman"/>
          <w:color w:val="000000"/>
          <w:szCs w:val="22"/>
        </w:rPr>
      </w:pPr>
      <w:r w:rsidRPr="008A5F3B">
        <w:rPr>
          <w:rFonts w:ascii="Times New Roman" w:hAnsi="Times New Roman"/>
          <w:color w:val="000000"/>
          <w:szCs w:val="22"/>
        </w:rPr>
        <w:t>Cellulose microcristalline</w:t>
      </w:r>
    </w:p>
    <w:p w14:paraId="23B46073" w14:textId="77777777" w:rsidR="007D642D" w:rsidRPr="008A5F3B" w:rsidRDefault="007D642D" w:rsidP="007F23EE">
      <w:pPr>
        <w:keepNext/>
        <w:rPr>
          <w:rFonts w:ascii="Times New Roman" w:hAnsi="Times New Roman"/>
          <w:color w:val="000000"/>
          <w:szCs w:val="22"/>
        </w:rPr>
      </w:pPr>
      <w:proofErr w:type="spellStart"/>
      <w:r w:rsidRPr="008A5F3B">
        <w:rPr>
          <w:rFonts w:ascii="Times New Roman" w:hAnsi="Times New Roman"/>
          <w:color w:val="000000"/>
          <w:szCs w:val="22"/>
        </w:rPr>
        <w:t>Crospovidone</w:t>
      </w:r>
      <w:proofErr w:type="spellEnd"/>
    </w:p>
    <w:p w14:paraId="59E4EBF3" w14:textId="77777777" w:rsidR="007D642D" w:rsidRPr="008A5F3B" w:rsidRDefault="007D642D" w:rsidP="007F23EE">
      <w:pPr>
        <w:keepNext/>
        <w:rPr>
          <w:rFonts w:ascii="Times New Roman" w:hAnsi="Times New Roman"/>
          <w:color w:val="000000"/>
          <w:szCs w:val="22"/>
        </w:rPr>
      </w:pPr>
      <w:proofErr w:type="spellStart"/>
      <w:r w:rsidRPr="008A5F3B">
        <w:rPr>
          <w:rFonts w:ascii="Times New Roman" w:hAnsi="Times New Roman"/>
          <w:color w:val="000000"/>
          <w:szCs w:val="22"/>
        </w:rPr>
        <w:t>Hypromellose</w:t>
      </w:r>
      <w:proofErr w:type="spellEnd"/>
    </w:p>
    <w:p w14:paraId="3E3CB0C1" w14:textId="77777777" w:rsidR="007D642D" w:rsidRPr="008A5F3B" w:rsidRDefault="007D642D" w:rsidP="007F23EE">
      <w:pPr>
        <w:keepNext/>
        <w:rPr>
          <w:rFonts w:ascii="Times New Roman" w:hAnsi="Times New Roman"/>
          <w:color w:val="000000"/>
          <w:szCs w:val="22"/>
        </w:rPr>
      </w:pPr>
      <w:r w:rsidRPr="008A5F3B">
        <w:rPr>
          <w:rFonts w:ascii="Times New Roman" w:hAnsi="Times New Roman"/>
          <w:color w:val="000000"/>
          <w:szCs w:val="22"/>
        </w:rPr>
        <w:t>Stéarate de magnésium</w:t>
      </w:r>
    </w:p>
    <w:p w14:paraId="3955B009"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Silice colloïdale anhydre</w:t>
      </w:r>
    </w:p>
    <w:p w14:paraId="274F0D88" w14:textId="77777777" w:rsidR="007D642D" w:rsidRPr="008A5F3B" w:rsidRDefault="007D642D" w:rsidP="007F23EE">
      <w:pPr>
        <w:rPr>
          <w:rFonts w:ascii="Times New Roman" w:hAnsi="Times New Roman"/>
          <w:color w:val="000000"/>
          <w:szCs w:val="22"/>
        </w:rPr>
      </w:pPr>
    </w:p>
    <w:p w14:paraId="1EC6E018" w14:textId="77777777" w:rsidR="007D642D" w:rsidRPr="008A5F3B" w:rsidRDefault="007D642D" w:rsidP="007F23EE">
      <w:pPr>
        <w:keepNext/>
        <w:rPr>
          <w:rFonts w:ascii="Times New Roman" w:hAnsi="Times New Roman"/>
          <w:color w:val="000000"/>
          <w:szCs w:val="22"/>
        </w:rPr>
      </w:pPr>
      <w:r w:rsidRPr="008A5F3B">
        <w:rPr>
          <w:rFonts w:ascii="Times New Roman" w:hAnsi="Times New Roman"/>
          <w:color w:val="000000"/>
          <w:szCs w:val="22"/>
        </w:rPr>
        <w:t>Pelliculage du comprimé :</w:t>
      </w:r>
    </w:p>
    <w:p w14:paraId="4E8FA959" w14:textId="77777777" w:rsidR="007D642D" w:rsidRPr="008A5F3B" w:rsidRDefault="007D642D" w:rsidP="007F23EE">
      <w:pPr>
        <w:keepNext/>
        <w:rPr>
          <w:rFonts w:ascii="Times New Roman" w:hAnsi="Times New Roman"/>
          <w:color w:val="000000"/>
          <w:szCs w:val="22"/>
        </w:rPr>
      </w:pPr>
      <w:r w:rsidRPr="008A5F3B">
        <w:rPr>
          <w:rFonts w:ascii="Times New Roman" w:hAnsi="Times New Roman"/>
          <w:color w:val="000000"/>
          <w:szCs w:val="22"/>
        </w:rPr>
        <w:t>Oxyde de fer rouge (E172)</w:t>
      </w:r>
    </w:p>
    <w:p w14:paraId="786090BF" w14:textId="77777777" w:rsidR="007D642D" w:rsidRPr="008A5F3B" w:rsidRDefault="007D642D" w:rsidP="007F23EE">
      <w:pPr>
        <w:keepNext/>
        <w:rPr>
          <w:rFonts w:ascii="Times New Roman" w:hAnsi="Times New Roman"/>
          <w:color w:val="000000"/>
          <w:szCs w:val="22"/>
        </w:rPr>
      </w:pPr>
      <w:r w:rsidRPr="008A5F3B">
        <w:rPr>
          <w:rFonts w:ascii="Times New Roman" w:hAnsi="Times New Roman"/>
          <w:color w:val="000000"/>
          <w:szCs w:val="22"/>
        </w:rPr>
        <w:t>Oxyde de fer jaune (E172)</w:t>
      </w:r>
    </w:p>
    <w:p w14:paraId="2B9DF24A" w14:textId="77777777" w:rsidR="007D642D" w:rsidRPr="008A5F3B" w:rsidRDefault="007D642D" w:rsidP="007F23EE">
      <w:pPr>
        <w:keepNext/>
        <w:rPr>
          <w:rFonts w:ascii="Times New Roman" w:hAnsi="Times New Roman"/>
          <w:color w:val="000000"/>
          <w:szCs w:val="22"/>
        </w:rPr>
      </w:pPr>
      <w:r w:rsidRPr="008A5F3B">
        <w:rPr>
          <w:rFonts w:ascii="Times New Roman" w:hAnsi="Times New Roman"/>
          <w:color w:val="000000"/>
          <w:szCs w:val="22"/>
        </w:rPr>
        <w:t>Macrogol</w:t>
      </w:r>
    </w:p>
    <w:p w14:paraId="6564C0F2" w14:textId="77777777" w:rsidR="007D642D" w:rsidRPr="008A5F3B" w:rsidRDefault="007D642D" w:rsidP="007F23EE">
      <w:pPr>
        <w:keepNext/>
        <w:rPr>
          <w:rFonts w:ascii="Times New Roman" w:hAnsi="Times New Roman"/>
          <w:color w:val="000000"/>
          <w:szCs w:val="22"/>
        </w:rPr>
      </w:pPr>
      <w:r w:rsidRPr="008A5F3B">
        <w:rPr>
          <w:rFonts w:ascii="Times New Roman" w:hAnsi="Times New Roman"/>
          <w:color w:val="000000"/>
          <w:szCs w:val="22"/>
        </w:rPr>
        <w:t>Talc</w:t>
      </w:r>
    </w:p>
    <w:p w14:paraId="654AE95D" w14:textId="77777777" w:rsidR="007D642D" w:rsidRPr="008A5F3B" w:rsidRDefault="007D642D" w:rsidP="007F23EE">
      <w:pPr>
        <w:rPr>
          <w:rFonts w:ascii="Times New Roman" w:hAnsi="Times New Roman"/>
          <w:color w:val="000000"/>
          <w:szCs w:val="22"/>
        </w:rPr>
      </w:pPr>
      <w:proofErr w:type="spellStart"/>
      <w:r w:rsidRPr="008A5F3B">
        <w:rPr>
          <w:rFonts w:ascii="Times New Roman" w:hAnsi="Times New Roman"/>
          <w:color w:val="000000"/>
          <w:szCs w:val="22"/>
        </w:rPr>
        <w:t>Hypromellose</w:t>
      </w:r>
      <w:proofErr w:type="spellEnd"/>
    </w:p>
    <w:p w14:paraId="05E792BE" w14:textId="77777777" w:rsidR="007D642D" w:rsidRPr="008A5F3B" w:rsidRDefault="007D642D" w:rsidP="007F23EE">
      <w:pPr>
        <w:rPr>
          <w:rFonts w:ascii="Times New Roman" w:hAnsi="Times New Roman"/>
          <w:color w:val="000000"/>
          <w:szCs w:val="22"/>
        </w:rPr>
      </w:pPr>
    </w:p>
    <w:p w14:paraId="1FF54377" w14:textId="77777777" w:rsidR="007D642D" w:rsidRPr="008A5F3B" w:rsidRDefault="007D642D" w:rsidP="007F23EE">
      <w:pPr>
        <w:keepNext/>
        <w:ind w:left="567" w:hanging="567"/>
        <w:rPr>
          <w:rFonts w:ascii="Times New Roman" w:hAnsi="Times New Roman"/>
          <w:color w:val="000000"/>
          <w:szCs w:val="22"/>
        </w:rPr>
      </w:pPr>
      <w:r w:rsidRPr="008A5F3B">
        <w:rPr>
          <w:rFonts w:ascii="Times New Roman" w:hAnsi="Times New Roman"/>
          <w:b/>
          <w:color w:val="000000"/>
          <w:szCs w:val="22"/>
        </w:rPr>
        <w:t>6.2</w:t>
      </w:r>
      <w:r w:rsidRPr="008A5F3B">
        <w:rPr>
          <w:rFonts w:ascii="Times New Roman" w:hAnsi="Times New Roman"/>
          <w:b/>
          <w:color w:val="000000"/>
          <w:szCs w:val="22"/>
        </w:rPr>
        <w:tab/>
        <w:t>Incompatibilités</w:t>
      </w:r>
    </w:p>
    <w:p w14:paraId="1F29E7CD" w14:textId="77777777" w:rsidR="007D642D" w:rsidRPr="008A5F3B" w:rsidRDefault="007D642D" w:rsidP="007F23EE">
      <w:pPr>
        <w:keepNext/>
        <w:rPr>
          <w:rFonts w:ascii="Times New Roman" w:hAnsi="Times New Roman"/>
          <w:color w:val="000000"/>
          <w:szCs w:val="22"/>
        </w:rPr>
      </w:pPr>
    </w:p>
    <w:p w14:paraId="25AE6676"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Sans objet.</w:t>
      </w:r>
    </w:p>
    <w:p w14:paraId="2E9D7F2E" w14:textId="77777777" w:rsidR="007D642D" w:rsidRPr="008A5F3B" w:rsidRDefault="007D642D" w:rsidP="007F23EE">
      <w:pPr>
        <w:pStyle w:val="EndnoteText"/>
        <w:tabs>
          <w:tab w:val="clear" w:pos="567"/>
        </w:tabs>
        <w:rPr>
          <w:color w:val="000000"/>
          <w:szCs w:val="22"/>
          <w:lang w:val="fr-FR"/>
        </w:rPr>
      </w:pPr>
    </w:p>
    <w:p w14:paraId="6B24D808" w14:textId="77777777" w:rsidR="007D642D" w:rsidRPr="008A5F3B" w:rsidRDefault="007D642D" w:rsidP="007F23EE">
      <w:pPr>
        <w:keepNext/>
        <w:ind w:left="567" w:hanging="567"/>
        <w:rPr>
          <w:rFonts w:ascii="Times New Roman" w:hAnsi="Times New Roman"/>
          <w:color w:val="000000"/>
          <w:szCs w:val="22"/>
        </w:rPr>
      </w:pPr>
      <w:r w:rsidRPr="008A5F3B">
        <w:rPr>
          <w:rFonts w:ascii="Times New Roman" w:hAnsi="Times New Roman"/>
          <w:b/>
          <w:color w:val="000000"/>
          <w:szCs w:val="22"/>
        </w:rPr>
        <w:t>6.3</w:t>
      </w:r>
      <w:r w:rsidRPr="008A5F3B">
        <w:rPr>
          <w:rFonts w:ascii="Times New Roman" w:hAnsi="Times New Roman"/>
          <w:b/>
          <w:color w:val="000000"/>
          <w:szCs w:val="22"/>
        </w:rPr>
        <w:tab/>
        <w:t>Durée de conservation</w:t>
      </w:r>
    </w:p>
    <w:p w14:paraId="7F80A051" w14:textId="77777777" w:rsidR="007D642D" w:rsidRPr="008A5F3B" w:rsidRDefault="007D642D" w:rsidP="007F23EE">
      <w:pPr>
        <w:keepNext/>
        <w:rPr>
          <w:rFonts w:ascii="Times New Roman" w:hAnsi="Times New Roman"/>
          <w:color w:val="000000"/>
          <w:szCs w:val="22"/>
        </w:rPr>
      </w:pPr>
    </w:p>
    <w:p w14:paraId="0493358C" w14:textId="77777777" w:rsidR="007D642D" w:rsidRPr="008A5F3B" w:rsidRDefault="007D642D" w:rsidP="007F23EE">
      <w:pPr>
        <w:pStyle w:val="EndnoteText"/>
        <w:tabs>
          <w:tab w:val="clear" w:pos="567"/>
        </w:tabs>
        <w:rPr>
          <w:color w:val="000000"/>
          <w:szCs w:val="22"/>
          <w:lang w:val="fr-FR"/>
        </w:rPr>
      </w:pPr>
      <w:r w:rsidRPr="008A5F3B">
        <w:rPr>
          <w:color w:val="000000"/>
          <w:szCs w:val="22"/>
          <w:lang w:val="fr-FR"/>
        </w:rPr>
        <w:t>3 ans</w:t>
      </w:r>
    </w:p>
    <w:p w14:paraId="1E79E18D" w14:textId="77777777" w:rsidR="007D642D" w:rsidRPr="008A5F3B" w:rsidRDefault="007D642D" w:rsidP="007F23EE">
      <w:pPr>
        <w:pStyle w:val="EndnoteText"/>
        <w:tabs>
          <w:tab w:val="clear" w:pos="567"/>
        </w:tabs>
        <w:rPr>
          <w:color w:val="000000"/>
          <w:szCs w:val="22"/>
          <w:lang w:val="fr-FR"/>
        </w:rPr>
      </w:pPr>
    </w:p>
    <w:p w14:paraId="44CE9FB6" w14:textId="77777777" w:rsidR="007D642D" w:rsidRPr="008A5F3B" w:rsidRDefault="007D642D" w:rsidP="007F23EE">
      <w:pPr>
        <w:keepNext/>
        <w:ind w:left="567" w:hanging="567"/>
        <w:rPr>
          <w:rFonts w:ascii="Times New Roman" w:hAnsi="Times New Roman"/>
          <w:color w:val="000000"/>
          <w:szCs w:val="22"/>
        </w:rPr>
      </w:pPr>
      <w:r w:rsidRPr="008A5F3B">
        <w:rPr>
          <w:rFonts w:ascii="Times New Roman" w:hAnsi="Times New Roman"/>
          <w:b/>
          <w:color w:val="000000"/>
          <w:szCs w:val="22"/>
        </w:rPr>
        <w:t>6.4</w:t>
      </w:r>
      <w:r w:rsidRPr="008A5F3B">
        <w:rPr>
          <w:rFonts w:ascii="Times New Roman" w:hAnsi="Times New Roman"/>
          <w:b/>
          <w:color w:val="000000"/>
          <w:szCs w:val="22"/>
        </w:rPr>
        <w:tab/>
        <w:t>Précautions particulières de conservation</w:t>
      </w:r>
    </w:p>
    <w:p w14:paraId="45D1D984" w14:textId="77777777" w:rsidR="007D642D" w:rsidRPr="008A5F3B" w:rsidRDefault="007D642D" w:rsidP="007F23EE">
      <w:pPr>
        <w:keepNext/>
        <w:rPr>
          <w:rFonts w:ascii="Times New Roman" w:hAnsi="Times New Roman"/>
          <w:color w:val="000000"/>
          <w:szCs w:val="22"/>
        </w:rPr>
      </w:pPr>
    </w:p>
    <w:p w14:paraId="4163CB1C" w14:textId="3605F929" w:rsidR="008579DB" w:rsidRPr="008A5F3B" w:rsidRDefault="008579DB" w:rsidP="007F23EE">
      <w:pPr>
        <w:pStyle w:val="EndnoteText"/>
        <w:keepNext/>
        <w:tabs>
          <w:tab w:val="clear" w:pos="567"/>
        </w:tabs>
        <w:rPr>
          <w:color w:val="000000"/>
          <w:szCs w:val="22"/>
          <w:u w:val="single"/>
          <w:lang w:val="fr-FR"/>
        </w:rPr>
      </w:pPr>
      <w:r w:rsidRPr="008A5F3B">
        <w:rPr>
          <w:color w:val="000000"/>
          <w:szCs w:val="22"/>
          <w:u w:val="single"/>
          <w:lang w:val="fr-FR"/>
        </w:rPr>
        <w:t>Glivec 100 mg comprimés pelliculés</w:t>
      </w:r>
    </w:p>
    <w:p w14:paraId="1E345C22" w14:textId="77777777" w:rsidR="008579DB" w:rsidRPr="008A5F3B" w:rsidRDefault="008579DB" w:rsidP="007F23EE">
      <w:pPr>
        <w:pStyle w:val="EndnoteText"/>
        <w:keepNext/>
        <w:tabs>
          <w:tab w:val="clear" w:pos="567"/>
        </w:tabs>
        <w:rPr>
          <w:color w:val="000000"/>
          <w:szCs w:val="22"/>
          <w:lang w:val="fr-FR"/>
        </w:rPr>
      </w:pPr>
    </w:p>
    <w:p w14:paraId="1E9272F9" w14:textId="21AAE90D"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A conserver à une température ne dépassant pas 30</w:t>
      </w:r>
      <w:r w:rsidRPr="008A5F3B">
        <w:rPr>
          <w:rFonts w:ascii="Times New Roman" w:hAnsi="Times New Roman"/>
          <w:color w:val="000000"/>
          <w:szCs w:val="22"/>
        </w:rPr>
        <w:sym w:font="Symbol" w:char="F0B0"/>
      </w:r>
      <w:r w:rsidRPr="008A5F3B">
        <w:rPr>
          <w:rFonts w:ascii="Times New Roman" w:hAnsi="Times New Roman"/>
          <w:color w:val="000000"/>
          <w:szCs w:val="22"/>
        </w:rPr>
        <w:t>C.</w:t>
      </w:r>
    </w:p>
    <w:p w14:paraId="34BB6B58" w14:textId="767BD28F" w:rsidR="008579DB" w:rsidRPr="008A5F3B" w:rsidRDefault="008579DB" w:rsidP="007F23EE">
      <w:pPr>
        <w:rPr>
          <w:rFonts w:ascii="Times New Roman" w:hAnsi="Times New Roman"/>
          <w:color w:val="000000"/>
          <w:szCs w:val="22"/>
        </w:rPr>
      </w:pPr>
    </w:p>
    <w:p w14:paraId="0749BD7A" w14:textId="2B27B8AA" w:rsidR="008579DB" w:rsidRPr="008A5F3B" w:rsidRDefault="008579DB" w:rsidP="007F23EE">
      <w:pPr>
        <w:pStyle w:val="EndnoteText"/>
        <w:keepNext/>
        <w:tabs>
          <w:tab w:val="clear" w:pos="567"/>
        </w:tabs>
        <w:rPr>
          <w:color w:val="000000"/>
          <w:szCs w:val="22"/>
          <w:u w:val="single"/>
          <w:lang w:val="fr-FR"/>
        </w:rPr>
      </w:pPr>
      <w:r w:rsidRPr="008A5F3B">
        <w:rPr>
          <w:color w:val="000000"/>
          <w:szCs w:val="22"/>
          <w:u w:val="single"/>
          <w:lang w:val="fr-FR"/>
        </w:rPr>
        <w:t>Glivec 400 mg comprimés pelliculés</w:t>
      </w:r>
    </w:p>
    <w:p w14:paraId="2DE421C8" w14:textId="705A9743" w:rsidR="008579DB" w:rsidRPr="008A5F3B" w:rsidRDefault="008579DB" w:rsidP="007F23EE">
      <w:pPr>
        <w:pStyle w:val="EndnoteText"/>
        <w:keepNext/>
        <w:tabs>
          <w:tab w:val="clear" w:pos="567"/>
        </w:tabs>
        <w:rPr>
          <w:color w:val="000000"/>
          <w:szCs w:val="22"/>
          <w:lang w:val="fr-FR"/>
        </w:rPr>
      </w:pPr>
    </w:p>
    <w:p w14:paraId="5E69D090" w14:textId="2E807EDC" w:rsidR="008579DB" w:rsidRPr="008A5F3B" w:rsidRDefault="00DC6398" w:rsidP="007F23EE">
      <w:pPr>
        <w:pStyle w:val="EndnoteText"/>
        <w:tabs>
          <w:tab w:val="clear" w:pos="567"/>
        </w:tabs>
        <w:rPr>
          <w:color w:val="000000"/>
          <w:szCs w:val="22"/>
          <w:u w:val="single"/>
          <w:lang w:val="fr-FR"/>
        </w:rPr>
      </w:pPr>
      <w:r w:rsidRPr="008A5F3B">
        <w:rPr>
          <w:color w:val="000000"/>
          <w:szCs w:val="22"/>
          <w:lang w:val="fr-FR"/>
        </w:rPr>
        <w:t>A conserver à une température ne dépassant pas 25</w:t>
      </w:r>
      <w:r w:rsidRPr="008A5F3B">
        <w:rPr>
          <w:color w:val="000000"/>
          <w:szCs w:val="22"/>
        </w:rPr>
        <w:sym w:font="Symbol" w:char="F0B0"/>
      </w:r>
      <w:r w:rsidRPr="008A5F3B">
        <w:rPr>
          <w:color w:val="000000"/>
          <w:szCs w:val="22"/>
          <w:lang w:val="fr-FR"/>
        </w:rPr>
        <w:t>C</w:t>
      </w:r>
    </w:p>
    <w:p w14:paraId="73518203" w14:textId="77777777" w:rsidR="007D642D" w:rsidRPr="008A5F3B" w:rsidRDefault="007D642D" w:rsidP="007F23EE">
      <w:pPr>
        <w:rPr>
          <w:rFonts w:ascii="Times New Roman" w:hAnsi="Times New Roman"/>
          <w:color w:val="000000"/>
          <w:szCs w:val="22"/>
        </w:rPr>
      </w:pPr>
    </w:p>
    <w:p w14:paraId="18F598D7" w14:textId="2C861125"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lastRenderedPageBreak/>
        <w:t>A conserver dans l’emballage extérieur d</w:t>
      </w:r>
      <w:r w:rsidR="00813A7A">
        <w:rPr>
          <w:rFonts w:ascii="Times New Roman" w:hAnsi="Times New Roman"/>
          <w:color w:val="000000"/>
          <w:szCs w:val="22"/>
        </w:rPr>
        <w:t>’</w:t>
      </w:r>
      <w:r w:rsidRPr="008A5F3B">
        <w:rPr>
          <w:rFonts w:ascii="Times New Roman" w:hAnsi="Times New Roman"/>
          <w:color w:val="000000"/>
          <w:szCs w:val="22"/>
        </w:rPr>
        <w:t>origine à l’abri de l’humidité.</w:t>
      </w:r>
    </w:p>
    <w:p w14:paraId="20F52B60" w14:textId="77777777" w:rsidR="007D642D" w:rsidRPr="008A5F3B" w:rsidRDefault="007D642D" w:rsidP="007F23EE">
      <w:pPr>
        <w:rPr>
          <w:rFonts w:ascii="Times New Roman" w:hAnsi="Times New Roman"/>
          <w:color w:val="000000"/>
          <w:szCs w:val="22"/>
        </w:rPr>
      </w:pPr>
    </w:p>
    <w:p w14:paraId="788DCF59" w14:textId="311DF157" w:rsidR="007D642D" w:rsidRPr="008A5F3B" w:rsidRDefault="007D642D" w:rsidP="007F23EE">
      <w:pPr>
        <w:keepNext/>
        <w:ind w:left="567" w:hanging="567"/>
        <w:rPr>
          <w:rFonts w:ascii="Times New Roman" w:hAnsi="Times New Roman"/>
          <w:color w:val="000000"/>
          <w:szCs w:val="22"/>
        </w:rPr>
      </w:pPr>
      <w:r w:rsidRPr="008A5F3B">
        <w:rPr>
          <w:rFonts w:ascii="Times New Roman" w:hAnsi="Times New Roman"/>
          <w:b/>
          <w:color w:val="000000"/>
          <w:szCs w:val="22"/>
        </w:rPr>
        <w:t>6.5</w:t>
      </w:r>
      <w:r w:rsidRPr="008A5F3B">
        <w:rPr>
          <w:rFonts w:ascii="Times New Roman" w:hAnsi="Times New Roman"/>
          <w:b/>
          <w:color w:val="000000"/>
          <w:szCs w:val="22"/>
        </w:rPr>
        <w:tab/>
        <w:t>Nature et contenu de l</w:t>
      </w:r>
      <w:r w:rsidR="00813A7A">
        <w:rPr>
          <w:rFonts w:ascii="Times New Roman" w:hAnsi="Times New Roman"/>
          <w:b/>
          <w:color w:val="000000"/>
          <w:szCs w:val="22"/>
        </w:rPr>
        <w:t>’</w:t>
      </w:r>
      <w:r w:rsidRPr="008A5F3B">
        <w:rPr>
          <w:rFonts w:ascii="Times New Roman" w:hAnsi="Times New Roman"/>
          <w:b/>
          <w:color w:val="000000"/>
          <w:szCs w:val="22"/>
        </w:rPr>
        <w:t>emballage extérieur</w:t>
      </w:r>
    </w:p>
    <w:p w14:paraId="7358827D" w14:textId="77777777" w:rsidR="007D642D" w:rsidRPr="008A5F3B" w:rsidRDefault="007D642D" w:rsidP="007F23EE">
      <w:pPr>
        <w:pStyle w:val="EndnoteText"/>
        <w:keepNext/>
        <w:tabs>
          <w:tab w:val="clear" w:pos="567"/>
        </w:tabs>
        <w:rPr>
          <w:color w:val="000000"/>
          <w:szCs w:val="22"/>
          <w:lang w:val="fr-FR"/>
        </w:rPr>
      </w:pPr>
    </w:p>
    <w:p w14:paraId="2592EAAD" w14:textId="32071F5B" w:rsidR="00C42500" w:rsidRPr="008A5F3B" w:rsidRDefault="00C42500" w:rsidP="007F23EE">
      <w:pPr>
        <w:pStyle w:val="EndnoteText"/>
        <w:keepNext/>
        <w:tabs>
          <w:tab w:val="clear" w:pos="567"/>
        </w:tabs>
        <w:rPr>
          <w:color w:val="000000"/>
          <w:szCs w:val="22"/>
          <w:u w:val="single"/>
          <w:lang w:val="fr-FR"/>
        </w:rPr>
      </w:pPr>
      <w:r w:rsidRPr="008A5F3B">
        <w:rPr>
          <w:color w:val="000000"/>
          <w:szCs w:val="22"/>
          <w:u w:val="single"/>
          <w:lang w:val="fr-FR"/>
        </w:rPr>
        <w:t>Glivec 100 mg comprimés pelliculés</w:t>
      </w:r>
    </w:p>
    <w:p w14:paraId="564AB52F" w14:textId="77777777" w:rsidR="0028607D" w:rsidRPr="008A5F3B" w:rsidRDefault="0028607D" w:rsidP="007F23EE">
      <w:pPr>
        <w:pStyle w:val="EndnoteText"/>
        <w:keepNext/>
        <w:tabs>
          <w:tab w:val="clear" w:pos="567"/>
        </w:tabs>
        <w:rPr>
          <w:color w:val="000000"/>
          <w:szCs w:val="22"/>
          <w:u w:val="single"/>
          <w:lang w:val="fr-FR"/>
        </w:rPr>
      </w:pPr>
    </w:p>
    <w:p w14:paraId="1041ACAB" w14:textId="77777777" w:rsidR="007D642D" w:rsidRPr="008A5F3B" w:rsidRDefault="007D642D" w:rsidP="007F23EE">
      <w:pPr>
        <w:pStyle w:val="EndnoteText"/>
        <w:tabs>
          <w:tab w:val="clear" w:pos="567"/>
        </w:tabs>
        <w:rPr>
          <w:color w:val="000000"/>
          <w:szCs w:val="22"/>
          <w:lang w:val="fr-FR"/>
        </w:rPr>
      </w:pPr>
      <w:r w:rsidRPr="008A5F3B">
        <w:rPr>
          <w:color w:val="000000"/>
          <w:szCs w:val="22"/>
          <w:lang w:val="fr-FR"/>
        </w:rPr>
        <w:t>Plaquettes thermoformées en PVC/aluminium</w:t>
      </w:r>
    </w:p>
    <w:p w14:paraId="4289C9FA" w14:textId="77777777" w:rsidR="007D642D" w:rsidRPr="008A5F3B" w:rsidRDefault="007D642D" w:rsidP="007F23EE">
      <w:pPr>
        <w:pStyle w:val="EndnoteText"/>
        <w:tabs>
          <w:tab w:val="clear" w:pos="567"/>
        </w:tabs>
        <w:rPr>
          <w:color w:val="000000"/>
          <w:szCs w:val="22"/>
          <w:lang w:val="fr-FR"/>
        </w:rPr>
      </w:pPr>
      <w:r w:rsidRPr="008A5F3B">
        <w:rPr>
          <w:color w:val="000000"/>
          <w:szCs w:val="22"/>
          <w:lang w:val="fr-FR"/>
        </w:rPr>
        <w:t>Boîtes de 20, 60, 120 ou 180 comprimés pelliculés.</w:t>
      </w:r>
    </w:p>
    <w:p w14:paraId="3B165BF4" w14:textId="77777777" w:rsidR="005A129E" w:rsidRPr="008A5F3B" w:rsidRDefault="005A129E" w:rsidP="007F23EE">
      <w:pPr>
        <w:pStyle w:val="EndnoteText"/>
        <w:tabs>
          <w:tab w:val="clear" w:pos="567"/>
        </w:tabs>
        <w:rPr>
          <w:color w:val="000000"/>
          <w:szCs w:val="22"/>
          <w:lang w:val="fr-FR"/>
        </w:rPr>
      </w:pPr>
    </w:p>
    <w:p w14:paraId="63D27B33" w14:textId="77777777" w:rsidR="005A129E" w:rsidRPr="008A5F3B" w:rsidRDefault="005A129E" w:rsidP="007F23EE">
      <w:pPr>
        <w:pStyle w:val="EndnoteText"/>
        <w:tabs>
          <w:tab w:val="clear" w:pos="567"/>
        </w:tabs>
        <w:rPr>
          <w:color w:val="000000"/>
          <w:szCs w:val="22"/>
          <w:lang w:val="fr-FR"/>
        </w:rPr>
      </w:pPr>
      <w:r w:rsidRPr="008A5F3B">
        <w:rPr>
          <w:color w:val="000000"/>
          <w:szCs w:val="22"/>
          <w:lang w:val="fr-FR"/>
        </w:rPr>
        <w:t>Plaquettes thermoformées en PVDC/aluminium</w:t>
      </w:r>
    </w:p>
    <w:p w14:paraId="1CCD5262" w14:textId="77777777" w:rsidR="005A129E" w:rsidRPr="008A5F3B" w:rsidRDefault="00034653" w:rsidP="007F23EE">
      <w:pPr>
        <w:pStyle w:val="EndnoteText"/>
        <w:tabs>
          <w:tab w:val="clear" w:pos="567"/>
        </w:tabs>
        <w:rPr>
          <w:color w:val="000000"/>
          <w:szCs w:val="22"/>
          <w:lang w:val="fr-FR"/>
        </w:rPr>
      </w:pPr>
      <w:r w:rsidRPr="008A5F3B">
        <w:rPr>
          <w:color w:val="000000"/>
          <w:szCs w:val="22"/>
          <w:lang w:val="fr-FR"/>
        </w:rPr>
        <w:t>Boîtes de 6</w:t>
      </w:r>
      <w:r w:rsidR="005A129E" w:rsidRPr="008A5F3B">
        <w:rPr>
          <w:color w:val="000000"/>
          <w:szCs w:val="22"/>
          <w:lang w:val="fr-FR"/>
        </w:rPr>
        <w:t>0, 120 ou 180 comprimés pelliculés.</w:t>
      </w:r>
    </w:p>
    <w:p w14:paraId="0BDE40F0" w14:textId="77777777" w:rsidR="007D642D" w:rsidRPr="008A5F3B" w:rsidRDefault="007D642D" w:rsidP="007F23EE">
      <w:pPr>
        <w:pStyle w:val="EndnoteText"/>
        <w:tabs>
          <w:tab w:val="clear" w:pos="567"/>
        </w:tabs>
        <w:rPr>
          <w:color w:val="000000"/>
          <w:szCs w:val="22"/>
          <w:lang w:val="fr-FR"/>
        </w:rPr>
      </w:pPr>
    </w:p>
    <w:p w14:paraId="686DE7AA" w14:textId="0B159EB9" w:rsidR="00C42500" w:rsidRPr="008A5F3B" w:rsidRDefault="00C42500" w:rsidP="007F23EE">
      <w:pPr>
        <w:pStyle w:val="EndnoteText"/>
        <w:keepNext/>
        <w:tabs>
          <w:tab w:val="clear" w:pos="567"/>
        </w:tabs>
        <w:rPr>
          <w:color w:val="000000"/>
          <w:szCs w:val="22"/>
          <w:u w:val="single"/>
          <w:lang w:val="fr-FR"/>
        </w:rPr>
      </w:pPr>
      <w:r w:rsidRPr="008A5F3B">
        <w:rPr>
          <w:color w:val="000000"/>
          <w:szCs w:val="22"/>
          <w:u w:val="single"/>
          <w:lang w:val="fr-FR"/>
        </w:rPr>
        <w:t>Glivec 400 mg comprimés pelliculés</w:t>
      </w:r>
    </w:p>
    <w:p w14:paraId="5776E018" w14:textId="77777777" w:rsidR="0028607D" w:rsidRPr="008A5F3B" w:rsidRDefault="0028607D" w:rsidP="007F23EE">
      <w:pPr>
        <w:pStyle w:val="EndnoteText"/>
        <w:keepNext/>
        <w:tabs>
          <w:tab w:val="clear" w:pos="567"/>
        </w:tabs>
        <w:rPr>
          <w:color w:val="000000"/>
          <w:szCs w:val="22"/>
          <w:u w:val="single"/>
          <w:lang w:val="fr-FR"/>
        </w:rPr>
      </w:pPr>
    </w:p>
    <w:p w14:paraId="5B5D529A" w14:textId="77777777" w:rsidR="00C42500" w:rsidRPr="008A5F3B" w:rsidRDefault="00C42500" w:rsidP="007F23EE">
      <w:pPr>
        <w:pStyle w:val="EndnoteText"/>
        <w:tabs>
          <w:tab w:val="clear" w:pos="567"/>
        </w:tabs>
        <w:rPr>
          <w:color w:val="000000"/>
          <w:szCs w:val="22"/>
          <w:lang w:val="fr-FR"/>
        </w:rPr>
      </w:pPr>
      <w:r w:rsidRPr="008A5F3B">
        <w:rPr>
          <w:color w:val="000000"/>
          <w:szCs w:val="22"/>
          <w:lang w:val="fr-FR"/>
        </w:rPr>
        <w:t>Plaquettes thermoformées en PVDC/aluminium</w:t>
      </w:r>
    </w:p>
    <w:p w14:paraId="2636C2BA" w14:textId="77777777" w:rsidR="00C42500" w:rsidRPr="008A5F3B" w:rsidRDefault="00C42500" w:rsidP="007F23EE">
      <w:pPr>
        <w:pStyle w:val="EndnoteText"/>
        <w:tabs>
          <w:tab w:val="clear" w:pos="567"/>
        </w:tabs>
        <w:rPr>
          <w:color w:val="000000"/>
          <w:szCs w:val="22"/>
          <w:lang w:val="fr-FR"/>
        </w:rPr>
      </w:pPr>
      <w:r w:rsidRPr="008A5F3B">
        <w:rPr>
          <w:color w:val="000000"/>
          <w:szCs w:val="22"/>
          <w:lang w:val="fr-FR"/>
        </w:rPr>
        <w:t xml:space="preserve">Boîtes de 10, </w:t>
      </w:r>
      <w:r w:rsidR="00D10578" w:rsidRPr="008A5F3B">
        <w:rPr>
          <w:color w:val="000000"/>
          <w:szCs w:val="22"/>
          <w:lang w:val="fr-FR"/>
        </w:rPr>
        <w:t>3</w:t>
      </w:r>
      <w:r w:rsidRPr="008A5F3B">
        <w:rPr>
          <w:color w:val="000000"/>
          <w:szCs w:val="22"/>
          <w:lang w:val="fr-FR"/>
        </w:rPr>
        <w:t>0 ou 90 comprimés pelliculés.</w:t>
      </w:r>
    </w:p>
    <w:p w14:paraId="1DD918D0" w14:textId="77777777" w:rsidR="00C42500" w:rsidRPr="008A5F3B" w:rsidRDefault="00C42500" w:rsidP="007F23EE">
      <w:pPr>
        <w:pStyle w:val="EndnoteText"/>
        <w:tabs>
          <w:tab w:val="clear" w:pos="567"/>
        </w:tabs>
        <w:rPr>
          <w:color w:val="000000"/>
          <w:szCs w:val="22"/>
          <w:lang w:val="fr-FR"/>
        </w:rPr>
      </w:pPr>
    </w:p>
    <w:p w14:paraId="2C99A2BB" w14:textId="77777777" w:rsidR="007D642D" w:rsidRPr="008A5F3B" w:rsidRDefault="007D642D" w:rsidP="007F23EE">
      <w:pPr>
        <w:pStyle w:val="EndnoteText"/>
        <w:tabs>
          <w:tab w:val="clear" w:pos="567"/>
        </w:tabs>
        <w:rPr>
          <w:color w:val="000000"/>
          <w:szCs w:val="22"/>
          <w:lang w:val="fr-FR"/>
        </w:rPr>
      </w:pPr>
      <w:r w:rsidRPr="008A5F3B">
        <w:rPr>
          <w:color w:val="000000"/>
          <w:szCs w:val="22"/>
          <w:lang w:val="fr-FR"/>
        </w:rPr>
        <w:t>Toutes les présentations peuvent ne pas être commercialisées.</w:t>
      </w:r>
    </w:p>
    <w:p w14:paraId="1D049822" w14:textId="77777777" w:rsidR="007D642D" w:rsidRPr="008A5F3B" w:rsidRDefault="007D642D" w:rsidP="007F23EE">
      <w:pPr>
        <w:pStyle w:val="EndnoteText"/>
        <w:tabs>
          <w:tab w:val="clear" w:pos="567"/>
        </w:tabs>
        <w:rPr>
          <w:color w:val="000000"/>
          <w:szCs w:val="22"/>
          <w:lang w:val="fr-FR"/>
        </w:rPr>
      </w:pPr>
    </w:p>
    <w:p w14:paraId="544D0CAB" w14:textId="77777777" w:rsidR="007D642D" w:rsidRPr="008A5F3B" w:rsidRDefault="007D642D" w:rsidP="007F23EE">
      <w:pPr>
        <w:keepNext/>
        <w:ind w:left="567" w:hanging="567"/>
        <w:rPr>
          <w:rFonts w:ascii="Times New Roman" w:hAnsi="Times New Roman"/>
          <w:color w:val="000000"/>
          <w:szCs w:val="22"/>
        </w:rPr>
      </w:pPr>
      <w:r w:rsidRPr="008A5F3B">
        <w:rPr>
          <w:rFonts w:ascii="Times New Roman" w:hAnsi="Times New Roman"/>
          <w:b/>
          <w:color w:val="000000"/>
          <w:szCs w:val="22"/>
        </w:rPr>
        <w:t>6.6</w:t>
      </w:r>
      <w:r w:rsidRPr="008A5F3B">
        <w:rPr>
          <w:rFonts w:ascii="Times New Roman" w:hAnsi="Times New Roman"/>
          <w:b/>
          <w:color w:val="000000"/>
          <w:szCs w:val="22"/>
        </w:rPr>
        <w:tab/>
        <w:t>Précautions particulières d’élimination</w:t>
      </w:r>
    </w:p>
    <w:p w14:paraId="2AEBDE6E" w14:textId="77777777" w:rsidR="007D642D" w:rsidRPr="008A5F3B" w:rsidRDefault="007D642D" w:rsidP="007F23EE">
      <w:pPr>
        <w:pStyle w:val="EndnoteText"/>
        <w:keepNext/>
        <w:tabs>
          <w:tab w:val="clear" w:pos="567"/>
        </w:tabs>
        <w:rPr>
          <w:color w:val="000000"/>
          <w:szCs w:val="22"/>
          <w:lang w:val="fr-FR"/>
        </w:rPr>
      </w:pPr>
    </w:p>
    <w:p w14:paraId="35C0E16D" w14:textId="77777777" w:rsidR="00B57FC3" w:rsidRPr="008A5F3B" w:rsidRDefault="00F750B5" w:rsidP="007F23EE">
      <w:pPr>
        <w:pStyle w:val="EndnoteText"/>
        <w:tabs>
          <w:tab w:val="clear" w:pos="567"/>
        </w:tabs>
        <w:rPr>
          <w:color w:val="000000"/>
          <w:szCs w:val="22"/>
          <w:lang w:val="fr-FR"/>
        </w:rPr>
      </w:pPr>
      <w:r w:rsidRPr="008A5F3B">
        <w:rPr>
          <w:color w:val="000000"/>
          <w:szCs w:val="22"/>
          <w:lang w:val="fr-FR"/>
        </w:rPr>
        <w:t>Tout médicament non utilisé ou déchet doit être éliminé conformément à la réglementation en vigueur.</w:t>
      </w:r>
    </w:p>
    <w:p w14:paraId="4394E6AB" w14:textId="77777777" w:rsidR="007D642D" w:rsidRPr="008A5F3B" w:rsidRDefault="007D642D" w:rsidP="007F23EE">
      <w:pPr>
        <w:pStyle w:val="EndnoteText"/>
        <w:tabs>
          <w:tab w:val="clear" w:pos="567"/>
        </w:tabs>
        <w:rPr>
          <w:color w:val="000000"/>
          <w:szCs w:val="22"/>
          <w:lang w:val="fr-FR"/>
        </w:rPr>
      </w:pPr>
    </w:p>
    <w:p w14:paraId="42620051" w14:textId="77777777" w:rsidR="007D642D" w:rsidRPr="008A5F3B" w:rsidRDefault="007D642D" w:rsidP="007F23EE">
      <w:pPr>
        <w:pStyle w:val="EndnoteText"/>
        <w:tabs>
          <w:tab w:val="clear" w:pos="567"/>
        </w:tabs>
        <w:rPr>
          <w:color w:val="000000"/>
          <w:szCs w:val="22"/>
          <w:lang w:val="fr-FR"/>
        </w:rPr>
      </w:pPr>
    </w:p>
    <w:p w14:paraId="44B3073B" w14:textId="77777777" w:rsidR="007D642D" w:rsidRPr="008A5F3B" w:rsidRDefault="007D642D" w:rsidP="007F23EE">
      <w:pPr>
        <w:keepNext/>
        <w:ind w:left="567" w:hanging="567"/>
        <w:rPr>
          <w:rFonts w:ascii="Times New Roman" w:hAnsi="Times New Roman"/>
          <w:color w:val="000000"/>
          <w:szCs w:val="22"/>
        </w:rPr>
      </w:pPr>
      <w:r w:rsidRPr="008A5F3B">
        <w:rPr>
          <w:rFonts w:ascii="Times New Roman" w:hAnsi="Times New Roman"/>
          <w:b/>
          <w:color w:val="000000"/>
          <w:szCs w:val="22"/>
        </w:rPr>
        <w:t>7.</w:t>
      </w:r>
      <w:r w:rsidRPr="008A5F3B">
        <w:rPr>
          <w:rFonts w:ascii="Times New Roman" w:hAnsi="Times New Roman"/>
          <w:b/>
          <w:color w:val="000000"/>
          <w:szCs w:val="22"/>
        </w:rPr>
        <w:tab/>
        <w:t xml:space="preserve">TITULAIRE DE L'AUTORISATION DE MISE </w:t>
      </w:r>
      <w:smartTag w:uri="urn:schemas-microsoft-com:office:smarttags" w:element="stockticker">
        <w:r w:rsidRPr="008A5F3B">
          <w:rPr>
            <w:rFonts w:ascii="Times New Roman" w:hAnsi="Times New Roman"/>
            <w:b/>
            <w:color w:val="000000"/>
            <w:szCs w:val="22"/>
          </w:rPr>
          <w:t>SUR</w:t>
        </w:r>
      </w:smartTag>
      <w:r w:rsidRPr="008A5F3B">
        <w:rPr>
          <w:rFonts w:ascii="Times New Roman" w:hAnsi="Times New Roman"/>
          <w:b/>
          <w:color w:val="000000"/>
          <w:szCs w:val="22"/>
        </w:rPr>
        <w:t xml:space="preserve"> LE MARCH</w:t>
      </w:r>
      <w:r w:rsidR="006C27AC" w:rsidRPr="008A5F3B">
        <w:rPr>
          <w:rFonts w:ascii="Times New Roman" w:hAnsi="Times New Roman"/>
          <w:b/>
          <w:color w:val="000000"/>
          <w:szCs w:val="22"/>
        </w:rPr>
        <w:t>É</w:t>
      </w:r>
    </w:p>
    <w:p w14:paraId="23293A2D" w14:textId="77777777" w:rsidR="007D642D" w:rsidRPr="008A5F3B" w:rsidRDefault="007D642D" w:rsidP="007F23EE">
      <w:pPr>
        <w:pStyle w:val="EndnoteText"/>
        <w:keepNext/>
        <w:tabs>
          <w:tab w:val="clear" w:pos="567"/>
        </w:tabs>
        <w:rPr>
          <w:color w:val="000000"/>
          <w:szCs w:val="22"/>
          <w:lang w:val="fr-FR"/>
        </w:rPr>
      </w:pPr>
    </w:p>
    <w:p w14:paraId="7FA99EB8" w14:textId="77777777" w:rsidR="007D642D" w:rsidRPr="008A5F3B" w:rsidRDefault="007D642D" w:rsidP="007F23EE">
      <w:pPr>
        <w:keepNext/>
        <w:rPr>
          <w:rFonts w:ascii="Times New Roman" w:hAnsi="Times New Roman"/>
          <w:color w:val="000000"/>
          <w:szCs w:val="22"/>
          <w:lang w:val="en-US"/>
        </w:rPr>
      </w:pPr>
      <w:r w:rsidRPr="008A5F3B">
        <w:rPr>
          <w:rFonts w:ascii="Times New Roman" w:hAnsi="Times New Roman"/>
          <w:color w:val="000000"/>
          <w:szCs w:val="22"/>
          <w:lang w:val="en-US"/>
        </w:rPr>
        <w:t xml:space="preserve">Novartis </w:t>
      </w:r>
      <w:proofErr w:type="spellStart"/>
      <w:r w:rsidRPr="008A5F3B">
        <w:rPr>
          <w:rFonts w:ascii="Times New Roman" w:hAnsi="Times New Roman"/>
          <w:color w:val="000000"/>
          <w:szCs w:val="22"/>
          <w:lang w:val="en-US"/>
        </w:rPr>
        <w:t>Europharm</w:t>
      </w:r>
      <w:proofErr w:type="spellEnd"/>
      <w:r w:rsidRPr="008A5F3B">
        <w:rPr>
          <w:rFonts w:ascii="Times New Roman" w:hAnsi="Times New Roman"/>
          <w:color w:val="000000"/>
          <w:szCs w:val="22"/>
          <w:lang w:val="en-US"/>
        </w:rPr>
        <w:t xml:space="preserve"> Limited</w:t>
      </w:r>
    </w:p>
    <w:p w14:paraId="293AF8E6" w14:textId="77777777" w:rsidR="000666D1" w:rsidRPr="008A5F3B" w:rsidRDefault="000666D1" w:rsidP="007F23EE">
      <w:pPr>
        <w:keepNext/>
        <w:rPr>
          <w:rFonts w:ascii="Times New Roman" w:hAnsi="Times New Roman"/>
          <w:color w:val="000000"/>
          <w:lang w:val="en-US"/>
        </w:rPr>
      </w:pPr>
      <w:r w:rsidRPr="008A5F3B">
        <w:rPr>
          <w:rFonts w:ascii="Times New Roman" w:hAnsi="Times New Roman"/>
          <w:color w:val="000000"/>
          <w:lang w:val="en-US"/>
        </w:rPr>
        <w:t>Vista Building</w:t>
      </w:r>
    </w:p>
    <w:p w14:paraId="566B535D" w14:textId="77777777" w:rsidR="000666D1" w:rsidRPr="008A5F3B" w:rsidRDefault="000666D1" w:rsidP="007F23EE">
      <w:pPr>
        <w:keepNext/>
        <w:rPr>
          <w:rFonts w:ascii="Times New Roman" w:hAnsi="Times New Roman"/>
          <w:color w:val="000000"/>
          <w:lang w:val="en-US"/>
        </w:rPr>
      </w:pPr>
      <w:r w:rsidRPr="008A5F3B">
        <w:rPr>
          <w:rFonts w:ascii="Times New Roman" w:hAnsi="Times New Roman"/>
          <w:color w:val="000000"/>
          <w:lang w:val="en-US"/>
        </w:rPr>
        <w:t>Elm Park, Merrion Road</w:t>
      </w:r>
    </w:p>
    <w:p w14:paraId="6E69FF62" w14:textId="77777777" w:rsidR="000666D1" w:rsidRPr="008A5F3B" w:rsidRDefault="000666D1" w:rsidP="007F23EE">
      <w:pPr>
        <w:keepNext/>
        <w:rPr>
          <w:rFonts w:ascii="Times New Roman" w:hAnsi="Times New Roman"/>
          <w:color w:val="000000"/>
        </w:rPr>
      </w:pPr>
      <w:r w:rsidRPr="008A5F3B">
        <w:rPr>
          <w:rFonts w:ascii="Times New Roman" w:hAnsi="Times New Roman"/>
          <w:color w:val="000000"/>
        </w:rPr>
        <w:t>Dublin 4</w:t>
      </w:r>
    </w:p>
    <w:p w14:paraId="73774251" w14:textId="77777777" w:rsidR="007D642D" w:rsidRPr="008A5F3B" w:rsidRDefault="000666D1" w:rsidP="007F23EE">
      <w:pPr>
        <w:rPr>
          <w:rFonts w:ascii="Times New Roman" w:hAnsi="Times New Roman"/>
          <w:color w:val="000000"/>
          <w:szCs w:val="22"/>
        </w:rPr>
      </w:pPr>
      <w:r w:rsidRPr="008A5F3B">
        <w:rPr>
          <w:rFonts w:ascii="Times New Roman" w:hAnsi="Times New Roman"/>
        </w:rPr>
        <w:t>Irlande</w:t>
      </w:r>
    </w:p>
    <w:p w14:paraId="41381709" w14:textId="77777777" w:rsidR="007D642D" w:rsidRPr="008A5F3B" w:rsidRDefault="007D642D" w:rsidP="007F23EE">
      <w:pPr>
        <w:rPr>
          <w:rFonts w:ascii="Times New Roman" w:hAnsi="Times New Roman"/>
          <w:color w:val="000000"/>
          <w:szCs w:val="22"/>
        </w:rPr>
      </w:pPr>
    </w:p>
    <w:p w14:paraId="1FD8869E" w14:textId="77777777" w:rsidR="007D642D" w:rsidRPr="008A5F3B" w:rsidRDefault="007D642D" w:rsidP="007F23EE">
      <w:pPr>
        <w:pStyle w:val="EndnoteText"/>
        <w:tabs>
          <w:tab w:val="clear" w:pos="567"/>
        </w:tabs>
        <w:rPr>
          <w:color w:val="000000"/>
          <w:szCs w:val="22"/>
          <w:lang w:val="fr-FR"/>
        </w:rPr>
      </w:pPr>
    </w:p>
    <w:p w14:paraId="50B126C7" w14:textId="149D7C2B" w:rsidR="007D642D" w:rsidRPr="008A5F3B" w:rsidRDefault="007D642D" w:rsidP="007F23EE">
      <w:pPr>
        <w:pStyle w:val="BodyTextIndent"/>
        <w:keepNext/>
        <w:rPr>
          <w:color w:val="000000"/>
          <w:szCs w:val="22"/>
          <w:lang w:val="fr-FR"/>
        </w:rPr>
      </w:pPr>
      <w:r w:rsidRPr="008A5F3B">
        <w:rPr>
          <w:color w:val="000000"/>
          <w:szCs w:val="22"/>
          <w:lang w:val="fr-FR"/>
        </w:rPr>
        <w:t>8.</w:t>
      </w:r>
      <w:r w:rsidRPr="008A5F3B">
        <w:rPr>
          <w:color w:val="000000"/>
          <w:szCs w:val="22"/>
          <w:lang w:val="fr-FR"/>
        </w:rPr>
        <w:tab/>
        <w:t>NUM</w:t>
      </w:r>
      <w:r w:rsidR="00BD34D0" w:rsidRPr="008A5F3B">
        <w:rPr>
          <w:color w:val="000000"/>
          <w:szCs w:val="22"/>
          <w:lang w:val="fr-FR"/>
        </w:rPr>
        <w:t>É</w:t>
      </w:r>
      <w:r w:rsidRPr="008A5F3B">
        <w:rPr>
          <w:color w:val="000000"/>
          <w:szCs w:val="22"/>
          <w:lang w:val="fr-FR"/>
        </w:rPr>
        <w:t>RO(S) D</w:t>
      </w:r>
      <w:r w:rsidR="00813A7A">
        <w:rPr>
          <w:color w:val="000000"/>
          <w:szCs w:val="22"/>
          <w:lang w:val="fr-FR"/>
        </w:rPr>
        <w:t>’</w:t>
      </w:r>
      <w:r w:rsidRPr="008A5F3B">
        <w:rPr>
          <w:color w:val="000000"/>
          <w:szCs w:val="22"/>
          <w:lang w:val="fr-FR"/>
        </w:rPr>
        <w:t xml:space="preserve">AUTORISATION DE MISE </w:t>
      </w:r>
      <w:smartTag w:uri="urn:schemas-microsoft-com:office:smarttags" w:element="stockticker">
        <w:r w:rsidRPr="008A5F3B">
          <w:rPr>
            <w:color w:val="000000"/>
            <w:szCs w:val="22"/>
            <w:lang w:val="fr-FR"/>
          </w:rPr>
          <w:t>SUR</w:t>
        </w:r>
      </w:smartTag>
      <w:r w:rsidRPr="008A5F3B">
        <w:rPr>
          <w:color w:val="000000"/>
          <w:szCs w:val="22"/>
          <w:lang w:val="fr-FR"/>
        </w:rPr>
        <w:t xml:space="preserve"> LE MARCH</w:t>
      </w:r>
      <w:r w:rsidR="006C27AC" w:rsidRPr="008A5F3B">
        <w:rPr>
          <w:color w:val="000000"/>
          <w:szCs w:val="22"/>
          <w:lang w:val="fr-FR"/>
        </w:rPr>
        <w:t>É</w:t>
      </w:r>
    </w:p>
    <w:p w14:paraId="37296FCB" w14:textId="77777777" w:rsidR="007D642D" w:rsidRPr="008A5F3B" w:rsidRDefault="007D642D" w:rsidP="007F23EE">
      <w:pPr>
        <w:pStyle w:val="EndnoteText"/>
        <w:keepNext/>
        <w:tabs>
          <w:tab w:val="clear" w:pos="567"/>
        </w:tabs>
        <w:rPr>
          <w:color w:val="000000"/>
          <w:szCs w:val="22"/>
          <w:lang w:val="fr-FR"/>
        </w:rPr>
      </w:pPr>
    </w:p>
    <w:p w14:paraId="4BB28DDF" w14:textId="067FDE1A" w:rsidR="00C42500" w:rsidRPr="008A5F3B" w:rsidRDefault="00C42500" w:rsidP="007F23EE">
      <w:pPr>
        <w:pStyle w:val="EndnoteText"/>
        <w:keepNext/>
        <w:tabs>
          <w:tab w:val="clear" w:pos="567"/>
        </w:tabs>
        <w:rPr>
          <w:color w:val="000000"/>
          <w:szCs w:val="22"/>
          <w:u w:val="single"/>
          <w:lang w:val="fr-FR"/>
        </w:rPr>
      </w:pPr>
      <w:r w:rsidRPr="008A5F3B">
        <w:rPr>
          <w:color w:val="000000"/>
          <w:szCs w:val="22"/>
          <w:u w:val="single"/>
          <w:lang w:val="fr-FR"/>
        </w:rPr>
        <w:t>Glivec 100 mg comprimés pelliculés</w:t>
      </w:r>
    </w:p>
    <w:p w14:paraId="727835B4" w14:textId="77777777" w:rsidR="0028607D" w:rsidRPr="008A5F3B" w:rsidRDefault="0028607D" w:rsidP="007F23EE">
      <w:pPr>
        <w:pStyle w:val="EndnoteText"/>
        <w:keepNext/>
        <w:tabs>
          <w:tab w:val="clear" w:pos="567"/>
        </w:tabs>
        <w:rPr>
          <w:color w:val="000000"/>
          <w:szCs w:val="22"/>
          <w:u w:val="single"/>
          <w:lang w:val="fr-FR"/>
        </w:rPr>
      </w:pPr>
    </w:p>
    <w:p w14:paraId="1BF976A9" w14:textId="77777777" w:rsidR="007D642D" w:rsidRPr="008A5F3B" w:rsidRDefault="007D642D" w:rsidP="007F23EE">
      <w:pPr>
        <w:keepNext/>
        <w:suppressAutoHyphens/>
        <w:ind w:left="567" w:hanging="567"/>
        <w:rPr>
          <w:rFonts w:ascii="Times New Roman" w:hAnsi="Times New Roman"/>
          <w:color w:val="000000"/>
          <w:szCs w:val="22"/>
        </w:rPr>
      </w:pPr>
      <w:r w:rsidRPr="008A5F3B">
        <w:rPr>
          <w:rFonts w:ascii="Times New Roman" w:hAnsi="Times New Roman"/>
          <w:color w:val="000000"/>
          <w:szCs w:val="22"/>
        </w:rPr>
        <w:t>EU/1/01/198/007</w:t>
      </w:r>
    </w:p>
    <w:p w14:paraId="4C49F248" w14:textId="77777777" w:rsidR="007D642D" w:rsidRPr="008A5F3B" w:rsidRDefault="007D642D" w:rsidP="007F23EE">
      <w:pPr>
        <w:pStyle w:val="EndnoteText"/>
        <w:keepNext/>
        <w:tabs>
          <w:tab w:val="clear" w:pos="567"/>
        </w:tabs>
        <w:rPr>
          <w:color w:val="000000"/>
          <w:szCs w:val="22"/>
          <w:lang w:val="pt-PT"/>
        </w:rPr>
      </w:pPr>
      <w:r w:rsidRPr="008A5F3B">
        <w:rPr>
          <w:color w:val="000000"/>
          <w:szCs w:val="22"/>
          <w:lang w:val="pt-PT"/>
        </w:rPr>
        <w:t>EU/1/01/198/008</w:t>
      </w:r>
    </w:p>
    <w:p w14:paraId="4BE09989" w14:textId="77777777" w:rsidR="007D642D" w:rsidRPr="008A5F3B" w:rsidRDefault="007D642D" w:rsidP="007F23EE">
      <w:pPr>
        <w:pStyle w:val="EndnoteText"/>
        <w:keepNext/>
        <w:tabs>
          <w:tab w:val="clear" w:pos="567"/>
        </w:tabs>
        <w:rPr>
          <w:color w:val="000000"/>
          <w:szCs w:val="22"/>
          <w:lang w:val="pt-PT"/>
        </w:rPr>
      </w:pPr>
      <w:r w:rsidRPr="008A5F3B">
        <w:rPr>
          <w:color w:val="000000"/>
          <w:szCs w:val="22"/>
          <w:lang w:val="pt-PT"/>
        </w:rPr>
        <w:t>EU/1/01/198/011</w:t>
      </w:r>
    </w:p>
    <w:p w14:paraId="026EED65" w14:textId="77777777" w:rsidR="007D642D" w:rsidRPr="008A5F3B" w:rsidRDefault="007D642D" w:rsidP="007F23EE">
      <w:pPr>
        <w:pStyle w:val="EndnoteText"/>
        <w:keepNext/>
        <w:tabs>
          <w:tab w:val="clear" w:pos="567"/>
        </w:tabs>
        <w:rPr>
          <w:color w:val="000000"/>
          <w:szCs w:val="22"/>
          <w:lang w:val="pt-PT"/>
        </w:rPr>
      </w:pPr>
      <w:r w:rsidRPr="008A5F3B">
        <w:rPr>
          <w:color w:val="000000"/>
          <w:szCs w:val="22"/>
          <w:lang w:val="pt-PT"/>
        </w:rPr>
        <w:t>EU/1/01/198/012</w:t>
      </w:r>
    </w:p>
    <w:p w14:paraId="7496003F" w14:textId="77777777" w:rsidR="005A129E" w:rsidRPr="008A5F3B" w:rsidRDefault="005A129E" w:rsidP="007F23EE">
      <w:pPr>
        <w:pStyle w:val="EndnoteText"/>
        <w:keepNext/>
        <w:tabs>
          <w:tab w:val="clear" w:pos="567"/>
        </w:tabs>
        <w:rPr>
          <w:color w:val="000000"/>
          <w:szCs w:val="22"/>
          <w:lang w:val="pt-PT"/>
        </w:rPr>
      </w:pPr>
      <w:r w:rsidRPr="008A5F3B">
        <w:rPr>
          <w:color w:val="000000"/>
          <w:szCs w:val="22"/>
          <w:lang w:val="pt-PT"/>
        </w:rPr>
        <w:t>EU/1/01/198/01</w:t>
      </w:r>
      <w:r w:rsidR="00846CCA" w:rsidRPr="008A5F3B">
        <w:rPr>
          <w:color w:val="000000"/>
          <w:szCs w:val="22"/>
          <w:lang w:val="pt-PT"/>
        </w:rPr>
        <w:t>4</w:t>
      </w:r>
    </w:p>
    <w:p w14:paraId="399478CF" w14:textId="77777777" w:rsidR="005A129E" w:rsidRPr="008A5F3B" w:rsidRDefault="005A129E" w:rsidP="007F23EE">
      <w:pPr>
        <w:pStyle w:val="EndnoteText"/>
        <w:keepNext/>
        <w:tabs>
          <w:tab w:val="clear" w:pos="567"/>
        </w:tabs>
        <w:rPr>
          <w:color w:val="000000"/>
          <w:szCs w:val="22"/>
          <w:lang w:val="pt-PT"/>
        </w:rPr>
      </w:pPr>
      <w:r w:rsidRPr="008A5F3B">
        <w:rPr>
          <w:color w:val="000000"/>
          <w:szCs w:val="22"/>
          <w:lang w:val="pt-PT"/>
        </w:rPr>
        <w:t>EU/1/01/198/01</w:t>
      </w:r>
      <w:r w:rsidR="00846CCA" w:rsidRPr="008A5F3B">
        <w:rPr>
          <w:color w:val="000000"/>
          <w:szCs w:val="22"/>
          <w:lang w:val="pt-PT"/>
        </w:rPr>
        <w:t>5</w:t>
      </w:r>
    </w:p>
    <w:p w14:paraId="0FEB7ACA" w14:textId="77777777" w:rsidR="00034653" w:rsidRPr="008A5F3B" w:rsidRDefault="00034653" w:rsidP="007F23EE">
      <w:pPr>
        <w:pStyle w:val="EndnoteText"/>
        <w:tabs>
          <w:tab w:val="clear" w:pos="567"/>
        </w:tabs>
        <w:rPr>
          <w:color w:val="000000"/>
          <w:szCs w:val="22"/>
          <w:lang w:val="fr-FR"/>
        </w:rPr>
      </w:pPr>
      <w:r w:rsidRPr="008A5F3B">
        <w:rPr>
          <w:color w:val="000000"/>
          <w:szCs w:val="22"/>
          <w:lang w:val="fr-FR"/>
        </w:rPr>
        <w:t>EU/1/01/198/01</w:t>
      </w:r>
      <w:r w:rsidR="00846CCA" w:rsidRPr="008A5F3B">
        <w:rPr>
          <w:color w:val="000000"/>
          <w:szCs w:val="22"/>
          <w:lang w:val="fr-FR"/>
        </w:rPr>
        <w:t>6</w:t>
      </w:r>
    </w:p>
    <w:p w14:paraId="57D245D6" w14:textId="77777777" w:rsidR="00C42500" w:rsidRPr="008A5F3B" w:rsidRDefault="00C42500" w:rsidP="007F23EE">
      <w:pPr>
        <w:pStyle w:val="EndnoteText"/>
        <w:tabs>
          <w:tab w:val="clear" w:pos="567"/>
        </w:tabs>
        <w:rPr>
          <w:color w:val="000000"/>
          <w:szCs w:val="22"/>
          <w:lang w:val="fr-FR"/>
        </w:rPr>
      </w:pPr>
    </w:p>
    <w:p w14:paraId="38CE1442" w14:textId="08B12551" w:rsidR="00C42500" w:rsidRPr="008A5F3B" w:rsidRDefault="00C42500" w:rsidP="007F23EE">
      <w:pPr>
        <w:pStyle w:val="EndnoteText"/>
        <w:keepNext/>
        <w:tabs>
          <w:tab w:val="clear" w:pos="567"/>
        </w:tabs>
        <w:rPr>
          <w:color w:val="000000"/>
          <w:szCs w:val="22"/>
          <w:u w:val="single"/>
          <w:lang w:val="fr-FR"/>
        </w:rPr>
      </w:pPr>
      <w:r w:rsidRPr="008A5F3B">
        <w:rPr>
          <w:color w:val="000000"/>
          <w:szCs w:val="22"/>
          <w:u w:val="single"/>
          <w:lang w:val="fr-FR"/>
        </w:rPr>
        <w:t>Glivec 400 mg comprimés pelliculés</w:t>
      </w:r>
    </w:p>
    <w:p w14:paraId="0EF14FB3" w14:textId="77777777" w:rsidR="0028607D" w:rsidRPr="008A5F3B" w:rsidRDefault="0028607D" w:rsidP="007F23EE">
      <w:pPr>
        <w:pStyle w:val="EndnoteText"/>
        <w:keepNext/>
        <w:tabs>
          <w:tab w:val="clear" w:pos="567"/>
        </w:tabs>
        <w:rPr>
          <w:color w:val="000000"/>
          <w:szCs w:val="22"/>
          <w:u w:val="single"/>
          <w:lang w:val="fr-FR"/>
        </w:rPr>
      </w:pPr>
    </w:p>
    <w:p w14:paraId="54EC08EF" w14:textId="77777777" w:rsidR="00C42500" w:rsidRPr="008A5F3B" w:rsidRDefault="00C42500" w:rsidP="007F23EE">
      <w:pPr>
        <w:keepNext/>
        <w:suppressAutoHyphens/>
        <w:ind w:left="567" w:hanging="567"/>
        <w:rPr>
          <w:rFonts w:ascii="Times New Roman" w:hAnsi="Times New Roman"/>
          <w:color w:val="000000"/>
          <w:szCs w:val="22"/>
        </w:rPr>
      </w:pPr>
      <w:r w:rsidRPr="008A5F3B">
        <w:rPr>
          <w:rFonts w:ascii="Times New Roman" w:hAnsi="Times New Roman"/>
          <w:color w:val="000000"/>
          <w:szCs w:val="22"/>
        </w:rPr>
        <w:t>EU/1/01/198/009</w:t>
      </w:r>
    </w:p>
    <w:p w14:paraId="7E1F944F" w14:textId="77777777" w:rsidR="00C42500" w:rsidRPr="008A5F3B" w:rsidRDefault="00C42500" w:rsidP="007F23EE">
      <w:pPr>
        <w:pStyle w:val="EndnoteText"/>
        <w:keepNext/>
        <w:tabs>
          <w:tab w:val="clear" w:pos="567"/>
        </w:tabs>
        <w:rPr>
          <w:color w:val="000000"/>
          <w:szCs w:val="22"/>
          <w:lang w:val="fr-FR"/>
        </w:rPr>
      </w:pPr>
      <w:r w:rsidRPr="008A5F3B">
        <w:rPr>
          <w:color w:val="000000"/>
          <w:szCs w:val="22"/>
          <w:lang w:val="fr-FR"/>
        </w:rPr>
        <w:t>EU/1/01/198/010</w:t>
      </w:r>
    </w:p>
    <w:p w14:paraId="1C899296" w14:textId="77777777" w:rsidR="00C42500" w:rsidRPr="008A5F3B" w:rsidRDefault="00C42500" w:rsidP="007F23EE">
      <w:pPr>
        <w:pStyle w:val="EndnoteText"/>
        <w:tabs>
          <w:tab w:val="clear" w:pos="567"/>
        </w:tabs>
        <w:rPr>
          <w:color w:val="000000"/>
          <w:szCs w:val="22"/>
          <w:lang w:val="fr-FR"/>
        </w:rPr>
      </w:pPr>
      <w:r w:rsidRPr="008A5F3B">
        <w:rPr>
          <w:color w:val="000000"/>
          <w:szCs w:val="22"/>
          <w:lang w:val="fr-FR"/>
        </w:rPr>
        <w:t>EU/1/01/198/013</w:t>
      </w:r>
    </w:p>
    <w:p w14:paraId="64C94FF1" w14:textId="77777777" w:rsidR="007D642D" w:rsidRPr="008A5F3B" w:rsidRDefault="007D642D" w:rsidP="007F23EE">
      <w:pPr>
        <w:pStyle w:val="EndnoteText"/>
        <w:tabs>
          <w:tab w:val="clear" w:pos="567"/>
        </w:tabs>
        <w:rPr>
          <w:color w:val="000000"/>
          <w:szCs w:val="22"/>
          <w:lang w:val="fr-FR"/>
        </w:rPr>
      </w:pPr>
    </w:p>
    <w:p w14:paraId="1A0CCD62" w14:textId="77777777" w:rsidR="007D642D" w:rsidRPr="008A5F3B" w:rsidRDefault="007D642D" w:rsidP="007F23EE">
      <w:pPr>
        <w:rPr>
          <w:rFonts w:ascii="Times New Roman" w:hAnsi="Times New Roman"/>
          <w:color w:val="000000"/>
          <w:szCs w:val="22"/>
        </w:rPr>
      </w:pPr>
    </w:p>
    <w:p w14:paraId="782FF39A" w14:textId="77777777" w:rsidR="007D642D" w:rsidRPr="008A5F3B" w:rsidRDefault="007D642D" w:rsidP="007F23EE">
      <w:pPr>
        <w:keepNext/>
        <w:ind w:left="567" w:hanging="567"/>
        <w:rPr>
          <w:rFonts w:ascii="Times New Roman" w:hAnsi="Times New Roman"/>
          <w:color w:val="000000"/>
          <w:szCs w:val="22"/>
        </w:rPr>
      </w:pPr>
      <w:r w:rsidRPr="008A5F3B">
        <w:rPr>
          <w:rFonts w:ascii="Times New Roman" w:hAnsi="Times New Roman"/>
          <w:b/>
          <w:color w:val="000000"/>
          <w:szCs w:val="22"/>
        </w:rPr>
        <w:t>9.</w:t>
      </w:r>
      <w:r w:rsidRPr="008A5F3B">
        <w:rPr>
          <w:rFonts w:ascii="Times New Roman" w:hAnsi="Times New Roman"/>
          <w:b/>
          <w:color w:val="000000"/>
          <w:szCs w:val="22"/>
        </w:rPr>
        <w:tab/>
        <w:t>DATE DE PREMI</w:t>
      </w:r>
      <w:r w:rsidR="006C27AC" w:rsidRPr="008A5F3B">
        <w:rPr>
          <w:rFonts w:ascii="Times New Roman" w:hAnsi="Times New Roman"/>
          <w:b/>
          <w:color w:val="000000"/>
          <w:szCs w:val="22"/>
        </w:rPr>
        <w:t>È</w:t>
      </w:r>
      <w:r w:rsidRPr="008A5F3B">
        <w:rPr>
          <w:rFonts w:ascii="Times New Roman" w:hAnsi="Times New Roman"/>
          <w:b/>
          <w:color w:val="000000"/>
          <w:szCs w:val="22"/>
        </w:rPr>
        <w:t>RE AUTORISATION/DE RENOUVELLEMENT DE L'AUTORISATION</w:t>
      </w:r>
    </w:p>
    <w:p w14:paraId="62A15454" w14:textId="77777777" w:rsidR="007D642D" w:rsidRPr="008A5F3B" w:rsidRDefault="007D642D" w:rsidP="007F23EE">
      <w:pPr>
        <w:keepNext/>
        <w:rPr>
          <w:rFonts w:ascii="Times New Roman" w:hAnsi="Times New Roman"/>
          <w:color w:val="000000"/>
          <w:szCs w:val="22"/>
        </w:rPr>
      </w:pPr>
    </w:p>
    <w:p w14:paraId="622CFE3E" w14:textId="77777777" w:rsidR="007D642D" w:rsidRPr="008A5F3B" w:rsidRDefault="007D642D" w:rsidP="007F23EE">
      <w:pPr>
        <w:pStyle w:val="EndnoteText"/>
        <w:keepNext/>
        <w:tabs>
          <w:tab w:val="clear" w:pos="567"/>
        </w:tabs>
        <w:rPr>
          <w:color w:val="000000"/>
          <w:szCs w:val="22"/>
          <w:lang w:val="fr-FR"/>
        </w:rPr>
      </w:pPr>
      <w:r w:rsidRPr="008A5F3B">
        <w:rPr>
          <w:color w:val="000000"/>
          <w:szCs w:val="22"/>
          <w:lang w:val="fr-FR"/>
        </w:rPr>
        <w:t>Date de première autorisation : 07 novembre 2001</w:t>
      </w:r>
    </w:p>
    <w:p w14:paraId="732287A8" w14:textId="0F6051DF" w:rsidR="007D642D" w:rsidRPr="008A5F3B" w:rsidRDefault="007D642D" w:rsidP="007F23EE">
      <w:pPr>
        <w:pStyle w:val="EndnoteText"/>
        <w:tabs>
          <w:tab w:val="clear" w:pos="567"/>
        </w:tabs>
        <w:rPr>
          <w:color w:val="000000"/>
          <w:szCs w:val="22"/>
          <w:lang w:val="fr-FR"/>
        </w:rPr>
      </w:pPr>
      <w:r w:rsidRPr="008A5F3B">
        <w:rPr>
          <w:color w:val="000000"/>
          <w:szCs w:val="22"/>
          <w:lang w:val="fr-FR"/>
        </w:rPr>
        <w:t>Date d</w:t>
      </w:r>
      <w:r w:rsidR="00BD34D0" w:rsidRPr="008A5F3B">
        <w:rPr>
          <w:color w:val="000000"/>
          <w:szCs w:val="22"/>
          <w:lang w:val="fr-FR"/>
        </w:rPr>
        <w:t>u</w:t>
      </w:r>
      <w:r w:rsidRPr="008A5F3B">
        <w:rPr>
          <w:color w:val="000000"/>
          <w:szCs w:val="22"/>
          <w:lang w:val="fr-FR"/>
        </w:rPr>
        <w:t xml:space="preserve"> dernier renouvellement : 07 novembre 2006</w:t>
      </w:r>
    </w:p>
    <w:p w14:paraId="0EBB30E5" w14:textId="77777777" w:rsidR="007D642D" w:rsidRPr="008A5F3B" w:rsidRDefault="007D642D" w:rsidP="007F23EE">
      <w:pPr>
        <w:rPr>
          <w:rFonts w:ascii="Times New Roman" w:hAnsi="Times New Roman"/>
          <w:color w:val="000000"/>
          <w:szCs w:val="22"/>
        </w:rPr>
      </w:pPr>
    </w:p>
    <w:p w14:paraId="3E4F7438" w14:textId="77777777" w:rsidR="007D642D" w:rsidRPr="008A5F3B" w:rsidRDefault="007D642D" w:rsidP="007F23EE">
      <w:pPr>
        <w:rPr>
          <w:rFonts w:ascii="Times New Roman" w:hAnsi="Times New Roman"/>
          <w:color w:val="000000"/>
          <w:szCs w:val="22"/>
        </w:rPr>
      </w:pPr>
    </w:p>
    <w:p w14:paraId="092A5693" w14:textId="77777777" w:rsidR="007D642D" w:rsidRPr="00E0122B" w:rsidRDefault="007D642D" w:rsidP="007F23EE">
      <w:pPr>
        <w:keepNext/>
        <w:ind w:left="567" w:hanging="567"/>
        <w:rPr>
          <w:rFonts w:ascii="Times New Roman" w:hAnsi="Times New Roman"/>
          <w:b/>
          <w:bCs/>
        </w:rPr>
      </w:pPr>
      <w:r w:rsidRPr="00E0122B">
        <w:rPr>
          <w:rFonts w:ascii="Times New Roman" w:hAnsi="Times New Roman"/>
          <w:b/>
          <w:bCs/>
        </w:rPr>
        <w:t>10.</w:t>
      </w:r>
      <w:r w:rsidRPr="00E0122B">
        <w:rPr>
          <w:rFonts w:ascii="Times New Roman" w:hAnsi="Times New Roman"/>
          <w:b/>
          <w:bCs/>
        </w:rPr>
        <w:tab/>
        <w:t xml:space="preserve">DATE DE MISE </w:t>
      </w:r>
      <w:r w:rsidR="006C27AC" w:rsidRPr="00E0122B">
        <w:rPr>
          <w:rFonts w:ascii="Times New Roman" w:hAnsi="Times New Roman"/>
          <w:b/>
          <w:bCs/>
        </w:rPr>
        <w:t>À</w:t>
      </w:r>
      <w:r w:rsidRPr="00E0122B">
        <w:rPr>
          <w:rFonts w:ascii="Times New Roman" w:hAnsi="Times New Roman"/>
          <w:b/>
          <w:bCs/>
        </w:rPr>
        <w:t xml:space="preserve"> JOUR DU TEXTE</w:t>
      </w:r>
    </w:p>
    <w:p w14:paraId="3847EACB" w14:textId="77777777" w:rsidR="007D642D" w:rsidRPr="008A5F3B" w:rsidRDefault="007D642D" w:rsidP="007F23EE">
      <w:pPr>
        <w:keepNext/>
        <w:rPr>
          <w:rFonts w:ascii="Times New Roman" w:hAnsi="Times New Roman"/>
          <w:color w:val="000000"/>
          <w:szCs w:val="22"/>
        </w:rPr>
      </w:pPr>
    </w:p>
    <w:p w14:paraId="3A0739B9" w14:textId="77777777" w:rsidR="007D642D" w:rsidRPr="008A5F3B" w:rsidRDefault="007D642D" w:rsidP="007F23EE">
      <w:pPr>
        <w:keepNext/>
        <w:rPr>
          <w:rFonts w:ascii="Times New Roman" w:hAnsi="Times New Roman"/>
          <w:color w:val="000000"/>
          <w:szCs w:val="22"/>
        </w:rPr>
      </w:pPr>
    </w:p>
    <w:p w14:paraId="7F47BDA2" w14:textId="7F652BA7" w:rsidR="00640C89" w:rsidRPr="008A5F3B" w:rsidRDefault="007D642D" w:rsidP="007F23EE">
      <w:pPr>
        <w:pStyle w:val="EndnoteText"/>
        <w:tabs>
          <w:tab w:val="clear" w:pos="567"/>
        </w:tabs>
        <w:rPr>
          <w:color w:val="000000"/>
          <w:szCs w:val="22"/>
          <w:lang w:val="fr-FR"/>
        </w:rPr>
      </w:pPr>
      <w:r w:rsidRPr="008A5F3B">
        <w:rPr>
          <w:color w:val="000000"/>
          <w:szCs w:val="22"/>
          <w:lang w:val="fr-FR"/>
        </w:rPr>
        <w:t>Des informations détaillées sur ce médicament sont disponibles sur le site internet de l’Agence européenne des médicaments</w:t>
      </w:r>
      <w:r w:rsidR="000C5700" w:rsidRPr="000C5700">
        <w:rPr>
          <w:lang w:val="fr-FR"/>
        </w:rPr>
        <w:t xml:space="preserve"> </w:t>
      </w:r>
      <w:ins w:id="700" w:author="Author">
        <w:r w:rsidR="00A66FF1">
          <w:rPr>
            <w:szCs w:val="22"/>
            <w:lang w:val="fr-FR"/>
          </w:rPr>
          <w:fldChar w:fldCharType="begin"/>
        </w:r>
        <w:r w:rsidR="00A66FF1">
          <w:rPr>
            <w:szCs w:val="22"/>
            <w:lang w:val="fr-FR"/>
          </w:rPr>
          <w:instrText>HYPERLINK "</w:instrText>
        </w:r>
      </w:ins>
      <w:r w:rsidR="00A66FF1" w:rsidRPr="005205FF">
        <w:rPr>
          <w:rPrChange w:id="701" w:author="Author">
            <w:rPr>
              <w:rStyle w:val="Hyperlink"/>
              <w:szCs w:val="22"/>
              <w:lang w:val="fr-FR"/>
            </w:rPr>
          </w:rPrChange>
        </w:rPr>
        <w:instrText>http</w:instrText>
      </w:r>
      <w:ins w:id="702" w:author="Author">
        <w:r w:rsidR="00A66FF1" w:rsidRPr="005205FF">
          <w:rPr>
            <w:rPrChange w:id="703" w:author="Author">
              <w:rPr>
                <w:rStyle w:val="Hyperlink"/>
                <w:szCs w:val="22"/>
                <w:lang w:val="fr-FR"/>
              </w:rPr>
            </w:rPrChange>
          </w:rPr>
          <w:instrText>s</w:instrText>
        </w:r>
      </w:ins>
      <w:r w:rsidR="00A66FF1" w:rsidRPr="005205FF">
        <w:rPr>
          <w:rPrChange w:id="704" w:author="Author">
            <w:rPr>
              <w:rStyle w:val="Hyperlink"/>
              <w:szCs w:val="22"/>
              <w:lang w:val="fr-FR"/>
            </w:rPr>
          </w:rPrChange>
        </w:rPr>
        <w:instrText>://www.ema.europa.eu</w:instrText>
      </w:r>
      <w:ins w:id="705" w:author="Author">
        <w:r w:rsidR="00A66FF1">
          <w:rPr>
            <w:szCs w:val="22"/>
            <w:lang w:val="fr-FR"/>
          </w:rPr>
          <w:instrText>"</w:instrText>
        </w:r>
        <w:r w:rsidR="00A66FF1">
          <w:rPr>
            <w:szCs w:val="22"/>
            <w:lang w:val="fr-FR"/>
          </w:rPr>
        </w:r>
        <w:r w:rsidR="00A66FF1">
          <w:rPr>
            <w:szCs w:val="22"/>
            <w:lang w:val="fr-FR"/>
          </w:rPr>
          <w:fldChar w:fldCharType="separate"/>
        </w:r>
      </w:ins>
      <w:r w:rsidR="00A66FF1" w:rsidRPr="00A66FF1">
        <w:rPr>
          <w:rStyle w:val="Hyperlink"/>
          <w:szCs w:val="22"/>
          <w:lang w:val="fr-FR"/>
        </w:rPr>
        <w:t>http</w:t>
      </w:r>
      <w:ins w:id="706" w:author="Author">
        <w:r w:rsidR="00A66FF1" w:rsidRPr="00A66FF1">
          <w:rPr>
            <w:rStyle w:val="Hyperlink"/>
            <w:szCs w:val="22"/>
            <w:lang w:val="fr-FR"/>
          </w:rPr>
          <w:t>s</w:t>
        </w:r>
      </w:ins>
      <w:r w:rsidR="00A66FF1" w:rsidRPr="00A66FF1">
        <w:rPr>
          <w:rStyle w:val="Hyperlink"/>
          <w:szCs w:val="22"/>
          <w:lang w:val="fr-FR"/>
        </w:rPr>
        <w:t>://www.ema.europa.eu</w:t>
      </w:r>
      <w:ins w:id="707" w:author="Author">
        <w:r w:rsidR="00A66FF1">
          <w:rPr>
            <w:szCs w:val="22"/>
            <w:lang w:val="fr-FR"/>
          </w:rPr>
          <w:fldChar w:fldCharType="end"/>
        </w:r>
      </w:ins>
      <w:r w:rsidR="00405A41" w:rsidRPr="008A5F3B">
        <w:rPr>
          <w:color w:val="000000"/>
          <w:szCs w:val="22"/>
          <w:lang w:val="fr-FR"/>
        </w:rPr>
        <w:t>.</w:t>
      </w:r>
    </w:p>
    <w:p w14:paraId="6B6CF9DF" w14:textId="77777777" w:rsidR="007D642D" w:rsidRPr="008A5F3B" w:rsidRDefault="007D642D" w:rsidP="007F23EE">
      <w:pPr>
        <w:pStyle w:val="Heading3"/>
        <w:keepNext w:val="0"/>
        <w:jc w:val="left"/>
      </w:pPr>
      <w:r w:rsidRPr="008A5F3B">
        <w:rPr>
          <w:color w:val="000000"/>
          <w:szCs w:val="22"/>
        </w:rPr>
        <w:br w:type="page"/>
      </w:r>
    </w:p>
    <w:p w14:paraId="4EBADC04" w14:textId="77777777" w:rsidR="007D642D" w:rsidRPr="008A5F3B" w:rsidRDefault="007D642D" w:rsidP="007F23EE">
      <w:pPr>
        <w:ind w:right="1416"/>
        <w:rPr>
          <w:rFonts w:ascii="Times New Roman" w:hAnsi="Times New Roman"/>
          <w:color w:val="000000"/>
          <w:szCs w:val="22"/>
        </w:rPr>
      </w:pPr>
    </w:p>
    <w:p w14:paraId="719776F7" w14:textId="77777777" w:rsidR="007D642D" w:rsidRPr="008A5F3B" w:rsidRDefault="007D642D" w:rsidP="007F23EE">
      <w:pPr>
        <w:ind w:right="1416"/>
        <w:rPr>
          <w:rFonts w:ascii="Times New Roman" w:hAnsi="Times New Roman"/>
          <w:color w:val="000000"/>
          <w:szCs w:val="22"/>
        </w:rPr>
      </w:pPr>
    </w:p>
    <w:p w14:paraId="5ABBE90D" w14:textId="77777777" w:rsidR="007D642D" w:rsidRPr="008A5F3B" w:rsidRDefault="007D642D" w:rsidP="007F23EE">
      <w:pPr>
        <w:ind w:right="1416"/>
        <w:rPr>
          <w:rFonts w:ascii="Times New Roman" w:hAnsi="Times New Roman"/>
          <w:color w:val="000000"/>
          <w:szCs w:val="22"/>
        </w:rPr>
      </w:pPr>
    </w:p>
    <w:p w14:paraId="75E8735B" w14:textId="77777777" w:rsidR="007D642D" w:rsidRPr="008A5F3B" w:rsidRDefault="007D642D" w:rsidP="007F23EE">
      <w:pPr>
        <w:ind w:right="1416"/>
        <w:rPr>
          <w:rFonts w:ascii="Times New Roman" w:hAnsi="Times New Roman"/>
          <w:color w:val="000000"/>
          <w:szCs w:val="22"/>
        </w:rPr>
      </w:pPr>
    </w:p>
    <w:p w14:paraId="719E6FE1" w14:textId="77777777" w:rsidR="007D642D" w:rsidRPr="008A5F3B" w:rsidRDefault="007D642D" w:rsidP="007F23EE">
      <w:pPr>
        <w:ind w:right="1416"/>
        <w:rPr>
          <w:rFonts w:ascii="Times New Roman" w:hAnsi="Times New Roman"/>
          <w:color w:val="000000"/>
          <w:szCs w:val="22"/>
        </w:rPr>
      </w:pPr>
    </w:p>
    <w:p w14:paraId="6636F476" w14:textId="77777777" w:rsidR="007D642D" w:rsidRPr="008A5F3B" w:rsidRDefault="007D642D" w:rsidP="007F23EE">
      <w:pPr>
        <w:ind w:right="1416"/>
        <w:rPr>
          <w:rFonts w:ascii="Times New Roman" w:hAnsi="Times New Roman"/>
          <w:color w:val="000000"/>
          <w:szCs w:val="22"/>
        </w:rPr>
      </w:pPr>
    </w:p>
    <w:p w14:paraId="654D3818" w14:textId="77777777" w:rsidR="007D642D" w:rsidRPr="008A5F3B" w:rsidRDefault="007D642D" w:rsidP="007F23EE">
      <w:pPr>
        <w:ind w:right="1416"/>
        <w:rPr>
          <w:rFonts w:ascii="Times New Roman" w:hAnsi="Times New Roman"/>
          <w:color w:val="000000"/>
          <w:szCs w:val="22"/>
        </w:rPr>
      </w:pPr>
    </w:p>
    <w:p w14:paraId="5E6DD9C4" w14:textId="77777777" w:rsidR="007D642D" w:rsidRPr="008A5F3B" w:rsidRDefault="007D642D" w:rsidP="007F23EE">
      <w:pPr>
        <w:ind w:right="1416"/>
        <w:rPr>
          <w:rFonts w:ascii="Times New Roman" w:hAnsi="Times New Roman"/>
          <w:color w:val="000000"/>
          <w:szCs w:val="22"/>
        </w:rPr>
      </w:pPr>
    </w:p>
    <w:p w14:paraId="3748275E" w14:textId="77777777" w:rsidR="007D642D" w:rsidRPr="008A5F3B" w:rsidRDefault="007D642D" w:rsidP="007F23EE">
      <w:pPr>
        <w:ind w:right="1416"/>
        <w:rPr>
          <w:rFonts w:ascii="Times New Roman" w:hAnsi="Times New Roman"/>
          <w:color w:val="000000"/>
          <w:szCs w:val="22"/>
        </w:rPr>
      </w:pPr>
    </w:p>
    <w:p w14:paraId="661B21F4" w14:textId="77777777" w:rsidR="007D642D" w:rsidRPr="008A5F3B" w:rsidRDefault="007D642D" w:rsidP="007F23EE">
      <w:pPr>
        <w:ind w:right="1416"/>
        <w:rPr>
          <w:rFonts w:ascii="Times New Roman" w:hAnsi="Times New Roman"/>
          <w:color w:val="000000"/>
          <w:szCs w:val="22"/>
        </w:rPr>
      </w:pPr>
    </w:p>
    <w:p w14:paraId="39F2818E" w14:textId="77777777" w:rsidR="007D642D" w:rsidRPr="008A5F3B" w:rsidRDefault="007D642D" w:rsidP="007F23EE">
      <w:pPr>
        <w:ind w:right="1416"/>
        <w:rPr>
          <w:rFonts w:ascii="Times New Roman" w:hAnsi="Times New Roman"/>
          <w:color w:val="000000"/>
          <w:szCs w:val="22"/>
        </w:rPr>
      </w:pPr>
    </w:p>
    <w:p w14:paraId="2760FE5A" w14:textId="77777777" w:rsidR="007D642D" w:rsidRPr="008A5F3B" w:rsidRDefault="007D642D" w:rsidP="007F23EE">
      <w:pPr>
        <w:ind w:right="1416"/>
        <w:rPr>
          <w:rFonts w:ascii="Times New Roman" w:hAnsi="Times New Roman"/>
          <w:color w:val="000000"/>
          <w:szCs w:val="22"/>
        </w:rPr>
      </w:pPr>
    </w:p>
    <w:p w14:paraId="4F0A8D66" w14:textId="77777777" w:rsidR="007D642D" w:rsidRPr="008A5F3B" w:rsidRDefault="007D642D" w:rsidP="007F23EE">
      <w:pPr>
        <w:ind w:right="1416"/>
        <w:rPr>
          <w:rFonts w:ascii="Times New Roman" w:hAnsi="Times New Roman"/>
          <w:color w:val="000000"/>
          <w:szCs w:val="22"/>
        </w:rPr>
      </w:pPr>
    </w:p>
    <w:p w14:paraId="62DF5F90" w14:textId="77777777" w:rsidR="007D642D" w:rsidRPr="008A5F3B" w:rsidRDefault="007D642D" w:rsidP="007F23EE">
      <w:pPr>
        <w:ind w:right="1416"/>
        <w:rPr>
          <w:rFonts w:ascii="Times New Roman" w:hAnsi="Times New Roman"/>
          <w:color w:val="000000"/>
          <w:szCs w:val="22"/>
        </w:rPr>
      </w:pPr>
    </w:p>
    <w:p w14:paraId="2E620B87" w14:textId="77777777" w:rsidR="007D642D" w:rsidRPr="008A5F3B" w:rsidRDefault="007D642D" w:rsidP="007F23EE">
      <w:pPr>
        <w:ind w:right="1416"/>
        <w:rPr>
          <w:rFonts w:ascii="Times New Roman" w:hAnsi="Times New Roman"/>
          <w:color w:val="000000"/>
          <w:szCs w:val="22"/>
        </w:rPr>
      </w:pPr>
    </w:p>
    <w:p w14:paraId="02610952" w14:textId="77777777" w:rsidR="007D642D" w:rsidRPr="008A5F3B" w:rsidRDefault="007D642D" w:rsidP="007F23EE">
      <w:pPr>
        <w:ind w:right="1416"/>
        <w:rPr>
          <w:rFonts w:ascii="Times New Roman" w:hAnsi="Times New Roman"/>
          <w:color w:val="000000"/>
          <w:szCs w:val="22"/>
        </w:rPr>
      </w:pPr>
    </w:p>
    <w:p w14:paraId="5FAF4902" w14:textId="77777777" w:rsidR="007D642D" w:rsidRPr="008A5F3B" w:rsidRDefault="007D642D" w:rsidP="007F23EE">
      <w:pPr>
        <w:ind w:right="1416"/>
        <w:rPr>
          <w:rFonts w:ascii="Times New Roman" w:hAnsi="Times New Roman"/>
          <w:color w:val="000000"/>
          <w:szCs w:val="22"/>
        </w:rPr>
      </w:pPr>
    </w:p>
    <w:p w14:paraId="6290B0BC" w14:textId="77777777" w:rsidR="007D642D" w:rsidRPr="008A5F3B" w:rsidRDefault="007D642D" w:rsidP="007F23EE">
      <w:pPr>
        <w:ind w:right="1416"/>
        <w:rPr>
          <w:rFonts w:ascii="Times New Roman" w:hAnsi="Times New Roman"/>
          <w:color w:val="000000"/>
          <w:szCs w:val="22"/>
        </w:rPr>
      </w:pPr>
    </w:p>
    <w:p w14:paraId="63D9196D" w14:textId="77777777" w:rsidR="007D642D" w:rsidRPr="008A5F3B" w:rsidRDefault="007D642D" w:rsidP="007F23EE">
      <w:pPr>
        <w:ind w:right="1416"/>
        <w:rPr>
          <w:rFonts w:ascii="Times New Roman" w:hAnsi="Times New Roman"/>
          <w:color w:val="000000"/>
          <w:szCs w:val="22"/>
        </w:rPr>
      </w:pPr>
    </w:p>
    <w:p w14:paraId="1AB1517A" w14:textId="77777777" w:rsidR="007D642D" w:rsidRPr="008A5F3B" w:rsidRDefault="007D642D" w:rsidP="007F23EE">
      <w:pPr>
        <w:ind w:right="1416"/>
        <w:rPr>
          <w:rFonts w:ascii="Times New Roman" w:hAnsi="Times New Roman"/>
          <w:color w:val="000000"/>
          <w:szCs w:val="22"/>
        </w:rPr>
      </w:pPr>
    </w:p>
    <w:p w14:paraId="1F8F77DC" w14:textId="77777777" w:rsidR="007D642D" w:rsidRPr="008A5F3B" w:rsidRDefault="007D642D" w:rsidP="007F23EE">
      <w:pPr>
        <w:ind w:right="1416"/>
        <w:rPr>
          <w:rFonts w:ascii="Times New Roman" w:hAnsi="Times New Roman"/>
          <w:color w:val="000000"/>
          <w:szCs w:val="22"/>
        </w:rPr>
      </w:pPr>
    </w:p>
    <w:p w14:paraId="5DF5F1C9" w14:textId="77777777" w:rsidR="00C67CDE" w:rsidRPr="008A5F3B" w:rsidRDefault="00C67CDE" w:rsidP="007F23EE">
      <w:pPr>
        <w:ind w:right="1416"/>
        <w:rPr>
          <w:rFonts w:ascii="Times New Roman" w:hAnsi="Times New Roman"/>
          <w:color w:val="000000"/>
          <w:szCs w:val="22"/>
        </w:rPr>
      </w:pPr>
    </w:p>
    <w:p w14:paraId="3F499512" w14:textId="77777777" w:rsidR="00C67CDE" w:rsidRPr="008A5F3B" w:rsidRDefault="00C67CDE" w:rsidP="007F23EE">
      <w:pPr>
        <w:ind w:right="1416"/>
        <w:rPr>
          <w:rFonts w:ascii="Times New Roman" w:hAnsi="Times New Roman"/>
          <w:color w:val="000000"/>
          <w:szCs w:val="22"/>
        </w:rPr>
      </w:pPr>
    </w:p>
    <w:p w14:paraId="04E8A058" w14:textId="77777777" w:rsidR="007D642D" w:rsidRPr="008A5F3B" w:rsidRDefault="007D642D" w:rsidP="007F23EE">
      <w:pPr>
        <w:ind w:right="-2"/>
        <w:jc w:val="center"/>
        <w:rPr>
          <w:rFonts w:ascii="Times New Roman" w:hAnsi="Times New Roman"/>
          <w:b/>
          <w:color w:val="000000"/>
          <w:szCs w:val="22"/>
        </w:rPr>
        <w:pPrChange w:id="708" w:author="Author">
          <w:pPr>
            <w:ind w:right="1416"/>
            <w:jc w:val="center"/>
          </w:pPr>
        </w:pPrChange>
      </w:pPr>
      <w:r w:rsidRPr="008A5F3B">
        <w:rPr>
          <w:rFonts w:ascii="Times New Roman" w:hAnsi="Times New Roman"/>
          <w:b/>
          <w:color w:val="000000"/>
          <w:szCs w:val="22"/>
        </w:rPr>
        <w:t>ANNEXE II</w:t>
      </w:r>
    </w:p>
    <w:p w14:paraId="6B5C0A69" w14:textId="77777777" w:rsidR="007D642D" w:rsidRPr="008A5F3B" w:rsidRDefault="007D642D" w:rsidP="007F23EE">
      <w:pPr>
        <w:ind w:right="1416"/>
        <w:rPr>
          <w:rFonts w:ascii="Times New Roman" w:hAnsi="Times New Roman"/>
          <w:color w:val="000000"/>
          <w:szCs w:val="22"/>
        </w:rPr>
      </w:pPr>
    </w:p>
    <w:p w14:paraId="4508520F" w14:textId="2E33D899" w:rsidR="007D642D" w:rsidRPr="008A5F3B" w:rsidRDefault="007D642D" w:rsidP="007F23EE">
      <w:pPr>
        <w:numPr>
          <w:ilvl w:val="0"/>
          <w:numId w:val="7"/>
        </w:numPr>
        <w:tabs>
          <w:tab w:val="clear" w:pos="1494"/>
          <w:tab w:val="left" w:pos="1701"/>
        </w:tabs>
        <w:ind w:left="1701" w:right="1418" w:hanging="567"/>
        <w:rPr>
          <w:rFonts w:ascii="Times New Roman" w:hAnsi="Times New Roman"/>
          <w:color w:val="000000"/>
          <w:szCs w:val="22"/>
        </w:rPr>
      </w:pPr>
      <w:r w:rsidRPr="008A5F3B">
        <w:rPr>
          <w:rFonts w:ascii="Times New Roman" w:hAnsi="Times New Roman"/>
          <w:b/>
          <w:color w:val="000000"/>
          <w:szCs w:val="22"/>
        </w:rPr>
        <w:t>FABRICANT</w:t>
      </w:r>
      <w:ins w:id="709" w:author="Author">
        <w:r w:rsidR="00865861">
          <w:rPr>
            <w:rFonts w:ascii="Times New Roman" w:hAnsi="Times New Roman"/>
            <w:b/>
            <w:color w:val="000000"/>
            <w:szCs w:val="22"/>
          </w:rPr>
          <w:t>S</w:t>
        </w:r>
      </w:ins>
      <w:r w:rsidRPr="008A5F3B">
        <w:rPr>
          <w:rFonts w:ascii="Times New Roman" w:hAnsi="Times New Roman"/>
          <w:b/>
          <w:color w:val="000000"/>
          <w:szCs w:val="22"/>
        </w:rPr>
        <w:t xml:space="preserve"> RESPONSABLE</w:t>
      </w:r>
      <w:ins w:id="710" w:author="Author">
        <w:r w:rsidR="00865861">
          <w:rPr>
            <w:rFonts w:ascii="Times New Roman" w:hAnsi="Times New Roman"/>
            <w:b/>
            <w:color w:val="000000"/>
            <w:szCs w:val="22"/>
          </w:rPr>
          <w:t>S</w:t>
        </w:r>
      </w:ins>
      <w:r w:rsidRPr="008A5F3B">
        <w:rPr>
          <w:rFonts w:ascii="Times New Roman" w:hAnsi="Times New Roman"/>
          <w:b/>
          <w:color w:val="000000"/>
          <w:szCs w:val="22"/>
        </w:rPr>
        <w:t xml:space="preserve"> DE LA LIB</w:t>
      </w:r>
      <w:r w:rsidR="00482AC8" w:rsidRPr="008A5F3B">
        <w:rPr>
          <w:rFonts w:ascii="Times New Roman" w:hAnsi="Times New Roman"/>
          <w:b/>
          <w:color w:val="000000"/>
          <w:szCs w:val="22"/>
        </w:rPr>
        <w:t>É</w:t>
      </w:r>
      <w:r w:rsidRPr="008A5F3B">
        <w:rPr>
          <w:rFonts w:ascii="Times New Roman" w:hAnsi="Times New Roman"/>
          <w:b/>
          <w:color w:val="000000"/>
          <w:szCs w:val="22"/>
        </w:rPr>
        <w:t xml:space="preserve">RATION </w:t>
      </w:r>
      <w:smartTag w:uri="urn:schemas-microsoft-com:office:smarttags" w:element="stockticker">
        <w:r w:rsidRPr="008A5F3B">
          <w:rPr>
            <w:rFonts w:ascii="Times New Roman" w:hAnsi="Times New Roman"/>
            <w:b/>
            <w:color w:val="000000"/>
            <w:szCs w:val="22"/>
          </w:rPr>
          <w:t>DES</w:t>
        </w:r>
      </w:smartTag>
      <w:r w:rsidRPr="008A5F3B">
        <w:rPr>
          <w:rFonts w:ascii="Times New Roman" w:hAnsi="Times New Roman"/>
          <w:b/>
          <w:color w:val="000000"/>
          <w:szCs w:val="22"/>
        </w:rPr>
        <w:t xml:space="preserve"> LOTS</w:t>
      </w:r>
    </w:p>
    <w:p w14:paraId="6B40E349" w14:textId="77777777" w:rsidR="007D642D" w:rsidRPr="008A5F3B" w:rsidRDefault="007D642D" w:rsidP="007F23EE">
      <w:pPr>
        <w:ind w:right="1418"/>
        <w:rPr>
          <w:rFonts w:ascii="Times New Roman" w:hAnsi="Times New Roman"/>
          <w:color w:val="000000"/>
          <w:szCs w:val="22"/>
        </w:rPr>
      </w:pPr>
    </w:p>
    <w:p w14:paraId="335C5F8E" w14:textId="77777777" w:rsidR="007D642D" w:rsidRPr="008A5F3B" w:rsidRDefault="007D642D" w:rsidP="007F23EE">
      <w:pPr>
        <w:numPr>
          <w:ilvl w:val="0"/>
          <w:numId w:val="7"/>
        </w:numPr>
        <w:tabs>
          <w:tab w:val="clear" w:pos="1494"/>
          <w:tab w:val="left" w:pos="1701"/>
        </w:tabs>
        <w:ind w:left="1701" w:right="1418" w:hanging="567"/>
        <w:rPr>
          <w:rFonts w:ascii="Times New Roman" w:hAnsi="Times New Roman"/>
          <w:b/>
          <w:color w:val="000000"/>
          <w:szCs w:val="22"/>
        </w:rPr>
      </w:pPr>
      <w:r w:rsidRPr="008A5F3B">
        <w:rPr>
          <w:rFonts w:ascii="Times New Roman" w:hAnsi="Times New Roman"/>
          <w:b/>
          <w:color w:val="000000"/>
          <w:szCs w:val="22"/>
        </w:rPr>
        <w:t>CONDITIONS OU RESTRICTIONS DE D</w:t>
      </w:r>
      <w:r w:rsidR="00482AC8" w:rsidRPr="008A5F3B">
        <w:rPr>
          <w:rFonts w:ascii="Times New Roman" w:hAnsi="Times New Roman"/>
          <w:b/>
          <w:color w:val="000000"/>
          <w:szCs w:val="22"/>
        </w:rPr>
        <w:t>É</w:t>
      </w:r>
      <w:r w:rsidRPr="008A5F3B">
        <w:rPr>
          <w:rFonts w:ascii="Times New Roman" w:hAnsi="Times New Roman"/>
          <w:b/>
          <w:color w:val="000000"/>
          <w:szCs w:val="22"/>
        </w:rPr>
        <w:t>LIVRANCE ET D’UTILISATION</w:t>
      </w:r>
    </w:p>
    <w:p w14:paraId="79CAA41F" w14:textId="77777777" w:rsidR="007D642D" w:rsidRPr="008A5F3B" w:rsidRDefault="007D642D" w:rsidP="007F23EE">
      <w:pPr>
        <w:pStyle w:val="ListParagraph"/>
        <w:ind w:left="0"/>
        <w:rPr>
          <w:rFonts w:ascii="Times New Roman" w:hAnsi="Times New Roman"/>
          <w:color w:val="000000"/>
          <w:szCs w:val="22"/>
        </w:rPr>
      </w:pPr>
    </w:p>
    <w:p w14:paraId="6E073BC9" w14:textId="77777777" w:rsidR="007D642D" w:rsidRPr="008A5F3B" w:rsidRDefault="007D642D" w:rsidP="007F23EE">
      <w:pPr>
        <w:numPr>
          <w:ilvl w:val="0"/>
          <w:numId w:val="7"/>
        </w:numPr>
        <w:tabs>
          <w:tab w:val="clear" w:pos="1494"/>
          <w:tab w:val="left" w:pos="1701"/>
        </w:tabs>
        <w:ind w:left="1701" w:right="1418" w:hanging="567"/>
        <w:rPr>
          <w:rFonts w:ascii="Times New Roman" w:hAnsi="Times New Roman"/>
          <w:b/>
          <w:color w:val="000000"/>
          <w:szCs w:val="22"/>
        </w:rPr>
      </w:pPr>
      <w:r w:rsidRPr="008A5F3B">
        <w:rPr>
          <w:rFonts w:ascii="Times New Roman" w:hAnsi="Times New Roman"/>
          <w:b/>
          <w:color w:val="000000"/>
          <w:szCs w:val="22"/>
        </w:rPr>
        <w:t>AUTRES CONDITIONS ET OBLIGATIONS DE L’AUTORISATION DE MISE SUR LE MARCH</w:t>
      </w:r>
      <w:r w:rsidR="00482AC8" w:rsidRPr="008A5F3B">
        <w:rPr>
          <w:rFonts w:ascii="Times New Roman" w:hAnsi="Times New Roman"/>
          <w:b/>
          <w:color w:val="000000"/>
          <w:szCs w:val="22"/>
        </w:rPr>
        <w:t>É</w:t>
      </w:r>
    </w:p>
    <w:p w14:paraId="268D780C" w14:textId="77777777" w:rsidR="002A4CB6" w:rsidRPr="008A5F3B" w:rsidRDefault="002A4CB6" w:rsidP="007F23EE">
      <w:pPr>
        <w:ind w:right="1418"/>
        <w:rPr>
          <w:rFonts w:ascii="Times New Roman" w:hAnsi="Times New Roman"/>
          <w:color w:val="000000"/>
          <w:szCs w:val="22"/>
        </w:rPr>
      </w:pPr>
    </w:p>
    <w:p w14:paraId="1C4318BD" w14:textId="77777777" w:rsidR="00B074EF" w:rsidRPr="008A5F3B" w:rsidRDefault="00B074EF" w:rsidP="007F23EE">
      <w:pPr>
        <w:numPr>
          <w:ilvl w:val="0"/>
          <w:numId w:val="7"/>
        </w:numPr>
        <w:tabs>
          <w:tab w:val="clear" w:pos="1494"/>
          <w:tab w:val="left" w:pos="1701"/>
        </w:tabs>
        <w:ind w:left="1701" w:right="1418" w:hanging="567"/>
        <w:rPr>
          <w:rFonts w:ascii="Times New Roman" w:hAnsi="Times New Roman"/>
          <w:b/>
          <w:color w:val="000000"/>
          <w:szCs w:val="22"/>
        </w:rPr>
      </w:pPr>
      <w:r w:rsidRPr="008A5F3B">
        <w:rPr>
          <w:rFonts w:ascii="Times New Roman" w:hAnsi="Times New Roman"/>
          <w:b/>
          <w:color w:val="000000"/>
          <w:szCs w:val="22"/>
        </w:rPr>
        <w:t>CONDITIONS OU RESTRICTIONS EN VUE D’UNE UTILISATION S</w:t>
      </w:r>
      <w:r w:rsidR="005C7147" w:rsidRPr="008A5F3B">
        <w:rPr>
          <w:b/>
          <w:noProof/>
          <w:szCs w:val="24"/>
          <w:lang w:val="fr-BE"/>
        </w:rPr>
        <w:t>Û</w:t>
      </w:r>
      <w:r w:rsidRPr="008A5F3B">
        <w:rPr>
          <w:rFonts w:ascii="Times New Roman" w:hAnsi="Times New Roman"/>
          <w:b/>
          <w:color w:val="000000"/>
          <w:szCs w:val="22"/>
        </w:rPr>
        <w:t>RE ET EFFICACE DU M</w:t>
      </w:r>
      <w:r w:rsidR="00482AC8" w:rsidRPr="008A5F3B">
        <w:rPr>
          <w:rFonts w:ascii="Times New Roman" w:hAnsi="Times New Roman"/>
          <w:b/>
          <w:color w:val="000000"/>
          <w:szCs w:val="22"/>
        </w:rPr>
        <w:t>É</w:t>
      </w:r>
      <w:r w:rsidRPr="008A5F3B">
        <w:rPr>
          <w:rFonts w:ascii="Times New Roman" w:hAnsi="Times New Roman"/>
          <w:b/>
          <w:color w:val="000000"/>
          <w:szCs w:val="22"/>
        </w:rPr>
        <w:t>DICAMENT</w:t>
      </w:r>
    </w:p>
    <w:p w14:paraId="5518BCDC" w14:textId="1E1FFAF4" w:rsidR="007D642D" w:rsidRPr="008A5F3B" w:rsidRDefault="007D642D" w:rsidP="007F23EE">
      <w:pPr>
        <w:keepNext/>
        <w:ind w:left="567" w:hanging="567"/>
        <w:outlineLvl w:val="0"/>
        <w:rPr>
          <w:rFonts w:ascii="Times New Roman" w:hAnsi="Times New Roman"/>
          <w:color w:val="000000"/>
          <w:szCs w:val="22"/>
        </w:rPr>
      </w:pPr>
      <w:r w:rsidRPr="008A5F3B">
        <w:rPr>
          <w:rFonts w:ascii="Times New Roman" w:hAnsi="Times New Roman"/>
          <w:color w:val="000000"/>
          <w:szCs w:val="22"/>
        </w:rPr>
        <w:br w:type="page"/>
      </w:r>
      <w:r w:rsidRPr="008A5F3B">
        <w:rPr>
          <w:rFonts w:ascii="Times New Roman" w:hAnsi="Times New Roman"/>
          <w:b/>
          <w:color w:val="000000"/>
          <w:szCs w:val="22"/>
        </w:rPr>
        <w:lastRenderedPageBreak/>
        <w:t>A.</w:t>
      </w:r>
      <w:r w:rsidRPr="008A5F3B">
        <w:rPr>
          <w:rFonts w:ascii="Times New Roman" w:hAnsi="Times New Roman"/>
          <w:b/>
          <w:color w:val="000000"/>
          <w:szCs w:val="22"/>
        </w:rPr>
        <w:tab/>
        <w:t>FABRICANT</w:t>
      </w:r>
      <w:ins w:id="711" w:author="Author">
        <w:r w:rsidR="00865861">
          <w:rPr>
            <w:rFonts w:ascii="Times New Roman" w:hAnsi="Times New Roman"/>
            <w:b/>
            <w:color w:val="000000"/>
            <w:szCs w:val="22"/>
          </w:rPr>
          <w:t>S</w:t>
        </w:r>
      </w:ins>
      <w:r w:rsidRPr="008A5F3B">
        <w:rPr>
          <w:rFonts w:ascii="Times New Roman" w:hAnsi="Times New Roman"/>
          <w:b/>
          <w:color w:val="000000"/>
          <w:szCs w:val="22"/>
        </w:rPr>
        <w:t xml:space="preserve"> RESPONSABLE</w:t>
      </w:r>
      <w:ins w:id="712" w:author="Author">
        <w:r w:rsidR="00865861">
          <w:rPr>
            <w:rFonts w:ascii="Times New Roman" w:hAnsi="Times New Roman"/>
            <w:b/>
            <w:color w:val="000000"/>
            <w:szCs w:val="22"/>
          </w:rPr>
          <w:t>S</w:t>
        </w:r>
      </w:ins>
      <w:r w:rsidRPr="008A5F3B">
        <w:rPr>
          <w:rFonts w:ascii="Times New Roman" w:hAnsi="Times New Roman"/>
          <w:b/>
          <w:color w:val="000000"/>
          <w:szCs w:val="22"/>
        </w:rPr>
        <w:t xml:space="preserve"> DE LA LIB</w:t>
      </w:r>
      <w:r w:rsidR="00482AC8" w:rsidRPr="008A5F3B">
        <w:rPr>
          <w:rFonts w:ascii="Times New Roman" w:hAnsi="Times New Roman"/>
          <w:b/>
          <w:color w:val="000000"/>
          <w:szCs w:val="22"/>
        </w:rPr>
        <w:t>É</w:t>
      </w:r>
      <w:r w:rsidRPr="008A5F3B">
        <w:rPr>
          <w:rFonts w:ascii="Times New Roman" w:hAnsi="Times New Roman"/>
          <w:b/>
          <w:color w:val="000000"/>
          <w:szCs w:val="22"/>
        </w:rPr>
        <w:t xml:space="preserve">RATION </w:t>
      </w:r>
      <w:smartTag w:uri="urn:schemas-microsoft-com:office:smarttags" w:element="stockticker">
        <w:r w:rsidRPr="008A5F3B">
          <w:rPr>
            <w:rFonts w:ascii="Times New Roman" w:hAnsi="Times New Roman"/>
            <w:b/>
            <w:color w:val="000000"/>
            <w:szCs w:val="22"/>
          </w:rPr>
          <w:t>DES</w:t>
        </w:r>
      </w:smartTag>
      <w:r w:rsidRPr="008A5F3B">
        <w:rPr>
          <w:rFonts w:ascii="Times New Roman" w:hAnsi="Times New Roman"/>
          <w:b/>
          <w:color w:val="000000"/>
          <w:szCs w:val="22"/>
        </w:rPr>
        <w:t xml:space="preserve"> LOTS</w:t>
      </w:r>
    </w:p>
    <w:p w14:paraId="31123896" w14:textId="77777777" w:rsidR="007D642D" w:rsidRPr="008A5F3B" w:rsidRDefault="007D642D" w:rsidP="007F23EE">
      <w:pPr>
        <w:keepNext/>
        <w:numPr>
          <w:ilvl w:val="12"/>
          <w:numId w:val="0"/>
        </w:numPr>
        <w:ind w:right="1418"/>
        <w:rPr>
          <w:rFonts w:ascii="Times New Roman" w:hAnsi="Times New Roman"/>
          <w:color w:val="000000"/>
          <w:szCs w:val="22"/>
        </w:rPr>
      </w:pPr>
    </w:p>
    <w:p w14:paraId="2311A537" w14:textId="20B3F883" w:rsidR="007D642D" w:rsidRPr="008A5F3B" w:rsidRDefault="007D642D" w:rsidP="007F23EE">
      <w:pPr>
        <w:numPr>
          <w:ilvl w:val="12"/>
          <w:numId w:val="0"/>
        </w:numPr>
        <w:rPr>
          <w:rFonts w:ascii="Times New Roman" w:hAnsi="Times New Roman"/>
          <w:color w:val="000000"/>
          <w:szCs w:val="22"/>
          <w:u w:val="single"/>
        </w:rPr>
      </w:pPr>
      <w:r w:rsidRPr="008A5F3B">
        <w:rPr>
          <w:rFonts w:ascii="Times New Roman" w:hAnsi="Times New Roman"/>
          <w:color w:val="000000"/>
          <w:szCs w:val="22"/>
          <w:u w:val="single"/>
        </w:rPr>
        <w:t>Nom et adresse d</w:t>
      </w:r>
      <w:ins w:id="713" w:author="Author">
        <w:r w:rsidR="00865861">
          <w:rPr>
            <w:rFonts w:ascii="Times New Roman" w:hAnsi="Times New Roman"/>
            <w:color w:val="000000"/>
            <w:szCs w:val="22"/>
            <w:u w:val="single"/>
          </w:rPr>
          <w:t>es</w:t>
        </w:r>
      </w:ins>
      <w:del w:id="714" w:author="Author">
        <w:r w:rsidRPr="008A5F3B" w:rsidDel="00865861">
          <w:rPr>
            <w:rFonts w:ascii="Times New Roman" w:hAnsi="Times New Roman"/>
            <w:color w:val="000000"/>
            <w:szCs w:val="22"/>
            <w:u w:val="single"/>
          </w:rPr>
          <w:delText>u</w:delText>
        </w:r>
      </w:del>
      <w:r w:rsidRPr="008A5F3B">
        <w:rPr>
          <w:rFonts w:ascii="Times New Roman" w:hAnsi="Times New Roman"/>
          <w:color w:val="000000"/>
          <w:szCs w:val="22"/>
          <w:u w:val="single"/>
        </w:rPr>
        <w:t xml:space="preserve"> fabricant</w:t>
      </w:r>
      <w:ins w:id="715" w:author="Author">
        <w:r w:rsidR="00865861">
          <w:rPr>
            <w:rFonts w:ascii="Times New Roman" w:hAnsi="Times New Roman"/>
            <w:color w:val="000000"/>
            <w:szCs w:val="22"/>
            <w:u w:val="single"/>
          </w:rPr>
          <w:t>s</w:t>
        </w:r>
      </w:ins>
      <w:r w:rsidRPr="008A5F3B">
        <w:rPr>
          <w:rFonts w:ascii="Times New Roman" w:hAnsi="Times New Roman"/>
          <w:color w:val="000000"/>
          <w:szCs w:val="22"/>
          <w:u w:val="single"/>
        </w:rPr>
        <w:t xml:space="preserve"> responsable</w:t>
      </w:r>
      <w:ins w:id="716" w:author="Author">
        <w:r w:rsidR="00865861">
          <w:rPr>
            <w:rFonts w:ascii="Times New Roman" w:hAnsi="Times New Roman"/>
            <w:color w:val="000000"/>
            <w:szCs w:val="22"/>
            <w:u w:val="single"/>
          </w:rPr>
          <w:t>s</w:t>
        </w:r>
      </w:ins>
      <w:r w:rsidRPr="008A5F3B">
        <w:rPr>
          <w:rFonts w:ascii="Times New Roman" w:hAnsi="Times New Roman"/>
          <w:color w:val="000000"/>
          <w:szCs w:val="22"/>
          <w:u w:val="single"/>
        </w:rPr>
        <w:t xml:space="preserve"> de la libération des lots</w:t>
      </w:r>
    </w:p>
    <w:p w14:paraId="76FBF6D5" w14:textId="77777777" w:rsidR="007D642D" w:rsidRPr="008A5F3B" w:rsidRDefault="007D642D" w:rsidP="007F23EE">
      <w:pPr>
        <w:numPr>
          <w:ilvl w:val="12"/>
          <w:numId w:val="0"/>
        </w:numPr>
        <w:rPr>
          <w:rFonts w:ascii="Times New Roman" w:hAnsi="Times New Roman"/>
          <w:szCs w:val="22"/>
        </w:rPr>
      </w:pPr>
    </w:p>
    <w:p w14:paraId="17B3FDFF" w14:textId="72B238F7" w:rsidR="009C68FF" w:rsidRPr="009C68FF" w:rsidRDefault="009C68FF" w:rsidP="007F23EE">
      <w:pPr>
        <w:tabs>
          <w:tab w:val="left" w:pos="7513"/>
        </w:tabs>
        <w:rPr>
          <w:rFonts w:ascii="Times New Roman" w:hAnsi="Times New Roman"/>
          <w:szCs w:val="22"/>
          <w:lang w:val="en-US"/>
        </w:rPr>
      </w:pPr>
      <w:r w:rsidRPr="009C68FF">
        <w:rPr>
          <w:rFonts w:ascii="Times New Roman" w:hAnsi="Times New Roman"/>
          <w:szCs w:val="22"/>
          <w:lang w:val="en-US"/>
        </w:rPr>
        <w:t>Novartis Pharmaceutical Manufacturing LLC</w:t>
      </w:r>
    </w:p>
    <w:p w14:paraId="6F23F01B" w14:textId="77777777" w:rsidR="009C68FF" w:rsidRPr="009C68FF" w:rsidRDefault="009C68FF" w:rsidP="007F23EE">
      <w:pPr>
        <w:tabs>
          <w:tab w:val="left" w:pos="7513"/>
        </w:tabs>
        <w:rPr>
          <w:rFonts w:ascii="Times New Roman" w:hAnsi="Times New Roman"/>
          <w:szCs w:val="22"/>
          <w:lang w:val="en-US"/>
        </w:rPr>
      </w:pPr>
      <w:proofErr w:type="spellStart"/>
      <w:r w:rsidRPr="009C68FF">
        <w:rPr>
          <w:rFonts w:ascii="Times New Roman" w:hAnsi="Times New Roman"/>
          <w:szCs w:val="22"/>
          <w:lang w:val="en-US"/>
        </w:rPr>
        <w:t>Verovskova</w:t>
      </w:r>
      <w:proofErr w:type="spellEnd"/>
      <w:r w:rsidRPr="009C68FF">
        <w:rPr>
          <w:rFonts w:ascii="Times New Roman" w:hAnsi="Times New Roman"/>
          <w:szCs w:val="22"/>
          <w:lang w:val="en-US"/>
        </w:rPr>
        <w:t xml:space="preserve"> </w:t>
      </w:r>
      <w:proofErr w:type="spellStart"/>
      <w:r w:rsidRPr="009C68FF">
        <w:rPr>
          <w:rFonts w:ascii="Times New Roman" w:hAnsi="Times New Roman"/>
          <w:szCs w:val="22"/>
          <w:lang w:val="en-US"/>
        </w:rPr>
        <w:t>Ulica</w:t>
      </w:r>
      <w:proofErr w:type="spellEnd"/>
      <w:r w:rsidRPr="009C68FF">
        <w:rPr>
          <w:rFonts w:ascii="Times New Roman" w:hAnsi="Times New Roman"/>
          <w:szCs w:val="22"/>
          <w:lang w:val="en-US"/>
        </w:rPr>
        <w:t xml:space="preserve"> 57</w:t>
      </w:r>
    </w:p>
    <w:p w14:paraId="50BF3F28" w14:textId="77777777" w:rsidR="009C68FF" w:rsidRPr="009C68FF" w:rsidRDefault="009C68FF" w:rsidP="007F23EE">
      <w:pPr>
        <w:tabs>
          <w:tab w:val="left" w:pos="7513"/>
        </w:tabs>
        <w:rPr>
          <w:rFonts w:ascii="Times New Roman" w:hAnsi="Times New Roman"/>
          <w:szCs w:val="22"/>
          <w:lang w:val="en-US"/>
        </w:rPr>
      </w:pPr>
      <w:r w:rsidRPr="009C68FF">
        <w:rPr>
          <w:rFonts w:ascii="Times New Roman" w:hAnsi="Times New Roman"/>
          <w:szCs w:val="22"/>
          <w:lang w:val="en-US"/>
        </w:rPr>
        <w:t>Ljubljana, 1000</w:t>
      </w:r>
    </w:p>
    <w:p w14:paraId="217236DE" w14:textId="77777777" w:rsidR="009C68FF" w:rsidRPr="00DB22E2" w:rsidRDefault="009C68FF" w:rsidP="007F23EE">
      <w:pPr>
        <w:tabs>
          <w:tab w:val="left" w:pos="7513"/>
        </w:tabs>
        <w:rPr>
          <w:rFonts w:ascii="Times New Roman" w:hAnsi="Times New Roman"/>
          <w:szCs w:val="22"/>
          <w:lang w:val="en-US"/>
        </w:rPr>
      </w:pPr>
      <w:proofErr w:type="spellStart"/>
      <w:r w:rsidRPr="00DB22E2">
        <w:rPr>
          <w:rFonts w:ascii="Times New Roman" w:hAnsi="Times New Roman"/>
          <w:szCs w:val="22"/>
          <w:lang w:val="en-US"/>
        </w:rPr>
        <w:t>Slovénie</w:t>
      </w:r>
      <w:proofErr w:type="spellEnd"/>
    </w:p>
    <w:p w14:paraId="58162182" w14:textId="77777777" w:rsidR="009C68FF" w:rsidRPr="00DB22E2" w:rsidRDefault="009C68FF" w:rsidP="007F23EE">
      <w:pPr>
        <w:tabs>
          <w:tab w:val="left" w:pos="7513"/>
        </w:tabs>
        <w:rPr>
          <w:rFonts w:ascii="Times New Roman" w:hAnsi="Times New Roman"/>
          <w:szCs w:val="22"/>
          <w:lang w:val="en-US"/>
        </w:rPr>
      </w:pPr>
    </w:p>
    <w:p w14:paraId="3B395100" w14:textId="77777777" w:rsidR="00D447C7" w:rsidRPr="00DB22E2" w:rsidRDefault="00D447C7" w:rsidP="007F23EE">
      <w:pPr>
        <w:tabs>
          <w:tab w:val="left" w:pos="7513"/>
        </w:tabs>
        <w:rPr>
          <w:rFonts w:ascii="Times New Roman" w:hAnsi="Times New Roman"/>
          <w:szCs w:val="22"/>
          <w:lang w:val="en-US"/>
        </w:rPr>
      </w:pPr>
      <w:r w:rsidRPr="00DB22E2">
        <w:rPr>
          <w:rFonts w:ascii="Times New Roman" w:hAnsi="Times New Roman"/>
          <w:szCs w:val="22"/>
          <w:lang w:val="en-US"/>
        </w:rPr>
        <w:t xml:space="preserve">Lek </w:t>
      </w:r>
      <w:proofErr w:type="spellStart"/>
      <w:r w:rsidRPr="00DB22E2">
        <w:rPr>
          <w:rFonts w:ascii="Times New Roman" w:hAnsi="Times New Roman"/>
          <w:szCs w:val="22"/>
          <w:lang w:val="en-US"/>
        </w:rPr>
        <w:t>d.d</w:t>
      </w:r>
      <w:proofErr w:type="spellEnd"/>
      <w:r w:rsidRPr="00DB22E2">
        <w:rPr>
          <w:rFonts w:ascii="Times New Roman" w:hAnsi="Times New Roman"/>
          <w:szCs w:val="22"/>
          <w:lang w:val="en-US"/>
        </w:rPr>
        <w:t>, PE PROIZVODNJA LENDAVA</w:t>
      </w:r>
    </w:p>
    <w:p w14:paraId="20E53E26" w14:textId="77777777" w:rsidR="00D447C7" w:rsidRPr="008A5F3B" w:rsidRDefault="00D447C7" w:rsidP="007F23EE">
      <w:pPr>
        <w:tabs>
          <w:tab w:val="left" w:pos="7513"/>
        </w:tabs>
        <w:rPr>
          <w:rFonts w:ascii="Times New Roman" w:hAnsi="Times New Roman"/>
          <w:szCs w:val="22"/>
          <w:lang w:val="fr-CH"/>
        </w:rPr>
      </w:pPr>
      <w:proofErr w:type="spellStart"/>
      <w:r w:rsidRPr="008A5F3B">
        <w:rPr>
          <w:rFonts w:ascii="Times New Roman" w:hAnsi="Times New Roman"/>
          <w:szCs w:val="22"/>
          <w:lang w:val="fr-CH"/>
        </w:rPr>
        <w:t>Trimlini</w:t>
      </w:r>
      <w:proofErr w:type="spellEnd"/>
      <w:r w:rsidRPr="008A5F3B">
        <w:rPr>
          <w:rFonts w:ascii="Times New Roman" w:hAnsi="Times New Roman"/>
          <w:szCs w:val="22"/>
          <w:lang w:val="fr-CH"/>
        </w:rPr>
        <w:t xml:space="preserve"> 2D</w:t>
      </w:r>
    </w:p>
    <w:p w14:paraId="158E06C8" w14:textId="77777777" w:rsidR="00D447C7" w:rsidRPr="008A5F3B" w:rsidRDefault="00D447C7" w:rsidP="007F23EE">
      <w:pPr>
        <w:tabs>
          <w:tab w:val="left" w:pos="7513"/>
        </w:tabs>
        <w:rPr>
          <w:rFonts w:ascii="Times New Roman" w:hAnsi="Times New Roman"/>
          <w:szCs w:val="22"/>
          <w:lang w:val="fr-CH"/>
        </w:rPr>
      </w:pPr>
      <w:proofErr w:type="spellStart"/>
      <w:r w:rsidRPr="008A5F3B">
        <w:rPr>
          <w:rFonts w:ascii="Times New Roman" w:hAnsi="Times New Roman"/>
          <w:szCs w:val="22"/>
          <w:lang w:val="fr-CH"/>
        </w:rPr>
        <w:t>Lendava</w:t>
      </w:r>
      <w:proofErr w:type="spellEnd"/>
      <w:r w:rsidRPr="008A5F3B">
        <w:rPr>
          <w:rFonts w:ascii="Times New Roman" w:hAnsi="Times New Roman"/>
          <w:szCs w:val="22"/>
          <w:lang w:val="fr-CH"/>
        </w:rPr>
        <w:t>, 9220</w:t>
      </w:r>
    </w:p>
    <w:p w14:paraId="04A6EB5F" w14:textId="77777777" w:rsidR="00D447C7" w:rsidRPr="008A5F3B" w:rsidRDefault="00D447C7" w:rsidP="007F23EE">
      <w:pPr>
        <w:tabs>
          <w:tab w:val="left" w:pos="7513"/>
        </w:tabs>
        <w:rPr>
          <w:rFonts w:ascii="Times New Roman" w:hAnsi="Times New Roman"/>
          <w:szCs w:val="22"/>
        </w:rPr>
      </w:pPr>
      <w:r w:rsidRPr="008A5F3B">
        <w:rPr>
          <w:rFonts w:ascii="Times New Roman" w:hAnsi="Times New Roman"/>
          <w:szCs w:val="22"/>
          <w:lang w:val="fr-CH"/>
        </w:rPr>
        <w:t>Slovénie</w:t>
      </w:r>
    </w:p>
    <w:p w14:paraId="12A03E48" w14:textId="77777777" w:rsidR="00D447C7" w:rsidRPr="008A5F3B" w:rsidRDefault="00D447C7" w:rsidP="007F23EE">
      <w:pPr>
        <w:tabs>
          <w:tab w:val="left" w:pos="7513"/>
        </w:tabs>
        <w:rPr>
          <w:rFonts w:ascii="Times New Roman" w:hAnsi="Times New Roman"/>
          <w:szCs w:val="22"/>
        </w:rPr>
      </w:pPr>
    </w:p>
    <w:p w14:paraId="756DF880" w14:textId="77777777" w:rsidR="00FA7035" w:rsidRPr="00F46B3D" w:rsidRDefault="00FA7035" w:rsidP="007F23EE">
      <w:pPr>
        <w:tabs>
          <w:tab w:val="left" w:pos="7513"/>
        </w:tabs>
        <w:rPr>
          <w:rFonts w:ascii="Times New Roman" w:hAnsi="Times New Roman"/>
          <w:szCs w:val="22"/>
          <w:lang w:val="it-IT"/>
        </w:rPr>
      </w:pPr>
      <w:r w:rsidRPr="00F46B3D">
        <w:rPr>
          <w:rFonts w:ascii="Times New Roman" w:hAnsi="Times New Roman"/>
          <w:szCs w:val="22"/>
          <w:lang w:val="it-IT"/>
        </w:rPr>
        <w:t>Novartis Farmacéutica, S.A.</w:t>
      </w:r>
    </w:p>
    <w:p w14:paraId="16E34A87" w14:textId="77777777" w:rsidR="00FA7035" w:rsidRPr="00F46B3D" w:rsidRDefault="00FA7035" w:rsidP="007F23EE">
      <w:pPr>
        <w:tabs>
          <w:tab w:val="left" w:pos="7513"/>
        </w:tabs>
        <w:rPr>
          <w:rFonts w:ascii="Times New Roman" w:hAnsi="Times New Roman"/>
          <w:szCs w:val="22"/>
          <w:lang w:val="it-IT"/>
        </w:rPr>
      </w:pPr>
      <w:r w:rsidRPr="00F46B3D">
        <w:rPr>
          <w:rFonts w:ascii="Times New Roman" w:hAnsi="Times New Roman"/>
          <w:szCs w:val="22"/>
          <w:lang w:val="it-IT"/>
        </w:rPr>
        <w:t>Gran Via de les Corts Catalanes, 764</w:t>
      </w:r>
    </w:p>
    <w:p w14:paraId="28AED29E" w14:textId="77777777" w:rsidR="00FA7035" w:rsidRPr="00F46B3D" w:rsidRDefault="00FA7035" w:rsidP="007F23EE">
      <w:pPr>
        <w:tabs>
          <w:tab w:val="left" w:pos="7513"/>
        </w:tabs>
        <w:rPr>
          <w:rFonts w:ascii="Times New Roman" w:hAnsi="Times New Roman"/>
          <w:szCs w:val="22"/>
          <w:lang w:val="it-IT"/>
        </w:rPr>
      </w:pPr>
      <w:r w:rsidRPr="00F46B3D">
        <w:rPr>
          <w:rFonts w:ascii="Times New Roman" w:hAnsi="Times New Roman"/>
          <w:szCs w:val="22"/>
          <w:lang w:val="it-IT"/>
        </w:rPr>
        <w:t>08013 Barcelon</w:t>
      </w:r>
      <w:r>
        <w:rPr>
          <w:rFonts w:ascii="Times New Roman" w:hAnsi="Times New Roman"/>
          <w:szCs w:val="22"/>
          <w:lang w:val="it-IT"/>
        </w:rPr>
        <w:t>e</w:t>
      </w:r>
    </w:p>
    <w:p w14:paraId="2500FAF7" w14:textId="4CDC9DDF" w:rsidR="007D642D" w:rsidRPr="008A5F3B" w:rsidRDefault="00FA7035" w:rsidP="007F23EE">
      <w:pPr>
        <w:numPr>
          <w:ilvl w:val="12"/>
          <w:numId w:val="0"/>
        </w:numPr>
        <w:rPr>
          <w:rFonts w:ascii="Times New Roman" w:hAnsi="Times New Roman"/>
          <w:color w:val="000000"/>
          <w:szCs w:val="22"/>
        </w:rPr>
      </w:pPr>
      <w:r w:rsidRPr="00F46B3D">
        <w:rPr>
          <w:rFonts w:ascii="Times New Roman" w:hAnsi="Times New Roman"/>
          <w:szCs w:val="22"/>
          <w:lang w:val="it-IT"/>
        </w:rPr>
        <w:t>Espagne</w:t>
      </w:r>
    </w:p>
    <w:p w14:paraId="3A93676E" w14:textId="77777777" w:rsidR="00C024E3" w:rsidRDefault="00C024E3" w:rsidP="007F23EE">
      <w:pPr>
        <w:numPr>
          <w:ilvl w:val="12"/>
          <w:numId w:val="0"/>
        </w:numPr>
        <w:rPr>
          <w:rFonts w:ascii="Times New Roman" w:hAnsi="Times New Roman"/>
          <w:szCs w:val="22"/>
        </w:rPr>
      </w:pPr>
    </w:p>
    <w:p w14:paraId="03F744D1" w14:textId="77777777" w:rsidR="00FE1098" w:rsidRPr="00DB22E2" w:rsidRDefault="00FE1098" w:rsidP="007F23EE">
      <w:pPr>
        <w:keepNext/>
        <w:rPr>
          <w:rFonts w:ascii="Times New Roman" w:eastAsia="Aptos" w:hAnsi="Times New Roman"/>
          <w:szCs w:val="22"/>
          <w:lang w:eastAsia="de-CH"/>
        </w:rPr>
      </w:pPr>
      <w:r w:rsidRPr="00DB22E2">
        <w:rPr>
          <w:rFonts w:ascii="Times New Roman" w:eastAsia="Aptos" w:hAnsi="Times New Roman"/>
          <w:szCs w:val="22"/>
          <w:lang w:eastAsia="de-CH"/>
        </w:rPr>
        <w:t xml:space="preserve">Novartis Pharma </w:t>
      </w:r>
      <w:proofErr w:type="spellStart"/>
      <w:r w:rsidRPr="00DB22E2">
        <w:rPr>
          <w:rFonts w:ascii="Times New Roman" w:eastAsia="Aptos" w:hAnsi="Times New Roman"/>
          <w:szCs w:val="22"/>
          <w:lang w:eastAsia="de-CH"/>
        </w:rPr>
        <w:t>GmbH</w:t>
      </w:r>
      <w:proofErr w:type="spellEnd"/>
    </w:p>
    <w:p w14:paraId="4017C983" w14:textId="77777777" w:rsidR="00FE1098" w:rsidRPr="00DB22E2" w:rsidRDefault="00FE1098" w:rsidP="007F23EE">
      <w:pPr>
        <w:keepNext/>
        <w:rPr>
          <w:rFonts w:ascii="Times New Roman" w:eastAsia="Aptos" w:hAnsi="Times New Roman"/>
          <w:szCs w:val="22"/>
          <w:lang w:eastAsia="de-CH"/>
        </w:rPr>
      </w:pPr>
      <w:r w:rsidRPr="00DB22E2">
        <w:rPr>
          <w:rFonts w:ascii="Times New Roman" w:eastAsia="Aptos" w:hAnsi="Times New Roman"/>
          <w:szCs w:val="22"/>
          <w:lang w:eastAsia="de-CH"/>
        </w:rPr>
        <w:t>Sophie-Germain-Strasse 10</w:t>
      </w:r>
    </w:p>
    <w:p w14:paraId="6B9A7A48" w14:textId="77777777" w:rsidR="00FE1098" w:rsidRPr="00DB22E2" w:rsidRDefault="00FE1098" w:rsidP="007F23EE">
      <w:pPr>
        <w:keepNext/>
        <w:rPr>
          <w:rFonts w:ascii="Times New Roman" w:eastAsia="Aptos" w:hAnsi="Times New Roman"/>
          <w:szCs w:val="22"/>
          <w:lang w:eastAsia="de-CH"/>
        </w:rPr>
      </w:pPr>
      <w:r w:rsidRPr="00DB22E2">
        <w:rPr>
          <w:rFonts w:ascii="Times New Roman" w:eastAsia="Aptos" w:hAnsi="Times New Roman"/>
          <w:szCs w:val="22"/>
          <w:lang w:eastAsia="de-CH"/>
        </w:rPr>
        <w:t>90443 Nuremberg</w:t>
      </w:r>
    </w:p>
    <w:p w14:paraId="705A2983" w14:textId="2052183D" w:rsidR="00FE1098" w:rsidRDefault="00FE1098" w:rsidP="007F23EE">
      <w:pPr>
        <w:numPr>
          <w:ilvl w:val="12"/>
          <w:numId w:val="0"/>
        </w:numPr>
        <w:rPr>
          <w:rFonts w:ascii="Times New Roman" w:hAnsi="Times New Roman"/>
          <w:szCs w:val="22"/>
          <w:lang w:val="de-CH"/>
        </w:rPr>
      </w:pPr>
      <w:r>
        <w:rPr>
          <w:rFonts w:ascii="Times New Roman" w:hAnsi="Times New Roman"/>
          <w:szCs w:val="22"/>
          <w:lang w:val="de-CH"/>
        </w:rPr>
        <w:t>Allemagne</w:t>
      </w:r>
    </w:p>
    <w:p w14:paraId="29E759CF" w14:textId="77777777" w:rsidR="00FE1098" w:rsidRPr="008A5F3B" w:rsidRDefault="00FE1098" w:rsidP="007F23EE">
      <w:pPr>
        <w:numPr>
          <w:ilvl w:val="12"/>
          <w:numId w:val="0"/>
        </w:numPr>
        <w:rPr>
          <w:rFonts w:ascii="Times New Roman" w:hAnsi="Times New Roman"/>
          <w:szCs w:val="22"/>
        </w:rPr>
      </w:pPr>
    </w:p>
    <w:p w14:paraId="2C05EC83" w14:textId="77777777" w:rsidR="007D642D" w:rsidRPr="008A5F3B" w:rsidRDefault="00D447C7" w:rsidP="007F23EE">
      <w:pPr>
        <w:numPr>
          <w:ilvl w:val="12"/>
          <w:numId w:val="0"/>
        </w:numPr>
        <w:rPr>
          <w:rFonts w:ascii="Times New Roman" w:hAnsi="Times New Roman"/>
          <w:szCs w:val="22"/>
        </w:rPr>
      </w:pPr>
      <w:r w:rsidRPr="008A5F3B">
        <w:rPr>
          <w:rFonts w:ascii="Times New Roman" w:hAnsi="Times New Roman"/>
        </w:rPr>
        <w:t>Le nom et l’adresse du fabricant responsable de la libération du lot concerné doivent figurer sur la notice du médicament.</w:t>
      </w:r>
    </w:p>
    <w:p w14:paraId="7A4F194E" w14:textId="77777777" w:rsidR="00D447C7" w:rsidRPr="008A5F3B" w:rsidRDefault="00D447C7" w:rsidP="007F23EE">
      <w:pPr>
        <w:numPr>
          <w:ilvl w:val="12"/>
          <w:numId w:val="0"/>
        </w:numPr>
        <w:rPr>
          <w:rFonts w:ascii="Times New Roman" w:hAnsi="Times New Roman"/>
          <w:szCs w:val="22"/>
        </w:rPr>
      </w:pPr>
    </w:p>
    <w:p w14:paraId="478ABC9F" w14:textId="77777777" w:rsidR="00D447C7" w:rsidRPr="008A5F3B" w:rsidRDefault="00D447C7" w:rsidP="007F23EE">
      <w:pPr>
        <w:numPr>
          <w:ilvl w:val="12"/>
          <w:numId w:val="0"/>
        </w:numPr>
        <w:rPr>
          <w:rFonts w:ascii="Times New Roman" w:hAnsi="Times New Roman"/>
          <w:color w:val="000000"/>
          <w:szCs w:val="22"/>
        </w:rPr>
      </w:pPr>
    </w:p>
    <w:p w14:paraId="30730032" w14:textId="77777777" w:rsidR="007D642D" w:rsidRPr="008A5F3B" w:rsidRDefault="007D642D" w:rsidP="007F23EE">
      <w:pPr>
        <w:keepNext/>
        <w:ind w:left="567" w:hanging="567"/>
        <w:outlineLvl w:val="0"/>
        <w:rPr>
          <w:rFonts w:ascii="Times New Roman" w:hAnsi="Times New Roman"/>
          <w:color w:val="000000"/>
          <w:szCs w:val="22"/>
        </w:rPr>
      </w:pPr>
      <w:r w:rsidRPr="008A5F3B">
        <w:rPr>
          <w:rFonts w:ascii="Times New Roman" w:hAnsi="Times New Roman"/>
          <w:b/>
          <w:color w:val="000000"/>
          <w:szCs w:val="22"/>
        </w:rPr>
        <w:t>B.</w:t>
      </w:r>
      <w:r w:rsidRPr="008A5F3B">
        <w:rPr>
          <w:rFonts w:ascii="Times New Roman" w:hAnsi="Times New Roman"/>
          <w:b/>
          <w:color w:val="000000"/>
          <w:szCs w:val="22"/>
        </w:rPr>
        <w:tab/>
        <w:t>CONDITIONS OU RESTRICTIONS DE D</w:t>
      </w:r>
      <w:r w:rsidR="00482AC8" w:rsidRPr="008A5F3B">
        <w:rPr>
          <w:rFonts w:ascii="Times New Roman" w:hAnsi="Times New Roman"/>
          <w:b/>
          <w:color w:val="000000"/>
          <w:szCs w:val="22"/>
        </w:rPr>
        <w:t>É</w:t>
      </w:r>
      <w:r w:rsidRPr="008A5F3B">
        <w:rPr>
          <w:rFonts w:ascii="Times New Roman" w:hAnsi="Times New Roman"/>
          <w:b/>
          <w:color w:val="000000"/>
          <w:szCs w:val="22"/>
        </w:rPr>
        <w:t>LIVRANCE ET D’UTILISATION</w:t>
      </w:r>
    </w:p>
    <w:p w14:paraId="46DB4F3D" w14:textId="77777777" w:rsidR="007D642D" w:rsidRPr="008A5F3B" w:rsidRDefault="007D642D" w:rsidP="007F23EE">
      <w:pPr>
        <w:keepNext/>
        <w:rPr>
          <w:rFonts w:ascii="Times New Roman" w:hAnsi="Times New Roman"/>
          <w:color w:val="000000"/>
          <w:szCs w:val="22"/>
        </w:rPr>
      </w:pPr>
    </w:p>
    <w:p w14:paraId="667B9F2A" w14:textId="2D0AC761" w:rsidR="007D642D" w:rsidRPr="008A5F3B" w:rsidRDefault="007D642D" w:rsidP="007F23EE">
      <w:pPr>
        <w:numPr>
          <w:ilvl w:val="12"/>
          <w:numId w:val="0"/>
        </w:numPr>
        <w:rPr>
          <w:rFonts w:ascii="Times New Roman" w:hAnsi="Times New Roman"/>
          <w:color w:val="000000"/>
          <w:szCs w:val="22"/>
        </w:rPr>
      </w:pPr>
      <w:r w:rsidRPr="008A5F3B">
        <w:rPr>
          <w:rFonts w:ascii="Times New Roman" w:hAnsi="Times New Roman"/>
          <w:color w:val="000000"/>
          <w:szCs w:val="22"/>
        </w:rPr>
        <w:t xml:space="preserve">Médicament soumis à prescription médicale restreinte (voir Annexe I : </w:t>
      </w:r>
      <w:r w:rsidR="00F11743" w:rsidRPr="008A5F3B">
        <w:rPr>
          <w:rFonts w:ascii="Times New Roman" w:hAnsi="Times New Roman"/>
          <w:color w:val="000000"/>
          <w:szCs w:val="22"/>
        </w:rPr>
        <w:t>R</w:t>
      </w:r>
      <w:r w:rsidRPr="008A5F3B">
        <w:rPr>
          <w:rFonts w:ascii="Times New Roman" w:hAnsi="Times New Roman"/>
          <w:color w:val="000000"/>
          <w:szCs w:val="22"/>
        </w:rPr>
        <w:t xml:space="preserve">ésumé des </w:t>
      </w:r>
      <w:r w:rsidR="00F11743" w:rsidRPr="008A5F3B">
        <w:rPr>
          <w:rFonts w:ascii="Times New Roman" w:hAnsi="Times New Roman"/>
          <w:color w:val="000000"/>
          <w:szCs w:val="22"/>
        </w:rPr>
        <w:t>C</w:t>
      </w:r>
      <w:r w:rsidRPr="008A5F3B">
        <w:rPr>
          <w:rFonts w:ascii="Times New Roman" w:hAnsi="Times New Roman"/>
          <w:color w:val="000000"/>
          <w:szCs w:val="22"/>
        </w:rPr>
        <w:t xml:space="preserve">aractéristiques du </w:t>
      </w:r>
      <w:r w:rsidR="00F11743" w:rsidRPr="008A5F3B">
        <w:rPr>
          <w:rFonts w:ascii="Times New Roman" w:hAnsi="Times New Roman"/>
          <w:color w:val="000000"/>
          <w:szCs w:val="22"/>
        </w:rPr>
        <w:t>P</w:t>
      </w:r>
      <w:r w:rsidRPr="008A5F3B">
        <w:rPr>
          <w:rFonts w:ascii="Times New Roman" w:hAnsi="Times New Roman"/>
          <w:color w:val="000000"/>
          <w:szCs w:val="22"/>
        </w:rPr>
        <w:t>roduit, rubrique</w:t>
      </w:r>
      <w:r w:rsidR="002F003A">
        <w:rPr>
          <w:rFonts w:ascii="Times New Roman" w:hAnsi="Times New Roman"/>
          <w:color w:val="000000"/>
          <w:szCs w:val="22"/>
        </w:rPr>
        <w:t> </w:t>
      </w:r>
      <w:r w:rsidRPr="008A5F3B">
        <w:rPr>
          <w:rFonts w:ascii="Times New Roman" w:hAnsi="Times New Roman"/>
          <w:color w:val="000000"/>
          <w:szCs w:val="22"/>
        </w:rPr>
        <w:t>4.2).</w:t>
      </w:r>
    </w:p>
    <w:p w14:paraId="2F95FD74" w14:textId="77777777" w:rsidR="007D642D" w:rsidRPr="008A5F3B" w:rsidRDefault="007D642D" w:rsidP="007F23EE">
      <w:pPr>
        <w:numPr>
          <w:ilvl w:val="12"/>
          <w:numId w:val="0"/>
        </w:numPr>
        <w:rPr>
          <w:rFonts w:ascii="Times New Roman" w:hAnsi="Times New Roman"/>
          <w:color w:val="000000"/>
          <w:szCs w:val="22"/>
        </w:rPr>
      </w:pPr>
    </w:p>
    <w:p w14:paraId="282913E6" w14:textId="77777777" w:rsidR="007D642D" w:rsidRPr="008A5F3B" w:rsidRDefault="007D642D" w:rsidP="007F23EE">
      <w:pPr>
        <w:numPr>
          <w:ilvl w:val="12"/>
          <w:numId w:val="0"/>
        </w:numPr>
        <w:rPr>
          <w:rFonts w:ascii="Times New Roman" w:hAnsi="Times New Roman"/>
          <w:color w:val="000000"/>
          <w:szCs w:val="22"/>
        </w:rPr>
      </w:pPr>
    </w:p>
    <w:p w14:paraId="4AED2057" w14:textId="77777777" w:rsidR="007D642D" w:rsidRPr="008A5F3B" w:rsidRDefault="007D642D" w:rsidP="007F23EE">
      <w:pPr>
        <w:keepNext/>
        <w:numPr>
          <w:ilvl w:val="12"/>
          <w:numId w:val="0"/>
        </w:numPr>
        <w:ind w:left="567" w:hanging="567"/>
        <w:outlineLvl w:val="0"/>
        <w:rPr>
          <w:rFonts w:ascii="Times New Roman" w:hAnsi="Times New Roman"/>
          <w:color w:val="000000"/>
          <w:szCs w:val="22"/>
        </w:rPr>
      </w:pPr>
      <w:r w:rsidRPr="008A5F3B">
        <w:rPr>
          <w:rFonts w:ascii="Times New Roman" w:hAnsi="Times New Roman"/>
          <w:b/>
          <w:color w:val="000000"/>
          <w:szCs w:val="22"/>
        </w:rPr>
        <w:t>C.</w:t>
      </w:r>
      <w:r w:rsidRPr="008A5F3B">
        <w:rPr>
          <w:rFonts w:ascii="Times New Roman" w:hAnsi="Times New Roman"/>
          <w:b/>
          <w:color w:val="000000"/>
          <w:szCs w:val="22"/>
        </w:rPr>
        <w:tab/>
        <w:t>AUTRES CONDITIONS ET OBLIGATIONS DE L’AUTORISATION DE MISE SUR LE MARCH</w:t>
      </w:r>
      <w:r w:rsidR="00482AC8" w:rsidRPr="008A5F3B">
        <w:rPr>
          <w:rFonts w:ascii="Times New Roman" w:hAnsi="Times New Roman"/>
          <w:b/>
          <w:color w:val="000000"/>
          <w:szCs w:val="22"/>
        </w:rPr>
        <w:t>É</w:t>
      </w:r>
    </w:p>
    <w:p w14:paraId="05FE95E1" w14:textId="77777777" w:rsidR="007D642D" w:rsidRPr="008A5F3B" w:rsidRDefault="007D642D" w:rsidP="007F23EE">
      <w:pPr>
        <w:keepNext/>
        <w:rPr>
          <w:rFonts w:ascii="Times New Roman" w:hAnsi="Times New Roman"/>
          <w:color w:val="000000"/>
          <w:szCs w:val="22"/>
        </w:rPr>
      </w:pPr>
    </w:p>
    <w:p w14:paraId="34F5F9BD" w14:textId="5B827382" w:rsidR="00485803" w:rsidRPr="008A5F3B" w:rsidRDefault="007537F9" w:rsidP="007F23EE">
      <w:pPr>
        <w:keepNext/>
        <w:numPr>
          <w:ilvl w:val="0"/>
          <w:numId w:val="33"/>
        </w:numPr>
        <w:tabs>
          <w:tab w:val="left" w:pos="567"/>
        </w:tabs>
        <w:ind w:hanging="766"/>
        <w:rPr>
          <w:rFonts w:ascii="Times New Roman" w:hAnsi="Times New Roman"/>
          <w:b/>
          <w:szCs w:val="24"/>
          <w:lang w:val="fr-BE"/>
        </w:rPr>
      </w:pPr>
      <w:r w:rsidRPr="008A5F3B">
        <w:rPr>
          <w:rFonts w:ascii="Times New Roman" w:hAnsi="Times New Roman"/>
          <w:b/>
          <w:noProof/>
          <w:szCs w:val="24"/>
          <w:lang w:val="fr-BE"/>
        </w:rPr>
        <w:t>Rapports périodiques actualisés de sécurité (PSUR</w:t>
      </w:r>
      <w:r w:rsidR="00485803" w:rsidRPr="008A5F3B">
        <w:rPr>
          <w:rFonts w:ascii="Times New Roman" w:hAnsi="Times New Roman"/>
          <w:b/>
          <w:noProof/>
          <w:szCs w:val="24"/>
          <w:lang w:val="fr-BE"/>
        </w:rPr>
        <w:t>s</w:t>
      </w:r>
      <w:r w:rsidRPr="008A5F3B">
        <w:rPr>
          <w:rFonts w:ascii="Times New Roman" w:hAnsi="Times New Roman"/>
          <w:b/>
          <w:noProof/>
          <w:szCs w:val="24"/>
          <w:lang w:val="fr-BE"/>
        </w:rPr>
        <w:t>)</w:t>
      </w:r>
    </w:p>
    <w:p w14:paraId="69F686CA" w14:textId="77777777" w:rsidR="00485803" w:rsidRPr="008A5F3B" w:rsidRDefault="00485803" w:rsidP="007F23EE">
      <w:pPr>
        <w:keepNext/>
        <w:ind w:right="567"/>
        <w:rPr>
          <w:rFonts w:ascii="Times New Roman" w:hAnsi="Times New Roman"/>
        </w:rPr>
      </w:pPr>
    </w:p>
    <w:p w14:paraId="356CAC7C" w14:textId="400D93F0" w:rsidR="0024637A" w:rsidRPr="008A5F3B" w:rsidRDefault="0024637A" w:rsidP="007F23EE">
      <w:pPr>
        <w:keepLines/>
        <w:ind w:right="567"/>
        <w:rPr>
          <w:rFonts w:ascii="Times New Roman" w:hAnsi="Times New Roman"/>
        </w:rPr>
      </w:pPr>
      <w:r w:rsidRPr="008A5F3B">
        <w:rPr>
          <w:rFonts w:ascii="Times New Roman" w:hAnsi="Times New Roman"/>
        </w:rPr>
        <w:t xml:space="preserve">Les exigences relatives à la soumission des </w:t>
      </w:r>
      <w:proofErr w:type="spellStart"/>
      <w:r w:rsidR="00485803" w:rsidRPr="008A5F3B">
        <w:rPr>
          <w:rFonts w:ascii="Times New Roman" w:hAnsi="Times New Roman"/>
        </w:rPr>
        <w:t>PSURs</w:t>
      </w:r>
      <w:proofErr w:type="spellEnd"/>
      <w:r w:rsidRPr="008A5F3B">
        <w:rPr>
          <w:rFonts w:ascii="Times New Roman" w:hAnsi="Times New Roman"/>
        </w:rPr>
        <w:t xml:space="preserve"> pour ce médicament sont définies dans la liste des dates de référence pour l’Union (liste EURD) prévue à l’article 107 quater, paragraphe 7, de la directive 2001/83/CE et ses actualisations publiées sur le portail web européen des médicaments.</w:t>
      </w:r>
    </w:p>
    <w:p w14:paraId="2521EEB6" w14:textId="77777777" w:rsidR="00384046" w:rsidRPr="008A5F3B" w:rsidRDefault="00384046" w:rsidP="007F23EE">
      <w:pPr>
        <w:suppressAutoHyphens/>
        <w:rPr>
          <w:rFonts w:ascii="Times New Roman" w:hAnsi="Times New Roman"/>
          <w:noProof/>
          <w:color w:val="000000"/>
          <w:szCs w:val="22"/>
          <w:u w:val="single"/>
        </w:rPr>
      </w:pPr>
    </w:p>
    <w:p w14:paraId="21CF718B" w14:textId="77777777" w:rsidR="007D642D" w:rsidRPr="008A5F3B" w:rsidRDefault="007D642D" w:rsidP="007F23EE">
      <w:pPr>
        <w:ind w:right="-1"/>
        <w:rPr>
          <w:rFonts w:ascii="Times New Roman" w:hAnsi="Times New Roman"/>
          <w:color w:val="000000"/>
          <w:szCs w:val="22"/>
        </w:rPr>
      </w:pPr>
    </w:p>
    <w:p w14:paraId="2E43A888" w14:textId="63F12A2A" w:rsidR="007D642D" w:rsidRPr="008A5F3B" w:rsidRDefault="00BA3F1A" w:rsidP="007F23EE">
      <w:pPr>
        <w:keepNext/>
        <w:tabs>
          <w:tab w:val="left" w:pos="567"/>
        </w:tabs>
        <w:ind w:left="567" w:right="567" w:hanging="567"/>
        <w:outlineLvl w:val="0"/>
        <w:rPr>
          <w:rFonts w:ascii="Times New Roman" w:hAnsi="Times New Roman"/>
          <w:noProof/>
          <w:color w:val="000000"/>
        </w:rPr>
      </w:pPr>
      <w:r w:rsidRPr="008A5F3B">
        <w:rPr>
          <w:rFonts w:ascii="Times New Roman" w:hAnsi="Times New Roman"/>
          <w:b/>
          <w:noProof/>
          <w:szCs w:val="24"/>
          <w:lang w:val="fr-BE"/>
        </w:rPr>
        <w:t>D.</w:t>
      </w:r>
      <w:r w:rsidRPr="008A5F3B">
        <w:rPr>
          <w:rFonts w:ascii="Times New Roman" w:hAnsi="Times New Roman"/>
          <w:szCs w:val="24"/>
          <w:lang w:val="fr-BE"/>
        </w:rPr>
        <w:tab/>
      </w:r>
      <w:r w:rsidR="007D642D" w:rsidRPr="008A5F3B">
        <w:rPr>
          <w:rFonts w:ascii="Times New Roman" w:hAnsi="Times New Roman"/>
          <w:b/>
          <w:noProof/>
          <w:color w:val="000000"/>
        </w:rPr>
        <w:t xml:space="preserve">CONDITIONS OU RESTRICTIONS </w:t>
      </w:r>
      <w:r w:rsidR="00935D26" w:rsidRPr="008A5F3B">
        <w:rPr>
          <w:rFonts w:ascii="Times New Roman" w:hAnsi="Times New Roman"/>
          <w:b/>
          <w:noProof/>
          <w:color w:val="000000"/>
        </w:rPr>
        <w:t xml:space="preserve">EN VUE D’UNE </w:t>
      </w:r>
      <w:r w:rsidR="007D642D" w:rsidRPr="008A5F3B">
        <w:rPr>
          <w:rFonts w:ascii="Times New Roman" w:hAnsi="Times New Roman"/>
          <w:b/>
          <w:noProof/>
          <w:color w:val="000000"/>
        </w:rPr>
        <w:t>UTILISATION SÛRE ET EFFICACE DU M</w:t>
      </w:r>
      <w:r w:rsidR="00482AC8" w:rsidRPr="008A5F3B">
        <w:rPr>
          <w:rFonts w:ascii="Times New Roman" w:hAnsi="Times New Roman"/>
          <w:b/>
          <w:color w:val="000000"/>
          <w:szCs w:val="22"/>
        </w:rPr>
        <w:t>É</w:t>
      </w:r>
      <w:r w:rsidR="007D642D" w:rsidRPr="008A5F3B">
        <w:rPr>
          <w:rFonts w:ascii="Times New Roman" w:hAnsi="Times New Roman"/>
          <w:b/>
          <w:noProof/>
          <w:color w:val="000000"/>
        </w:rPr>
        <w:t>DICAMENT</w:t>
      </w:r>
    </w:p>
    <w:p w14:paraId="74A5245F" w14:textId="77777777" w:rsidR="007D642D" w:rsidRPr="008A5F3B" w:rsidRDefault="007D642D" w:rsidP="007F23EE">
      <w:pPr>
        <w:keepNext/>
        <w:ind w:right="567"/>
        <w:rPr>
          <w:rFonts w:ascii="Times New Roman" w:hAnsi="Times New Roman"/>
          <w:noProof/>
          <w:color w:val="000000"/>
        </w:rPr>
      </w:pPr>
    </w:p>
    <w:p w14:paraId="7E714ED6" w14:textId="59151A77" w:rsidR="00185003" w:rsidRPr="008A5F3B" w:rsidRDefault="00185003" w:rsidP="007F23EE">
      <w:pPr>
        <w:keepNext/>
        <w:numPr>
          <w:ilvl w:val="0"/>
          <w:numId w:val="35"/>
        </w:numPr>
        <w:tabs>
          <w:tab w:val="left" w:pos="567"/>
        </w:tabs>
        <w:ind w:hanging="766"/>
        <w:rPr>
          <w:rFonts w:ascii="Times New Roman" w:hAnsi="Times New Roman"/>
          <w:b/>
          <w:szCs w:val="24"/>
          <w:lang w:val="fr-BE"/>
        </w:rPr>
      </w:pPr>
      <w:r w:rsidRPr="008A5F3B">
        <w:rPr>
          <w:rFonts w:ascii="Times New Roman" w:hAnsi="Times New Roman"/>
          <w:b/>
          <w:szCs w:val="24"/>
          <w:lang w:val="fr-BE"/>
        </w:rPr>
        <w:t>Plan de gestion des risques</w:t>
      </w:r>
      <w:r w:rsidRPr="008A5F3B">
        <w:rPr>
          <w:rFonts w:ascii="Times New Roman" w:hAnsi="Times New Roman"/>
          <w:b/>
          <w:noProof/>
          <w:szCs w:val="24"/>
        </w:rPr>
        <w:t xml:space="preserve"> (PGR)</w:t>
      </w:r>
    </w:p>
    <w:p w14:paraId="6AEBEFF8" w14:textId="77777777" w:rsidR="00F11743" w:rsidRPr="008A5F3B" w:rsidRDefault="00F11743" w:rsidP="007F23EE">
      <w:pPr>
        <w:keepNext/>
        <w:ind w:right="567"/>
        <w:rPr>
          <w:rFonts w:ascii="Times New Roman" w:hAnsi="Times New Roman"/>
          <w:lang w:val="fr-BE"/>
        </w:rPr>
      </w:pPr>
    </w:p>
    <w:p w14:paraId="5BEA7189" w14:textId="64494BC0" w:rsidR="00C64C50" w:rsidRPr="008A5F3B" w:rsidRDefault="00C64C50" w:rsidP="007F23EE">
      <w:pPr>
        <w:ind w:right="567"/>
        <w:rPr>
          <w:rFonts w:ascii="Times New Roman" w:hAnsi="Times New Roman"/>
        </w:rPr>
      </w:pPr>
      <w:r w:rsidRPr="008A5F3B">
        <w:rPr>
          <w:rFonts w:ascii="Times New Roman" w:hAnsi="Times New Roman"/>
        </w:rP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4C12701B" w14:textId="77777777" w:rsidR="00C64C50" w:rsidRPr="008A5F3B" w:rsidRDefault="00C64C50" w:rsidP="007F23EE">
      <w:pPr>
        <w:ind w:right="-1"/>
        <w:rPr>
          <w:rFonts w:ascii="Times New Roman" w:hAnsi="Times New Roman"/>
        </w:rPr>
      </w:pPr>
    </w:p>
    <w:p w14:paraId="7A63A5C1" w14:textId="77777777" w:rsidR="00C64C50" w:rsidRPr="008A5F3B" w:rsidRDefault="00C64C50" w:rsidP="007F23EE">
      <w:pPr>
        <w:keepNext/>
        <w:rPr>
          <w:rFonts w:ascii="Times New Roman" w:hAnsi="Times New Roman"/>
        </w:rPr>
      </w:pPr>
      <w:r w:rsidRPr="008A5F3B">
        <w:rPr>
          <w:rFonts w:ascii="Times New Roman" w:hAnsi="Times New Roman"/>
        </w:rPr>
        <w:lastRenderedPageBreak/>
        <w:t xml:space="preserve">De plus, un PGR actualisé doit être </w:t>
      </w:r>
      <w:proofErr w:type="gramStart"/>
      <w:r w:rsidRPr="008A5F3B">
        <w:rPr>
          <w:rFonts w:ascii="Times New Roman" w:hAnsi="Times New Roman"/>
        </w:rPr>
        <w:t>soumis:</w:t>
      </w:r>
      <w:proofErr w:type="gramEnd"/>
    </w:p>
    <w:p w14:paraId="5BDAD72C" w14:textId="77777777" w:rsidR="00C64C50" w:rsidRPr="008A5F3B" w:rsidRDefault="00C64C50" w:rsidP="007F23EE">
      <w:pPr>
        <w:keepNext/>
        <w:numPr>
          <w:ilvl w:val="0"/>
          <w:numId w:val="15"/>
        </w:numPr>
        <w:tabs>
          <w:tab w:val="clear" w:pos="720"/>
        </w:tabs>
        <w:ind w:left="567" w:hanging="567"/>
        <w:rPr>
          <w:rFonts w:ascii="Times New Roman" w:hAnsi="Times New Roman"/>
        </w:rPr>
      </w:pPr>
      <w:proofErr w:type="gramStart"/>
      <w:r w:rsidRPr="008A5F3B">
        <w:rPr>
          <w:rFonts w:ascii="Times New Roman" w:hAnsi="Times New Roman"/>
        </w:rPr>
        <w:t>à</w:t>
      </w:r>
      <w:proofErr w:type="gramEnd"/>
      <w:r w:rsidRPr="008A5F3B">
        <w:rPr>
          <w:rFonts w:ascii="Times New Roman" w:hAnsi="Times New Roman"/>
        </w:rPr>
        <w:t xml:space="preserve"> la demande de l’Agence européenne des </w:t>
      </w:r>
      <w:proofErr w:type="gramStart"/>
      <w:r w:rsidRPr="008A5F3B">
        <w:rPr>
          <w:rFonts w:ascii="Times New Roman" w:hAnsi="Times New Roman"/>
        </w:rPr>
        <w:t>médicaments;</w:t>
      </w:r>
      <w:proofErr w:type="gramEnd"/>
    </w:p>
    <w:p w14:paraId="757D88C6" w14:textId="77777777" w:rsidR="00C64C50" w:rsidRPr="008A5F3B" w:rsidRDefault="00C64C50" w:rsidP="007F23EE">
      <w:pPr>
        <w:keepLines/>
        <w:numPr>
          <w:ilvl w:val="0"/>
          <w:numId w:val="15"/>
        </w:numPr>
        <w:ind w:left="567" w:hanging="567"/>
        <w:rPr>
          <w:rFonts w:ascii="Times New Roman" w:hAnsi="Times New Roman"/>
        </w:rPr>
      </w:pPr>
      <w:proofErr w:type="gramStart"/>
      <w:r w:rsidRPr="008A5F3B">
        <w:rPr>
          <w:rFonts w:ascii="Times New Roman" w:hAnsi="Times New Roman"/>
        </w:rPr>
        <w:t>dès</w:t>
      </w:r>
      <w:proofErr w:type="gramEnd"/>
      <w:r w:rsidRPr="008A5F3B">
        <w:rPr>
          <w:rFonts w:ascii="Times New Roman" w:hAnsi="Times New Roman"/>
        </w:rPr>
        <w:t xml:space="preserve">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6BF5134E" w14:textId="77777777" w:rsidR="005C16F8" w:rsidRPr="008A5F3B" w:rsidRDefault="005C16F8" w:rsidP="007F23EE">
      <w:pPr>
        <w:ind w:right="567"/>
        <w:rPr>
          <w:rFonts w:ascii="Times New Roman" w:hAnsi="Times New Roman"/>
          <w:noProof/>
          <w:color w:val="000000"/>
        </w:rPr>
      </w:pPr>
    </w:p>
    <w:p w14:paraId="1BAB21D7" w14:textId="77777777" w:rsidR="007D642D" w:rsidRPr="008A5F3B" w:rsidRDefault="007D642D" w:rsidP="007F23EE">
      <w:pPr>
        <w:suppressAutoHyphens/>
        <w:jc w:val="both"/>
        <w:rPr>
          <w:rFonts w:ascii="Times New Roman" w:hAnsi="Times New Roman"/>
          <w:color w:val="000000"/>
          <w:szCs w:val="22"/>
        </w:rPr>
      </w:pPr>
      <w:r w:rsidRPr="008A5F3B">
        <w:rPr>
          <w:rFonts w:ascii="Times New Roman" w:hAnsi="Times New Roman"/>
          <w:color w:val="000000"/>
          <w:szCs w:val="22"/>
        </w:rPr>
        <w:br w:type="page"/>
      </w:r>
    </w:p>
    <w:p w14:paraId="0F3DF8B2" w14:textId="77777777" w:rsidR="007D642D" w:rsidRPr="008A5F3B" w:rsidRDefault="007D642D" w:rsidP="007F23EE">
      <w:pPr>
        <w:suppressAutoHyphens/>
        <w:jc w:val="both"/>
        <w:rPr>
          <w:rFonts w:ascii="Times New Roman" w:hAnsi="Times New Roman"/>
          <w:color w:val="000000"/>
          <w:szCs w:val="22"/>
        </w:rPr>
      </w:pPr>
    </w:p>
    <w:p w14:paraId="577A71FF" w14:textId="77777777" w:rsidR="007D642D" w:rsidRPr="008A5F3B" w:rsidRDefault="007D642D" w:rsidP="007F23EE">
      <w:pPr>
        <w:suppressAutoHyphens/>
        <w:jc w:val="both"/>
        <w:rPr>
          <w:rFonts w:ascii="Times New Roman" w:hAnsi="Times New Roman"/>
          <w:color w:val="000000"/>
          <w:szCs w:val="22"/>
        </w:rPr>
      </w:pPr>
    </w:p>
    <w:p w14:paraId="0F74195C" w14:textId="77777777" w:rsidR="007D642D" w:rsidRPr="008A5F3B" w:rsidRDefault="007D642D" w:rsidP="007F23EE">
      <w:pPr>
        <w:suppressAutoHyphens/>
        <w:jc w:val="both"/>
        <w:rPr>
          <w:rFonts w:ascii="Times New Roman" w:hAnsi="Times New Roman"/>
          <w:color w:val="000000"/>
          <w:szCs w:val="22"/>
        </w:rPr>
      </w:pPr>
    </w:p>
    <w:p w14:paraId="73FD8A1A" w14:textId="77777777" w:rsidR="007D642D" w:rsidRPr="008A5F3B" w:rsidRDefault="007D642D" w:rsidP="007F23EE">
      <w:pPr>
        <w:suppressAutoHyphens/>
        <w:jc w:val="both"/>
        <w:rPr>
          <w:rFonts w:ascii="Times New Roman" w:hAnsi="Times New Roman"/>
          <w:color w:val="000000"/>
          <w:szCs w:val="22"/>
        </w:rPr>
      </w:pPr>
    </w:p>
    <w:p w14:paraId="60A803AD" w14:textId="77777777" w:rsidR="007D642D" w:rsidRPr="008A5F3B" w:rsidRDefault="007D642D" w:rsidP="007F23EE">
      <w:pPr>
        <w:suppressAutoHyphens/>
        <w:jc w:val="both"/>
        <w:rPr>
          <w:rFonts w:ascii="Times New Roman" w:hAnsi="Times New Roman"/>
          <w:color w:val="000000"/>
          <w:szCs w:val="22"/>
        </w:rPr>
      </w:pPr>
    </w:p>
    <w:p w14:paraId="28A1E3FB" w14:textId="77777777" w:rsidR="007D642D" w:rsidRPr="008A5F3B" w:rsidRDefault="007D642D" w:rsidP="007F23EE">
      <w:pPr>
        <w:suppressAutoHyphens/>
        <w:jc w:val="both"/>
        <w:rPr>
          <w:rFonts w:ascii="Times New Roman" w:hAnsi="Times New Roman"/>
          <w:color w:val="000000"/>
          <w:szCs w:val="22"/>
        </w:rPr>
      </w:pPr>
    </w:p>
    <w:p w14:paraId="65B3EFBE" w14:textId="77777777" w:rsidR="007D642D" w:rsidRPr="008A5F3B" w:rsidRDefault="007D642D" w:rsidP="007F23EE">
      <w:pPr>
        <w:suppressAutoHyphens/>
        <w:jc w:val="both"/>
        <w:rPr>
          <w:rFonts w:ascii="Times New Roman" w:hAnsi="Times New Roman"/>
          <w:color w:val="000000"/>
          <w:szCs w:val="22"/>
        </w:rPr>
      </w:pPr>
    </w:p>
    <w:p w14:paraId="43014AE1" w14:textId="77777777" w:rsidR="007D642D" w:rsidRPr="008A5F3B" w:rsidRDefault="007D642D" w:rsidP="007F23EE">
      <w:pPr>
        <w:suppressAutoHyphens/>
        <w:jc w:val="both"/>
        <w:rPr>
          <w:rFonts w:ascii="Times New Roman" w:hAnsi="Times New Roman"/>
          <w:color w:val="000000"/>
          <w:szCs w:val="22"/>
        </w:rPr>
      </w:pPr>
    </w:p>
    <w:p w14:paraId="23A26112" w14:textId="77777777" w:rsidR="007D642D" w:rsidRPr="008A5F3B" w:rsidRDefault="007D642D" w:rsidP="007F23EE">
      <w:pPr>
        <w:suppressAutoHyphens/>
        <w:jc w:val="both"/>
        <w:rPr>
          <w:rFonts w:ascii="Times New Roman" w:hAnsi="Times New Roman"/>
          <w:color w:val="000000"/>
          <w:szCs w:val="22"/>
        </w:rPr>
      </w:pPr>
    </w:p>
    <w:p w14:paraId="2772C662" w14:textId="77777777" w:rsidR="007D642D" w:rsidRPr="008A5F3B" w:rsidRDefault="007D642D" w:rsidP="007F23EE">
      <w:pPr>
        <w:suppressAutoHyphens/>
        <w:jc w:val="both"/>
        <w:rPr>
          <w:rFonts w:ascii="Times New Roman" w:hAnsi="Times New Roman"/>
          <w:color w:val="000000"/>
          <w:szCs w:val="22"/>
        </w:rPr>
      </w:pPr>
    </w:p>
    <w:p w14:paraId="79316514" w14:textId="77777777" w:rsidR="007D642D" w:rsidRPr="008A5F3B" w:rsidRDefault="007D642D" w:rsidP="007F23EE">
      <w:pPr>
        <w:suppressAutoHyphens/>
        <w:jc w:val="both"/>
        <w:rPr>
          <w:rFonts w:ascii="Times New Roman" w:hAnsi="Times New Roman"/>
          <w:color w:val="000000"/>
          <w:szCs w:val="22"/>
        </w:rPr>
      </w:pPr>
    </w:p>
    <w:p w14:paraId="76FFBB68" w14:textId="77777777" w:rsidR="007D642D" w:rsidRPr="008A5F3B" w:rsidRDefault="007D642D" w:rsidP="007F23EE">
      <w:pPr>
        <w:suppressAutoHyphens/>
        <w:jc w:val="both"/>
        <w:rPr>
          <w:rFonts w:ascii="Times New Roman" w:hAnsi="Times New Roman"/>
          <w:color w:val="000000"/>
          <w:szCs w:val="22"/>
        </w:rPr>
      </w:pPr>
    </w:p>
    <w:p w14:paraId="4BC56A75" w14:textId="77777777" w:rsidR="007D642D" w:rsidRPr="008A5F3B" w:rsidRDefault="007D642D" w:rsidP="007F23EE">
      <w:pPr>
        <w:suppressAutoHyphens/>
        <w:jc w:val="both"/>
        <w:rPr>
          <w:rFonts w:ascii="Times New Roman" w:hAnsi="Times New Roman"/>
          <w:color w:val="000000"/>
          <w:szCs w:val="22"/>
        </w:rPr>
      </w:pPr>
    </w:p>
    <w:p w14:paraId="6F91F713" w14:textId="77777777" w:rsidR="007D642D" w:rsidRPr="008A5F3B" w:rsidRDefault="007D642D" w:rsidP="007F23EE">
      <w:pPr>
        <w:suppressAutoHyphens/>
        <w:jc w:val="both"/>
        <w:rPr>
          <w:rFonts w:ascii="Times New Roman" w:hAnsi="Times New Roman"/>
          <w:color w:val="000000"/>
          <w:szCs w:val="22"/>
        </w:rPr>
      </w:pPr>
    </w:p>
    <w:p w14:paraId="4DC0754F" w14:textId="77777777" w:rsidR="007D642D" w:rsidRPr="008A5F3B" w:rsidRDefault="007D642D" w:rsidP="007F23EE">
      <w:pPr>
        <w:suppressAutoHyphens/>
        <w:jc w:val="both"/>
        <w:rPr>
          <w:rFonts w:ascii="Times New Roman" w:hAnsi="Times New Roman"/>
          <w:color w:val="000000"/>
          <w:szCs w:val="22"/>
        </w:rPr>
      </w:pPr>
    </w:p>
    <w:p w14:paraId="6B6136A2" w14:textId="77777777" w:rsidR="007D642D" w:rsidRPr="008A5F3B" w:rsidRDefault="007D642D" w:rsidP="007F23EE">
      <w:pPr>
        <w:suppressAutoHyphens/>
        <w:jc w:val="both"/>
        <w:rPr>
          <w:rFonts w:ascii="Times New Roman" w:hAnsi="Times New Roman"/>
          <w:color w:val="000000"/>
          <w:szCs w:val="22"/>
        </w:rPr>
      </w:pPr>
    </w:p>
    <w:p w14:paraId="0B79C404" w14:textId="77777777" w:rsidR="007D642D" w:rsidRPr="008A5F3B" w:rsidRDefault="007D642D" w:rsidP="007F23EE">
      <w:pPr>
        <w:suppressAutoHyphens/>
        <w:jc w:val="both"/>
        <w:rPr>
          <w:rFonts w:ascii="Times New Roman" w:hAnsi="Times New Roman"/>
          <w:color w:val="000000"/>
          <w:szCs w:val="22"/>
        </w:rPr>
      </w:pPr>
    </w:p>
    <w:p w14:paraId="596174F0" w14:textId="77777777" w:rsidR="007D642D" w:rsidRPr="008A5F3B" w:rsidRDefault="007D642D" w:rsidP="007F23EE">
      <w:pPr>
        <w:pStyle w:val="EndnoteText"/>
        <w:tabs>
          <w:tab w:val="clear" w:pos="567"/>
        </w:tabs>
        <w:suppressAutoHyphens/>
        <w:jc w:val="both"/>
        <w:rPr>
          <w:color w:val="000000"/>
          <w:szCs w:val="22"/>
          <w:lang w:val="fr-FR"/>
        </w:rPr>
      </w:pPr>
    </w:p>
    <w:p w14:paraId="0AD010D4" w14:textId="77777777" w:rsidR="007D642D" w:rsidRPr="008A5F3B" w:rsidRDefault="007D642D" w:rsidP="007F23EE">
      <w:pPr>
        <w:suppressAutoHyphens/>
        <w:jc w:val="both"/>
        <w:rPr>
          <w:rFonts w:ascii="Times New Roman" w:hAnsi="Times New Roman"/>
          <w:color w:val="000000"/>
          <w:szCs w:val="22"/>
        </w:rPr>
      </w:pPr>
    </w:p>
    <w:p w14:paraId="6B224F3C" w14:textId="77777777" w:rsidR="007D642D" w:rsidRPr="008A5F3B" w:rsidRDefault="007D642D" w:rsidP="007F23EE">
      <w:pPr>
        <w:suppressAutoHyphens/>
        <w:jc w:val="both"/>
        <w:rPr>
          <w:rFonts w:ascii="Times New Roman" w:hAnsi="Times New Roman"/>
          <w:color w:val="000000"/>
          <w:szCs w:val="22"/>
        </w:rPr>
      </w:pPr>
    </w:p>
    <w:p w14:paraId="1E468FCF" w14:textId="77777777" w:rsidR="007D642D" w:rsidRPr="008A5F3B" w:rsidRDefault="007D642D" w:rsidP="007F23EE">
      <w:pPr>
        <w:suppressAutoHyphens/>
        <w:jc w:val="both"/>
        <w:rPr>
          <w:rFonts w:ascii="Times New Roman" w:hAnsi="Times New Roman"/>
          <w:color w:val="000000"/>
          <w:szCs w:val="22"/>
        </w:rPr>
      </w:pPr>
    </w:p>
    <w:p w14:paraId="1407B7F7" w14:textId="77777777" w:rsidR="007D642D" w:rsidRPr="008A5F3B" w:rsidRDefault="007D642D" w:rsidP="007F23EE">
      <w:pPr>
        <w:suppressAutoHyphens/>
        <w:jc w:val="both"/>
        <w:rPr>
          <w:rFonts w:ascii="Times New Roman" w:hAnsi="Times New Roman"/>
          <w:color w:val="000000"/>
          <w:szCs w:val="22"/>
        </w:rPr>
      </w:pPr>
    </w:p>
    <w:p w14:paraId="07294850" w14:textId="77777777" w:rsidR="00C67CDE" w:rsidRPr="008A5F3B" w:rsidRDefault="00C67CDE" w:rsidP="007F23EE">
      <w:pPr>
        <w:suppressAutoHyphens/>
        <w:jc w:val="both"/>
        <w:rPr>
          <w:rFonts w:ascii="Times New Roman" w:hAnsi="Times New Roman"/>
          <w:color w:val="000000"/>
          <w:szCs w:val="22"/>
        </w:rPr>
      </w:pPr>
    </w:p>
    <w:p w14:paraId="55C7E6C6" w14:textId="77777777" w:rsidR="007D642D" w:rsidRPr="00E0122B" w:rsidRDefault="007D642D" w:rsidP="007F23EE">
      <w:pPr>
        <w:jc w:val="center"/>
        <w:rPr>
          <w:rFonts w:ascii="Times New Roman" w:hAnsi="Times New Roman"/>
          <w:b/>
          <w:bCs/>
        </w:rPr>
      </w:pPr>
      <w:r w:rsidRPr="00E0122B">
        <w:rPr>
          <w:rFonts w:ascii="Times New Roman" w:hAnsi="Times New Roman"/>
          <w:b/>
          <w:bCs/>
        </w:rPr>
        <w:t xml:space="preserve">ANNEXE </w:t>
      </w:r>
      <w:smartTag w:uri="urn:schemas-microsoft-com:office:smarttags" w:element="stockticker">
        <w:r w:rsidRPr="00E0122B">
          <w:rPr>
            <w:rFonts w:ascii="Times New Roman" w:hAnsi="Times New Roman"/>
            <w:b/>
            <w:bCs/>
          </w:rPr>
          <w:t>III</w:t>
        </w:r>
      </w:smartTag>
    </w:p>
    <w:p w14:paraId="70ED1F3B" w14:textId="77777777" w:rsidR="007D642D" w:rsidRPr="008A5F3B" w:rsidRDefault="007D642D" w:rsidP="007F23EE">
      <w:pPr>
        <w:suppressAutoHyphens/>
        <w:jc w:val="center"/>
        <w:rPr>
          <w:rFonts w:ascii="Times New Roman" w:hAnsi="Times New Roman"/>
          <w:color w:val="000000"/>
          <w:szCs w:val="22"/>
        </w:rPr>
      </w:pPr>
    </w:p>
    <w:p w14:paraId="53D40A73" w14:textId="77777777" w:rsidR="007D642D" w:rsidRPr="008A5F3B" w:rsidRDefault="00482AC8" w:rsidP="007F23EE">
      <w:pPr>
        <w:suppressAutoHyphens/>
        <w:jc w:val="center"/>
        <w:rPr>
          <w:rFonts w:ascii="Times New Roman" w:hAnsi="Times New Roman"/>
          <w:b/>
          <w:color w:val="000000"/>
          <w:szCs w:val="22"/>
        </w:rPr>
      </w:pPr>
      <w:r w:rsidRPr="008A5F3B">
        <w:rPr>
          <w:rFonts w:ascii="Times New Roman" w:hAnsi="Times New Roman"/>
          <w:b/>
          <w:color w:val="000000"/>
          <w:szCs w:val="22"/>
        </w:rPr>
        <w:t>É</w:t>
      </w:r>
      <w:r w:rsidR="007D642D" w:rsidRPr="008A5F3B">
        <w:rPr>
          <w:rFonts w:ascii="Times New Roman" w:hAnsi="Times New Roman"/>
          <w:b/>
          <w:color w:val="000000"/>
          <w:szCs w:val="22"/>
        </w:rPr>
        <w:t>TIQUETAGE ET NOTICE</w:t>
      </w:r>
    </w:p>
    <w:p w14:paraId="08A1CCE6" w14:textId="77777777" w:rsidR="007D642D" w:rsidRPr="008A5F3B" w:rsidRDefault="007D642D" w:rsidP="007F23EE">
      <w:pPr>
        <w:suppressAutoHyphens/>
        <w:rPr>
          <w:rFonts w:ascii="Times New Roman" w:hAnsi="Times New Roman"/>
          <w:color w:val="000000"/>
          <w:szCs w:val="22"/>
        </w:rPr>
      </w:pPr>
      <w:r w:rsidRPr="008A5F3B">
        <w:rPr>
          <w:rFonts w:ascii="Times New Roman" w:hAnsi="Times New Roman"/>
          <w:color w:val="000000"/>
          <w:szCs w:val="22"/>
        </w:rPr>
        <w:br w:type="page"/>
      </w:r>
    </w:p>
    <w:p w14:paraId="423E5558" w14:textId="77777777" w:rsidR="007D642D" w:rsidRPr="008A5F3B" w:rsidRDefault="007D642D" w:rsidP="007F23EE">
      <w:pPr>
        <w:suppressAutoHyphens/>
        <w:rPr>
          <w:rFonts w:ascii="Times New Roman" w:hAnsi="Times New Roman"/>
          <w:color w:val="000000"/>
          <w:szCs w:val="22"/>
        </w:rPr>
      </w:pPr>
    </w:p>
    <w:p w14:paraId="6C5CD6E0" w14:textId="77777777" w:rsidR="007D642D" w:rsidRPr="008A5F3B" w:rsidRDefault="007D642D" w:rsidP="007F23EE">
      <w:pPr>
        <w:suppressAutoHyphens/>
        <w:rPr>
          <w:rFonts w:ascii="Times New Roman" w:hAnsi="Times New Roman"/>
          <w:color w:val="000000"/>
          <w:szCs w:val="22"/>
        </w:rPr>
      </w:pPr>
    </w:p>
    <w:p w14:paraId="40AC3B46" w14:textId="77777777" w:rsidR="007D642D" w:rsidRPr="008A5F3B" w:rsidRDefault="007D642D" w:rsidP="007F23EE">
      <w:pPr>
        <w:suppressAutoHyphens/>
        <w:rPr>
          <w:rFonts w:ascii="Times New Roman" w:hAnsi="Times New Roman"/>
          <w:color w:val="000000"/>
          <w:szCs w:val="22"/>
        </w:rPr>
      </w:pPr>
    </w:p>
    <w:p w14:paraId="2A6AB57D" w14:textId="77777777" w:rsidR="007D642D" w:rsidRPr="008A5F3B" w:rsidRDefault="007D642D" w:rsidP="007F23EE">
      <w:pPr>
        <w:suppressAutoHyphens/>
        <w:rPr>
          <w:rFonts w:ascii="Times New Roman" w:hAnsi="Times New Roman"/>
          <w:color w:val="000000"/>
          <w:szCs w:val="22"/>
        </w:rPr>
      </w:pPr>
    </w:p>
    <w:p w14:paraId="5AC133B5" w14:textId="77777777" w:rsidR="007D642D" w:rsidRPr="008A5F3B" w:rsidRDefault="007D642D" w:rsidP="007F23EE">
      <w:pPr>
        <w:suppressAutoHyphens/>
        <w:rPr>
          <w:rFonts w:ascii="Times New Roman" w:hAnsi="Times New Roman"/>
          <w:color w:val="000000"/>
          <w:szCs w:val="22"/>
        </w:rPr>
      </w:pPr>
    </w:p>
    <w:p w14:paraId="40E9828B" w14:textId="77777777" w:rsidR="007D642D" w:rsidRPr="008A5F3B" w:rsidRDefault="007D642D" w:rsidP="007F23EE">
      <w:pPr>
        <w:suppressAutoHyphens/>
        <w:rPr>
          <w:rFonts w:ascii="Times New Roman" w:hAnsi="Times New Roman"/>
          <w:color w:val="000000"/>
          <w:szCs w:val="22"/>
        </w:rPr>
      </w:pPr>
    </w:p>
    <w:p w14:paraId="5941D587" w14:textId="77777777" w:rsidR="007D642D" w:rsidRPr="008A5F3B" w:rsidRDefault="007D642D" w:rsidP="007F23EE">
      <w:pPr>
        <w:suppressAutoHyphens/>
        <w:rPr>
          <w:rFonts w:ascii="Times New Roman" w:hAnsi="Times New Roman"/>
          <w:color w:val="000000"/>
          <w:szCs w:val="22"/>
        </w:rPr>
      </w:pPr>
    </w:p>
    <w:p w14:paraId="4DA97D60" w14:textId="77777777" w:rsidR="007D642D" w:rsidRPr="008A5F3B" w:rsidRDefault="007D642D" w:rsidP="007F23EE">
      <w:pPr>
        <w:suppressAutoHyphens/>
        <w:rPr>
          <w:rFonts w:ascii="Times New Roman" w:hAnsi="Times New Roman"/>
          <w:color w:val="000000"/>
          <w:szCs w:val="22"/>
        </w:rPr>
      </w:pPr>
    </w:p>
    <w:p w14:paraId="7A3BA3D6" w14:textId="77777777" w:rsidR="007D642D" w:rsidRPr="008A5F3B" w:rsidRDefault="007D642D" w:rsidP="007F23EE">
      <w:pPr>
        <w:suppressAutoHyphens/>
        <w:rPr>
          <w:rFonts w:ascii="Times New Roman" w:hAnsi="Times New Roman"/>
          <w:color w:val="000000"/>
          <w:szCs w:val="22"/>
        </w:rPr>
      </w:pPr>
    </w:p>
    <w:p w14:paraId="5D095262" w14:textId="77777777" w:rsidR="007D642D" w:rsidRPr="008A5F3B" w:rsidRDefault="007D642D" w:rsidP="007F23EE">
      <w:pPr>
        <w:suppressAutoHyphens/>
        <w:rPr>
          <w:rFonts w:ascii="Times New Roman" w:hAnsi="Times New Roman"/>
          <w:color w:val="000000"/>
          <w:szCs w:val="22"/>
        </w:rPr>
      </w:pPr>
    </w:p>
    <w:p w14:paraId="49AA6D5E" w14:textId="77777777" w:rsidR="007D642D" w:rsidRPr="008A5F3B" w:rsidRDefault="007D642D" w:rsidP="007F23EE">
      <w:pPr>
        <w:suppressAutoHyphens/>
        <w:rPr>
          <w:rFonts w:ascii="Times New Roman" w:hAnsi="Times New Roman"/>
          <w:color w:val="000000"/>
          <w:szCs w:val="22"/>
        </w:rPr>
      </w:pPr>
    </w:p>
    <w:p w14:paraId="2A327AFA" w14:textId="77777777" w:rsidR="007D642D" w:rsidRPr="008A5F3B" w:rsidRDefault="007D642D" w:rsidP="007F23EE">
      <w:pPr>
        <w:suppressAutoHyphens/>
        <w:rPr>
          <w:rFonts w:ascii="Times New Roman" w:hAnsi="Times New Roman"/>
          <w:color w:val="000000"/>
          <w:szCs w:val="22"/>
        </w:rPr>
      </w:pPr>
    </w:p>
    <w:p w14:paraId="6DA49BC3" w14:textId="77777777" w:rsidR="007D642D" w:rsidRPr="008A5F3B" w:rsidRDefault="007D642D" w:rsidP="007F23EE">
      <w:pPr>
        <w:suppressAutoHyphens/>
        <w:rPr>
          <w:rFonts w:ascii="Times New Roman" w:hAnsi="Times New Roman"/>
          <w:color w:val="000000"/>
          <w:szCs w:val="22"/>
        </w:rPr>
      </w:pPr>
    </w:p>
    <w:p w14:paraId="5EF88AF6" w14:textId="77777777" w:rsidR="007D642D" w:rsidRPr="008A5F3B" w:rsidRDefault="007D642D" w:rsidP="007F23EE">
      <w:pPr>
        <w:suppressAutoHyphens/>
        <w:rPr>
          <w:rFonts w:ascii="Times New Roman" w:hAnsi="Times New Roman"/>
          <w:color w:val="000000"/>
          <w:szCs w:val="22"/>
        </w:rPr>
      </w:pPr>
    </w:p>
    <w:p w14:paraId="7FF7FAC5" w14:textId="77777777" w:rsidR="007D642D" w:rsidRPr="008A5F3B" w:rsidRDefault="007D642D" w:rsidP="007F23EE">
      <w:pPr>
        <w:suppressAutoHyphens/>
        <w:rPr>
          <w:rFonts w:ascii="Times New Roman" w:hAnsi="Times New Roman"/>
          <w:color w:val="000000"/>
          <w:szCs w:val="22"/>
        </w:rPr>
      </w:pPr>
    </w:p>
    <w:p w14:paraId="675C5DFC" w14:textId="77777777" w:rsidR="007D642D" w:rsidRPr="008A5F3B" w:rsidRDefault="007D642D" w:rsidP="007F23EE">
      <w:pPr>
        <w:suppressAutoHyphens/>
        <w:rPr>
          <w:rFonts w:ascii="Times New Roman" w:hAnsi="Times New Roman"/>
          <w:color w:val="000000"/>
          <w:szCs w:val="22"/>
        </w:rPr>
      </w:pPr>
    </w:p>
    <w:p w14:paraId="5D8E87A7" w14:textId="77777777" w:rsidR="007D642D" w:rsidRPr="008A5F3B" w:rsidRDefault="007D642D" w:rsidP="007F23EE">
      <w:pPr>
        <w:suppressAutoHyphens/>
        <w:rPr>
          <w:rFonts w:ascii="Times New Roman" w:hAnsi="Times New Roman"/>
          <w:color w:val="000000"/>
          <w:szCs w:val="22"/>
        </w:rPr>
      </w:pPr>
    </w:p>
    <w:p w14:paraId="3FF6FC37" w14:textId="77777777" w:rsidR="007D642D" w:rsidRPr="008A5F3B" w:rsidRDefault="007D642D" w:rsidP="007F23EE">
      <w:pPr>
        <w:suppressAutoHyphens/>
        <w:rPr>
          <w:rFonts w:ascii="Times New Roman" w:hAnsi="Times New Roman"/>
          <w:color w:val="000000"/>
          <w:szCs w:val="22"/>
        </w:rPr>
      </w:pPr>
    </w:p>
    <w:p w14:paraId="0136AF10" w14:textId="77777777" w:rsidR="007D642D" w:rsidRPr="008A5F3B" w:rsidRDefault="007D642D" w:rsidP="007F23EE">
      <w:pPr>
        <w:suppressAutoHyphens/>
        <w:rPr>
          <w:rFonts w:ascii="Times New Roman" w:hAnsi="Times New Roman"/>
          <w:color w:val="000000"/>
          <w:szCs w:val="22"/>
        </w:rPr>
      </w:pPr>
    </w:p>
    <w:p w14:paraId="29E6AD90" w14:textId="77777777" w:rsidR="007D642D" w:rsidRPr="008A5F3B" w:rsidRDefault="007D642D" w:rsidP="007F23EE">
      <w:pPr>
        <w:suppressAutoHyphens/>
        <w:rPr>
          <w:rFonts w:ascii="Times New Roman" w:hAnsi="Times New Roman"/>
          <w:color w:val="000000"/>
          <w:szCs w:val="22"/>
        </w:rPr>
      </w:pPr>
    </w:p>
    <w:p w14:paraId="119D425C" w14:textId="77777777" w:rsidR="007D642D" w:rsidRPr="008A5F3B" w:rsidRDefault="007D642D" w:rsidP="007F23EE">
      <w:pPr>
        <w:pStyle w:val="EndnoteText"/>
        <w:tabs>
          <w:tab w:val="clear" w:pos="567"/>
        </w:tabs>
        <w:suppressAutoHyphens/>
        <w:rPr>
          <w:color w:val="000000"/>
          <w:szCs w:val="22"/>
          <w:lang w:val="fr-FR"/>
        </w:rPr>
      </w:pPr>
    </w:p>
    <w:p w14:paraId="5907889E" w14:textId="77777777" w:rsidR="007D642D" w:rsidRPr="008A5F3B" w:rsidRDefault="007D642D" w:rsidP="007F23EE">
      <w:pPr>
        <w:suppressAutoHyphens/>
        <w:rPr>
          <w:rFonts w:ascii="Times New Roman" w:hAnsi="Times New Roman"/>
          <w:color w:val="000000"/>
          <w:szCs w:val="22"/>
        </w:rPr>
      </w:pPr>
    </w:p>
    <w:p w14:paraId="1110F8A5" w14:textId="77777777" w:rsidR="00C67CDE" w:rsidRPr="008A5F3B" w:rsidRDefault="00C67CDE" w:rsidP="007F23EE">
      <w:pPr>
        <w:suppressAutoHyphens/>
        <w:rPr>
          <w:rFonts w:ascii="Times New Roman" w:hAnsi="Times New Roman"/>
          <w:color w:val="000000"/>
          <w:szCs w:val="22"/>
        </w:rPr>
      </w:pPr>
    </w:p>
    <w:p w14:paraId="531F88A3" w14:textId="77777777" w:rsidR="007D642D" w:rsidRPr="00E0122B" w:rsidRDefault="007D642D" w:rsidP="007F23EE">
      <w:pPr>
        <w:jc w:val="center"/>
        <w:outlineLvl w:val="0"/>
        <w:rPr>
          <w:rFonts w:ascii="Times New Roman" w:hAnsi="Times New Roman"/>
          <w:b/>
          <w:bCs/>
        </w:rPr>
      </w:pPr>
      <w:r w:rsidRPr="00E0122B">
        <w:rPr>
          <w:rFonts w:ascii="Times New Roman" w:hAnsi="Times New Roman"/>
          <w:b/>
          <w:bCs/>
        </w:rPr>
        <w:t xml:space="preserve">A. </w:t>
      </w:r>
      <w:r w:rsidR="00482AC8" w:rsidRPr="00E0122B">
        <w:rPr>
          <w:rFonts w:ascii="Times New Roman" w:hAnsi="Times New Roman"/>
          <w:b/>
          <w:bCs/>
        </w:rPr>
        <w:t>É</w:t>
      </w:r>
      <w:r w:rsidRPr="00E0122B">
        <w:rPr>
          <w:rFonts w:ascii="Times New Roman" w:hAnsi="Times New Roman"/>
          <w:b/>
          <w:bCs/>
        </w:rPr>
        <w:t>TIQUETAGE</w:t>
      </w:r>
    </w:p>
    <w:p w14:paraId="7BC9C5FB" w14:textId="77777777" w:rsidR="007D642D" w:rsidRPr="008A5F3B" w:rsidRDefault="007D642D" w:rsidP="007F23EE">
      <w:pPr>
        <w:suppressAutoHyphens/>
        <w:rPr>
          <w:rFonts w:ascii="Times New Roman" w:hAnsi="Times New Roman"/>
          <w:color w:val="000000"/>
          <w:szCs w:val="22"/>
        </w:rPr>
      </w:pPr>
      <w:r w:rsidRPr="008A5F3B">
        <w:rPr>
          <w:rFonts w:ascii="Times New Roman" w:hAnsi="Times New Roman"/>
          <w:b/>
          <w:color w:val="000000"/>
          <w:szCs w:val="22"/>
        </w:rPr>
        <w:br w:type="page"/>
      </w:r>
    </w:p>
    <w:p w14:paraId="274876BD" w14:textId="77777777" w:rsidR="00C67CDE" w:rsidRPr="008A5F3B" w:rsidRDefault="00C67CDE" w:rsidP="007F23EE">
      <w:pPr>
        <w:pStyle w:val="BodyText3"/>
        <w:suppressAutoHyphens w:val="0"/>
        <w:rPr>
          <w:b w:val="0"/>
          <w:color w:val="000000"/>
          <w:szCs w:val="22"/>
        </w:rPr>
      </w:pPr>
    </w:p>
    <w:p w14:paraId="21FFF359" w14:textId="77777777" w:rsidR="007D642D" w:rsidRPr="008A5F3B" w:rsidRDefault="007D642D" w:rsidP="007F23EE">
      <w:pPr>
        <w:pStyle w:val="BodyText3"/>
        <w:pBdr>
          <w:top w:val="single" w:sz="4" w:space="1" w:color="auto"/>
          <w:left w:val="single" w:sz="4" w:space="4" w:color="auto"/>
          <w:bottom w:val="single" w:sz="4" w:space="1" w:color="auto"/>
          <w:right w:val="single" w:sz="4" w:space="4" w:color="auto"/>
        </w:pBdr>
        <w:suppressAutoHyphens w:val="0"/>
        <w:rPr>
          <w:color w:val="000000"/>
          <w:szCs w:val="22"/>
        </w:rPr>
      </w:pPr>
      <w:r w:rsidRPr="008A5F3B">
        <w:rPr>
          <w:color w:val="000000"/>
          <w:szCs w:val="22"/>
        </w:rPr>
        <w:t xml:space="preserve">MENTIONS DEVANT FIGURER </w:t>
      </w:r>
      <w:smartTag w:uri="urn:schemas-microsoft-com:office:smarttags" w:element="stockticker">
        <w:r w:rsidRPr="008A5F3B">
          <w:rPr>
            <w:color w:val="000000"/>
            <w:szCs w:val="22"/>
          </w:rPr>
          <w:t>SUR</w:t>
        </w:r>
      </w:smartTag>
      <w:r w:rsidRPr="008A5F3B">
        <w:rPr>
          <w:color w:val="000000"/>
          <w:szCs w:val="22"/>
        </w:rPr>
        <w:t xml:space="preserve"> L’EMBALLAGE EXT</w:t>
      </w:r>
      <w:r w:rsidR="00786985" w:rsidRPr="008A5F3B">
        <w:rPr>
          <w:color w:val="000000"/>
          <w:szCs w:val="22"/>
        </w:rPr>
        <w:t>É</w:t>
      </w:r>
      <w:r w:rsidRPr="008A5F3B">
        <w:rPr>
          <w:color w:val="000000"/>
          <w:szCs w:val="22"/>
        </w:rPr>
        <w:t>RIEUR</w:t>
      </w:r>
    </w:p>
    <w:p w14:paraId="73276A21" w14:textId="77777777" w:rsidR="007D642D" w:rsidRPr="008A5F3B" w:rsidRDefault="007D642D" w:rsidP="007F23EE">
      <w:pPr>
        <w:pBdr>
          <w:top w:val="single" w:sz="4" w:space="1" w:color="auto"/>
          <w:left w:val="single" w:sz="4" w:space="4" w:color="auto"/>
          <w:bottom w:val="single" w:sz="4" w:space="1" w:color="auto"/>
          <w:right w:val="single" w:sz="4" w:space="4" w:color="auto"/>
        </w:pBdr>
        <w:rPr>
          <w:rFonts w:ascii="Times New Roman" w:hAnsi="Times New Roman"/>
          <w:color w:val="000000"/>
          <w:szCs w:val="22"/>
        </w:rPr>
      </w:pPr>
    </w:p>
    <w:p w14:paraId="4A1F7B29" w14:textId="77777777" w:rsidR="007D642D" w:rsidRPr="008A5F3B" w:rsidRDefault="00786985" w:rsidP="007F23EE">
      <w:pPr>
        <w:pBdr>
          <w:top w:val="single" w:sz="4" w:space="1" w:color="auto"/>
          <w:left w:val="single" w:sz="4" w:space="4" w:color="auto"/>
          <w:bottom w:val="single" w:sz="4" w:space="1" w:color="auto"/>
          <w:right w:val="single" w:sz="4" w:space="4" w:color="auto"/>
        </w:pBdr>
        <w:suppressAutoHyphens/>
        <w:rPr>
          <w:rFonts w:ascii="Times New Roman" w:hAnsi="Times New Roman"/>
          <w:b/>
          <w:color w:val="000000"/>
          <w:szCs w:val="22"/>
        </w:rPr>
      </w:pPr>
      <w:r w:rsidRPr="008A5F3B">
        <w:rPr>
          <w:rFonts w:ascii="Times New Roman" w:hAnsi="Times New Roman"/>
          <w:b/>
          <w:color w:val="000000"/>
          <w:szCs w:val="22"/>
        </w:rPr>
        <w:t>É</w:t>
      </w:r>
      <w:r w:rsidR="007D642D" w:rsidRPr="008A5F3B">
        <w:rPr>
          <w:rFonts w:ascii="Times New Roman" w:hAnsi="Times New Roman"/>
          <w:b/>
          <w:color w:val="000000"/>
          <w:szCs w:val="22"/>
        </w:rPr>
        <w:t>TUI CARTON</w:t>
      </w:r>
    </w:p>
    <w:p w14:paraId="34C4A172" w14:textId="77777777" w:rsidR="007D642D" w:rsidRPr="008A5F3B" w:rsidRDefault="007D642D" w:rsidP="007F23EE">
      <w:pPr>
        <w:suppressAutoHyphens/>
        <w:rPr>
          <w:rFonts w:ascii="Times New Roman" w:hAnsi="Times New Roman"/>
          <w:color w:val="000000"/>
          <w:szCs w:val="22"/>
        </w:rPr>
      </w:pPr>
    </w:p>
    <w:p w14:paraId="76726C2D" w14:textId="77777777" w:rsidR="007D642D" w:rsidRPr="008A5F3B" w:rsidRDefault="007D642D" w:rsidP="007F23EE">
      <w:pPr>
        <w:suppressAutoHyphens/>
        <w:rPr>
          <w:rFonts w:ascii="Times New Roman" w:hAnsi="Times New Roman"/>
          <w:color w:val="000000"/>
          <w:szCs w:val="22"/>
        </w:rPr>
      </w:pPr>
    </w:p>
    <w:p w14:paraId="1EACEB6B"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1.</w:t>
      </w:r>
      <w:r w:rsidRPr="008A5F3B">
        <w:rPr>
          <w:rFonts w:ascii="Times New Roman" w:hAnsi="Times New Roman"/>
          <w:b/>
          <w:color w:val="000000"/>
          <w:szCs w:val="22"/>
        </w:rPr>
        <w:tab/>
        <w:t>D</w:t>
      </w:r>
      <w:r w:rsidR="00786985" w:rsidRPr="008A5F3B">
        <w:rPr>
          <w:rFonts w:ascii="Times New Roman" w:hAnsi="Times New Roman"/>
          <w:b/>
          <w:color w:val="000000"/>
          <w:szCs w:val="22"/>
        </w:rPr>
        <w:t>É</w:t>
      </w:r>
      <w:r w:rsidRPr="008A5F3B">
        <w:rPr>
          <w:rFonts w:ascii="Times New Roman" w:hAnsi="Times New Roman"/>
          <w:b/>
          <w:color w:val="000000"/>
          <w:szCs w:val="22"/>
        </w:rPr>
        <w:t>NOMINATION DU M</w:t>
      </w:r>
      <w:r w:rsidR="00786985" w:rsidRPr="008A5F3B">
        <w:rPr>
          <w:rFonts w:ascii="Times New Roman" w:hAnsi="Times New Roman"/>
          <w:b/>
          <w:color w:val="000000"/>
          <w:szCs w:val="22"/>
        </w:rPr>
        <w:t>É</w:t>
      </w:r>
      <w:r w:rsidRPr="008A5F3B">
        <w:rPr>
          <w:rFonts w:ascii="Times New Roman" w:hAnsi="Times New Roman"/>
          <w:b/>
          <w:color w:val="000000"/>
          <w:szCs w:val="22"/>
        </w:rPr>
        <w:t>DICAMENT</w:t>
      </w:r>
    </w:p>
    <w:p w14:paraId="6AD01F17" w14:textId="77777777" w:rsidR="007D642D" w:rsidRPr="008A5F3B" w:rsidRDefault="007D642D" w:rsidP="007F23EE">
      <w:pPr>
        <w:suppressAutoHyphens/>
        <w:rPr>
          <w:rFonts w:ascii="Times New Roman" w:hAnsi="Times New Roman"/>
          <w:color w:val="000000"/>
          <w:szCs w:val="22"/>
        </w:rPr>
      </w:pPr>
    </w:p>
    <w:p w14:paraId="4D45B089"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Glivec 100 mg comprimés pelliculés</w:t>
      </w:r>
    </w:p>
    <w:p w14:paraId="0592694A" w14:textId="77777777" w:rsidR="007D642D" w:rsidRPr="008A5F3B" w:rsidRDefault="00D535F2" w:rsidP="007F23EE">
      <w:pPr>
        <w:rPr>
          <w:rFonts w:ascii="Times New Roman" w:hAnsi="Times New Roman"/>
          <w:color w:val="000000"/>
          <w:szCs w:val="22"/>
        </w:rPr>
      </w:pPr>
      <w:proofErr w:type="gramStart"/>
      <w:r w:rsidRPr="008A5F3B">
        <w:rPr>
          <w:rFonts w:ascii="Times New Roman" w:hAnsi="Times New Roman"/>
          <w:color w:val="000000"/>
          <w:szCs w:val="22"/>
        </w:rPr>
        <w:t>i</w:t>
      </w:r>
      <w:r w:rsidR="007D642D" w:rsidRPr="008A5F3B">
        <w:rPr>
          <w:rFonts w:ascii="Times New Roman" w:hAnsi="Times New Roman"/>
          <w:color w:val="000000"/>
          <w:szCs w:val="22"/>
        </w:rPr>
        <w:t>matinib</w:t>
      </w:r>
      <w:proofErr w:type="gramEnd"/>
    </w:p>
    <w:p w14:paraId="5CDDF67A" w14:textId="77777777" w:rsidR="007D642D" w:rsidRPr="008A5F3B" w:rsidRDefault="007D642D" w:rsidP="007F23EE">
      <w:pPr>
        <w:suppressAutoHyphens/>
        <w:rPr>
          <w:rFonts w:ascii="Times New Roman" w:hAnsi="Times New Roman"/>
          <w:color w:val="000000"/>
          <w:szCs w:val="22"/>
        </w:rPr>
      </w:pPr>
    </w:p>
    <w:p w14:paraId="4A4581CF" w14:textId="77777777" w:rsidR="007D642D" w:rsidRPr="008A5F3B" w:rsidRDefault="007D642D" w:rsidP="007F23EE">
      <w:pPr>
        <w:suppressAutoHyphens/>
        <w:rPr>
          <w:rFonts w:ascii="Times New Roman" w:hAnsi="Times New Roman"/>
          <w:color w:val="000000"/>
          <w:szCs w:val="22"/>
        </w:rPr>
      </w:pPr>
    </w:p>
    <w:p w14:paraId="6791B3B8"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2.</w:t>
      </w:r>
      <w:r w:rsidRPr="008A5F3B">
        <w:rPr>
          <w:rFonts w:ascii="Times New Roman" w:hAnsi="Times New Roman"/>
          <w:b/>
          <w:color w:val="000000"/>
          <w:szCs w:val="22"/>
        </w:rPr>
        <w:tab/>
        <w:t xml:space="preserve">COMPOSITION EN </w:t>
      </w:r>
      <w:r w:rsidR="00B6349D" w:rsidRPr="008A5F3B">
        <w:rPr>
          <w:rFonts w:ascii="Times New Roman" w:hAnsi="Times New Roman"/>
          <w:b/>
          <w:color w:val="000000"/>
          <w:szCs w:val="22"/>
        </w:rPr>
        <w:t>SUBSTANCE(S) ACTIVE(S)</w:t>
      </w:r>
    </w:p>
    <w:p w14:paraId="5BA88BA9" w14:textId="77777777" w:rsidR="007D642D" w:rsidRPr="008A5F3B" w:rsidRDefault="007D642D" w:rsidP="007F23EE">
      <w:pPr>
        <w:suppressAutoHyphens/>
        <w:rPr>
          <w:rFonts w:ascii="Times New Roman" w:hAnsi="Times New Roman"/>
          <w:color w:val="000000"/>
          <w:szCs w:val="22"/>
        </w:rPr>
      </w:pPr>
    </w:p>
    <w:p w14:paraId="6C02A8DC"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 xml:space="preserve">Chaque comprimé pelliculé contient 100 mg d’imatinib (sous forme de </w:t>
      </w:r>
      <w:proofErr w:type="spellStart"/>
      <w:r w:rsidRPr="008A5F3B">
        <w:rPr>
          <w:rFonts w:ascii="Times New Roman" w:hAnsi="Times New Roman"/>
          <w:color w:val="000000"/>
          <w:szCs w:val="22"/>
        </w:rPr>
        <w:t>mésilate</w:t>
      </w:r>
      <w:proofErr w:type="spellEnd"/>
      <w:r w:rsidRPr="008A5F3B">
        <w:rPr>
          <w:rFonts w:ascii="Times New Roman" w:hAnsi="Times New Roman"/>
          <w:color w:val="000000"/>
          <w:szCs w:val="22"/>
        </w:rPr>
        <w:t>).</w:t>
      </w:r>
    </w:p>
    <w:p w14:paraId="3D14F14A" w14:textId="77777777" w:rsidR="007D642D" w:rsidRPr="008A5F3B" w:rsidRDefault="007D642D" w:rsidP="007F23EE">
      <w:pPr>
        <w:suppressAutoHyphens/>
        <w:rPr>
          <w:rFonts w:ascii="Times New Roman" w:hAnsi="Times New Roman"/>
          <w:color w:val="000000"/>
          <w:szCs w:val="22"/>
        </w:rPr>
      </w:pPr>
    </w:p>
    <w:p w14:paraId="677976FA" w14:textId="77777777" w:rsidR="007D642D" w:rsidRPr="008A5F3B" w:rsidRDefault="007D642D" w:rsidP="007F23EE">
      <w:pPr>
        <w:suppressAutoHyphens/>
        <w:rPr>
          <w:rFonts w:ascii="Times New Roman" w:hAnsi="Times New Roman"/>
          <w:color w:val="000000"/>
          <w:szCs w:val="22"/>
        </w:rPr>
      </w:pPr>
    </w:p>
    <w:p w14:paraId="39D63F85"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3.</w:t>
      </w:r>
      <w:r w:rsidRPr="008A5F3B">
        <w:rPr>
          <w:rFonts w:ascii="Times New Roman" w:hAnsi="Times New Roman"/>
          <w:b/>
          <w:color w:val="000000"/>
          <w:szCs w:val="22"/>
        </w:rPr>
        <w:tab/>
        <w:t xml:space="preserve">LISTE </w:t>
      </w:r>
      <w:smartTag w:uri="urn:schemas-microsoft-com:office:smarttags" w:element="stockticker">
        <w:r w:rsidRPr="008A5F3B">
          <w:rPr>
            <w:rFonts w:ascii="Times New Roman" w:hAnsi="Times New Roman"/>
            <w:b/>
            <w:color w:val="000000"/>
            <w:szCs w:val="22"/>
          </w:rPr>
          <w:t>DES</w:t>
        </w:r>
      </w:smartTag>
      <w:r w:rsidRPr="008A5F3B">
        <w:rPr>
          <w:rFonts w:ascii="Times New Roman" w:hAnsi="Times New Roman"/>
          <w:b/>
          <w:color w:val="000000"/>
          <w:szCs w:val="22"/>
        </w:rPr>
        <w:t xml:space="preserve"> EXCIPIENTS</w:t>
      </w:r>
    </w:p>
    <w:p w14:paraId="6B4F9DF7" w14:textId="77777777" w:rsidR="007D642D" w:rsidRPr="008A5F3B" w:rsidRDefault="007D642D" w:rsidP="007F23EE">
      <w:pPr>
        <w:suppressAutoHyphens/>
        <w:rPr>
          <w:rFonts w:ascii="Times New Roman" w:hAnsi="Times New Roman"/>
          <w:color w:val="000000"/>
          <w:szCs w:val="22"/>
        </w:rPr>
      </w:pPr>
    </w:p>
    <w:p w14:paraId="686C05F6" w14:textId="77777777" w:rsidR="007D642D" w:rsidRPr="008A5F3B" w:rsidRDefault="007D642D" w:rsidP="007F23EE">
      <w:pPr>
        <w:suppressAutoHyphens/>
        <w:rPr>
          <w:rFonts w:ascii="Times New Roman" w:hAnsi="Times New Roman"/>
          <w:color w:val="000000"/>
          <w:szCs w:val="22"/>
        </w:rPr>
      </w:pPr>
    </w:p>
    <w:p w14:paraId="132DAAAD"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4.</w:t>
      </w:r>
      <w:r w:rsidRPr="008A5F3B">
        <w:rPr>
          <w:rFonts w:ascii="Times New Roman" w:hAnsi="Times New Roman"/>
          <w:b/>
          <w:color w:val="000000"/>
          <w:szCs w:val="22"/>
        </w:rPr>
        <w:tab/>
        <w:t>FORME PHARMACEUTIQUE ET CONTENU</w:t>
      </w:r>
    </w:p>
    <w:p w14:paraId="59F96F6F" w14:textId="77777777" w:rsidR="007D642D" w:rsidRPr="008A5F3B" w:rsidRDefault="007D642D" w:rsidP="007F23EE">
      <w:pPr>
        <w:suppressAutoHyphens/>
        <w:rPr>
          <w:rFonts w:ascii="Times New Roman" w:hAnsi="Times New Roman"/>
          <w:color w:val="000000"/>
          <w:szCs w:val="22"/>
        </w:rPr>
      </w:pPr>
    </w:p>
    <w:p w14:paraId="5134E531"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20 comprimés pelliculés</w:t>
      </w:r>
    </w:p>
    <w:p w14:paraId="754969E8" w14:textId="77777777" w:rsidR="007D642D" w:rsidRPr="008A5F3B" w:rsidRDefault="007D642D" w:rsidP="007F23EE">
      <w:pPr>
        <w:suppressAutoHyphens/>
        <w:rPr>
          <w:rFonts w:ascii="Times New Roman" w:hAnsi="Times New Roman"/>
          <w:color w:val="000000"/>
          <w:szCs w:val="22"/>
          <w:shd w:val="clear" w:color="auto" w:fill="D9D9D9"/>
        </w:rPr>
      </w:pPr>
      <w:r w:rsidRPr="008A5F3B">
        <w:rPr>
          <w:rFonts w:ascii="Times New Roman" w:hAnsi="Times New Roman"/>
          <w:color w:val="000000"/>
          <w:szCs w:val="22"/>
          <w:shd w:val="clear" w:color="auto" w:fill="D9D9D9"/>
        </w:rPr>
        <w:t>60 comprimés pelliculés</w:t>
      </w:r>
    </w:p>
    <w:p w14:paraId="1C70D2B5" w14:textId="77777777" w:rsidR="007D642D" w:rsidRPr="008A5F3B" w:rsidRDefault="007D642D" w:rsidP="007F23EE">
      <w:pPr>
        <w:suppressAutoHyphens/>
        <w:rPr>
          <w:rFonts w:ascii="Times New Roman" w:hAnsi="Times New Roman"/>
          <w:color w:val="000000"/>
          <w:szCs w:val="22"/>
          <w:shd w:val="clear" w:color="auto" w:fill="D9D9D9"/>
        </w:rPr>
      </w:pPr>
      <w:r w:rsidRPr="008A5F3B">
        <w:rPr>
          <w:rFonts w:ascii="Times New Roman" w:hAnsi="Times New Roman"/>
          <w:color w:val="000000"/>
          <w:szCs w:val="22"/>
          <w:shd w:val="clear" w:color="auto" w:fill="D9D9D9"/>
        </w:rPr>
        <w:t>120 comprimés pelliculés</w:t>
      </w:r>
    </w:p>
    <w:p w14:paraId="2F50331C" w14:textId="77777777" w:rsidR="007D642D" w:rsidRPr="008A5F3B" w:rsidRDefault="007D642D" w:rsidP="007F23EE">
      <w:pPr>
        <w:suppressAutoHyphens/>
        <w:rPr>
          <w:rFonts w:ascii="Times New Roman" w:hAnsi="Times New Roman"/>
          <w:color w:val="000000"/>
          <w:szCs w:val="22"/>
          <w:shd w:val="clear" w:color="auto" w:fill="D9D9D9"/>
        </w:rPr>
      </w:pPr>
      <w:r w:rsidRPr="008A5F3B">
        <w:rPr>
          <w:rFonts w:ascii="Times New Roman" w:hAnsi="Times New Roman"/>
          <w:color w:val="000000"/>
          <w:szCs w:val="22"/>
          <w:shd w:val="clear" w:color="auto" w:fill="D9D9D9"/>
        </w:rPr>
        <w:t>180 comprimés pelliculés</w:t>
      </w:r>
    </w:p>
    <w:p w14:paraId="32C58C58" w14:textId="77777777" w:rsidR="007D642D" w:rsidRPr="008A5F3B" w:rsidRDefault="007D642D" w:rsidP="007F23EE">
      <w:pPr>
        <w:suppressAutoHyphens/>
        <w:rPr>
          <w:rFonts w:ascii="Times New Roman" w:hAnsi="Times New Roman"/>
          <w:color w:val="000000"/>
          <w:szCs w:val="22"/>
        </w:rPr>
      </w:pPr>
    </w:p>
    <w:p w14:paraId="5FA5D745" w14:textId="77777777" w:rsidR="007D642D" w:rsidRPr="008A5F3B" w:rsidRDefault="007D642D" w:rsidP="007F23EE">
      <w:pPr>
        <w:suppressAutoHyphens/>
        <w:rPr>
          <w:rFonts w:ascii="Times New Roman" w:hAnsi="Times New Roman"/>
          <w:color w:val="000000"/>
          <w:szCs w:val="22"/>
        </w:rPr>
      </w:pPr>
    </w:p>
    <w:p w14:paraId="784060F5"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5.</w:t>
      </w:r>
      <w:r w:rsidRPr="008A5F3B">
        <w:rPr>
          <w:rFonts w:ascii="Times New Roman" w:hAnsi="Times New Roman"/>
          <w:b/>
          <w:color w:val="000000"/>
          <w:szCs w:val="22"/>
        </w:rPr>
        <w:tab/>
        <w:t>MODE ET VOIE(S) D’ADMINISTRATION</w:t>
      </w:r>
    </w:p>
    <w:p w14:paraId="58D4909D" w14:textId="77777777" w:rsidR="007D642D" w:rsidRPr="008A5F3B" w:rsidRDefault="007D642D" w:rsidP="007F23EE">
      <w:pPr>
        <w:suppressAutoHyphens/>
        <w:rPr>
          <w:rFonts w:ascii="Times New Roman" w:hAnsi="Times New Roman"/>
          <w:color w:val="000000"/>
          <w:szCs w:val="22"/>
        </w:rPr>
      </w:pPr>
    </w:p>
    <w:p w14:paraId="6DBCA961"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Voie orale. Lire la notice avant utilisation.</w:t>
      </w:r>
    </w:p>
    <w:p w14:paraId="79BADFFA" w14:textId="77777777" w:rsidR="007D642D" w:rsidRPr="008A5F3B" w:rsidRDefault="007D642D" w:rsidP="007F23EE">
      <w:pPr>
        <w:suppressAutoHyphens/>
        <w:rPr>
          <w:rFonts w:ascii="Times New Roman" w:hAnsi="Times New Roman"/>
          <w:color w:val="000000"/>
          <w:szCs w:val="22"/>
        </w:rPr>
      </w:pPr>
    </w:p>
    <w:p w14:paraId="112F6FD6" w14:textId="77777777" w:rsidR="007D642D" w:rsidRPr="008A5F3B" w:rsidRDefault="007D642D" w:rsidP="007F23EE">
      <w:pPr>
        <w:suppressAutoHyphens/>
        <w:rPr>
          <w:rFonts w:ascii="Times New Roman" w:hAnsi="Times New Roman"/>
          <w:color w:val="000000"/>
          <w:szCs w:val="22"/>
        </w:rPr>
      </w:pPr>
    </w:p>
    <w:p w14:paraId="63E21B83" w14:textId="2454ECCB"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6.</w:t>
      </w:r>
      <w:r w:rsidRPr="008A5F3B">
        <w:rPr>
          <w:rFonts w:ascii="Times New Roman" w:hAnsi="Times New Roman"/>
          <w:b/>
          <w:color w:val="000000"/>
          <w:szCs w:val="22"/>
        </w:rPr>
        <w:tab/>
        <w:t>MISE EN GARDE SP</w:t>
      </w:r>
      <w:r w:rsidR="00786985" w:rsidRPr="008A5F3B">
        <w:rPr>
          <w:rFonts w:ascii="Times New Roman" w:hAnsi="Times New Roman"/>
          <w:b/>
          <w:color w:val="000000"/>
          <w:szCs w:val="22"/>
        </w:rPr>
        <w:t>É</w:t>
      </w:r>
      <w:r w:rsidRPr="008A5F3B">
        <w:rPr>
          <w:rFonts w:ascii="Times New Roman" w:hAnsi="Times New Roman"/>
          <w:b/>
          <w:color w:val="000000"/>
          <w:szCs w:val="22"/>
        </w:rPr>
        <w:t>CIALE INDIQUANT QUE LE M</w:t>
      </w:r>
      <w:r w:rsidR="00786985" w:rsidRPr="008A5F3B">
        <w:rPr>
          <w:rFonts w:ascii="Times New Roman" w:hAnsi="Times New Roman"/>
          <w:b/>
          <w:color w:val="000000"/>
          <w:szCs w:val="22"/>
        </w:rPr>
        <w:t>É</w:t>
      </w:r>
      <w:r w:rsidRPr="008A5F3B">
        <w:rPr>
          <w:rFonts w:ascii="Times New Roman" w:hAnsi="Times New Roman"/>
          <w:b/>
          <w:color w:val="000000"/>
          <w:szCs w:val="22"/>
        </w:rPr>
        <w:t xml:space="preserve">DICAMENT DOIT </w:t>
      </w:r>
      <w:r w:rsidR="00786985" w:rsidRPr="008A5F3B">
        <w:rPr>
          <w:rFonts w:ascii="Times New Roman" w:hAnsi="Times New Roman"/>
          <w:b/>
          <w:color w:val="000000"/>
          <w:szCs w:val="22"/>
        </w:rPr>
        <w:t>Ê</w:t>
      </w:r>
      <w:r w:rsidRPr="008A5F3B">
        <w:rPr>
          <w:rFonts w:ascii="Times New Roman" w:hAnsi="Times New Roman"/>
          <w:b/>
          <w:color w:val="000000"/>
          <w:szCs w:val="22"/>
        </w:rPr>
        <w:t>TRE CONSERV</w:t>
      </w:r>
      <w:r w:rsidR="00786985" w:rsidRPr="008A5F3B">
        <w:rPr>
          <w:rFonts w:ascii="Times New Roman" w:hAnsi="Times New Roman"/>
          <w:b/>
          <w:color w:val="000000"/>
          <w:szCs w:val="22"/>
        </w:rPr>
        <w:t>É</w:t>
      </w:r>
      <w:r w:rsidRPr="008A5F3B">
        <w:rPr>
          <w:rFonts w:ascii="Times New Roman" w:hAnsi="Times New Roman"/>
          <w:b/>
          <w:color w:val="000000"/>
          <w:szCs w:val="22"/>
        </w:rPr>
        <w:t xml:space="preserve"> HORS DE </w:t>
      </w:r>
      <w:r w:rsidR="0031337E" w:rsidRPr="008A5F3B">
        <w:rPr>
          <w:rFonts w:ascii="Times New Roman" w:hAnsi="Times New Roman"/>
          <w:b/>
          <w:color w:val="000000"/>
          <w:szCs w:val="22"/>
        </w:rPr>
        <w:t>VUE</w:t>
      </w:r>
      <w:r w:rsidRPr="008A5F3B">
        <w:rPr>
          <w:rFonts w:ascii="Times New Roman" w:hAnsi="Times New Roman"/>
          <w:b/>
          <w:color w:val="000000"/>
          <w:szCs w:val="22"/>
        </w:rPr>
        <w:t xml:space="preserve"> ET DE </w:t>
      </w:r>
      <w:r w:rsidR="0031337E" w:rsidRPr="008A5F3B">
        <w:rPr>
          <w:rFonts w:ascii="Times New Roman" w:hAnsi="Times New Roman"/>
          <w:b/>
          <w:color w:val="000000"/>
          <w:szCs w:val="22"/>
        </w:rPr>
        <w:t>PORTÉE</w:t>
      </w:r>
      <w:r w:rsidRPr="008A5F3B">
        <w:rPr>
          <w:rFonts w:ascii="Times New Roman" w:hAnsi="Times New Roman"/>
          <w:b/>
          <w:color w:val="000000"/>
          <w:szCs w:val="22"/>
        </w:rPr>
        <w:t xml:space="preserve"> </w:t>
      </w:r>
      <w:smartTag w:uri="urn:schemas-microsoft-com:office:smarttags" w:element="stockticker">
        <w:r w:rsidRPr="008A5F3B">
          <w:rPr>
            <w:rFonts w:ascii="Times New Roman" w:hAnsi="Times New Roman"/>
            <w:b/>
            <w:color w:val="000000"/>
            <w:szCs w:val="22"/>
          </w:rPr>
          <w:t>DES</w:t>
        </w:r>
      </w:smartTag>
      <w:r w:rsidRPr="008A5F3B">
        <w:rPr>
          <w:rFonts w:ascii="Times New Roman" w:hAnsi="Times New Roman"/>
          <w:b/>
          <w:color w:val="000000"/>
          <w:szCs w:val="22"/>
        </w:rPr>
        <w:t xml:space="preserve"> ENFANTS</w:t>
      </w:r>
    </w:p>
    <w:p w14:paraId="74466853" w14:textId="77777777" w:rsidR="007D642D" w:rsidRPr="008A5F3B" w:rsidRDefault="007D642D" w:rsidP="007F23EE">
      <w:pPr>
        <w:suppressAutoHyphens/>
        <w:rPr>
          <w:rFonts w:ascii="Times New Roman" w:hAnsi="Times New Roman"/>
          <w:color w:val="000000"/>
          <w:szCs w:val="22"/>
        </w:rPr>
      </w:pPr>
    </w:p>
    <w:p w14:paraId="4C1D1C08"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Tenir hors de la vue et de la portée des enfants.</w:t>
      </w:r>
    </w:p>
    <w:p w14:paraId="13C93DB2" w14:textId="77777777" w:rsidR="007D642D" w:rsidRPr="008A5F3B" w:rsidRDefault="007D642D" w:rsidP="007F23EE">
      <w:pPr>
        <w:suppressAutoHyphens/>
        <w:rPr>
          <w:rFonts w:ascii="Times New Roman" w:hAnsi="Times New Roman"/>
          <w:color w:val="000000"/>
          <w:szCs w:val="22"/>
        </w:rPr>
      </w:pPr>
    </w:p>
    <w:p w14:paraId="2A508086" w14:textId="77777777" w:rsidR="007D642D" w:rsidRPr="008A5F3B" w:rsidRDefault="007D642D" w:rsidP="007F23EE">
      <w:pPr>
        <w:suppressAutoHyphens/>
        <w:rPr>
          <w:rFonts w:ascii="Times New Roman" w:hAnsi="Times New Roman"/>
          <w:color w:val="000000"/>
          <w:szCs w:val="22"/>
        </w:rPr>
      </w:pPr>
    </w:p>
    <w:p w14:paraId="6D5F6A9F"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7.</w:t>
      </w:r>
      <w:r w:rsidRPr="008A5F3B">
        <w:rPr>
          <w:rFonts w:ascii="Times New Roman" w:hAnsi="Times New Roman"/>
          <w:b/>
          <w:color w:val="000000"/>
          <w:szCs w:val="22"/>
        </w:rPr>
        <w:tab/>
        <w:t>AUTRE(S) MISE(S) EN GARDE SP</w:t>
      </w:r>
      <w:r w:rsidR="00786985" w:rsidRPr="008A5F3B">
        <w:rPr>
          <w:rFonts w:ascii="Times New Roman" w:hAnsi="Times New Roman"/>
          <w:b/>
          <w:color w:val="000000"/>
          <w:szCs w:val="22"/>
        </w:rPr>
        <w:t>É</w:t>
      </w:r>
      <w:r w:rsidRPr="008A5F3B">
        <w:rPr>
          <w:rFonts w:ascii="Times New Roman" w:hAnsi="Times New Roman"/>
          <w:b/>
          <w:color w:val="000000"/>
          <w:szCs w:val="22"/>
        </w:rPr>
        <w:t>CIALE(S), SI N</w:t>
      </w:r>
      <w:r w:rsidR="00786985" w:rsidRPr="008A5F3B">
        <w:rPr>
          <w:rFonts w:ascii="Times New Roman" w:hAnsi="Times New Roman"/>
          <w:b/>
          <w:color w:val="000000"/>
          <w:szCs w:val="22"/>
        </w:rPr>
        <w:t>É</w:t>
      </w:r>
      <w:r w:rsidRPr="008A5F3B">
        <w:rPr>
          <w:rFonts w:ascii="Times New Roman" w:hAnsi="Times New Roman"/>
          <w:b/>
          <w:color w:val="000000"/>
          <w:szCs w:val="22"/>
        </w:rPr>
        <w:t>CESSAIRE</w:t>
      </w:r>
    </w:p>
    <w:p w14:paraId="008A3CB8" w14:textId="77777777" w:rsidR="007D642D" w:rsidRPr="008A5F3B" w:rsidRDefault="007D642D" w:rsidP="007F23EE">
      <w:pPr>
        <w:suppressAutoHyphens/>
        <w:rPr>
          <w:rFonts w:ascii="Times New Roman" w:hAnsi="Times New Roman"/>
          <w:color w:val="000000"/>
          <w:szCs w:val="22"/>
        </w:rPr>
      </w:pPr>
    </w:p>
    <w:p w14:paraId="52480222"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A utiliser uniquement selon les instructions données par votre médecin.</w:t>
      </w:r>
    </w:p>
    <w:p w14:paraId="2F86C166" w14:textId="77777777" w:rsidR="007D642D" w:rsidRPr="008A5F3B" w:rsidRDefault="007D642D" w:rsidP="007F23EE">
      <w:pPr>
        <w:suppressAutoHyphens/>
        <w:rPr>
          <w:rFonts w:ascii="Times New Roman" w:hAnsi="Times New Roman"/>
          <w:color w:val="000000"/>
          <w:szCs w:val="22"/>
        </w:rPr>
      </w:pPr>
    </w:p>
    <w:p w14:paraId="5FB62C56" w14:textId="77777777" w:rsidR="007D642D" w:rsidRPr="008A5F3B" w:rsidRDefault="007D642D" w:rsidP="007F23EE">
      <w:pPr>
        <w:suppressAutoHyphens/>
        <w:rPr>
          <w:rFonts w:ascii="Times New Roman" w:hAnsi="Times New Roman"/>
          <w:color w:val="000000"/>
          <w:szCs w:val="22"/>
        </w:rPr>
      </w:pPr>
    </w:p>
    <w:p w14:paraId="6ACFC79D"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8.</w:t>
      </w:r>
      <w:r w:rsidRPr="008A5F3B">
        <w:rPr>
          <w:rFonts w:ascii="Times New Roman" w:hAnsi="Times New Roman"/>
          <w:b/>
          <w:color w:val="000000"/>
          <w:szCs w:val="22"/>
        </w:rPr>
        <w:tab/>
        <w:t>DATE DE P</w:t>
      </w:r>
      <w:r w:rsidR="00786985" w:rsidRPr="008A5F3B">
        <w:rPr>
          <w:rFonts w:ascii="Times New Roman" w:hAnsi="Times New Roman"/>
          <w:b/>
          <w:color w:val="000000"/>
          <w:szCs w:val="22"/>
        </w:rPr>
        <w:t>É</w:t>
      </w:r>
      <w:r w:rsidRPr="008A5F3B">
        <w:rPr>
          <w:rFonts w:ascii="Times New Roman" w:hAnsi="Times New Roman"/>
          <w:b/>
          <w:color w:val="000000"/>
          <w:szCs w:val="22"/>
        </w:rPr>
        <w:t>REMPTION</w:t>
      </w:r>
    </w:p>
    <w:p w14:paraId="4029D336" w14:textId="77777777" w:rsidR="007D642D" w:rsidRPr="008A5F3B" w:rsidRDefault="007D642D" w:rsidP="007F23EE">
      <w:pPr>
        <w:suppressAutoHyphens/>
        <w:rPr>
          <w:rFonts w:ascii="Times New Roman" w:hAnsi="Times New Roman"/>
          <w:color w:val="000000"/>
          <w:szCs w:val="22"/>
        </w:rPr>
      </w:pPr>
    </w:p>
    <w:p w14:paraId="1F989E27"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EXP</w:t>
      </w:r>
    </w:p>
    <w:p w14:paraId="3CF80859" w14:textId="77777777" w:rsidR="007D642D" w:rsidRPr="008A5F3B" w:rsidRDefault="007D642D" w:rsidP="007F23EE">
      <w:pPr>
        <w:suppressAutoHyphens/>
        <w:rPr>
          <w:rFonts w:ascii="Times New Roman" w:hAnsi="Times New Roman"/>
          <w:color w:val="000000"/>
          <w:szCs w:val="22"/>
        </w:rPr>
      </w:pPr>
    </w:p>
    <w:p w14:paraId="1265116E" w14:textId="77777777" w:rsidR="007D642D" w:rsidRPr="008A5F3B" w:rsidRDefault="007D642D" w:rsidP="007F23EE">
      <w:pPr>
        <w:suppressAutoHyphens/>
        <w:rPr>
          <w:rFonts w:ascii="Times New Roman" w:hAnsi="Times New Roman"/>
          <w:color w:val="000000"/>
          <w:szCs w:val="22"/>
        </w:rPr>
      </w:pPr>
    </w:p>
    <w:p w14:paraId="4A5A6D4C" w14:textId="77777777" w:rsidR="007D642D" w:rsidRPr="008A5F3B" w:rsidRDefault="007D642D" w:rsidP="007F23EE">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9.</w:t>
      </w:r>
      <w:r w:rsidRPr="008A5F3B">
        <w:rPr>
          <w:rFonts w:ascii="Times New Roman" w:hAnsi="Times New Roman"/>
          <w:b/>
          <w:color w:val="000000"/>
          <w:szCs w:val="22"/>
        </w:rPr>
        <w:tab/>
        <w:t>PR</w:t>
      </w:r>
      <w:r w:rsidR="00786985" w:rsidRPr="008A5F3B">
        <w:rPr>
          <w:rFonts w:ascii="Times New Roman" w:hAnsi="Times New Roman"/>
          <w:b/>
          <w:color w:val="000000"/>
          <w:szCs w:val="22"/>
        </w:rPr>
        <w:t>É</w:t>
      </w:r>
      <w:r w:rsidRPr="008A5F3B">
        <w:rPr>
          <w:rFonts w:ascii="Times New Roman" w:hAnsi="Times New Roman"/>
          <w:b/>
          <w:color w:val="000000"/>
          <w:szCs w:val="22"/>
        </w:rPr>
        <w:t>CAUTIONS PARTICULI</w:t>
      </w:r>
      <w:r w:rsidR="00786985" w:rsidRPr="008A5F3B">
        <w:rPr>
          <w:rFonts w:ascii="Times New Roman" w:hAnsi="Times New Roman"/>
          <w:b/>
          <w:color w:val="000000"/>
          <w:szCs w:val="22"/>
        </w:rPr>
        <w:t>È</w:t>
      </w:r>
      <w:r w:rsidRPr="008A5F3B">
        <w:rPr>
          <w:rFonts w:ascii="Times New Roman" w:hAnsi="Times New Roman"/>
          <w:b/>
          <w:color w:val="000000"/>
          <w:szCs w:val="22"/>
        </w:rPr>
        <w:t>RES DE CONSERVATION</w:t>
      </w:r>
    </w:p>
    <w:p w14:paraId="0A1FC944" w14:textId="77777777" w:rsidR="007D642D" w:rsidRPr="008A5F3B" w:rsidRDefault="007D642D" w:rsidP="007F23EE">
      <w:pPr>
        <w:keepNext/>
        <w:suppressAutoHyphens/>
        <w:rPr>
          <w:rFonts w:ascii="Times New Roman" w:hAnsi="Times New Roman"/>
          <w:color w:val="000000"/>
          <w:szCs w:val="22"/>
        </w:rPr>
      </w:pPr>
    </w:p>
    <w:p w14:paraId="0078E237"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 xml:space="preserve">A conserver à une température ne dépassant pas </w:t>
      </w:r>
      <w:smartTag w:uri="urn:schemas-microsoft-com:office:smarttags" w:element="metricconverter">
        <w:smartTagPr>
          <w:attr w:name="ProductID" w:val="30ﾰC"/>
        </w:smartTagPr>
        <w:r w:rsidRPr="008A5F3B">
          <w:rPr>
            <w:rFonts w:ascii="Times New Roman" w:hAnsi="Times New Roman"/>
            <w:color w:val="000000"/>
            <w:szCs w:val="22"/>
          </w:rPr>
          <w:t>30°C</w:t>
        </w:r>
      </w:smartTag>
      <w:r w:rsidRPr="008A5F3B">
        <w:rPr>
          <w:rFonts w:ascii="Times New Roman" w:hAnsi="Times New Roman"/>
          <w:color w:val="000000"/>
          <w:szCs w:val="22"/>
        </w:rPr>
        <w:t>. A conserver dans l’emballage extérieur d’origine à l’abri de l’humidité.</w:t>
      </w:r>
    </w:p>
    <w:p w14:paraId="388B0769" w14:textId="77777777" w:rsidR="007D642D" w:rsidRPr="008A5F3B" w:rsidRDefault="007D642D" w:rsidP="007F23EE">
      <w:pPr>
        <w:suppressAutoHyphens/>
        <w:rPr>
          <w:rFonts w:ascii="Times New Roman" w:hAnsi="Times New Roman"/>
          <w:color w:val="000000"/>
          <w:szCs w:val="22"/>
        </w:rPr>
      </w:pPr>
    </w:p>
    <w:p w14:paraId="48A82029" w14:textId="77777777" w:rsidR="007D642D" w:rsidRPr="008A5F3B" w:rsidRDefault="007D642D" w:rsidP="007F23EE">
      <w:pPr>
        <w:suppressAutoHyphens/>
        <w:rPr>
          <w:rFonts w:ascii="Times New Roman" w:hAnsi="Times New Roman"/>
          <w:color w:val="000000"/>
          <w:szCs w:val="22"/>
        </w:rPr>
      </w:pPr>
    </w:p>
    <w:p w14:paraId="74E6A21A"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lastRenderedPageBreak/>
        <w:t>10.</w:t>
      </w:r>
      <w:r w:rsidRPr="008A5F3B">
        <w:rPr>
          <w:rFonts w:ascii="Times New Roman" w:hAnsi="Times New Roman"/>
          <w:b/>
          <w:color w:val="000000"/>
          <w:szCs w:val="22"/>
        </w:rPr>
        <w:tab/>
        <w:t>PR</w:t>
      </w:r>
      <w:r w:rsidR="00786985" w:rsidRPr="008A5F3B">
        <w:rPr>
          <w:rFonts w:ascii="Times New Roman" w:hAnsi="Times New Roman"/>
          <w:b/>
          <w:color w:val="000000"/>
          <w:szCs w:val="22"/>
        </w:rPr>
        <w:t>É</w:t>
      </w:r>
      <w:r w:rsidRPr="008A5F3B">
        <w:rPr>
          <w:rFonts w:ascii="Times New Roman" w:hAnsi="Times New Roman"/>
          <w:b/>
          <w:color w:val="000000"/>
          <w:szCs w:val="22"/>
        </w:rPr>
        <w:t>CAUTIONS PARTICULI</w:t>
      </w:r>
      <w:r w:rsidR="00786985" w:rsidRPr="008A5F3B">
        <w:rPr>
          <w:rFonts w:ascii="Times New Roman" w:hAnsi="Times New Roman"/>
          <w:b/>
          <w:color w:val="000000"/>
          <w:szCs w:val="22"/>
        </w:rPr>
        <w:t>È</w:t>
      </w:r>
      <w:r w:rsidRPr="008A5F3B">
        <w:rPr>
          <w:rFonts w:ascii="Times New Roman" w:hAnsi="Times New Roman"/>
          <w:b/>
          <w:color w:val="000000"/>
          <w:szCs w:val="22"/>
        </w:rPr>
        <w:t>RES D’</w:t>
      </w:r>
      <w:r w:rsidR="00786985" w:rsidRPr="008A5F3B">
        <w:rPr>
          <w:rFonts w:ascii="Times New Roman" w:hAnsi="Times New Roman"/>
          <w:b/>
          <w:color w:val="000000"/>
          <w:szCs w:val="22"/>
        </w:rPr>
        <w:t>É</w:t>
      </w:r>
      <w:r w:rsidRPr="008A5F3B">
        <w:rPr>
          <w:rFonts w:ascii="Times New Roman" w:hAnsi="Times New Roman"/>
          <w:b/>
          <w:color w:val="000000"/>
          <w:szCs w:val="22"/>
        </w:rPr>
        <w:t xml:space="preserve">LIMINATION </w:t>
      </w:r>
      <w:smartTag w:uri="urn:schemas-microsoft-com:office:smarttags" w:element="stockticker">
        <w:r w:rsidRPr="008A5F3B">
          <w:rPr>
            <w:rFonts w:ascii="Times New Roman" w:hAnsi="Times New Roman"/>
            <w:b/>
            <w:color w:val="000000"/>
            <w:szCs w:val="22"/>
          </w:rPr>
          <w:t>DES</w:t>
        </w:r>
      </w:smartTag>
      <w:r w:rsidRPr="008A5F3B">
        <w:rPr>
          <w:rFonts w:ascii="Times New Roman" w:hAnsi="Times New Roman"/>
          <w:b/>
          <w:color w:val="000000"/>
          <w:szCs w:val="22"/>
        </w:rPr>
        <w:t xml:space="preserve"> M</w:t>
      </w:r>
      <w:r w:rsidR="00786985" w:rsidRPr="008A5F3B">
        <w:rPr>
          <w:rFonts w:ascii="Times New Roman" w:hAnsi="Times New Roman"/>
          <w:b/>
          <w:color w:val="000000"/>
          <w:szCs w:val="22"/>
        </w:rPr>
        <w:t>É</w:t>
      </w:r>
      <w:r w:rsidRPr="008A5F3B">
        <w:rPr>
          <w:rFonts w:ascii="Times New Roman" w:hAnsi="Times New Roman"/>
          <w:b/>
          <w:color w:val="000000"/>
          <w:szCs w:val="22"/>
        </w:rPr>
        <w:t>DICAMENTS NON UTILIS</w:t>
      </w:r>
      <w:r w:rsidR="00786985" w:rsidRPr="008A5F3B">
        <w:rPr>
          <w:rFonts w:ascii="Times New Roman" w:hAnsi="Times New Roman"/>
          <w:b/>
          <w:color w:val="000000"/>
          <w:szCs w:val="22"/>
        </w:rPr>
        <w:t>É</w:t>
      </w:r>
      <w:r w:rsidRPr="008A5F3B">
        <w:rPr>
          <w:rFonts w:ascii="Times New Roman" w:hAnsi="Times New Roman"/>
          <w:b/>
          <w:color w:val="000000"/>
          <w:szCs w:val="22"/>
        </w:rPr>
        <w:t xml:space="preserve">S OU </w:t>
      </w:r>
      <w:smartTag w:uri="urn:schemas-microsoft-com:office:smarttags" w:element="stockticker">
        <w:r w:rsidRPr="008A5F3B">
          <w:rPr>
            <w:rFonts w:ascii="Times New Roman" w:hAnsi="Times New Roman"/>
            <w:b/>
            <w:color w:val="000000"/>
            <w:szCs w:val="22"/>
          </w:rPr>
          <w:t>DES</w:t>
        </w:r>
      </w:smartTag>
      <w:r w:rsidRPr="008A5F3B">
        <w:rPr>
          <w:rFonts w:ascii="Times New Roman" w:hAnsi="Times New Roman"/>
          <w:b/>
          <w:color w:val="000000"/>
          <w:szCs w:val="22"/>
        </w:rPr>
        <w:t xml:space="preserve"> D</w:t>
      </w:r>
      <w:r w:rsidR="00786985" w:rsidRPr="008A5F3B">
        <w:rPr>
          <w:rFonts w:ascii="Times New Roman" w:hAnsi="Times New Roman"/>
          <w:b/>
          <w:color w:val="000000"/>
          <w:szCs w:val="22"/>
        </w:rPr>
        <w:t>É</w:t>
      </w:r>
      <w:r w:rsidRPr="008A5F3B">
        <w:rPr>
          <w:rFonts w:ascii="Times New Roman" w:hAnsi="Times New Roman"/>
          <w:b/>
          <w:color w:val="000000"/>
          <w:szCs w:val="22"/>
        </w:rPr>
        <w:t>CHETS PROVENANT DE CES M</w:t>
      </w:r>
      <w:r w:rsidR="00786985" w:rsidRPr="008A5F3B">
        <w:rPr>
          <w:rFonts w:ascii="Times New Roman" w:hAnsi="Times New Roman"/>
          <w:b/>
          <w:color w:val="000000"/>
          <w:szCs w:val="22"/>
        </w:rPr>
        <w:t>É</w:t>
      </w:r>
      <w:r w:rsidRPr="008A5F3B">
        <w:rPr>
          <w:rFonts w:ascii="Times New Roman" w:hAnsi="Times New Roman"/>
          <w:b/>
          <w:color w:val="000000"/>
          <w:szCs w:val="22"/>
        </w:rPr>
        <w:t>DICAMENTS S’IL Y A LIEU</w:t>
      </w:r>
    </w:p>
    <w:p w14:paraId="4EE5BE26" w14:textId="77777777" w:rsidR="007D642D" w:rsidRPr="008A5F3B" w:rsidRDefault="007D642D" w:rsidP="007F23EE">
      <w:pPr>
        <w:suppressAutoHyphens/>
        <w:rPr>
          <w:rFonts w:ascii="Times New Roman" w:hAnsi="Times New Roman"/>
          <w:b/>
          <w:color w:val="000000"/>
          <w:szCs w:val="22"/>
        </w:rPr>
      </w:pPr>
    </w:p>
    <w:p w14:paraId="5EBC97A3" w14:textId="77777777" w:rsidR="007D642D" w:rsidRPr="008A5F3B" w:rsidRDefault="007D642D" w:rsidP="007F23EE">
      <w:pPr>
        <w:suppressAutoHyphens/>
        <w:rPr>
          <w:rFonts w:ascii="Times New Roman" w:hAnsi="Times New Roman"/>
          <w:color w:val="000000"/>
          <w:szCs w:val="22"/>
        </w:rPr>
      </w:pPr>
    </w:p>
    <w:p w14:paraId="04122E45"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11.</w:t>
      </w:r>
      <w:r w:rsidRPr="008A5F3B">
        <w:rPr>
          <w:rFonts w:ascii="Times New Roman" w:hAnsi="Times New Roman"/>
          <w:b/>
          <w:color w:val="000000"/>
          <w:szCs w:val="22"/>
        </w:rPr>
        <w:tab/>
        <w:t xml:space="preserve">NOM ET ADRESSE DU TITULAIRE DE L’AUTORISATION DE MISE </w:t>
      </w:r>
      <w:smartTag w:uri="urn:schemas-microsoft-com:office:smarttags" w:element="stockticker">
        <w:r w:rsidRPr="008A5F3B">
          <w:rPr>
            <w:rFonts w:ascii="Times New Roman" w:hAnsi="Times New Roman"/>
            <w:b/>
            <w:color w:val="000000"/>
            <w:szCs w:val="22"/>
          </w:rPr>
          <w:t>SUR</w:t>
        </w:r>
      </w:smartTag>
      <w:r w:rsidRPr="008A5F3B">
        <w:rPr>
          <w:rFonts w:ascii="Times New Roman" w:hAnsi="Times New Roman"/>
          <w:b/>
          <w:color w:val="000000"/>
          <w:szCs w:val="22"/>
        </w:rPr>
        <w:t xml:space="preserve"> LE MARCH</w:t>
      </w:r>
      <w:r w:rsidR="00786985" w:rsidRPr="008A5F3B">
        <w:rPr>
          <w:rFonts w:ascii="Times New Roman" w:hAnsi="Times New Roman"/>
          <w:b/>
          <w:color w:val="000000"/>
          <w:szCs w:val="22"/>
        </w:rPr>
        <w:t>É</w:t>
      </w:r>
    </w:p>
    <w:p w14:paraId="4885CFAD" w14:textId="77777777" w:rsidR="007D642D" w:rsidRPr="008A5F3B" w:rsidRDefault="007D642D" w:rsidP="007F23EE">
      <w:pPr>
        <w:suppressAutoHyphens/>
        <w:rPr>
          <w:rFonts w:ascii="Times New Roman" w:hAnsi="Times New Roman"/>
          <w:color w:val="000000"/>
          <w:szCs w:val="22"/>
        </w:rPr>
      </w:pPr>
    </w:p>
    <w:p w14:paraId="507D0C0B" w14:textId="77777777" w:rsidR="007D642D" w:rsidRPr="008A5F3B" w:rsidRDefault="007D642D" w:rsidP="007F23EE">
      <w:pPr>
        <w:keepNext/>
        <w:rPr>
          <w:rFonts w:ascii="Times New Roman" w:hAnsi="Times New Roman"/>
          <w:color w:val="000000"/>
          <w:szCs w:val="22"/>
          <w:lang w:val="en-US"/>
        </w:rPr>
      </w:pPr>
      <w:r w:rsidRPr="008A5F3B">
        <w:rPr>
          <w:rFonts w:ascii="Times New Roman" w:hAnsi="Times New Roman"/>
          <w:color w:val="000000"/>
          <w:szCs w:val="22"/>
          <w:lang w:val="en-US"/>
        </w:rPr>
        <w:t xml:space="preserve">Novartis </w:t>
      </w:r>
      <w:proofErr w:type="spellStart"/>
      <w:r w:rsidRPr="008A5F3B">
        <w:rPr>
          <w:rFonts w:ascii="Times New Roman" w:hAnsi="Times New Roman"/>
          <w:color w:val="000000"/>
          <w:szCs w:val="22"/>
          <w:lang w:val="en-US"/>
        </w:rPr>
        <w:t>Europharm</w:t>
      </w:r>
      <w:proofErr w:type="spellEnd"/>
      <w:r w:rsidRPr="008A5F3B">
        <w:rPr>
          <w:rFonts w:ascii="Times New Roman" w:hAnsi="Times New Roman"/>
          <w:color w:val="000000"/>
          <w:szCs w:val="22"/>
          <w:lang w:val="en-US"/>
        </w:rPr>
        <w:t xml:space="preserve"> Limited</w:t>
      </w:r>
    </w:p>
    <w:p w14:paraId="6843E6EC" w14:textId="77777777" w:rsidR="000666D1" w:rsidRPr="008A5F3B" w:rsidRDefault="000666D1" w:rsidP="007F23EE">
      <w:pPr>
        <w:keepNext/>
        <w:rPr>
          <w:rFonts w:ascii="Times New Roman" w:hAnsi="Times New Roman"/>
          <w:color w:val="000000"/>
          <w:lang w:val="en-US"/>
        </w:rPr>
      </w:pPr>
      <w:r w:rsidRPr="008A5F3B">
        <w:rPr>
          <w:rFonts w:ascii="Times New Roman" w:hAnsi="Times New Roman"/>
          <w:color w:val="000000"/>
          <w:lang w:val="en-US"/>
        </w:rPr>
        <w:t>Vista Building</w:t>
      </w:r>
    </w:p>
    <w:p w14:paraId="0FFEDF47" w14:textId="77777777" w:rsidR="000666D1" w:rsidRPr="008A5F3B" w:rsidRDefault="000666D1" w:rsidP="007F23EE">
      <w:pPr>
        <w:keepNext/>
        <w:rPr>
          <w:rFonts w:ascii="Times New Roman" w:hAnsi="Times New Roman"/>
          <w:color w:val="000000"/>
          <w:lang w:val="en-US"/>
        </w:rPr>
      </w:pPr>
      <w:r w:rsidRPr="008A5F3B">
        <w:rPr>
          <w:rFonts w:ascii="Times New Roman" w:hAnsi="Times New Roman"/>
          <w:color w:val="000000"/>
          <w:lang w:val="en-US"/>
        </w:rPr>
        <w:t>Elm Park, Merrion Road</w:t>
      </w:r>
    </w:p>
    <w:p w14:paraId="3FC85DB7" w14:textId="77777777" w:rsidR="000666D1" w:rsidRPr="008A5F3B" w:rsidRDefault="000666D1" w:rsidP="007F23EE">
      <w:pPr>
        <w:keepNext/>
        <w:rPr>
          <w:rFonts w:ascii="Times New Roman" w:hAnsi="Times New Roman"/>
          <w:color w:val="000000"/>
        </w:rPr>
      </w:pPr>
      <w:r w:rsidRPr="008A5F3B">
        <w:rPr>
          <w:rFonts w:ascii="Times New Roman" w:hAnsi="Times New Roman"/>
          <w:color w:val="000000"/>
        </w:rPr>
        <w:t>Dublin 4</w:t>
      </w:r>
    </w:p>
    <w:p w14:paraId="04C014CB" w14:textId="77777777" w:rsidR="007D642D" w:rsidRPr="008A5F3B" w:rsidRDefault="000666D1" w:rsidP="007F23EE">
      <w:pPr>
        <w:rPr>
          <w:rFonts w:ascii="Times New Roman" w:hAnsi="Times New Roman"/>
          <w:color w:val="000000"/>
          <w:szCs w:val="22"/>
        </w:rPr>
      </w:pPr>
      <w:r w:rsidRPr="008A5F3B">
        <w:rPr>
          <w:rFonts w:ascii="Times New Roman" w:hAnsi="Times New Roman"/>
        </w:rPr>
        <w:t>Irlande</w:t>
      </w:r>
    </w:p>
    <w:p w14:paraId="57EA6505" w14:textId="77777777" w:rsidR="007D642D" w:rsidRPr="008A5F3B" w:rsidRDefault="007D642D" w:rsidP="007F23EE">
      <w:pPr>
        <w:suppressAutoHyphens/>
        <w:rPr>
          <w:rFonts w:ascii="Times New Roman" w:hAnsi="Times New Roman"/>
          <w:color w:val="000000"/>
          <w:szCs w:val="22"/>
        </w:rPr>
      </w:pPr>
    </w:p>
    <w:p w14:paraId="56325046" w14:textId="77777777" w:rsidR="007D642D" w:rsidRPr="008A5F3B" w:rsidRDefault="007D642D" w:rsidP="007F23EE">
      <w:pPr>
        <w:suppressAutoHyphens/>
        <w:rPr>
          <w:rFonts w:ascii="Times New Roman" w:hAnsi="Times New Roman"/>
          <w:color w:val="000000"/>
          <w:szCs w:val="22"/>
        </w:rPr>
      </w:pPr>
    </w:p>
    <w:p w14:paraId="633E7700"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12.</w:t>
      </w:r>
      <w:r w:rsidRPr="008A5F3B">
        <w:rPr>
          <w:rFonts w:ascii="Times New Roman" w:hAnsi="Times New Roman"/>
          <w:b/>
          <w:color w:val="000000"/>
          <w:szCs w:val="22"/>
        </w:rPr>
        <w:tab/>
        <w:t>NUM</w:t>
      </w:r>
      <w:r w:rsidR="00786985" w:rsidRPr="008A5F3B">
        <w:rPr>
          <w:rFonts w:ascii="Times New Roman" w:hAnsi="Times New Roman"/>
          <w:b/>
          <w:color w:val="000000"/>
          <w:szCs w:val="22"/>
        </w:rPr>
        <w:t>É</w:t>
      </w:r>
      <w:r w:rsidRPr="008A5F3B">
        <w:rPr>
          <w:rFonts w:ascii="Times New Roman" w:hAnsi="Times New Roman"/>
          <w:b/>
          <w:color w:val="000000"/>
          <w:szCs w:val="22"/>
        </w:rPr>
        <w:t xml:space="preserve">RO(S) D’AUTORISATION DE MISE </w:t>
      </w:r>
      <w:smartTag w:uri="urn:schemas-microsoft-com:office:smarttags" w:element="stockticker">
        <w:r w:rsidRPr="008A5F3B">
          <w:rPr>
            <w:rFonts w:ascii="Times New Roman" w:hAnsi="Times New Roman"/>
            <w:b/>
            <w:color w:val="000000"/>
            <w:szCs w:val="22"/>
          </w:rPr>
          <w:t>SUR</w:t>
        </w:r>
      </w:smartTag>
      <w:r w:rsidRPr="008A5F3B">
        <w:rPr>
          <w:rFonts w:ascii="Times New Roman" w:hAnsi="Times New Roman"/>
          <w:b/>
          <w:color w:val="000000"/>
          <w:szCs w:val="22"/>
        </w:rPr>
        <w:t xml:space="preserve"> LE MARCH</w:t>
      </w:r>
      <w:r w:rsidR="00786985" w:rsidRPr="008A5F3B">
        <w:rPr>
          <w:rFonts w:ascii="Times New Roman" w:hAnsi="Times New Roman"/>
          <w:b/>
          <w:color w:val="000000"/>
          <w:szCs w:val="22"/>
        </w:rPr>
        <w:t>É</w:t>
      </w:r>
    </w:p>
    <w:p w14:paraId="6E683894" w14:textId="77777777" w:rsidR="007D642D" w:rsidRPr="008A5F3B" w:rsidRDefault="007D642D" w:rsidP="007F23EE">
      <w:pPr>
        <w:suppressAutoHyphens/>
        <w:rPr>
          <w:rFonts w:ascii="Times New Roman" w:hAnsi="Times New Roman"/>
          <w:color w:val="000000"/>
          <w:szCs w:val="22"/>
        </w:rPr>
      </w:pPr>
    </w:p>
    <w:p w14:paraId="2F4F7017" w14:textId="77777777" w:rsidR="007D642D" w:rsidRPr="008A5F3B" w:rsidRDefault="007D642D" w:rsidP="007F23EE">
      <w:pPr>
        <w:tabs>
          <w:tab w:val="left" w:pos="2268"/>
        </w:tabs>
        <w:suppressAutoHyphens/>
        <w:rPr>
          <w:rFonts w:ascii="Times New Roman" w:hAnsi="Times New Roman"/>
          <w:color w:val="000000"/>
          <w:szCs w:val="22"/>
          <w:shd w:val="clear" w:color="auto" w:fill="D9D9D9"/>
        </w:rPr>
      </w:pPr>
      <w:r w:rsidRPr="008A5F3B">
        <w:rPr>
          <w:rFonts w:ascii="Times New Roman" w:hAnsi="Times New Roman"/>
          <w:color w:val="000000"/>
          <w:szCs w:val="22"/>
        </w:rPr>
        <w:t>EU/1/01/198/007</w:t>
      </w:r>
      <w:r w:rsidRPr="008A5F3B">
        <w:rPr>
          <w:rFonts w:ascii="Times New Roman" w:hAnsi="Times New Roman"/>
          <w:color w:val="000000"/>
          <w:szCs w:val="22"/>
        </w:rPr>
        <w:tab/>
      </w:r>
      <w:r w:rsidRPr="008A5F3B">
        <w:rPr>
          <w:rFonts w:ascii="Times New Roman" w:hAnsi="Times New Roman"/>
          <w:color w:val="000000"/>
          <w:szCs w:val="22"/>
          <w:shd w:val="clear" w:color="auto" w:fill="D9D9D9"/>
        </w:rPr>
        <w:t>20 comprimés</w:t>
      </w:r>
      <w:r w:rsidR="005A129E" w:rsidRPr="008A5F3B">
        <w:rPr>
          <w:rFonts w:ascii="Times New Roman" w:hAnsi="Times New Roman"/>
          <w:color w:val="000000"/>
          <w:szCs w:val="22"/>
          <w:shd w:val="pct15" w:color="auto" w:fill="auto"/>
        </w:rPr>
        <w:t xml:space="preserve"> (Plaquettes thermoformées en PVC/aluminium)</w:t>
      </w:r>
    </w:p>
    <w:p w14:paraId="158BF29B" w14:textId="77777777" w:rsidR="007D642D" w:rsidRPr="008A5F3B" w:rsidRDefault="007D642D" w:rsidP="007F23EE">
      <w:pPr>
        <w:tabs>
          <w:tab w:val="left" w:pos="2268"/>
        </w:tabs>
        <w:suppressAutoHyphens/>
        <w:rPr>
          <w:rFonts w:ascii="Times New Roman" w:hAnsi="Times New Roman"/>
          <w:color w:val="000000"/>
          <w:szCs w:val="22"/>
          <w:shd w:val="clear" w:color="auto" w:fill="D9D9D9"/>
        </w:rPr>
      </w:pPr>
      <w:r w:rsidRPr="008A5F3B">
        <w:rPr>
          <w:rFonts w:ascii="Times New Roman" w:hAnsi="Times New Roman"/>
          <w:color w:val="000000"/>
          <w:szCs w:val="22"/>
          <w:shd w:val="clear" w:color="auto" w:fill="D9D9D9"/>
        </w:rPr>
        <w:t>EU/1/01/198/008</w:t>
      </w:r>
      <w:r w:rsidRPr="008A5F3B">
        <w:rPr>
          <w:rFonts w:ascii="Times New Roman" w:hAnsi="Times New Roman"/>
          <w:color w:val="000000"/>
          <w:szCs w:val="22"/>
          <w:shd w:val="clear" w:color="auto" w:fill="D9D9D9"/>
        </w:rPr>
        <w:tab/>
        <w:t>60 comprimés</w:t>
      </w:r>
      <w:r w:rsidR="005A129E" w:rsidRPr="008A5F3B">
        <w:rPr>
          <w:rFonts w:ascii="Times New Roman" w:hAnsi="Times New Roman"/>
          <w:color w:val="000000"/>
          <w:szCs w:val="22"/>
          <w:shd w:val="pct15" w:color="auto" w:fill="auto"/>
        </w:rPr>
        <w:t xml:space="preserve"> (Plaquettes thermoformées en PVC/aluminium)</w:t>
      </w:r>
    </w:p>
    <w:p w14:paraId="34E6EC64" w14:textId="77777777" w:rsidR="007D642D" w:rsidRPr="008A5F3B" w:rsidRDefault="007D642D" w:rsidP="007F23EE">
      <w:pPr>
        <w:tabs>
          <w:tab w:val="left" w:pos="2268"/>
        </w:tabs>
        <w:suppressAutoHyphens/>
        <w:rPr>
          <w:rFonts w:ascii="Times New Roman" w:hAnsi="Times New Roman"/>
          <w:color w:val="000000"/>
          <w:szCs w:val="22"/>
          <w:shd w:val="clear" w:color="auto" w:fill="D9D9D9"/>
        </w:rPr>
      </w:pPr>
      <w:r w:rsidRPr="008A5F3B">
        <w:rPr>
          <w:rFonts w:ascii="Times New Roman" w:hAnsi="Times New Roman"/>
          <w:color w:val="000000"/>
          <w:szCs w:val="22"/>
          <w:shd w:val="clear" w:color="auto" w:fill="D9D9D9"/>
        </w:rPr>
        <w:t>EU/1/01/198/011</w:t>
      </w:r>
      <w:r w:rsidRPr="008A5F3B">
        <w:rPr>
          <w:rFonts w:ascii="Times New Roman" w:hAnsi="Times New Roman"/>
          <w:color w:val="000000"/>
          <w:szCs w:val="22"/>
          <w:shd w:val="clear" w:color="auto" w:fill="D9D9D9"/>
        </w:rPr>
        <w:tab/>
        <w:t>120 comprimés</w:t>
      </w:r>
      <w:r w:rsidR="005A129E" w:rsidRPr="008A5F3B">
        <w:rPr>
          <w:rFonts w:ascii="Times New Roman" w:hAnsi="Times New Roman"/>
          <w:color w:val="000000"/>
          <w:szCs w:val="22"/>
          <w:shd w:val="pct15" w:color="auto" w:fill="auto"/>
        </w:rPr>
        <w:t xml:space="preserve"> (Plaquettes thermoformées en PVC/aluminium)</w:t>
      </w:r>
    </w:p>
    <w:p w14:paraId="1A078821" w14:textId="77777777" w:rsidR="007D642D" w:rsidRPr="008A5F3B" w:rsidRDefault="007D642D" w:rsidP="007F23EE">
      <w:pPr>
        <w:tabs>
          <w:tab w:val="left" w:pos="2268"/>
        </w:tabs>
        <w:suppressAutoHyphens/>
        <w:rPr>
          <w:rFonts w:ascii="Times New Roman" w:hAnsi="Times New Roman"/>
          <w:color w:val="000000"/>
          <w:szCs w:val="22"/>
          <w:shd w:val="clear" w:color="auto" w:fill="D9D9D9"/>
        </w:rPr>
      </w:pPr>
      <w:r w:rsidRPr="008A5F3B">
        <w:rPr>
          <w:rFonts w:ascii="Times New Roman" w:hAnsi="Times New Roman"/>
          <w:color w:val="000000"/>
          <w:szCs w:val="22"/>
          <w:shd w:val="clear" w:color="auto" w:fill="D9D9D9"/>
        </w:rPr>
        <w:t>EU/1/01/198/012</w:t>
      </w:r>
      <w:r w:rsidRPr="008A5F3B">
        <w:rPr>
          <w:rFonts w:ascii="Times New Roman" w:hAnsi="Times New Roman"/>
          <w:color w:val="000000"/>
          <w:szCs w:val="22"/>
          <w:shd w:val="clear" w:color="auto" w:fill="D9D9D9"/>
        </w:rPr>
        <w:tab/>
        <w:t>180 comprimés</w:t>
      </w:r>
      <w:r w:rsidR="005A129E" w:rsidRPr="008A5F3B">
        <w:rPr>
          <w:rFonts w:ascii="Times New Roman" w:hAnsi="Times New Roman"/>
          <w:color w:val="000000"/>
          <w:szCs w:val="22"/>
          <w:shd w:val="pct15" w:color="auto" w:fill="auto"/>
        </w:rPr>
        <w:t xml:space="preserve"> (Plaquettes thermoformées en PVC/aluminium)</w:t>
      </w:r>
    </w:p>
    <w:p w14:paraId="2DFE1EA0" w14:textId="77777777" w:rsidR="005A129E" w:rsidRPr="008A5F3B" w:rsidRDefault="005A129E" w:rsidP="007F23EE">
      <w:pPr>
        <w:suppressAutoHyphens/>
        <w:ind w:left="2268" w:hanging="2268"/>
        <w:rPr>
          <w:rFonts w:ascii="Times New Roman" w:hAnsi="Times New Roman"/>
          <w:color w:val="000000"/>
          <w:szCs w:val="22"/>
          <w:shd w:val="pct15" w:color="auto" w:fill="auto"/>
        </w:rPr>
      </w:pPr>
      <w:r w:rsidRPr="008A5F3B">
        <w:rPr>
          <w:rFonts w:ascii="Times New Roman" w:hAnsi="Times New Roman"/>
          <w:color w:val="000000"/>
          <w:szCs w:val="22"/>
          <w:shd w:val="pct15" w:color="auto" w:fill="auto"/>
        </w:rPr>
        <w:t>EU/1/01/198/01</w:t>
      </w:r>
      <w:r w:rsidR="00846CCA" w:rsidRPr="008A5F3B">
        <w:rPr>
          <w:rFonts w:ascii="Times New Roman" w:hAnsi="Times New Roman"/>
          <w:color w:val="000000"/>
          <w:szCs w:val="22"/>
          <w:shd w:val="pct15" w:color="auto" w:fill="auto"/>
        </w:rPr>
        <w:t>4</w:t>
      </w:r>
      <w:r w:rsidRPr="008A5F3B">
        <w:rPr>
          <w:rFonts w:ascii="Times New Roman" w:hAnsi="Times New Roman"/>
          <w:color w:val="000000"/>
          <w:szCs w:val="22"/>
          <w:shd w:val="pct15" w:color="auto" w:fill="auto"/>
        </w:rPr>
        <w:tab/>
      </w:r>
      <w:r w:rsidR="00846CCA" w:rsidRPr="008A5F3B">
        <w:rPr>
          <w:rFonts w:ascii="Times New Roman" w:hAnsi="Times New Roman"/>
          <w:color w:val="000000"/>
          <w:szCs w:val="22"/>
          <w:shd w:val="pct15" w:color="auto" w:fill="auto"/>
        </w:rPr>
        <w:t>6</w:t>
      </w:r>
      <w:r w:rsidRPr="008A5F3B">
        <w:rPr>
          <w:rFonts w:ascii="Times New Roman" w:hAnsi="Times New Roman"/>
          <w:color w:val="000000"/>
          <w:szCs w:val="22"/>
          <w:shd w:val="pct15" w:color="auto" w:fill="auto"/>
        </w:rPr>
        <w:t>0 comprimés (Plaquettes thermoformées en PVDC/aluminium)</w:t>
      </w:r>
    </w:p>
    <w:p w14:paraId="08E9A24A" w14:textId="77777777" w:rsidR="005A129E" w:rsidRPr="008A5F3B" w:rsidRDefault="005A129E" w:rsidP="007F23EE">
      <w:pPr>
        <w:suppressAutoHyphens/>
        <w:ind w:left="2268" w:hanging="2268"/>
        <w:rPr>
          <w:rFonts w:ascii="Times New Roman" w:hAnsi="Times New Roman"/>
          <w:color w:val="000000"/>
          <w:szCs w:val="22"/>
          <w:shd w:val="pct15" w:color="auto" w:fill="auto"/>
        </w:rPr>
      </w:pPr>
      <w:r w:rsidRPr="008A5F3B">
        <w:rPr>
          <w:rFonts w:ascii="Times New Roman" w:hAnsi="Times New Roman"/>
          <w:color w:val="000000"/>
          <w:szCs w:val="22"/>
          <w:shd w:val="pct15" w:color="auto" w:fill="auto"/>
        </w:rPr>
        <w:t>EU/1/01/198/01</w:t>
      </w:r>
      <w:r w:rsidR="00846CCA" w:rsidRPr="008A5F3B">
        <w:rPr>
          <w:rFonts w:ascii="Times New Roman" w:hAnsi="Times New Roman"/>
          <w:color w:val="000000"/>
          <w:szCs w:val="22"/>
          <w:shd w:val="pct15" w:color="auto" w:fill="auto"/>
        </w:rPr>
        <w:t>5</w:t>
      </w:r>
      <w:r w:rsidRPr="008A5F3B">
        <w:rPr>
          <w:rFonts w:ascii="Times New Roman" w:hAnsi="Times New Roman"/>
          <w:color w:val="000000"/>
          <w:szCs w:val="22"/>
          <w:shd w:val="pct15" w:color="auto" w:fill="auto"/>
        </w:rPr>
        <w:tab/>
        <w:t>1</w:t>
      </w:r>
      <w:r w:rsidR="00846CCA" w:rsidRPr="008A5F3B">
        <w:rPr>
          <w:rFonts w:ascii="Times New Roman" w:hAnsi="Times New Roman"/>
          <w:color w:val="000000"/>
          <w:szCs w:val="22"/>
          <w:shd w:val="pct15" w:color="auto" w:fill="auto"/>
        </w:rPr>
        <w:t>2</w:t>
      </w:r>
      <w:r w:rsidRPr="008A5F3B">
        <w:rPr>
          <w:rFonts w:ascii="Times New Roman" w:hAnsi="Times New Roman"/>
          <w:color w:val="000000"/>
          <w:szCs w:val="22"/>
          <w:shd w:val="pct15" w:color="auto" w:fill="auto"/>
        </w:rPr>
        <w:t>0 comprimés (Plaquettes thermoformées en PVDC/aluminium)</w:t>
      </w:r>
    </w:p>
    <w:p w14:paraId="0603B346" w14:textId="77777777" w:rsidR="00034653" w:rsidRPr="008A5F3B" w:rsidRDefault="00034653" w:rsidP="007F23EE">
      <w:pPr>
        <w:tabs>
          <w:tab w:val="left" w:pos="2268"/>
        </w:tabs>
        <w:suppressAutoHyphens/>
        <w:rPr>
          <w:rFonts w:ascii="Times New Roman" w:hAnsi="Times New Roman"/>
          <w:color w:val="000000"/>
          <w:szCs w:val="22"/>
          <w:shd w:val="clear" w:color="auto" w:fill="D9D9D9"/>
        </w:rPr>
      </w:pPr>
      <w:r w:rsidRPr="008A5F3B">
        <w:rPr>
          <w:rFonts w:ascii="Times New Roman" w:hAnsi="Times New Roman"/>
          <w:color w:val="000000"/>
          <w:szCs w:val="22"/>
          <w:shd w:val="clear" w:color="auto" w:fill="D9D9D9"/>
        </w:rPr>
        <w:t>EU/1/01/198/01</w:t>
      </w:r>
      <w:r w:rsidR="00846CCA" w:rsidRPr="008A5F3B">
        <w:rPr>
          <w:rFonts w:ascii="Times New Roman" w:hAnsi="Times New Roman"/>
          <w:color w:val="000000"/>
          <w:szCs w:val="22"/>
          <w:shd w:val="clear" w:color="auto" w:fill="D9D9D9"/>
        </w:rPr>
        <w:t>6</w:t>
      </w:r>
      <w:r w:rsidRPr="008A5F3B">
        <w:rPr>
          <w:rFonts w:ascii="Times New Roman" w:hAnsi="Times New Roman"/>
          <w:color w:val="000000"/>
          <w:szCs w:val="22"/>
          <w:shd w:val="clear" w:color="auto" w:fill="D9D9D9"/>
        </w:rPr>
        <w:tab/>
      </w:r>
      <w:r w:rsidR="00846CCA" w:rsidRPr="008A5F3B">
        <w:rPr>
          <w:rFonts w:ascii="Times New Roman" w:hAnsi="Times New Roman"/>
          <w:color w:val="000000"/>
          <w:szCs w:val="22"/>
          <w:shd w:val="clear" w:color="auto" w:fill="D9D9D9"/>
        </w:rPr>
        <w:t>18</w:t>
      </w:r>
      <w:r w:rsidRPr="008A5F3B">
        <w:rPr>
          <w:rFonts w:ascii="Times New Roman" w:hAnsi="Times New Roman"/>
          <w:color w:val="000000"/>
          <w:szCs w:val="22"/>
          <w:shd w:val="clear" w:color="auto" w:fill="D9D9D9"/>
        </w:rPr>
        <w:t>0 comprimés</w:t>
      </w:r>
      <w:r w:rsidRPr="008A5F3B">
        <w:rPr>
          <w:rFonts w:ascii="Times New Roman" w:hAnsi="Times New Roman"/>
          <w:color w:val="000000"/>
          <w:szCs w:val="22"/>
          <w:shd w:val="pct15" w:color="auto" w:fill="auto"/>
        </w:rPr>
        <w:t xml:space="preserve"> (Plaquettes thermoformées en PVDC/aluminium)</w:t>
      </w:r>
    </w:p>
    <w:p w14:paraId="5701355B" w14:textId="77777777" w:rsidR="007D642D" w:rsidRPr="008A5F3B" w:rsidRDefault="007D642D" w:rsidP="007F23EE">
      <w:pPr>
        <w:suppressAutoHyphens/>
        <w:ind w:left="567" w:hanging="567"/>
        <w:rPr>
          <w:rFonts w:ascii="Times New Roman" w:hAnsi="Times New Roman"/>
          <w:color w:val="000000"/>
          <w:szCs w:val="22"/>
        </w:rPr>
      </w:pPr>
    </w:p>
    <w:p w14:paraId="6468D559" w14:textId="77777777" w:rsidR="007D642D" w:rsidRPr="008A5F3B" w:rsidRDefault="007D642D" w:rsidP="007F23EE">
      <w:pPr>
        <w:suppressAutoHyphens/>
        <w:rPr>
          <w:rFonts w:ascii="Times New Roman" w:hAnsi="Times New Roman"/>
          <w:color w:val="000000"/>
          <w:szCs w:val="22"/>
        </w:rPr>
      </w:pPr>
    </w:p>
    <w:p w14:paraId="24CDA9C0"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13.</w:t>
      </w:r>
      <w:r w:rsidRPr="008A5F3B">
        <w:rPr>
          <w:rFonts w:ascii="Times New Roman" w:hAnsi="Times New Roman"/>
          <w:b/>
          <w:color w:val="000000"/>
          <w:szCs w:val="22"/>
        </w:rPr>
        <w:tab/>
        <w:t>NUM</w:t>
      </w:r>
      <w:r w:rsidR="00786985" w:rsidRPr="008A5F3B">
        <w:rPr>
          <w:rFonts w:ascii="Times New Roman" w:hAnsi="Times New Roman"/>
          <w:b/>
          <w:color w:val="000000"/>
          <w:szCs w:val="22"/>
        </w:rPr>
        <w:t>É</w:t>
      </w:r>
      <w:r w:rsidRPr="008A5F3B">
        <w:rPr>
          <w:rFonts w:ascii="Times New Roman" w:hAnsi="Times New Roman"/>
          <w:b/>
          <w:color w:val="000000"/>
          <w:szCs w:val="22"/>
        </w:rPr>
        <w:t>RO DU LOT</w:t>
      </w:r>
    </w:p>
    <w:p w14:paraId="00F5EC3E" w14:textId="77777777" w:rsidR="007D642D" w:rsidRPr="008A5F3B" w:rsidRDefault="007D642D" w:rsidP="007F23EE">
      <w:pPr>
        <w:suppressAutoHyphens/>
        <w:rPr>
          <w:rFonts w:ascii="Times New Roman" w:hAnsi="Times New Roman"/>
          <w:color w:val="000000"/>
          <w:szCs w:val="22"/>
        </w:rPr>
      </w:pPr>
    </w:p>
    <w:p w14:paraId="7574B08E"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Lot</w:t>
      </w:r>
    </w:p>
    <w:p w14:paraId="18A633F9" w14:textId="77777777" w:rsidR="007D642D" w:rsidRPr="008A5F3B" w:rsidRDefault="007D642D" w:rsidP="007F23EE">
      <w:pPr>
        <w:suppressAutoHyphens/>
        <w:rPr>
          <w:rFonts w:ascii="Times New Roman" w:hAnsi="Times New Roman"/>
          <w:color w:val="000000"/>
          <w:szCs w:val="22"/>
        </w:rPr>
      </w:pPr>
    </w:p>
    <w:p w14:paraId="3B248431" w14:textId="77777777" w:rsidR="007D642D" w:rsidRPr="008A5F3B" w:rsidRDefault="007D642D" w:rsidP="007F23EE">
      <w:pPr>
        <w:suppressAutoHyphens/>
        <w:rPr>
          <w:rFonts w:ascii="Times New Roman" w:hAnsi="Times New Roman"/>
          <w:color w:val="000000"/>
          <w:szCs w:val="22"/>
        </w:rPr>
      </w:pPr>
    </w:p>
    <w:p w14:paraId="02F01024"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14.</w:t>
      </w:r>
      <w:r w:rsidRPr="008A5F3B">
        <w:rPr>
          <w:rFonts w:ascii="Times New Roman" w:hAnsi="Times New Roman"/>
          <w:b/>
          <w:color w:val="000000"/>
          <w:szCs w:val="22"/>
        </w:rPr>
        <w:tab/>
        <w:t>CONDITIONS DE PRESCRIPTION ET DE D</w:t>
      </w:r>
      <w:r w:rsidR="00786985" w:rsidRPr="008A5F3B">
        <w:rPr>
          <w:rFonts w:ascii="Times New Roman" w:hAnsi="Times New Roman"/>
          <w:b/>
          <w:color w:val="000000"/>
          <w:szCs w:val="22"/>
        </w:rPr>
        <w:t>É</w:t>
      </w:r>
      <w:r w:rsidRPr="008A5F3B">
        <w:rPr>
          <w:rFonts w:ascii="Times New Roman" w:hAnsi="Times New Roman"/>
          <w:b/>
          <w:color w:val="000000"/>
          <w:szCs w:val="22"/>
        </w:rPr>
        <w:t>LIVRANCE</w:t>
      </w:r>
    </w:p>
    <w:p w14:paraId="4EA7DB5E" w14:textId="77777777" w:rsidR="007D642D" w:rsidRPr="008A5F3B" w:rsidRDefault="007D642D" w:rsidP="007F23EE">
      <w:pPr>
        <w:suppressAutoHyphens/>
        <w:rPr>
          <w:rFonts w:ascii="Times New Roman" w:hAnsi="Times New Roman"/>
          <w:color w:val="000000"/>
          <w:szCs w:val="22"/>
        </w:rPr>
      </w:pPr>
    </w:p>
    <w:p w14:paraId="18977806" w14:textId="77777777" w:rsidR="007D642D" w:rsidRPr="008A5F3B" w:rsidRDefault="007D642D" w:rsidP="007F23EE">
      <w:pPr>
        <w:suppressAutoHyphens/>
        <w:rPr>
          <w:rFonts w:ascii="Times New Roman" w:hAnsi="Times New Roman"/>
          <w:color w:val="000000"/>
          <w:szCs w:val="22"/>
        </w:rPr>
      </w:pPr>
    </w:p>
    <w:p w14:paraId="05E4449E"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15.</w:t>
      </w:r>
      <w:r w:rsidRPr="008A5F3B">
        <w:rPr>
          <w:rFonts w:ascii="Times New Roman" w:hAnsi="Times New Roman"/>
          <w:b/>
          <w:color w:val="000000"/>
          <w:szCs w:val="22"/>
        </w:rPr>
        <w:tab/>
        <w:t>INDICATIONS D’UTILISATION</w:t>
      </w:r>
    </w:p>
    <w:p w14:paraId="21290AFC" w14:textId="77777777" w:rsidR="007D642D" w:rsidRPr="008A5F3B" w:rsidRDefault="007D642D" w:rsidP="007F23EE">
      <w:pPr>
        <w:suppressAutoHyphens/>
        <w:rPr>
          <w:rFonts w:ascii="Times New Roman" w:hAnsi="Times New Roman"/>
          <w:color w:val="000000"/>
          <w:szCs w:val="22"/>
        </w:rPr>
      </w:pPr>
    </w:p>
    <w:p w14:paraId="3E97381E" w14:textId="77777777" w:rsidR="007D642D" w:rsidRPr="008A5F3B" w:rsidRDefault="007D642D" w:rsidP="007F23EE">
      <w:pPr>
        <w:suppressAutoHyphens/>
        <w:rPr>
          <w:rFonts w:ascii="Times New Roman" w:hAnsi="Times New Roman"/>
          <w:color w:val="000000"/>
          <w:szCs w:val="22"/>
        </w:rPr>
      </w:pPr>
    </w:p>
    <w:p w14:paraId="4A50B72E"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16.</w:t>
      </w:r>
      <w:r w:rsidRPr="008A5F3B">
        <w:rPr>
          <w:rFonts w:ascii="Times New Roman" w:hAnsi="Times New Roman"/>
          <w:b/>
          <w:color w:val="000000"/>
          <w:szCs w:val="22"/>
        </w:rPr>
        <w:tab/>
        <w:t>INFORMATIONS EN BRAILLE</w:t>
      </w:r>
    </w:p>
    <w:p w14:paraId="15904936" w14:textId="77777777" w:rsidR="007D642D" w:rsidRPr="008A5F3B" w:rsidRDefault="007D642D" w:rsidP="007F23EE">
      <w:pPr>
        <w:suppressAutoHyphens/>
        <w:rPr>
          <w:rFonts w:ascii="Times New Roman" w:hAnsi="Times New Roman"/>
          <w:color w:val="000000"/>
          <w:szCs w:val="22"/>
        </w:rPr>
      </w:pPr>
    </w:p>
    <w:p w14:paraId="5B556CDD" w14:textId="77777777" w:rsidR="007D642D" w:rsidRPr="008A5F3B" w:rsidRDefault="007D642D" w:rsidP="007F23EE">
      <w:pPr>
        <w:suppressAutoHyphens/>
        <w:rPr>
          <w:rFonts w:ascii="Times New Roman" w:hAnsi="Times New Roman"/>
          <w:color w:val="000000"/>
          <w:szCs w:val="22"/>
        </w:rPr>
      </w:pPr>
      <w:r w:rsidRPr="008A5F3B">
        <w:rPr>
          <w:rFonts w:ascii="Times New Roman" w:hAnsi="Times New Roman"/>
          <w:color w:val="000000"/>
          <w:szCs w:val="22"/>
        </w:rPr>
        <w:t>Glivec 100 mg</w:t>
      </w:r>
    </w:p>
    <w:p w14:paraId="773E48BA" w14:textId="77777777" w:rsidR="00777258" w:rsidRPr="008A5F3B" w:rsidRDefault="00777258" w:rsidP="007F23EE">
      <w:pPr>
        <w:suppressAutoHyphens/>
        <w:rPr>
          <w:rFonts w:ascii="Times New Roman" w:hAnsi="Times New Roman"/>
          <w:color w:val="000000"/>
          <w:szCs w:val="22"/>
        </w:rPr>
      </w:pPr>
    </w:p>
    <w:p w14:paraId="2B78FDBC" w14:textId="77777777" w:rsidR="007D642D" w:rsidRPr="008A5F3B" w:rsidRDefault="007D642D" w:rsidP="007F23EE">
      <w:pPr>
        <w:suppressAutoHyphens/>
        <w:rPr>
          <w:rFonts w:ascii="Times New Roman" w:hAnsi="Times New Roman"/>
          <w:color w:val="000000"/>
          <w:szCs w:val="22"/>
        </w:rPr>
      </w:pPr>
    </w:p>
    <w:p w14:paraId="5BAADA01" w14:textId="77777777" w:rsidR="002D19F2" w:rsidRPr="008A5F3B" w:rsidRDefault="002D19F2" w:rsidP="007F23EE">
      <w:pPr>
        <w:pBdr>
          <w:top w:val="single" w:sz="4" w:space="1" w:color="auto"/>
          <w:left w:val="single" w:sz="4" w:space="4" w:color="auto"/>
          <w:bottom w:val="single" w:sz="4" w:space="1" w:color="auto"/>
          <w:right w:val="single" w:sz="4" w:space="4" w:color="auto"/>
        </w:pBdr>
        <w:rPr>
          <w:rFonts w:ascii="Times New Roman" w:hAnsi="Times New Roman"/>
          <w:i/>
          <w:noProof/>
        </w:rPr>
      </w:pPr>
      <w:r w:rsidRPr="008A5F3B">
        <w:rPr>
          <w:rFonts w:ascii="Times New Roman" w:hAnsi="Times New Roman"/>
          <w:b/>
          <w:noProof/>
        </w:rPr>
        <w:t>17.</w:t>
      </w:r>
      <w:r w:rsidRPr="008A5F3B">
        <w:rPr>
          <w:rFonts w:ascii="Times New Roman" w:hAnsi="Times New Roman"/>
          <w:b/>
          <w:noProof/>
        </w:rPr>
        <w:tab/>
        <w:t>IDENTIFIANT UNIQUE - CODE-BARRES 2D</w:t>
      </w:r>
    </w:p>
    <w:p w14:paraId="447A47DB" w14:textId="77777777" w:rsidR="002D19F2" w:rsidRPr="008A5F3B" w:rsidRDefault="002D19F2" w:rsidP="007F23EE">
      <w:pPr>
        <w:rPr>
          <w:rFonts w:ascii="Times New Roman" w:hAnsi="Times New Roman"/>
          <w:shd w:val="pct15" w:color="auto" w:fill="auto"/>
        </w:rPr>
      </w:pPr>
    </w:p>
    <w:p w14:paraId="22238130" w14:textId="77777777" w:rsidR="002D19F2" w:rsidRPr="008A5F3B" w:rsidRDefault="002D19F2" w:rsidP="007F23EE">
      <w:pPr>
        <w:rPr>
          <w:rFonts w:ascii="Times New Roman" w:hAnsi="Times New Roman"/>
          <w:shd w:val="pct15" w:color="auto" w:fill="auto"/>
        </w:rPr>
      </w:pPr>
      <w:r w:rsidRPr="008A5F3B">
        <w:rPr>
          <w:rFonts w:ascii="Times New Roman" w:hAnsi="Times New Roman"/>
          <w:shd w:val="pct15" w:color="auto" w:fill="auto"/>
        </w:rPr>
        <w:t>Code-barres 2D portant l'identifiant unique inclus.</w:t>
      </w:r>
    </w:p>
    <w:p w14:paraId="471FE61A" w14:textId="77777777" w:rsidR="002D19F2" w:rsidRPr="008A5F3B" w:rsidRDefault="002D19F2" w:rsidP="007F23EE">
      <w:pPr>
        <w:rPr>
          <w:rFonts w:ascii="Times New Roman" w:hAnsi="Times New Roman"/>
          <w:noProof/>
        </w:rPr>
      </w:pPr>
    </w:p>
    <w:p w14:paraId="2DCB6137" w14:textId="77777777" w:rsidR="002D19F2" w:rsidRPr="008A5F3B" w:rsidRDefault="002D19F2" w:rsidP="007F23EE">
      <w:pPr>
        <w:rPr>
          <w:rFonts w:ascii="Times New Roman" w:hAnsi="Times New Roman"/>
          <w:noProof/>
        </w:rPr>
      </w:pPr>
    </w:p>
    <w:p w14:paraId="6E5D58CA" w14:textId="77777777" w:rsidR="002D19F2" w:rsidRPr="008A5F3B" w:rsidRDefault="002D19F2" w:rsidP="007F23EE">
      <w:pPr>
        <w:pBdr>
          <w:top w:val="single" w:sz="4" w:space="1" w:color="auto"/>
          <w:left w:val="single" w:sz="4" w:space="4" w:color="auto"/>
          <w:bottom w:val="single" w:sz="4" w:space="1" w:color="auto"/>
          <w:right w:val="single" w:sz="4" w:space="4" w:color="auto"/>
        </w:pBdr>
        <w:ind w:left="-3"/>
        <w:rPr>
          <w:rFonts w:ascii="Times New Roman" w:hAnsi="Times New Roman"/>
          <w:i/>
          <w:noProof/>
        </w:rPr>
      </w:pPr>
      <w:r w:rsidRPr="008A5F3B">
        <w:rPr>
          <w:rFonts w:ascii="Times New Roman" w:hAnsi="Times New Roman"/>
          <w:b/>
          <w:noProof/>
        </w:rPr>
        <w:t>18.</w:t>
      </w:r>
      <w:r w:rsidRPr="008A5F3B">
        <w:rPr>
          <w:rFonts w:ascii="Times New Roman" w:hAnsi="Times New Roman"/>
          <w:b/>
          <w:noProof/>
        </w:rPr>
        <w:tab/>
        <w:t>IDENTIFIANT UNIQUE - DONNÉES LISIBLES PAR LES HUMAINS</w:t>
      </w:r>
    </w:p>
    <w:p w14:paraId="0E24271C" w14:textId="77777777" w:rsidR="002D19F2" w:rsidRPr="008A5F3B" w:rsidRDefault="002D19F2" w:rsidP="007F23EE">
      <w:pPr>
        <w:rPr>
          <w:rFonts w:ascii="Times New Roman" w:hAnsi="Times New Roman"/>
          <w:noProof/>
        </w:rPr>
      </w:pPr>
    </w:p>
    <w:p w14:paraId="1BFD1C0A" w14:textId="690CDF31" w:rsidR="002D19F2" w:rsidRPr="008A5F3B" w:rsidRDefault="002D19F2" w:rsidP="007F23EE">
      <w:pPr>
        <w:rPr>
          <w:rFonts w:ascii="Times New Roman" w:hAnsi="Times New Roman"/>
          <w:color w:val="000000" w:themeColor="text1"/>
        </w:rPr>
      </w:pPr>
      <w:r w:rsidRPr="008A5F3B">
        <w:rPr>
          <w:rFonts w:ascii="Times New Roman" w:hAnsi="Times New Roman"/>
          <w:color w:val="000000" w:themeColor="text1"/>
        </w:rPr>
        <w:t>PC</w:t>
      </w:r>
    </w:p>
    <w:p w14:paraId="58296E51" w14:textId="2DDB4487" w:rsidR="002D19F2" w:rsidRPr="008A5F3B" w:rsidRDefault="002D19F2" w:rsidP="007F23EE">
      <w:pPr>
        <w:rPr>
          <w:rFonts w:ascii="Times New Roman" w:hAnsi="Times New Roman"/>
          <w:szCs w:val="22"/>
        </w:rPr>
      </w:pPr>
      <w:r w:rsidRPr="008A5F3B">
        <w:rPr>
          <w:rFonts w:ascii="Times New Roman" w:hAnsi="Times New Roman"/>
        </w:rPr>
        <w:t>SN</w:t>
      </w:r>
    </w:p>
    <w:p w14:paraId="487A0C97" w14:textId="4FE0ADD5" w:rsidR="002D19F2" w:rsidRPr="008A5F3B" w:rsidRDefault="002D19F2" w:rsidP="007F23EE">
      <w:pPr>
        <w:rPr>
          <w:rFonts w:ascii="Times New Roman" w:hAnsi="Times New Roman"/>
          <w:shd w:val="pct15" w:color="auto" w:fill="auto"/>
        </w:rPr>
      </w:pPr>
      <w:r w:rsidRPr="008A5F3B">
        <w:rPr>
          <w:rFonts w:ascii="Times New Roman" w:hAnsi="Times New Roman"/>
        </w:rPr>
        <w:t>NN</w:t>
      </w:r>
    </w:p>
    <w:p w14:paraId="0D41DDAB" w14:textId="77777777" w:rsidR="002D19F2" w:rsidRPr="008A5F3B" w:rsidRDefault="002D19F2" w:rsidP="007F23EE">
      <w:pPr>
        <w:suppressAutoHyphens/>
        <w:rPr>
          <w:rFonts w:ascii="Times New Roman" w:hAnsi="Times New Roman"/>
          <w:color w:val="000000"/>
          <w:szCs w:val="22"/>
        </w:rPr>
      </w:pPr>
    </w:p>
    <w:p w14:paraId="32E1904F" w14:textId="77777777" w:rsidR="007D642D" w:rsidRPr="008A5F3B" w:rsidRDefault="007D642D" w:rsidP="007F23EE">
      <w:pPr>
        <w:suppressAutoHyphens/>
        <w:rPr>
          <w:rFonts w:ascii="Times New Roman" w:hAnsi="Times New Roman"/>
          <w:color w:val="000000"/>
          <w:szCs w:val="22"/>
        </w:rPr>
      </w:pPr>
      <w:r w:rsidRPr="008A5F3B">
        <w:rPr>
          <w:rFonts w:ascii="Times New Roman" w:hAnsi="Times New Roman"/>
          <w:i/>
          <w:color w:val="000000"/>
          <w:szCs w:val="22"/>
        </w:rPr>
        <w:br w:type="page"/>
      </w:r>
    </w:p>
    <w:p w14:paraId="126A0077" w14:textId="77777777" w:rsidR="00C67CDE" w:rsidRPr="008A5F3B" w:rsidRDefault="00C67CDE" w:rsidP="007F23EE">
      <w:pPr>
        <w:suppressAutoHyphens/>
        <w:rPr>
          <w:rFonts w:ascii="Times New Roman" w:hAnsi="Times New Roman"/>
          <w:color w:val="000000"/>
          <w:szCs w:val="22"/>
        </w:rPr>
      </w:pPr>
    </w:p>
    <w:p w14:paraId="07A09FF0" w14:textId="062A9ED2" w:rsidR="007D642D" w:rsidRPr="008A5F3B" w:rsidRDefault="007D642D" w:rsidP="007F23EE">
      <w:pPr>
        <w:pBdr>
          <w:top w:val="single" w:sz="4" w:space="1" w:color="auto"/>
          <w:left w:val="single" w:sz="4" w:space="4" w:color="auto"/>
          <w:bottom w:val="single" w:sz="4" w:space="1" w:color="auto"/>
          <w:right w:val="single" w:sz="4" w:space="4" w:color="auto"/>
        </w:pBdr>
        <w:suppressAutoHyphens/>
        <w:rPr>
          <w:rFonts w:ascii="Times New Roman" w:hAnsi="Times New Roman"/>
          <w:b/>
          <w:color w:val="000000"/>
          <w:szCs w:val="22"/>
        </w:rPr>
      </w:pPr>
      <w:r w:rsidRPr="008A5F3B">
        <w:rPr>
          <w:rFonts w:ascii="Times New Roman" w:hAnsi="Times New Roman"/>
          <w:b/>
          <w:color w:val="000000"/>
          <w:szCs w:val="22"/>
        </w:rPr>
        <w:t xml:space="preserve">MENTIONS MINIMALES DEVANT FIGURER </w:t>
      </w:r>
      <w:smartTag w:uri="urn:schemas-microsoft-com:office:smarttags" w:element="stockticker">
        <w:r w:rsidRPr="008A5F3B">
          <w:rPr>
            <w:rFonts w:ascii="Times New Roman" w:hAnsi="Times New Roman"/>
            <w:b/>
            <w:color w:val="000000"/>
            <w:szCs w:val="22"/>
          </w:rPr>
          <w:t>SUR</w:t>
        </w:r>
      </w:smartTag>
      <w:r w:rsidRPr="008A5F3B">
        <w:rPr>
          <w:rFonts w:ascii="Times New Roman" w:hAnsi="Times New Roman"/>
          <w:b/>
          <w:color w:val="000000"/>
          <w:szCs w:val="22"/>
        </w:rPr>
        <w:t xml:space="preserve"> LES PLAQUETTES OU LES FILMS THERMOSOUD</w:t>
      </w:r>
      <w:r w:rsidR="00786985" w:rsidRPr="008A5F3B">
        <w:rPr>
          <w:rFonts w:ascii="Times New Roman" w:hAnsi="Times New Roman"/>
          <w:b/>
          <w:color w:val="000000"/>
          <w:szCs w:val="22"/>
        </w:rPr>
        <w:t>É</w:t>
      </w:r>
      <w:r w:rsidRPr="008A5F3B">
        <w:rPr>
          <w:rFonts w:ascii="Times New Roman" w:hAnsi="Times New Roman"/>
          <w:b/>
          <w:color w:val="000000"/>
          <w:szCs w:val="22"/>
        </w:rPr>
        <w:t>S</w:t>
      </w:r>
    </w:p>
    <w:p w14:paraId="38247156" w14:textId="77777777" w:rsidR="007D642D" w:rsidRPr="008A5F3B" w:rsidRDefault="007D642D" w:rsidP="007F23EE">
      <w:pPr>
        <w:pBdr>
          <w:top w:val="single" w:sz="4" w:space="1" w:color="auto"/>
          <w:left w:val="single" w:sz="4" w:space="4" w:color="auto"/>
          <w:bottom w:val="single" w:sz="4" w:space="1" w:color="auto"/>
          <w:right w:val="single" w:sz="4" w:space="4" w:color="auto"/>
        </w:pBdr>
        <w:suppressAutoHyphens/>
        <w:rPr>
          <w:rFonts w:ascii="Times New Roman" w:hAnsi="Times New Roman"/>
          <w:color w:val="000000"/>
          <w:szCs w:val="22"/>
        </w:rPr>
      </w:pPr>
    </w:p>
    <w:p w14:paraId="691CBE17" w14:textId="01254E90" w:rsidR="007D642D" w:rsidRPr="008A5F3B" w:rsidRDefault="007D642D" w:rsidP="007F23EE">
      <w:pPr>
        <w:pBdr>
          <w:top w:val="single" w:sz="4" w:space="1" w:color="auto"/>
          <w:left w:val="single" w:sz="4" w:space="4" w:color="auto"/>
          <w:bottom w:val="single" w:sz="4" w:space="1" w:color="auto"/>
          <w:right w:val="single" w:sz="4" w:space="4" w:color="auto"/>
        </w:pBdr>
        <w:suppressAutoHyphens/>
        <w:rPr>
          <w:rFonts w:ascii="Times New Roman" w:hAnsi="Times New Roman"/>
          <w:b/>
          <w:color w:val="000000"/>
          <w:szCs w:val="22"/>
        </w:rPr>
      </w:pPr>
      <w:r w:rsidRPr="008A5F3B">
        <w:rPr>
          <w:rFonts w:ascii="Times New Roman" w:hAnsi="Times New Roman"/>
          <w:b/>
          <w:color w:val="000000"/>
          <w:szCs w:val="22"/>
        </w:rPr>
        <w:t>PLAQUETTES</w:t>
      </w:r>
    </w:p>
    <w:p w14:paraId="0EB56DFF" w14:textId="77777777" w:rsidR="007D642D" w:rsidRPr="008A5F3B" w:rsidRDefault="007D642D" w:rsidP="007F23EE">
      <w:pPr>
        <w:suppressAutoHyphens/>
        <w:rPr>
          <w:rFonts w:ascii="Times New Roman" w:hAnsi="Times New Roman"/>
          <w:color w:val="000000"/>
          <w:szCs w:val="22"/>
        </w:rPr>
      </w:pPr>
    </w:p>
    <w:p w14:paraId="614989DB" w14:textId="77777777" w:rsidR="007D642D" w:rsidRPr="008A5F3B" w:rsidRDefault="007D642D" w:rsidP="007F23EE">
      <w:pPr>
        <w:suppressAutoHyphens/>
        <w:rPr>
          <w:rFonts w:ascii="Times New Roman" w:hAnsi="Times New Roman"/>
          <w:color w:val="000000"/>
          <w:szCs w:val="22"/>
        </w:rPr>
      </w:pPr>
    </w:p>
    <w:p w14:paraId="5D3A7591"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1.</w:t>
      </w:r>
      <w:r w:rsidRPr="008A5F3B">
        <w:rPr>
          <w:rFonts w:ascii="Times New Roman" w:hAnsi="Times New Roman"/>
          <w:b/>
          <w:color w:val="000000"/>
          <w:szCs w:val="22"/>
        </w:rPr>
        <w:tab/>
        <w:t>D</w:t>
      </w:r>
      <w:r w:rsidR="00786985" w:rsidRPr="008A5F3B">
        <w:rPr>
          <w:rFonts w:ascii="Times New Roman" w:hAnsi="Times New Roman"/>
          <w:b/>
          <w:color w:val="000000"/>
          <w:szCs w:val="22"/>
        </w:rPr>
        <w:t>É</w:t>
      </w:r>
      <w:r w:rsidRPr="008A5F3B">
        <w:rPr>
          <w:rFonts w:ascii="Times New Roman" w:hAnsi="Times New Roman"/>
          <w:b/>
          <w:color w:val="000000"/>
          <w:szCs w:val="22"/>
        </w:rPr>
        <w:t>NOMINATION DU M</w:t>
      </w:r>
      <w:r w:rsidR="00786985" w:rsidRPr="008A5F3B">
        <w:rPr>
          <w:rFonts w:ascii="Times New Roman" w:hAnsi="Times New Roman"/>
          <w:b/>
          <w:color w:val="000000"/>
          <w:szCs w:val="22"/>
        </w:rPr>
        <w:t>É</w:t>
      </w:r>
      <w:r w:rsidRPr="008A5F3B">
        <w:rPr>
          <w:rFonts w:ascii="Times New Roman" w:hAnsi="Times New Roman"/>
          <w:b/>
          <w:color w:val="000000"/>
          <w:szCs w:val="22"/>
        </w:rPr>
        <w:t>DICAMENT</w:t>
      </w:r>
    </w:p>
    <w:p w14:paraId="26BD21CE" w14:textId="77777777" w:rsidR="007D642D" w:rsidRPr="008A5F3B" w:rsidRDefault="007D642D" w:rsidP="007F23EE">
      <w:pPr>
        <w:suppressAutoHyphens/>
        <w:rPr>
          <w:rFonts w:ascii="Times New Roman" w:hAnsi="Times New Roman"/>
          <w:color w:val="000000"/>
          <w:szCs w:val="22"/>
        </w:rPr>
      </w:pPr>
    </w:p>
    <w:p w14:paraId="40C6A56A"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Glivec 100 mg comprimés</w:t>
      </w:r>
    </w:p>
    <w:p w14:paraId="1FC4BB96" w14:textId="77777777" w:rsidR="007D642D" w:rsidRPr="008A5F3B" w:rsidRDefault="00D535F2" w:rsidP="007F23EE">
      <w:pPr>
        <w:rPr>
          <w:rFonts w:ascii="Times New Roman" w:hAnsi="Times New Roman"/>
          <w:color w:val="000000"/>
          <w:szCs w:val="22"/>
        </w:rPr>
      </w:pPr>
      <w:proofErr w:type="gramStart"/>
      <w:r w:rsidRPr="008A5F3B">
        <w:rPr>
          <w:rFonts w:ascii="Times New Roman" w:hAnsi="Times New Roman"/>
          <w:color w:val="000000"/>
          <w:szCs w:val="22"/>
        </w:rPr>
        <w:t>i</w:t>
      </w:r>
      <w:r w:rsidR="007D642D" w:rsidRPr="008A5F3B">
        <w:rPr>
          <w:rFonts w:ascii="Times New Roman" w:hAnsi="Times New Roman"/>
          <w:color w:val="000000"/>
          <w:szCs w:val="22"/>
        </w:rPr>
        <w:t>matinib</w:t>
      </w:r>
      <w:proofErr w:type="gramEnd"/>
    </w:p>
    <w:p w14:paraId="595D286E" w14:textId="77777777" w:rsidR="007D642D" w:rsidRPr="008A5F3B" w:rsidRDefault="007D642D" w:rsidP="007F23EE">
      <w:pPr>
        <w:suppressAutoHyphens/>
        <w:rPr>
          <w:rFonts w:ascii="Times New Roman" w:hAnsi="Times New Roman"/>
          <w:color w:val="000000"/>
          <w:szCs w:val="22"/>
        </w:rPr>
      </w:pPr>
    </w:p>
    <w:p w14:paraId="65E4F3FA" w14:textId="77777777" w:rsidR="007D642D" w:rsidRPr="008A5F3B" w:rsidRDefault="007D642D" w:rsidP="007F23EE">
      <w:pPr>
        <w:suppressAutoHyphens/>
        <w:rPr>
          <w:rFonts w:ascii="Times New Roman" w:hAnsi="Times New Roman"/>
          <w:color w:val="000000"/>
          <w:szCs w:val="22"/>
        </w:rPr>
      </w:pPr>
    </w:p>
    <w:p w14:paraId="1B70ACDE" w14:textId="0E9DD668"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2.</w:t>
      </w:r>
      <w:r w:rsidRPr="008A5F3B">
        <w:rPr>
          <w:rFonts w:ascii="Times New Roman" w:hAnsi="Times New Roman"/>
          <w:b/>
          <w:color w:val="000000"/>
          <w:szCs w:val="22"/>
        </w:rPr>
        <w:tab/>
        <w:t>NOM DU TITULAIRE DE L</w:t>
      </w:r>
      <w:r w:rsidR="00813A7A">
        <w:rPr>
          <w:rFonts w:ascii="Times New Roman" w:hAnsi="Times New Roman"/>
          <w:b/>
          <w:color w:val="000000"/>
          <w:szCs w:val="22"/>
        </w:rPr>
        <w:t>’</w:t>
      </w:r>
      <w:r w:rsidRPr="008A5F3B">
        <w:rPr>
          <w:rFonts w:ascii="Times New Roman" w:hAnsi="Times New Roman"/>
          <w:b/>
          <w:color w:val="000000"/>
          <w:szCs w:val="22"/>
        </w:rPr>
        <w:t xml:space="preserve">AUTORISATION DE MISE </w:t>
      </w:r>
      <w:smartTag w:uri="urn:schemas-microsoft-com:office:smarttags" w:element="stockticker">
        <w:r w:rsidRPr="008A5F3B">
          <w:rPr>
            <w:rFonts w:ascii="Times New Roman" w:hAnsi="Times New Roman"/>
            <w:b/>
            <w:color w:val="000000"/>
            <w:szCs w:val="22"/>
          </w:rPr>
          <w:t>SUR</w:t>
        </w:r>
      </w:smartTag>
      <w:r w:rsidRPr="008A5F3B">
        <w:rPr>
          <w:rFonts w:ascii="Times New Roman" w:hAnsi="Times New Roman"/>
          <w:b/>
          <w:color w:val="000000"/>
          <w:szCs w:val="22"/>
        </w:rPr>
        <w:t xml:space="preserve"> LE MARCH</w:t>
      </w:r>
      <w:r w:rsidR="00786985" w:rsidRPr="008A5F3B">
        <w:rPr>
          <w:rFonts w:ascii="Times New Roman" w:hAnsi="Times New Roman"/>
          <w:b/>
          <w:color w:val="000000"/>
          <w:szCs w:val="22"/>
        </w:rPr>
        <w:t>É</w:t>
      </w:r>
    </w:p>
    <w:p w14:paraId="4CA47B77" w14:textId="77777777" w:rsidR="007D642D" w:rsidRPr="008A5F3B" w:rsidRDefault="007D642D" w:rsidP="007F23EE">
      <w:pPr>
        <w:suppressAutoHyphens/>
        <w:rPr>
          <w:rFonts w:ascii="Times New Roman" w:hAnsi="Times New Roman"/>
          <w:color w:val="000000"/>
          <w:szCs w:val="22"/>
        </w:rPr>
      </w:pPr>
    </w:p>
    <w:p w14:paraId="5D21749F"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 xml:space="preserve">Novartis </w:t>
      </w:r>
      <w:proofErr w:type="spellStart"/>
      <w:r w:rsidRPr="008A5F3B">
        <w:rPr>
          <w:rFonts w:ascii="Times New Roman" w:hAnsi="Times New Roman"/>
          <w:color w:val="000000"/>
          <w:szCs w:val="22"/>
        </w:rPr>
        <w:t>Europharm</w:t>
      </w:r>
      <w:proofErr w:type="spellEnd"/>
      <w:r w:rsidRPr="008A5F3B">
        <w:rPr>
          <w:rFonts w:ascii="Times New Roman" w:hAnsi="Times New Roman"/>
          <w:color w:val="000000"/>
          <w:szCs w:val="22"/>
        </w:rPr>
        <w:t xml:space="preserve"> Limited</w:t>
      </w:r>
    </w:p>
    <w:p w14:paraId="6783E348" w14:textId="77777777" w:rsidR="007D642D" w:rsidRPr="008A5F3B" w:rsidRDefault="007D642D" w:rsidP="007F23EE">
      <w:pPr>
        <w:suppressAutoHyphens/>
        <w:rPr>
          <w:rFonts w:ascii="Times New Roman" w:hAnsi="Times New Roman"/>
          <w:color w:val="000000"/>
          <w:szCs w:val="22"/>
        </w:rPr>
      </w:pPr>
    </w:p>
    <w:p w14:paraId="49B33419" w14:textId="77777777" w:rsidR="007D642D" w:rsidRPr="008A5F3B" w:rsidRDefault="007D642D" w:rsidP="007F23EE">
      <w:pPr>
        <w:suppressAutoHyphens/>
        <w:rPr>
          <w:rFonts w:ascii="Times New Roman" w:hAnsi="Times New Roman"/>
          <w:color w:val="000000"/>
          <w:szCs w:val="22"/>
        </w:rPr>
      </w:pPr>
    </w:p>
    <w:p w14:paraId="7AE26EFB"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3.</w:t>
      </w:r>
      <w:r w:rsidRPr="008A5F3B">
        <w:rPr>
          <w:rFonts w:ascii="Times New Roman" w:hAnsi="Times New Roman"/>
          <w:b/>
          <w:color w:val="000000"/>
          <w:szCs w:val="22"/>
        </w:rPr>
        <w:tab/>
        <w:t>DATE DE P</w:t>
      </w:r>
      <w:r w:rsidR="00786985" w:rsidRPr="008A5F3B">
        <w:rPr>
          <w:rFonts w:ascii="Times New Roman" w:hAnsi="Times New Roman"/>
          <w:b/>
          <w:color w:val="000000"/>
          <w:szCs w:val="22"/>
        </w:rPr>
        <w:t>É</w:t>
      </w:r>
      <w:r w:rsidRPr="008A5F3B">
        <w:rPr>
          <w:rFonts w:ascii="Times New Roman" w:hAnsi="Times New Roman"/>
          <w:b/>
          <w:color w:val="000000"/>
          <w:szCs w:val="22"/>
        </w:rPr>
        <w:t>REMPTION</w:t>
      </w:r>
    </w:p>
    <w:p w14:paraId="5BC89376" w14:textId="77777777" w:rsidR="007D642D" w:rsidRPr="008A5F3B" w:rsidRDefault="007D642D" w:rsidP="007F23EE">
      <w:pPr>
        <w:suppressAutoHyphens/>
        <w:rPr>
          <w:rFonts w:ascii="Times New Roman" w:hAnsi="Times New Roman"/>
          <w:color w:val="000000"/>
          <w:szCs w:val="22"/>
        </w:rPr>
      </w:pPr>
    </w:p>
    <w:p w14:paraId="38CDEE82"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EXP</w:t>
      </w:r>
    </w:p>
    <w:p w14:paraId="4F43C67F" w14:textId="77777777" w:rsidR="007D642D" w:rsidRPr="008A5F3B" w:rsidRDefault="007D642D" w:rsidP="007F23EE">
      <w:pPr>
        <w:suppressAutoHyphens/>
        <w:rPr>
          <w:rFonts w:ascii="Times New Roman" w:hAnsi="Times New Roman"/>
          <w:color w:val="000000"/>
          <w:szCs w:val="22"/>
        </w:rPr>
      </w:pPr>
    </w:p>
    <w:p w14:paraId="7622C4BC" w14:textId="77777777" w:rsidR="007D642D" w:rsidRPr="008A5F3B" w:rsidRDefault="007D642D" w:rsidP="007F23EE">
      <w:pPr>
        <w:suppressAutoHyphens/>
        <w:rPr>
          <w:rFonts w:ascii="Times New Roman" w:hAnsi="Times New Roman"/>
          <w:color w:val="000000"/>
          <w:szCs w:val="22"/>
        </w:rPr>
      </w:pPr>
    </w:p>
    <w:p w14:paraId="2EE24EE4"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4.</w:t>
      </w:r>
      <w:r w:rsidRPr="008A5F3B">
        <w:rPr>
          <w:rFonts w:ascii="Times New Roman" w:hAnsi="Times New Roman"/>
          <w:b/>
          <w:color w:val="000000"/>
          <w:szCs w:val="22"/>
        </w:rPr>
        <w:tab/>
        <w:t>NUM</w:t>
      </w:r>
      <w:r w:rsidR="00786985" w:rsidRPr="008A5F3B">
        <w:rPr>
          <w:rFonts w:ascii="Times New Roman" w:hAnsi="Times New Roman"/>
          <w:b/>
          <w:color w:val="000000"/>
          <w:szCs w:val="22"/>
        </w:rPr>
        <w:t>É</w:t>
      </w:r>
      <w:r w:rsidRPr="008A5F3B">
        <w:rPr>
          <w:rFonts w:ascii="Times New Roman" w:hAnsi="Times New Roman"/>
          <w:b/>
          <w:color w:val="000000"/>
          <w:szCs w:val="22"/>
        </w:rPr>
        <w:t>RO DU LOT</w:t>
      </w:r>
    </w:p>
    <w:p w14:paraId="3AF95E90" w14:textId="77777777" w:rsidR="007D642D" w:rsidRPr="008A5F3B" w:rsidRDefault="007D642D" w:rsidP="007F23EE">
      <w:pPr>
        <w:suppressAutoHyphens/>
        <w:rPr>
          <w:rFonts w:ascii="Times New Roman" w:hAnsi="Times New Roman"/>
          <w:color w:val="000000"/>
          <w:szCs w:val="22"/>
        </w:rPr>
      </w:pPr>
    </w:p>
    <w:p w14:paraId="0BAD9D12"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Lot</w:t>
      </w:r>
    </w:p>
    <w:p w14:paraId="1E6F7E74" w14:textId="77777777" w:rsidR="007D642D" w:rsidRPr="008A5F3B" w:rsidRDefault="007D642D" w:rsidP="007F23EE">
      <w:pPr>
        <w:rPr>
          <w:rFonts w:ascii="Times New Roman" w:hAnsi="Times New Roman"/>
          <w:color w:val="000000"/>
          <w:szCs w:val="22"/>
        </w:rPr>
      </w:pPr>
    </w:p>
    <w:p w14:paraId="3652E37C" w14:textId="77777777" w:rsidR="007D642D" w:rsidRPr="008A5F3B" w:rsidRDefault="007D642D" w:rsidP="007F23EE">
      <w:pPr>
        <w:rPr>
          <w:rFonts w:ascii="Times New Roman" w:hAnsi="Times New Roman"/>
          <w:color w:val="000000"/>
          <w:szCs w:val="22"/>
        </w:rPr>
      </w:pPr>
    </w:p>
    <w:p w14:paraId="24EDE07E" w14:textId="77777777" w:rsidR="007D642D" w:rsidRPr="008A5F3B" w:rsidRDefault="007D642D" w:rsidP="007F23EE">
      <w:pPr>
        <w:pBdr>
          <w:top w:val="single" w:sz="4" w:space="1" w:color="auto"/>
          <w:left w:val="single" w:sz="4" w:space="4" w:color="auto"/>
          <w:bottom w:val="single" w:sz="4" w:space="1" w:color="auto"/>
          <w:right w:val="single" w:sz="4" w:space="4" w:color="auto"/>
        </w:pBdr>
        <w:rPr>
          <w:rFonts w:ascii="Times New Roman" w:hAnsi="Times New Roman"/>
          <w:b/>
          <w:color w:val="000000"/>
          <w:szCs w:val="22"/>
        </w:rPr>
      </w:pPr>
      <w:r w:rsidRPr="008A5F3B">
        <w:rPr>
          <w:rFonts w:ascii="Times New Roman" w:hAnsi="Times New Roman"/>
          <w:b/>
          <w:color w:val="000000"/>
          <w:szCs w:val="22"/>
        </w:rPr>
        <w:t>5.</w:t>
      </w:r>
      <w:r w:rsidRPr="008A5F3B">
        <w:rPr>
          <w:rFonts w:ascii="Times New Roman" w:hAnsi="Times New Roman"/>
          <w:b/>
          <w:color w:val="000000"/>
          <w:szCs w:val="22"/>
        </w:rPr>
        <w:tab/>
        <w:t>AUTRE</w:t>
      </w:r>
    </w:p>
    <w:p w14:paraId="54CA1072" w14:textId="77777777" w:rsidR="007D642D" w:rsidRPr="008A5F3B" w:rsidRDefault="007D642D" w:rsidP="007F23EE">
      <w:pPr>
        <w:rPr>
          <w:rFonts w:ascii="Times New Roman" w:hAnsi="Times New Roman"/>
          <w:color w:val="000000"/>
          <w:szCs w:val="22"/>
        </w:rPr>
      </w:pPr>
    </w:p>
    <w:p w14:paraId="66E5DAF9" w14:textId="77777777" w:rsidR="007D642D" w:rsidRPr="008A5F3B" w:rsidRDefault="007D642D" w:rsidP="007F23EE">
      <w:pPr>
        <w:suppressAutoHyphens/>
        <w:rPr>
          <w:rFonts w:ascii="Times New Roman" w:hAnsi="Times New Roman"/>
          <w:color w:val="000000"/>
          <w:szCs w:val="22"/>
        </w:rPr>
      </w:pPr>
      <w:r w:rsidRPr="008A5F3B">
        <w:rPr>
          <w:rFonts w:ascii="Times New Roman" w:hAnsi="Times New Roman"/>
          <w:color w:val="000000"/>
          <w:szCs w:val="22"/>
        </w:rPr>
        <w:br w:type="page"/>
      </w:r>
    </w:p>
    <w:p w14:paraId="1B0E8270" w14:textId="77777777" w:rsidR="00C67CDE" w:rsidRPr="008A5F3B" w:rsidRDefault="00C67CDE" w:rsidP="007F23EE">
      <w:pPr>
        <w:rPr>
          <w:rFonts w:ascii="Times New Roman" w:hAnsi="Times New Roman"/>
          <w:color w:val="000000"/>
          <w:szCs w:val="22"/>
        </w:rPr>
      </w:pPr>
    </w:p>
    <w:p w14:paraId="16AEBF75" w14:textId="77777777" w:rsidR="007D642D" w:rsidRPr="008A5F3B" w:rsidRDefault="007D642D" w:rsidP="007F23EE">
      <w:pPr>
        <w:pBdr>
          <w:top w:val="single" w:sz="4" w:space="1" w:color="auto"/>
          <w:left w:val="single" w:sz="4" w:space="4" w:color="auto"/>
          <w:bottom w:val="single" w:sz="4" w:space="1" w:color="auto"/>
          <w:right w:val="single" w:sz="4" w:space="4" w:color="auto"/>
        </w:pBdr>
        <w:rPr>
          <w:rFonts w:ascii="Times New Roman" w:hAnsi="Times New Roman"/>
          <w:b/>
          <w:color w:val="000000"/>
          <w:szCs w:val="22"/>
        </w:rPr>
      </w:pPr>
      <w:r w:rsidRPr="008A5F3B">
        <w:rPr>
          <w:rFonts w:ascii="Times New Roman" w:hAnsi="Times New Roman"/>
          <w:b/>
          <w:color w:val="000000"/>
          <w:szCs w:val="22"/>
        </w:rPr>
        <w:t xml:space="preserve">MENTIONS DEVANT FIGURER </w:t>
      </w:r>
      <w:smartTag w:uri="urn:schemas-microsoft-com:office:smarttags" w:element="stockticker">
        <w:r w:rsidRPr="008A5F3B">
          <w:rPr>
            <w:rFonts w:ascii="Times New Roman" w:hAnsi="Times New Roman"/>
            <w:b/>
            <w:color w:val="000000"/>
            <w:szCs w:val="22"/>
          </w:rPr>
          <w:t>SUR</w:t>
        </w:r>
      </w:smartTag>
      <w:r w:rsidRPr="008A5F3B">
        <w:rPr>
          <w:rFonts w:ascii="Times New Roman" w:hAnsi="Times New Roman"/>
          <w:b/>
          <w:color w:val="000000"/>
          <w:szCs w:val="22"/>
        </w:rPr>
        <w:t xml:space="preserve"> L’EMBALLAGE EXT</w:t>
      </w:r>
      <w:r w:rsidR="00786985" w:rsidRPr="008A5F3B">
        <w:rPr>
          <w:rFonts w:ascii="Times New Roman" w:hAnsi="Times New Roman"/>
          <w:b/>
          <w:color w:val="000000"/>
          <w:szCs w:val="22"/>
        </w:rPr>
        <w:t>É</w:t>
      </w:r>
      <w:r w:rsidRPr="008A5F3B">
        <w:rPr>
          <w:rFonts w:ascii="Times New Roman" w:hAnsi="Times New Roman"/>
          <w:b/>
          <w:color w:val="000000"/>
          <w:szCs w:val="22"/>
        </w:rPr>
        <w:t>RIEUR</w:t>
      </w:r>
    </w:p>
    <w:p w14:paraId="48F3AAE5" w14:textId="77777777" w:rsidR="007D642D" w:rsidRPr="008A5F3B" w:rsidRDefault="007D642D" w:rsidP="007F23EE">
      <w:pPr>
        <w:pBdr>
          <w:top w:val="single" w:sz="4" w:space="1" w:color="auto"/>
          <w:left w:val="single" w:sz="4" w:space="4" w:color="auto"/>
          <w:bottom w:val="single" w:sz="4" w:space="1" w:color="auto"/>
          <w:right w:val="single" w:sz="4" w:space="4" w:color="auto"/>
        </w:pBdr>
        <w:rPr>
          <w:rFonts w:ascii="Times New Roman" w:hAnsi="Times New Roman"/>
          <w:color w:val="000000"/>
          <w:szCs w:val="22"/>
        </w:rPr>
      </w:pPr>
    </w:p>
    <w:p w14:paraId="46EFE04B" w14:textId="77777777" w:rsidR="007D642D" w:rsidRPr="008A5F3B" w:rsidRDefault="00786985" w:rsidP="007F23EE">
      <w:pPr>
        <w:pBdr>
          <w:top w:val="single" w:sz="4" w:space="1" w:color="auto"/>
          <w:left w:val="single" w:sz="4" w:space="4" w:color="auto"/>
          <w:bottom w:val="single" w:sz="4" w:space="1" w:color="auto"/>
          <w:right w:val="single" w:sz="4" w:space="4" w:color="auto"/>
        </w:pBdr>
        <w:suppressAutoHyphens/>
        <w:rPr>
          <w:rFonts w:ascii="Times New Roman" w:hAnsi="Times New Roman"/>
          <w:b/>
          <w:color w:val="000000"/>
          <w:szCs w:val="22"/>
        </w:rPr>
      </w:pPr>
      <w:r w:rsidRPr="008A5F3B">
        <w:rPr>
          <w:rFonts w:ascii="Times New Roman" w:hAnsi="Times New Roman"/>
          <w:b/>
          <w:color w:val="000000"/>
          <w:szCs w:val="22"/>
        </w:rPr>
        <w:t>É</w:t>
      </w:r>
      <w:r w:rsidR="007D642D" w:rsidRPr="008A5F3B">
        <w:rPr>
          <w:rFonts w:ascii="Times New Roman" w:hAnsi="Times New Roman"/>
          <w:b/>
          <w:color w:val="000000"/>
          <w:szCs w:val="22"/>
        </w:rPr>
        <w:t>TUI CARTON</w:t>
      </w:r>
    </w:p>
    <w:p w14:paraId="7B7C738F" w14:textId="77777777" w:rsidR="007D642D" w:rsidRPr="008A5F3B" w:rsidRDefault="007D642D" w:rsidP="007F23EE">
      <w:pPr>
        <w:pStyle w:val="EndnoteText"/>
        <w:tabs>
          <w:tab w:val="clear" w:pos="567"/>
        </w:tabs>
        <w:suppressAutoHyphens/>
        <w:rPr>
          <w:color w:val="000000"/>
          <w:szCs w:val="22"/>
          <w:lang w:val="fr-FR"/>
        </w:rPr>
      </w:pPr>
    </w:p>
    <w:p w14:paraId="706A3EBD" w14:textId="77777777" w:rsidR="007D642D" w:rsidRPr="008A5F3B" w:rsidRDefault="007D642D" w:rsidP="007F23EE">
      <w:pPr>
        <w:suppressAutoHyphens/>
        <w:rPr>
          <w:rFonts w:ascii="Times New Roman" w:hAnsi="Times New Roman"/>
          <w:color w:val="000000"/>
          <w:szCs w:val="22"/>
        </w:rPr>
      </w:pPr>
    </w:p>
    <w:p w14:paraId="36F5DA5D"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1.</w:t>
      </w:r>
      <w:r w:rsidRPr="008A5F3B">
        <w:rPr>
          <w:rFonts w:ascii="Times New Roman" w:hAnsi="Times New Roman"/>
          <w:b/>
          <w:color w:val="000000"/>
          <w:szCs w:val="22"/>
        </w:rPr>
        <w:tab/>
        <w:t>D</w:t>
      </w:r>
      <w:r w:rsidR="00786985" w:rsidRPr="008A5F3B">
        <w:rPr>
          <w:rFonts w:ascii="Times New Roman" w:hAnsi="Times New Roman"/>
          <w:b/>
          <w:color w:val="000000"/>
          <w:szCs w:val="22"/>
        </w:rPr>
        <w:t>É</w:t>
      </w:r>
      <w:r w:rsidRPr="008A5F3B">
        <w:rPr>
          <w:rFonts w:ascii="Times New Roman" w:hAnsi="Times New Roman"/>
          <w:b/>
          <w:color w:val="000000"/>
          <w:szCs w:val="22"/>
        </w:rPr>
        <w:t>NOMINATION DU M</w:t>
      </w:r>
      <w:r w:rsidR="00786985" w:rsidRPr="008A5F3B">
        <w:rPr>
          <w:rFonts w:ascii="Times New Roman" w:hAnsi="Times New Roman"/>
          <w:b/>
          <w:color w:val="000000"/>
          <w:szCs w:val="22"/>
        </w:rPr>
        <w:t>É</w:t>
      </w:r>
      <w:r w:rsidRPr="008A5F3B">
        <w:rPr>
          <w:rFonts w:ascii="Times New Roman" w:hAnsi="Times New Roman"/>
          <w:b/>
          <w:color w:val="000000"/>
          <w:szCs w:val="22"/>
        </w:rPr>
        <w:t>DICAMENT</w:t>
      </w:r>
    </w:p>
    <w:p w14:paraId="10C6E573" w14:textId="77777777" w:rsidR="007D642D" w:rsidRPr="008A5F3B" w:rsidRDefault="007D642D" w:rsidP="007F23EE">
      <w:pPr>
        <w:suppressAutoHyphens/>
        <w:rPr>
          <w:rFonts w:ascii="Times New Roman" w:hAnsi="Times New Roman"/>
          <w:color w:val="000000"/>
          <w:szCs w:val="22"/>
        </w:rPr>
      </w:pPr>
    </w:p>
    <w:p w14:paraId="395D2114"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Glivec 400 mg comprimés pelliculés</w:t>
      </w:r>
    </w:p>
    <w:p w14:paraId="44CACDDD" w14:textId="77777777" w:rsidR="007D642D" w:rsidRPr="008A5F3B" w:rsidRDefault="00D535F2" w:rsidP="007F23EE">
      <w:pPr>
        <w:rPr>
          <w:rFonts w:ascii="Times New Roman" w:hAnsi="Times New Roman"/>
          <w:color w:val="000000"/>
          <w:szCs w:val="22"/>
        </w:rPr>
      </w:pPr>
      <w:proofErr w:type="gramStart"/>
      <w:r w:rsidRPr="008A5F3B">
        <w:rPr>
          <w:rFonts w:ascii="Times New Roman" w:hAnsi="Times New Roman"/>
          <w:color w:val="000000"/>
          <w:szCs w:val="22"/>
        </w:rPr>
        <w:t>i</w:t>
      </w:r>
      <w:r w:rsidR="007D642D" w:rsidRPr="008A5F3B">
        <w:rPr>
          <w:rFonts w:ascii="Times New Roman" w:hAnsi="Times New Roman"/>
          <w:color w:val="000000"/>
          <w:szCs w:val="22"/>
        </w:rPr>
        <w:t>matinib</w:t>
      </w:r>
      <w:proofErr w:type="gramEnd"/>
    </w:p>
    <w:p w14:paraId="334869B5" w14:textId="77777777" w:rsidR="007D642D" w:rsidRPr="008A5F3B" w:rsidRDefault="007D642D" w:rsidP="007F23EE">
      <w:pPr>
        <w:suppressAutoHyphens/>
        <w:rPr>
          <w:rFonts w:ascii="Times New Roman" w:hAnsi="Times New Roman"/>
          <w:color w:val="000000"/>
          <w:szCs w:val="22"/>
        </w:rPr>
      </w:pPr>
    </w:p>
    <w:p w14:paraId="7C0C1719" w14:textId="77777777" w:rsidR="007D642D" w:rsidRPr="008A5F3B" w:rsidRDefault="007D642D" w:rsidP="007F23EE">
      <w:pPr>
        <w:suppressAutoHyphens/>
        <w:rPr>
          <w:rFonts w:ascii="Times New Roman" w:hAnsi="Times New Roman"/>
          <w:color w:val="000000"/>
          <w:szCs w:val="22"/>
        </w:rPr>
      </w:pPr>
    </w:p>
    <w:p w14:paraId="76DF0BD2"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2.</w:t>
      </w:r>
      <w:r w:rsidRPr="008A5F3B">
        <w:rPr>
          <w:rFonts w:ascii="Times New Roman" w:hAnsi="Times New Roman"/>
          <w:b/>
          <w:color w:val="000000"/>
          <w:szCs w:val="22"/>
        </w:rPr>
        <w:tab/>
        <w:t xml:space="preserve">COMPOSITION EN </w:t>
      </w:r>
      <w:r w:rsidR="00B6349D" w:rsidRPr="008A5F3B">
        <w:rPr>
          <w:rFonts w:ascii="Times New Roman" w:hAnsi="Times New Roman"/>
          <w:b/>
          <w:color w:val="000000"/>
          <w:szCs w:val="22"/>
        </w:rPr>
        <w:t>SUBSTANCE(S) ACTIVE(S)</w:t>
      </w:r>
    </w:p>
    <w:p w14:paraId="65D56D4D" w14:textId="77777777" w:rsidR="007D642D" w:rsidRPr="008A5F3B" w:rsidRDefault="007D642D" w:rsidP="007F23EE">
      <w:pPr>
        <w:suppressAutoHyphens/>
        <w:rPr>
          <w:rFonts w:ascii="Times New Roman" w:hAnsi="Times New Roman"/>
          <w:color w:val="000000"/>
          <w:szCs w:val="22"/>
        </w:rPr>
      </w:pPr>
    </w:p>
    <w:p w14:paraId="47CF001C"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 xml:space="preserve">Chaque comprimé pelliculé contient 400 mg d’imatinib (sous forme de </w:t>
      </w:r>
      <w:proofErr w:type="spellStart"/>
      <w:r w:rsidRPr="008A5F3B">
        <w:rPr>
          <w:rFonts w:ascii="Times New Roman" w:hAnsi="Times New Roman"/>
          <w:color w:val="000000"/>
          <w:szCs w:val="22"/>
        </w:rPr>
        <w:t>mésilate</w:t>
      </w:r>
      <w:proofErr w:type="spellEnd"/>
      <w:r w:rsidRPr="008A5F3B">
        <w:rPr>
          <w:rFonts w:ascii="Times New Roman" w:hAnsi="Times New Roman"/>
          <w:color w:val="000000"/>
          <w:szCs w:val="22"/>
        </w:rPr>
        <w:t>).</w:t>
      </w:r>
    </w:p>
    <w:p w14:paraId="6B44038B" w14:textId="77777777" w:rsidR="007D642D" w:rsidRPr="008A5F3B" w:rsidRDefault="007D642D" w:rsidP="007F23EE">
      <w:pPr>
        <w:suppressAutoHyphens/>
        <w:rPr>
          <w:rFonts w:ascii="Times New Roman" w:hAnsi="Times New Roman"/>
          <w:color w:val="000000"/>
          <w:szCs w:val="22"/>
        </w:rPr>
      </w:pPr>
    </w:p>
    <w:p w14:paraId="2B48CF61" w14:textId="77777777" w:rsidR="007D642D" w:rsidRPr="008A5F3B" w:rsidRDefault="007D642D" w:rsidP="007F23EE">
      <w:pPr>
        <w:suppressAutoHyphens/>
        <w:rPr>
          <w:rFonts w:ascii="Times New Roman" w:hAnsi="Times New Roman"/>
          <w:color w:val="000000"/>
          <w:szCs w:val="22"/>
        </w:rPr>
      </w:pPr>
    </w:p>
    <w:p w14:paraId="234874A9"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3.</w:t>
      </w:r>
      <w:r w:rsidRPr="008A5F3B">
        <w:rPr>
          <w:rFonts w:ascii="Times New Roman" w:hAnsi="Times New Roman"/>
          <w:b/>
          <w:color w:val="000000"/>
          <w:szCs w:val="22"/>
        </w:rPr>
        <w:tab/>
        <w:t xml:space="preserve">LISTE </w:t>
      </w:r>
      <w:smartTag w:uri="urn:schemas-microsoft-com:office:smarttags" w:element="stockticker">
        <w:r w:rsidRPr="008A5F3B">
          <w:rPr>
            <w:rFonts w:ascii="Times New Roman" w:hAnsi="Times New Roman"/>
            <w:b/>
            <w:color w:val="000000"/>
            <w:szCs w:val="22"/>
          </w:rPr>
          <w:t>DES</w:t>
        </w:r>
      </w:smartTag>
      <w:r w:rsidRPr="008A5F3B">
        <w:rPr>
          <w:rFonts w:ascii="Times New Roman" w:hAnsi="Times New Roman"/>
          <w:b/>
          <w:color w:val="000000"/>
          <w:szCs w:val="22"/>
        </w:rPr>
        <w:t xml:space="preserve"> EXCIPIENTS</w:t>
      </w:r>
    </w:p>
    <w:p w14:paraId="2DB0489E" w14:textId="77777777" w:rsidR="007D642D" w:rsidRPr="008A5F3B" w:rsidRDefault="007D642D" w:rsidP="007F23EE">
      <w:pPr>
        <w:suppressAutoHyphens/>
        <w:rPr>
          <w:rFonts w:ascii="Times New Roman" w:hAnsi="Times New Roman"/>
          <w:color w:val="000000"/>
          <w:szCs w:val="22"/>
        </w:rPr>
      </w:pPr>
    </w:p>
    <w:p w14:paraId="5EDEAB57" w14:textId="77777777" w:rsidR="007D642D" w:rsidRPr="008A5F3B" w:rsidRDefault="007D642D" w:rsidP="007F23EE">
      <w:pPr>
        <w:suppressAutoHyphens/>
        <w:rPr>
          <w:rFonts w:ascii="Times New Roman" w:hAnsi="Times New Roman"/>
          <w:color w:val="000000"/>
          <w:szCs w:val="22"/>
        </w:rPr>
      </w:pPr>
    </w:p>
    <w:p w14:paraId="1F600F8F"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4.</w:t>
      </w:r>
      <w:r w:rsidRPr="008A5F3B">
        <w:rPr>
          <w:rFonts w:ascii="Times New Roman" w:hAnsi="Times New Roman"/>
          <w:b/>
          <w:color w:val="000000"/>
          <w:szCs w:val="22"/>
        </w:rPr>
        <w:tab/>
        <w:t>FORME PHARMACEUTIQUE ET CONTENU</w:t>
      </w:r>
    </w:p>
    <w:p w14:paraId="4341AA74" w14:textId="77777777" w:rsidR="007D642D" w:rsidRPr="008A5F3B" w:rsidRDefault="007D642D" w:rsidP="007F23EE">
      <w:pPr>
        <w:suppressAutoHyphens/>
        <w:rPr>
          <w:rFonts w:ascii="Times New Roman" w:hAnsi="Times New Roman"/>
          <w:color w:val="000000"/>
          <w:szCs w:val="22"/>
        </w:rPr>
      </w:pPr>
    </w:p>
    <w:p w14:paraId="4935053F"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10 comprimés pelliculés</w:t>
      </w:r>
    </w:p>
    <w:p w14:paraId="12172B50" w14:textId="77777777" w:rsidR="007D642D" w:rsidRPr="008A5F3B" w:rsidRDefault="007D642D" w:rsidP="007F23EE">
      <w:pPr>
        <w:suppressAutoHyphens/>
        <w:rPr>
          <w:rFonts w:ascii="Times New Roman" w:hAnsi="Times New Roman"/>
          <w:color w:val="000000"/>
          <w:szCs w:val="22"/>
          <w:shd w:val="clear" w:color="auto" w:fill="D9D9D9"/>
        </w:rPr>
      </w:pPr>
      <w:r w:rsidRPr="008A5F3B">
        <w:rPr>
          <w:rFonts w:ascii="Times New Roman" w:hAnsi="Times New Roman"/>
          <w:color w:val="000000"/>
          <w:szCs w:val="22"/>
          <w:shd w:val="clear" w:color="auto" w:fill="D9D9D9"/>
        </w:rPr>
        <w:t>30 comprimés pelliculés</w:t>
      </w:r>
    </w:p>
    <w:p w14:paraId="1DE56558" w14:textId="77777777" w:rsidR="007D642D" w:rsidRPr="008A5F3B" w:rsidRDefault="007D642D" w:rsidP="007F23EE">
      <w:pPr>
        <w:suppressAutoHyphens/>
        <w:rPr>
          <w:rFonts w:ascii="Times New Roman" w:hAnsi="Times New Roman"/>
          <w:color w:val="000000"/>
          <w:szCs w:val="22"/>
          <w:shd w:val="clear" w:color="auto" w:fill="D9D9D9"/>
        </w:rPr>
      </w:pPr>
      <w:r w:rsidRPr="008A5F3B">
        <w:rPr>
          <w:rFonts w:ascii="Times New Roman" w:hAnsi="Times New Roman"/>
          <w:color w:val="000000"/>
          <w:szCs w:val="22"/>
          <w:shd w:val="clear" w:color="auto" w:fill="D9D9D9"/>
        </w:rPr>
        <w:t>90 comprimés pelliculés</w:t>
      </w:r>
    </w:p>
    <w:p w14:paraId="046DAD2D" w14:textId="77777777" w:rsidR="007D642D" w:rsidRPr="008A5F3B" w:rsidRDefault="007D642D" w:rsidP="007F23EE">
      <w:pPr>
        <w:suppressAutoHyphens/>
        <w:rPr>
          <w:rFonts w:ascii="Times New Roman" w:hAnsi="Times New Roman"/>
          <w:color w:val="000000"/>
          <w:szCs w:val="22"/>
        </w:rPr>
      </w:pPr>
    </w:p>
    <w:p w14:paraId="7E994068" w14:textId="77777777" w:rsidR="007D642D" w:rsidRPr="008A5F3B" w:rsidRDefault="007D642D" w:rsidP="007F23EE">
      <w:pPr>
        <w:suppressAutoHyphens/>
        <w:rPr>
          <w:rFonts w:ascii="Times New Roman" w:hAnsi="Times New Roman"/>
          <w:color w:val="000000"/>
          <w:szCs w:val="22"/>
        </w:rPr>
      </w:pPr>
    </w:p>
    <w:p w14:paraId="5848C44D"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5.</w:t>
      </w:r>
      <w:r w:rsidRPr="008A5F3B">
        <w:rPr>
          <w:rFonts w:ascii="Times New Roman" w:hAnsi="Times New Roman"/>
          <w:b/>
          <w:color w:val="000000"/>
          <w:szCs w:val="22"/>
        </w:rPr>
        <w:tab/>
        <w:t>MODE ET VOIE(S) D’ADMINISTRATION</w:t>
      </w:r>
    </w:p>
    <w:p w14:paraId="7A9F94D0" w14:textId="77777777" w:rsidR="007D642D" w:rsidRPr="008A5F3B" w:rsidRDefault="007D642D" w:rsidP="007F23EE">
      <w:pPr>
        <w:suppressAutoHyphens/>
        <w:rPr>
          <w:rFonts w:ascii="Times New Roman" w:hAnsi="Times New Roman"/>
          <w:color w:val="000000"/>
          <w:szCs w:val="22"/>
        </w:rPr>
      </w:pPr>
    </w:p>
    <w:p w14:paraId="571CDD68"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Voie orale. Lire la notice avant utilisation.</w:t>
      </w:r>
    </w:p>
    <w:p w14:paraId="0966C3B7" w14:textId="77777777" w:rsidR="007D642D" w:rsidRPr="008A5F3B" w:rsidRDefault="007D642D" w:rsidP="007F23EE">
      <w:pPr>
        <w:suppressAutoHyphens/>
        <w:rPr>
          <w:rFonts w:ascii="Times New Roman" w:hAnsi="Times New Roman"/>
          <w:color w:val="000000"/>
          <w:szCs w:val="22"/>
        </w:rPr>
      </w:pPr>
    </w:p>
    <w:p w14:paraId="466EEA4B" w14:textId="77777777" w:rsidR="007D642D" w:rsidRPr="008A5F3B" w:rsidRDefault="007D642D" w:rsidP="007F23EE">
      <w:pPr>
        <w:suppressAutoHyphens/>
        <w:rPr>
          <w:rFonts w:ascii="Times New Roman" w:hAnsi="Times New Roman"/>
          <w:color w:val="000000"/>
          <w:szCs w:val="22"/>
        </w:rPr>
      </w:pPr>
    </w:p>
    <w:p w14:paraId="281F1C89" w14:textId="0D04EE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6.</w:t>
      </w:r>
      <w:r w:rsidRPr="008A5F3B">
        <w:rPr>
          <w:rFonts w:ascii="Times New Roman" w:hAnsi="Times New Roman"/>
          <w:b/>
          <w:color w:val="000000"/>
          <w:szCs w:val="22"/>
        </w:rPr>
        <w:tab/>
        <w:t>MISE EN GARDE SP</w:t>
      </w:r>
      <w:r w:rsidR="00786985" w:rsidRPr="008A5F3B">
        <w:rPr>
          <w:rFonts w:ascii="Times New Roman" w:hAnsi="Times New Roman"/>
          <w:b/>
          <w:color w:val="000000"/>
          <w:szCs w:val="22"/>
        </w:rPr>
        <w:t>É</w:t>
      </w:r>
      <w:r w:rsidRPr="008A5F3B">
        <w:rPr>
          <w:rFonts w:ascii="Times New Roman" w:hAnsi="Times New Roman"/>
          <w:b/>
          <w:color w:val="000000"/>
          <w:szCs w:val="22"/>
        </w:rPr>
        <w:t>CIALE INDIQUANT QUE LE M</w:t>
      </w:r>
      <w:r w:rsidR="00786985" w:rsidRPr="008A5F3B">
        <w:rPr>
          <w:rFonts w:ascii="Times New Roman" w:hAnsi="Times New Roman"/>
          <w:b/>
          <w:color w:val="000000"/>
          <w:szCs w:val="22"/>
        </w:rPr>
        <w:t>É</w:t>
      </w:r>
      <w:r w:rsidRPr="008A5F3B">
        <w:rPr>
          <w:rFonts w:ascii="Times New Roman" w:hAnsi="Times New Roman"/>
          <w:b/>
          <w:color w:val="000000"/>
          <w:szCs w:val="22"/>
        </w:rPr>
        <w:t xml:space="preserve">DICAMENT DOIT </w:t>
      </w:r>
      <w:r w:rsidR="00786985" w:rsidRPr="008A5F3B">
        <w:rPr>
          <w:rFonts w:ascii="Times New Roman" w:hAnsi="Times New Roman"/>
          <w:b/>
          <w:color w:val="000000"/>
          <w:szCs w:val="22"/>
        </w:rPr>
        <w:t>Ê</w:t>
      </w:r>
      <w:r w:rsidRPr="008A5F3B">
        <w:rPr>
          <w:rFonts w:ascii="Times New Roman" w:hAnsi="Times New Roman"/>
          <w:b/>
          <w:color w:val="000000"/>
          <w:szCs w:val="22"/>
        </w:rPr>
        <w:t>TRE CONSERV</w:t>
      </w:r>
      <w:r w:rsidR="00786985" w:rsidRPr="008A5F3B">
        <w:rPr>
          <w:rFonts w:ascii="Times New Roman" w:hAnsi="Times New Roman"/>
          <w:b/>
          <w:color w:val="000000"/>
          <w:szCs w:val="22"/>
        </w:rPr>
        <w:t>É</w:t>
      </w:r>
      <w:r w:rsidRPr="008A5F3B">
        <w:rPr>
          <w:rFonts w:ascii="Times New Roman" w:hAnsi="Times New Roman"/>
          <w:b/>
          <w:color w:val="000000"/>
          <w:szCs w:val="22"/>
        </w:rPr>
        <w:t xml:space="preserve"> HORS DE </w:t>
      </w:r>
      <w:r w:rsidR="0031337E" w:rsidRPr="008A5F3B">
        <w:rPr>
          <w:rFonts w:ascii="Times New Roman" w:hAnsi="Times New Roman"/>
          <w:b/>
          <w:color w:val="000000"/>
          <w:szCs w:val="22"/>
        </w:rPr>
        <w:t>VUE</w:t>
      </w:r>
      <w:r w:rsidRPr="008A5F3B">
        <w:rPr>
          <w:rFonts w:ascii="Times New Roman" w:hAnsi="Times New Roman"/>
          <w:b/>
          <w:color w:val="000000"/>
          <w:szCs w:val="22"/>
        </w:rPr>
        <w:t xml:space="preserve"> ET DE </w:t>
      </w:r>
      <w:r w:rsidR="0031337E" w:rsidRPr="008A5F3B">
        <w:rPr>
          <w:rFonts w:ascii="Times New Roman" w:hAnsi="Times New Roman"/>
          <w:b/>
          <w:color w:val="000000"/>
          <w:szCs w:val="22"/>
        </w:rPr>
        <w:t>PORTÉE</w:t>
      </w:r>
      <w:r w:rsidRPr="008A5F3B">
        <w:rPr>
          <w:rFonts w:ascii="Times New Roman" w:hAnsi="Times New Roman"/>
          <w:b/>
          <w:color w:val="000000"/>
          <w:szCs w:val="22"/>
        </w:rPr>
        <w:t xml:space="preserve"> </w:t>
      </w:r>
      <w:smartTag w:uri="urn:schemas-microsoft-com:office:smarttags" w:element="stockticker">
        <w:r w:rsidRPr="008A5F3B">
          <w:rPr>
            <w:rFonts w:ascii="Times New Roman" w:hAnsi="Times New Roman"/>
            <w:b/>
            <w:color w:val="000000"/>
            <w:szCs w:val="22"/>
          </w:rPr>
          <w:t>DES</w:t>
        </w:r>
      </w:smartTag>
      <w:r w:rsidRPr="008A5F3B">
        <w:rPr>
          <w:rFonts w:ascii="Times New Roman" w:hAnsi="Times New Roman"/>
          <w:b/>
          <w:color w:val="000000"/>
          <w:szCs w:val="22"/>
        </w:rPr>
        <w:t xml:space="preserve"> ENFANTS</w:t>
      </w:r>
    </w:p>
    <w:p w14:paraId="4C966CB7" w14:textId="77777777" w:rsidR="007D642D" w:rsidRPr="008A5F3B" w:rsidRDefault="007D642D" w:rsidP="007F23EE">
      <w:pPr>
        <w:suppressAutoHyphens/>
        <w:rPr>
          <w:rFonts w:ascii="Times New Roman" w:hAnsi="Times New Roman"/>
          <w:color w:val="000000"/>
          <w:szCs w:val="22"/>
        </w:rPr>
      </w:pPr>
    </w:p>
    <w:p w14:paraId="41D5841E"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Tenir hors de la vue et de la portée des enfants.</w:t>
      </w:r>
    </w:p>
    <w:p w14:paraId="373A525C" w14:textId="77777777" w:rsidR="007D642D" w:rsidRPr="008A5F3B" w:rsidRDefault="007D642D" w:rsidP="007F23EE">
      <w:pPr>
        <w:suppressAutoHyphens/>
        <w:rPr>
          <w:rFonts w:ascii="Times New Roman" w:hAnsi="Times New Roman"/>
          <w:color w:val="000000"/>
          <w:szCs w:val="22"/>
        </w:rPr>
      </w:pPr>
    </w:p>
    <w:p w14:paraId="537656A2" w14:textId="77777777" w:rsidR="007D642D" w:rsidRPr="008A5F3B" w:rsidRDefault="007D642D" w:rsidP="007F23EE">
      <w:pPr>
        <w:suppressAutoHyphens/>
        <w:rPr>
          <w:rFonts w:ascii="Times New Roman" w:hAnsi="Times New Roman"/>
          <w:color w:val="000000"/>
          <w:szCs w:val="22"/>
        </w:rPr>
      </w:pPr>
    </w:p>
    <w:p w14:paraId="7DE65C11"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7.</w:t>
      </w:r>
      <w:r w:rsidRPr="008A5F3B">
        <w:rPr>
          <w:rFonts w:ascii="Times New Roman" w:hAnsi="Times New Roman"/>
          <w:b/>
          <w:color w:val="000000"/>
          <w:szCs w:val="22"/>
        </w:rPr>
        <w:tab/>
        <w:t>AUTRE(S) MISE(S) EN GARDE SP</w:t>
      </w:r>
      <w:r w:rsidR="00786985" w:rsidRPr="008A5F3B">
        <w:rPr>
          <w:rFonts w:ascii="Times New Roman" w:hAnsi="Times New Roman"/>
          <w:b/>
          <w:color w:val="000000"/>
          <w:szCs w:val="22"/>
        </w:rPr>
        <w:t>É</w:t>
      </w:r>
      <w:r w:rsidRPr="008A5F3B">
        <w:rPr>
          <w:rFonts w:ascii="Times New Roman" w:hAnsi="Times New Roman"/>
          <w:b/>
          <w:color w:val="000000"/>
          <w:szCs w:val="22"/>
        </w:rPr>
        <w:t>CIALE(S), SI N</w:t>
      </w:r>
      <w:r w:rsidR="00786985" w:rsidRPr="008A5F3B">
        <w:rPr>
          <w:rFonts w:ascii="Times New Roman" w:hAnsi="Times New Roman"/>
          <w:b/>
          <w:color w:val="000000"/>
          <w:szCs w:val="22"/>
        </w:rPr>
        <w:t>É</w:t>
      </w:r>
      <w:r w:rsidRPr="008A5F3B">
        <w:rPr>
          <w:rFonts w:ascii="Times New Roman" w:hAnsi="Times New Roman"/>
          <w:b/>
          <w:color w:val="000000"/>
          <w:szCs w:val="22"/>
        </w:rPr>
        <w:t>CESSAIRE</w:t>
      </w:r>
    </w:p>
    <w:p w14:paraId="0966E281" w14:textId="77777777" w:rsidR="007D642D" w:rsidRPr="008A5F3B" w:rsidRDefault="007D642D" w:rsidP="007F23EE">
      <w:pPr>
        <w:suppressAutoHyphens/>
        <w:rPr>
          <w:rFonts w:ascii="Times New Roman" w:hAnsi="Times New Roman"/>
          <w:color w:val="000000"/>
          <w:szCs w:val="22"/>
        </w:rPr>
      </w:pPr>
    </w:p>
    <w:p w14:paraId="4B0C18BF"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A utiliser uniquement selon les instructions données par votre médecin.</w:t>
      </w:r>
    </w:p>
    <w:p w14:paraId="2A1E45D5" w14:textId="77777777" w:rsidR="007D642D" w:rsidRPr="008A5F3B" w:rsidRDefault="007D642D" w:rsidP="007F23EE">
      <w:pPr>
        <w:suppressAutoHyphens/>
        <w:rPr>
          <w:rFonts w:ascii="Times New Roman" w:hAnsi="Times New Roman"/>
          <w:color w:val="000000"/>
          <w:szCs w:val="22"/>
        </w:rPr>
      </w:pPr>
    </w:p>
    <w:p w14:paraId="6669CC2D" w14:textId="77777777" w:rsidR="007D642D" w:rsidRPr="008A5F3B" w:rsidRDefault="007D642D" w:rsidP="007F23EE">
      <w:pPr>
        <w:suppressAutoHyphens/>
        <w:rPr>
          <w:rFonts w:ascii="Times New Roman" w:hAnsi="Times New Roman"/>
          <w:color w:val="000000"/>
          <w:szCs w:val="22"/>
        </w:rPr>
      </w:pPr>
    </w:p>
    <w:p w14:paraId="03CAC559"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8.</w:t>
      </w:r>
      <w:r w:rsidRPr="008A5F3B">
        <w:rPr>
          <w:rFonts w:ascii="Times New Roman" w:hAnsi="Times New Roman"/>
          <w:b/>
          <w:color w:val="000000"/>
          <w:szCs w:val="22"/>
        </w:rPr>
        <w:tab/>
        <w:t>DATE DE P</w:t>
      </w:r>
      <w:r w:rsidR="00786985" w:rsidRPr="008A5F3B">
        <w:rPr>
          <w:rFonts w:ascii="Times New Roman" w:hAnsi="Times New Roman"/>
          <w:b/>
          <w:color w:val="000000"/>
          <w:szCs w:val="22"/>
        </w:rPr>
        <w:t>É</w:t>
      </w:r>
      <w:r w:rsidRPr="008A5F3B">
        <w:rPr>
          <w:rFonts w:ascii="Times New Roman" w:hAnsi="Times New Roman"/>
          <w:b/>
          <w:color w:val="000000"/>
          <w:szCs w:val="22"/>
        </w:rPr>
        <w:t>REMPTION</w:t>
      </w:r>
    </w:p>
    <w:p w14:paraId="1501A97F" w14:textId="77777777" w:rsidR="007D642D" w:rsidRPr="008A5F3B" w:rsidRDefault="007D642D" w:rsidP="007F23EE">
      <w:pPr>
        <w:suppressAutoHyphens/>
        <w:rPr>
          <w:rFonts w:ascii="Times New Roman" w:hAnsi="Times New Roman"/>
          <w:color w:val="000000"/>
          <w:szCs w:val="22"/>
        </w:rPr>
      </w:pPr>
    </w:p>
    <w:p w14:paraId="7BD02F85"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EXP</w:t>
      </w:r>
    </w:p>
    <w:p w14:paraId="7CBBFEF8" w14:textId="77777777" w:rsidR="007D642D" w:rsidRPr="008A5F3B" w:rsidRDefault="007D642D" w:rsidP="007F23EE">
      <w:pPr>
        <w:suppressAutoHyphens/>
        <w:rPr>
          <w:rFonts w:ascii="Times New Roman" w:hAnsi="Times New Roman"/>
          <w:color w:val="000000"/>
          <w:szCs w:val="22"/>
        </w:rPr>
      </w:pPr>
    </w:p>
    <w:p w14:paraId="53316176" w14:textId="77777777" w:rsidR="007D642D" w:rsidRPr="008A5F3B" w:rsidRDefault="007D642D" w:rsidP="007F23EE">
      <w:pPr>
        <w:suppressAutoHyphens/>
        <w:rPr>
          <w:rFonts w:ascii="Times New Roman" w:hAnsi="Times New Roman"/>
          <w:color w:val="000000"/>
          <w:szCs w:val="22"/>
        </w:rPr>
      </w:pPr>
    </w:p>
    <w:p w14:paraId="2874BEF7"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9.</w:t>
      </w:r>
      <w:r w:rsidRPr="008A5F3B">
        <w:rPr>
          <w:rFonts w:ascii="Times New Roman" w:hAnsi="Times New Roman"/>
          <w:b/>
          <w:color w:val="000000"/>
          <w:szCs w:val="22"/>
        </w:rPr>
        <w:tab/>
        <w:t>PR</w:t>
      </w:r>
      <w:r w:rsidR="00786985" w:rsidRPr="008A5F3B">
        <w:rPr>
          <w:rFonts w:ascii="Times New Roman" w:hAnsi="Times New Roman"/>
          <w:b/>
          <w:color w:val="000000"/>
          <w:szCs w:val="22"/>
        </w:rPr>
        <w:t>É</w:t>
      </w:r>
      <w:r w:rsidRPr="008A5F3B">
        <w:rPr>
          <w:rFonts w:ascii="Times New Roman" w:hAnsi="Times New Roman"/>
          <w:b/>
          <w:color w:val="000000"/>
          <w:szCs w:val="22"/>
        </w:rPr>
        <w:t>CAUTIONS PARTICULI</w:t>
      </w:r>
      <w:r w:rsidR="00786985" w:rsidRPr="008A5F3B">
        <w:rPr>
          <w:rFonts w:ascii="Times New Roman" w:hAnsi="Times New Roman"/>
          <w:b/>
          <w:color w:val="000000"/>
          <w:szCs w:val="22"/>
        </w:rPr>
        <w:t>È</w:t>
      </w:r>
      <w:r w:rsidRPr="008A5F3B">
        <w:rPr>
          <w:rFonts w:ascii="Times New Roman" w:hAnsi="Times New Roman"/>
          <w:b/>
          <w:color w:val="000000"/>
          <w:szCs w:val="22"/>
        </w:rPr>
        <w:t>RES DE CONSERVATION</w:t>
      </w:r>
    </w:p>
    <w:p w14:paraId="21CECE11" w14:textId="77777777" w:rsidR="007D642D" w:rsidRPr="008A5F3B" w:rsidRDefault="007D642D" w:rsidP="007F23EE">
      <w:pPr>
        <w:suppressAutoHyphens/>
        <w:rPr>
          <w:rFonts w:ascii="Times New Roman" w:hAnsi="Times New Roman"/>
          <w:color w:val="000000"/>
          <w:szCs w:val="22"/>
        </w:rPr>
      </w:pPr>
    </w:p>
    <w:p w14:paraId="15C42ED5" w14:textId="3DEB400B"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 xml:space="preserve">A conserver à une température ne dépassant pas </w:t>
      </w:r>
      <w:r w:rsidR="00DC6398" w:rsidRPr="008A5F3B">
        <w:rPr>
          <w:rFonts w:ascii="Times New Roman" w:hAnsi="Times New Roman"/>
          <w:color w:val="000000"/>
          <w:szCs w:val="22"/>
        </w:rPr>
        <w:t>25</w:t>
      </w:r>
      <w:r w:rsidRPr="008A5F3B">
        <w:rPr>
          <w:rFonts w:ascii="Times New Roman" w:hAnsi="Times New Roman"/>
          <w:color w:val="000000"/>
          <w:szCs w:val="22"/>
        </w:rPr>
        <w:t>°C. A conserver dans l’emballage extérieur d’origine à l’abri de l’humidité.</w:t>
      </w:r>
    </w:p>
    <w:p w14:paraId="22454DE3" w14:textId="77777777" w:rsidR="007D642D" w:rsidRPr="008A5F3B" w:rsidRDefault="007D642D" w:rsidP="007F23EE">
      <w:pPr>
        <w:suppressAutoHyphens/>
        <w:rPr>
          <w:rFonts w:ascii="Times New Roman" w:hAnsi="Times New Roman"/>
          <w:color w:val="000000"/>
          <w:szCs w:val="22"/>
        </w:rPr>
      </w:pPr>
    </w:p>
    <w:p w14:paraId="57C9D342" w14:textId="77777777" w:rsidR="007D642D" w:rsidRPr="008A5F3B" w:rsidRDefault="007D642D" w:rsidP="007F23EE">
      <w:pPr>
        <w:suppressAutoHyphens/>
        <w:rPr>
          <w:rFonts w:ascii="Times New Roman" w:hAnsi="Times New Roman"/>
          <w:color w:val="000000"/>
          <w:szCs w:val="22"/>
        </w:rPr>
      </w:pPr>
    </w:p>
    <w:p w14:paraId="74BA63FD" w14:textId="77777777" w:rsidR="007D642D" w:rsidRPr="008A5F3B" w:rsidRDefault="007D642D" w:rsidP="007F23EE">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lastRenderedPageBreak/>
        <w:t>10.</w:t>
      </w:r>
      <w:r w:rsidRPr="008A5F3B">
        <w:rPr>
          <w:rFonts w:ascii="Times New Roman" w:hAnsi="Times New Roman"/>
          <w:b/>
          <w:color w:val="000000"/>
          <w:szCs w:val="22"/>
        </w:rPr>
        <w:tab/>
        <w:t>PR</w:t>
      </w:r>
      <w:r w:rsidR="00786985" w:rsidRPr="008A5F3B">
        <w:rPr>
          <w:rFonts w:ascii="Times New Roman" w:hAnsi="Times New Roman"/>
          <w:b/>
          <w:color w:val="000000"/>
          <w:szCs w:val="22"/>
        </w:rPr>
        <w:t>É</w:t>
      </w:r>
      <w:r w:rsidRPr="008A5F3B">
        <w:rPr>
          <w:rFonts w:ascii="Times New Roman" w:hAnsi="Times New Roman"/>
          <w:b/>
          <w:color w:val="000000"/>
          <w:szCs w:val="22"/>
        </w:rPr>
        <w:t>CAUTIONS PARTICULI</w:t>
      </w:r>
      <w:r w:rsidR="00786985" w:rsidRPr="008A5F3B">
        <w:rPr>
          <w:rFonts w:ascii="Times New Roman" w:hAnsi="Times New Roman"/>
          <w:b/>
          <w:color w:val="000000"/>
          <w:szCs w:val="22"/>
        </w:rPr>
        <w:t>È</w:t>
      </w:r>
      <w:r w:rsidRPr="008A5F3B">
        <w:rPr>
          <w:rFonts w:ascii="Times New Roman" w:hAnsi="Times New Roman"/>
          <w:b/>
          <w:color w:val="000000"/>
          <w:szCs w:val="22"/>
        </w:rPr>
        <w:t>RES D’</w:t>
      </w:r>
      <w:r w:rsidR="00786985" w:rsidRPr="008A5F3B">
        <w:rPr>
          <w:rFonts w:ascii="Times New Roman" w:hAnsi="Times New Roman"/>
          <w:b/>
          <w:color w:val="000000"/>
          <w:szCs w:val="22"/>
        </w:rPr>
        <w:t>É</w:t>
      </w:r>
      <w:r w:rsidRPr="008A5F3B">
        <w:rPr>
          <w:rFonts w:ascii="Times New Roman" w:hAnsi="Times New Roman"/>
          <w:b/>
          <w:color w:val="000000"/>
          <w:szCs w:val="22"/>
        </w:rPr>
        <w:t xml:space="preserve">LIMINATION </w:t>
      </w:r>
      <w:smartTag w:uri="urn:schemas-microsoft-com:office:smarttags" w:element="stockticker">
        <w:r w:rsidRPr="008A5F3B">
          <w:rPr>
            <w:rFonts w:ascii="Times New Roman" w:hAnsi="Times New Roman"/>
            <w:b/>
            <w:color w:val="000000"/>
            <w:szCs w:val="22"/>
          </w:rPr>
          <w:t>DES</w:t>
        </w:r>
      </w:smartTag>
      <w:r w:rsidRPr="008A5F3B">
        <w:rPr>
          <w:rFonts w:ascii="Times New Roman" w:hAnsi="Times New Roman"/>
          <w:b/>
          <w:color w:val="000000"/>
          <w:szCs w:val="22"/>
        </w:rPr>
        <w:t xml:space="preserve"> M</w:t>
      </w:r>
      <w:r w:rsidR="00786985" w:rsidRPr="008A5F3B">
        <w:rPr>
          <w:rFonts w:ascii="Times New Roman" w:hAnsi="Times New Roman"/>
          <w:b/>
          <w:color w:val="000000"/>
          <w:szCs w:val="22"/>
        </w:rPr>
        <w:t>É</w:t>
      </w:r>
      <w:r w:rsidRPr="008A5F3B">
        <w:rPr>
          <w:rFonts w:ascii="Times New Roman" w:hAnsi="Times New Roman"/>
          <w:b/>
          <w:color w:val="000000"/>
          <w:szCs w:val="22"/>
        </w:rPr>
        <w:t>DICAMENTS NON UTILIS</w:t>
      </w:r>
      <w:r w:rsidR="00786985" w:rsidRPr="008A5F3B">
        <w:rPr>
          <w:rFonts w:ascii="Times New Roman" w:hAnsi="Times New Roman"/>
          <w:b/>
          <w:color w:val="000000"/>
          <w:szCs w:val="22"/>
        </w:rPr>
        <w:t>É</w:t>
      </w:r>
      <w:r w:rsidRPr="008A5F3B">
        <w:rPr>
          <w:rFonts w:ascii="Times New Roman" w:hAnsi="Times New Roman"/>
          <w:b/>
          <w:color w:val="000000"/>
          <w:szCs w:val="22"/>
        </w:rPr>
        <w:t xml:space="preserve">S OU </w:t>
      </w:r>
      <w:smartTag w:uri="urn:schemas-microsoft-com:office:smarttags" w:element="stockticker">
        <w:r w:rsidRPr="008A5F3B">
          <w:rPr>
            <w:rFonts w:ascii="Times New Roman" w:hAnsi="Times New Roman"/>
            <w:b/>
            <w:color w:val="000000"/>
            <w:szCs w:val="22"/>
          </w:rPr>
          <w:t>DES</w:t>
        </w:r>
      </w:smartTag>
      <w:r w:rsidRPr="008A5F3B">
        <w:rPr>
          <w:rFonts w:ascii="Times New Roman" w:hAnsi="Times New Roman"/>
          <w:b/>
          <w:color w:val="000000"/>
          <w:szCs w:val="22"/>
        </w:rPr>
        <w:t xml:space="preserve"> D</w:t>
      </w:r>
      <w:r w:rsidR="00786985" w:rsidRPr="008A5F3B">
        <w:rPr>
          <w:rFonts w:ascii="Times New Roman" w:hAnsi="Times New Roman"/>
          <w:b/>
          <w:color w:val="000000"/>
          <w:szCs w:val="22"/>
        </w:rPr>
        <w:t>É</w:t>
      </w:r>
      <w:r w:rsidRPr="008A5F3B">
        <w:rPr>
          <w:rFonts w:ascii="Times New Roman" w:hAnsi="Times New Roman"/>
          <w:b/>
          <w:color w:val="000000"/>
          <w:szCs w:val="22"/>
        </w:rPr>
        <w:t>CHETS PROVENANT DE CES M</w:t>
      </w:r>
      <w:r w:rsidR="00786985" w:rsidRPr="008A5F3B">
        <w:rPr>
          <w:rFonts w:ascii="Times New Roman" w:hAnsi="Times New Roman"/>
          <w:b/>
          <w:color w:val="000000"/>
          <w:szCs w:val="22"/>
        </w:rPr>
        <w:t>É</w:t>
      </w:r>
      <w:r w:rsidRPr="008A5F3B">
        <w:rPr>
          <w:rFonts w:ascii="Times New Roman" w:hAnsi="Times New Roman"/>
          <w:b/>
          <w:color w:val="000000"/>
          <w:szCs w:val="22"/>
        </w:rPr>
        <w:t>DICAMENTS S’IL Y A LIEU</w:t>
      </w:r>
    </w:p>
    <w:p w14:paraId="2D9AD906" w14:textId="77777777" w:rsidR="007D642D" w:rsidRPr="008A5F3B" w:rsidRDefault="007D642D" w:rsidP="007F23EE">
      <w:pPr>
        <w:keepNext/>
        <w:suppressAutoHyphens/>
        <w:rPr>
          <w:rFonts w:ascii="Times New Roman" w:hAnsi="Times New Roman"/>
          <w:color w:val="000000"/>
          <w:szCs w:val="22"/>
        </w:rPr>
      </w:pPr>
    </w:p>
    <w:p w14:paraId="28847540" w14:textId="77777777" w:rsidR="007D642D" w:rsidRPr="008A5F3B" w:rsidRDefault="007D642D" w:rsidP="007F23EE">
      <w:pPr>
        <w:suppressAutoHyphens/>
        <w:rPr>
          <w:rFonts w:ascii="Times New Roman" w:hAnsi="Times New Roman"/>
          <w:color w:val="000000"/>
          <w:szCs w:val="22"/>
        </w:rPr>
      </w:pPr>
    </w:p>
    <w:p w14:paraId="7C92E952"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11.</w:t>
      </w:r>
      <w:r w:rsidRPr="008A5F3B">
        <w:rPr>
          <w:rFonts w:ascii="Times New Roman" w:hAnsi="Times New Roman"/>
          <w:b/>
          <w:color w:val="000000"/>
          <w:szCs w:val="22"/>
        </w:rPr>
        <w:tab/>
        <w:t xml:space="preserve">NOM ET ADRESSE DU TITULAIRE DE L’AUTORISATION DE MISE </w:t>
      </w:r>
      <w:smartTag w:uri="urn:schemas-microsoft-com:office:smarttags" w:element="stockticker">
        <w:r w:rsidRPr="008A5F3B">
          <w:rPr>
            <w:rFonts w:ascii="Times New Roman" w:hAnsi="Times New Roman"/>
            <w:b/>
            <w:color w:val="000000"/>
            <w:szCs w:val="22"/>
          </w:rPr>
          <w:t>SUR</w:t>
        </w:r>
      </w:smartTag>
      <w:r w:rsidRPr="008A5F3B">
        <w:rPr>
          <w:rFonts w:ascii="Times New Roman" w:hAnsi="Times New Roman"/>
          <w:b/>
          <w:color w:val="000000"/>
          <w:szCs w:val="22"/>
        </w:rPr>
        <w:t xml:space="preserve"> LE MARCH</w:t>
      </w:r>
      <w:r w:rsidR="00786985" w:rsidRPr="008A5F3B">
        <w:rPr>
          <w:rFonts w:ascii="Times New Roman" w:hAnsi="Times New Roman"/>
          <w:b/>
          <w:color w:val="000000"/>
          <w:szCs w:val="22"/>
        </w:rPr>
        <w:t>É</w:t>
      </w:r>
    </w:p>
    <w:p w14:paraId="2B0DDD29" w14:textId="77777777" w:rsidR="007D642D" w:rsidRPr="008A5F3B" w:rsidRDefault="007D642D" w:rsidP="007F23EE">
      <w:pPr>
        <w:suppressAutoHyphens/>
        <w:rPr>
          <w:rFonts w:ascii="Times New Roman" w:hAnsi="Times New Roman"/>
          <w:color w:val="000000"/>
          <w:szCs w:val="22"/>
        </w:rPr>
      </w:pPr>
    </w:p>
    <w:p w14:paraId="4DEA36CD" w14:textId="77777777" w:rsidR="007D642D" w:rsidRPr="008A5F3B" w:rsidRDefault="007D642D" w:rsidP="007F23EE">
      <w:pPr>
        <w:keepNext/>
        <w:rPr>
          <w:rFonts w:ascii="Times New Roman" w:hAnsi="Times New Roman"/>
          <w:color w:val="000000"/>
          <w:szCs w:val="22"/>
          <w:lang w:val="en-US"/>
        </w:rPr>
      </w:pPr>
      <w:r w:rsidRPr="008A5F3B">
        <w:rPr>
          <w:rFonts w:ascii="Times New Roman" w:hAnsi="Times New Roman"/>
          <w:color w:val="000000"/>
          <w:szCs w:val="22"/>
          <w:lang w:val="en-US"/>
        </w:rPr>
        <w:t xml:space="preserve">Novartis </w:t>
      </w:r>
      <w:proofErr w:type="spellStart"/>
      <w:r w:rsidRPr="008A5F3B">
        <w:rPr>
          <w:rFonts w:ascii="Times New Roman" w:hAnsi="Times New Roman"/>
          <w:color w:val="000000"/>
          <w:szCs w:val="22"/>
          <w:lang w:val="en-US"/>
        </w:rPr>
        <w:t>Europharm</w:t>
      </w:r>
      <w:proofErr w:type="spellEnd"/>
      <w:r w:rsidRPr="008A5F3B">
        <w:rPr>
          <w:rFonts w:ascii="Times New Roman" w:hAnsi="Times New Roman"/>
          <w:color w:val="000000"/>
          <w:szCs w:val="22"/>
          <w:lang w:val="en-US"/>
        </w:rPr>
        <w:t xml:space="preserve"> Limited</w:t>
      </w:r>
    </w:p>
    <w:p w14:paraId="2D452633" w14:textId="77777777" w:rsidR="00381A57" w:rsidRPr="008A5F3B" w:rsidRDefault="00381A57" w:rsidP="007F23EE">
      <w:pPr>
        <w:keepNext/>
        <w:rPr>
          <w:rFonts w:ascii="Times New Roman" w:hAnsi="Times New Roman"/>
          <w:color w:val="000000"/>
          <w:lang w:val="en-US"/>
        </w:rPr>
      </w:pPr>
      <w:r w:rsidRPr="008A5F3B">
        <w:rPr>
          <w:rFonts w:ascii="Times New Roman" w:hAnsi="Times New Roman"/>
          <w:color w:val="000000"/>
          <w:lang w:val="en-US"/>
        </w:rPr>
        <w:t>Vista Building</w:t>
      </w:r>
    </w:p>
    <w:p w14:paraId="50D73031" w14:textId="77777777" w:rsidR="00381A57" w:rsidRPr="008A5F3B" w:rsidRDefault="00381A57" w:rsidP="007F23EE">
      <w:pPr>
        <w:keepNext/>
        <w:rPr>
          <w:rFonts w:ascii="Times New Roman" w:hAnsi="Times New Roman"/>
          <w:color w:val="000000"/>
          <w:lang w:val="en-US"/>
        </w:rPr>
      </w:pPr>
      <w:r w:rsidRPr="008A5F3B">
        <w:rPr>
          <w:rFonts w:ascii="Times New Roman" w:hAnsi="Times New Roman"/>
          <w:color w:val="000000"/>
          <w:lang w:val="en-US"/>
        </w:rPr>
        <w:t>Elm Park, Merrion Road</w:t>
      </w:r>
    </w:p>
    <w:p w14:paraId="6A60B472" w14:textId="77777777" w:rsidR="00381A57" w:rsidRPr="008A5F3B" w:rsidRDefault="00381A57" w:rsidP="007F23EE">
      <w:pPr>
        <w:keepNext/>
        <w:rPr>
          <w:rFonts w:ascii="Times New Roman" w:hAnsi="Times New Roman"/>
          <w:color w:val="000000"/>
        </w:rPr>
      </w:pPr>
      <w:r w:rsidRPr="008A5F3B">
        <w:rPr>
          <w:rFonts w:ascii="Times New Roman" w:hAnsi="Times New Roman"/>
          <w:color w:val="000000"/>
        </w:rPr>
        <w:t>Dublin 4</w:t>
      </w:r>
    </w:p>
    <w:p w14:paraId="1AF761CB" w14:textId="77777777" w:rsidR="007D642D" w:rsidRPr="008A5F3B" w:rsidRDefault="00381A57" w:rsidP="007F23EE">
      <w:pPr>
        <w:rPr>
          <w:rFonts w:ascii="Times New Roman" w:hAnsi="Times New Roman"/>
          <w:color w:val="000000"/>
          <w:szCs w:val="22"/>
        </w:rPr>
      </w:pPr>
      <w:r w:rsidRPr="008A5F3B">
        <w:rPr>
          <w:rFonts w:ascii="Times New Roman" w:hAnsi="Times New Roman"/>
        </w:rPr>
        <w:t>Irlande</w:t>
      </w:r>
    </w:p>
    <w:p w14:paraId="1F6F5D33" w14:textId="77777777" w:rsidR="007D642D" w:rsidRPr="008A5F3B" w:rsidRDefault="007D642D" w:rsidP="007F23EE">
      <w:pPr>
        <w:suppressAutoHyphens/>
        <w:rPr>
          <w:rFonts w:ascii="Times New Roman" w:hAnsi="Times New Roman"/>
          <w:color w:val="000000"/>
          <w:szCs w:val="22"/>
        </w:rPr>
      </w:pPr>
    </w:p>
    <w:p w14:paraId="0E5726B3" w14:textId="77777777" w:rsidR="007D642D" w:rsidRPr="008A5F3B" w:rsidRDefault="007D642D" w:rsidP="007F23EE">
      <w:pPr>
        <w:suppressAutoHyphens/>
        <w:rPr>
          <w:rFonts w:ascii="Times New Roman" w:hAnsi="Times New Roman"/>
          <w:color w:val="000000"/>
          <w:szCs w:val="22"/>
        </w:rPr>
      </w:pPr>
    </w:p>
    <w:p w14:paraId="40746B35"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12.</w:t>
      </w:r>
      <w:r w:rsidRPr="008A5F3B">
        <w:rPr>
          <w:rFonts w:ascii="Times New Roman" w:hAnsi="Times New Roman"/>
          <w:b/>
          <w:color w:val="000000"/>
          <w:szCs w:val="22"/>
        </w:rPr>
        <w:tab/>
        <w:t>NUM</w:t>
      </w:r>
      <w:r w:rsidR="00786985" w:rsidRPr="008A5F3B">
        <w:rPr>
          <w:rFonts w:ascii="Times New Roman" w:hAnsi="Times New Roman"/>
          <w:b/>
          <w:color w:val="000000"/>
          <w:szCs w:val="22"/>
        </w:rPr>
        <w:t>É</w:t>
      </w:r>
      <w:r w:rsidRPr="008A5F3B">
        <w:rPr>
          <w:rFonts w:ascii="Times New Roman" w:hAnsi="Times New Roman"/>
          <w:b/>
          <w:color w:val="000000"/>
          <w:szCs w:val="22"/>
        </w:rPr>
        <w:t xml:space="preserve">RO(S) D’AUTORISATION DE MISE </w:t>
      </w:r>
      <w:smartTag w:uri="urn:schemas-microsoft-com:office:smarttags" w:element="stockticker">
        <w:r w:rsidRPr="008A5F3B">
          <w:rPr>
            <w:rFonts w:ascii="Times New Roman" w:hAnsi="Times New Roman"/>
            <w:b/>
            <w:color w:val="000000"/>
            <w:szCs w:val="22"/>
          </w:rPr>
          <w:t>SUR</w:t>
        </w:r>
      </w:smartTag>
      <w:r w:rsidRPr="008A5F3B">
        <w:rPr>
          <w:rFonts w:ascii="Times New Roman" w:hAnsi="Times New Roman"/>
          <w:b/>
          <w:color w:val="000000"/>
          <w:szCs w:val="22"/>
        </w:rPr>
        <w:t xml:space="preserve"> LE MARCH</w:t>
      </w:r>
      <w:r w:rsidR="00786985" w:rsidRPr="008A5F3B">
        <w:rPr>
          <w:rFonts w:ascii="Times New Roman" w:hAnsi="Times New Roman"/>
          <w:b/>
          <w:color w:val="000000"/>
          <w:szCs w:val="22"/>
        </w:rPr>
        <w:t>É</w:t>
      </w:r>
    </w:p>
    <w:p w14:paraId="4D41A359" w14:textId="77777777" w:rsidR="007D642D" w:rsidRPr="008A5F3B" w:rsidRDefault="007D642D" w:rsidP="007F23EE">
      <w:pPr>
        <w:suppressAutoHyphens/>
        <w:rPr>
          <w:rFonts w:ascii="Times New Roman" w:hAnsi="Times New Roman"/>
          <w:color w:val="000000"/>
          <w:szCs w:val="22"/>
        </w:rPr>
      </w:pPr>
    </w:p>
    <w:p w14:paraId="6A247807" w14:textId="77777777" w:rsidR="007D642D" w:rsidRPr="008A5F3B" w:rsidRDefault="007D642D" w:rsidP="007F23EE">
      <w:pPr>
        <w:tabs>
          <w:tab w:val="left" w:pos="2268"/>
        </w:tabs>
        <w:suppressAutoHyphens/>
        <w:rPr>
          <w:rFonts w:ascii="Times New Roman" w:hAnsi="Times New Roman"/>
          <w:color w:val="000000"/>
          <w:szCs w:val="22"/>
          <w:shd w:val="clear" w:color="auto" w:fill="D9D9D9"/>
        </w:rPr>
      </w:pPr>
      <w:r w:rsidRPr="008A5F3B">
        <w:rPr>
          <w:rFonts w:ascii="Times New Roman" w:hAnsi="Times New Roman"/>
          <w:color w:val="000000"/>
          <w:szCs w:val="22"/>
        </w:rPr>
        <w:t>EU/1/01/198/009</w:t>
      </w:r>
      <w:r w:rsidRPr="008A5F3B">
        <w:rPr>
          <w:rFonts w:ascii="Times New Roman" w:hAnsi="Times New Roman"/>
          <w:color w:val="000000"/>
          <w:szCs w:val="22"/>
        </w:rPr>
        <w:tab/>
      </w:r>
      <w:r w:rsidRPr="008A5F3B">
        <w:rPr>
          <w:rFonts w:ascii="Times New Roman" w:hAnsi="Times New Roman"/>
          <w:color w:val="000000"/>
          <w:szCs w:val="22"/>
          <w:shd w:val="clear" w:color="auto" w:fill="D9D9D9"/>
        </w:rPr>
        <w:t>10 comprimés</w:t>
      </w:r>
    </w:p>
    <w:p w14:paraId="141D9790" w14:textId="77777777" w:rsidR="007D642D" w:rsidRPr="008A5F3B" w:rsidRDefault="007D642D" w:rsidP="007F23EE">
      <w:pPr>
        <w:tabs>
          <w:tab w:val="left" w:pos="2268"/>
        </w:tabs>
        <w:suppressAutoHyphens/>
        <w:rPr>
          <w:rFonts w:ascii="Times New Roman" w:hAnsi="Times New Roman"/>
          <w:color w:val="000000"/>
          <w:szCs w:val="22"/>
          <w:shd w:val="clear" w:color="auto" w:fill="D9D9D9"/>
        </w:rPr>
      </w:pPr>
      <w:r w:rsidRPr="008A5F3B">
        <w:rPr>
          <w:rFonts w:ascii="Times New Roman" w:hAnsi="Times New Roman"/>
          <w:color w:val="000000"/>
          <w:szCs w:val="22"/>
          <w:shd w:val="clear" w:color="auto" w:fill="D9D9D9"/>
        </w:rPr>
        <w:t>EU/1/01/198/010</w:t>
      </w:r>
      <w:r w:rsidRPr="008A5F3B">
        <w:rPr>
          <w:rFonts w:ascii="Times New Roman" w:hAnsi="Times New Roman"/>
          <w:color w:val="000000"/>
          <w:szCs w:val="22"/>
          <w:shd w:val="clear" w:color="auto" w:fill="D9D9D9"/>
        </w:rPr>
        <w:tab/>
        <w:t>30 comprimés</w:t>
      </w:r>
    </w:p>
    <w:p w14:paraId="4E4C1BD2" w14:textId="77777777" w:rsidR="007D642D" w:rsidRPr="008A5F3B" w:rsidRDefault="007D642D" w:rsidP="007F23EE">
      <w:pPr>
        <w:tabs>
          <w:tab w:val="left" w:pos="2268"/>
        </w:tabs>
        <w:suppressAutoHyphens/>
        <w:rPr>
          <w:rFonts w:ascii="Times New Roman" w:hAnsi="Times New Roman"/>
          <w:color w:val="000000"/>
          <w:szCs w:val="22"/>
          <w:shd w:val="clear" w:color="auto" w:fill="D9D9D9"/>
        </w:rPr>
      </w:pPr>
      <w:r w:rsidRPr="008A5F3B">
        <w:rPr>
          <w:rFonts w:ascii="Times New Roman" w:hAnsi="Times New Roman"/>
          <w:color w:val="000000"/>
          <w:szCs w:val="22"/>
          <w:shd w:val="clear" w:color="auto" w:fill="D9D9D9"/>
        </w:rPr>
        <w:t>EU/1/01/198/013</w:t>
      </w:r>
      <w:r w:rsidRPr="008A5F3B">
        <w:rPr>
          <w:rFonts w:ascii="Times New Roman" w:hAnsi="Times New Roman"/>
          <w:color w:val="000000"/>
          <w:szCs w:val="22"/>
          <w:shd w:val="clear" w:color="auto" w:fill="D9D9D9"/>
        </w:rPr>
        <w:tab/>
        <w:t>90 comprimés</w:t>
      </w:r>
    </w:p>
    <w:p w14:paraId="58D41D15" w14:textId="77777777" w:rsidR="007D642D" w:rsidRPr="008A5F3B" w:rsidRDefault="007D642D" w:rsidP="007F23EE">
      <w:pPr>
        <w:suppressAutoHyphens/>
        <w:ind w:left="567" w:hanging="567"/>
        <w:rPr>
          <w:rFonts w:ascii="Times New Roman" w:hAnsi="Times New Roman"/>
          <w:color w:val="000000"/>
          <w:szCs w:val="22"/>
        </w:rPr>
      </w:pPr>
    </w:p>
    <w:p w14:paraId="5C6C87A4" w14:textId="77777777" w:rsidR="007D642D" w:rsidRPr="008A5F3B" w:rsidRDefault="007D642D" w:rsidP="007F23EE">
      <w:pPr>
        <w:suppressAutoHyphens/>
        <w:rPr>
          <w:rFonts w:ascii="Times New Roman" w:hAnsi="Times New Roman"/>
          <w:color w:val="000000"/>
          <w:szCs w:val="22"/>
        </w:rPr>
      </w:pPr>
    </w:p>
    <w:p w14:paraId="4A9C96B0"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13.</w:t>
      </w:r>
      <w:r w:rsidRPr="008A5F3B">
        <w:rPr>
          <w:rFonts w:ascii="Times New Roman" w:hAnsi="Times New Roman"/>
          <w:b/>
          <w:color w:val="000000"/>
          <w:szCs w:val="22"/>
        </w:rPr>
        <w:tab/>
        <w:t>NUM</w:t>
      </w:r>
      <w:r w:rsidR="00786985" w:rsidRPr="008A5F3B">
        <w:rPr>
          <w:rFonts w:ascii="Times New Roman" w:hAnsi="Times New Roman"/>
          <w:b/>
          <w:color w:val="000000"/>
          <w:szCs w:val="22"/>
        </w:rPr>
        <w:t>É</w:t>
      </w:r>
      <w:r w:rsidRPr="008A5F3B">
        <w:rPr>
          <w:rFonts w:ascii="Times New Roman" w:hAnsi="Times New Roman"/>
          <w:b/>
          <w:color w:val="000000"/>
          <w:szCs w:val="22"/>
        </w:rPr>
        <w:t>RO DU LOT</w:t>
      </w:r>
    </w:p>
    <w:p w14:paraId="744DBE4B" w14:textId="77777777" w:rsidR="007D642D" w:rsidRPr="008A5F3B" w:rsidRDefault="007D642D" w:rsidP="007F23EE">
      <w:pPr>
        <w:suppressAutoHyphens/>
        <w:rPr>
          <w:rFonts w:ascii="Times New Roman" w:hAnsi="Times New Roman"/>
          <w:color w:val="000000"/>
          <w:szCs w:val="22"/>
        </w:rPr>
      </w:pPr>
    </w:p>
    <w:p w14:paraId="658A33B6"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Lot</w:t>
      </w:r>
    </w:p>
    <w:p w14:paraId="01EEBFB0" w14:textId="77777777" w:rsidR="007D642D" w:rsidRPr="008A5F3B" w:rsidRDefault="007D642D" w:rsidP="007F23EE">
      <w:pPr>
        <w:suppressAutoHyphens/>
        <w:rPr>
          <w:rFonts w:ascii="Times New Roman" w:hAnsi="Times New Roman"/>
          <w:color w:val="000000"/>
          <w:szCs w:val="22"/>
        </w:rPr>
      </w:pPr>
    </w:p>
    <w:p w14:paraId="3F3C6C00" w14:textId="77777777" w:rsidR="007D642D" w:rsidRPr="008A5F3B" w:rsidRDefault="007D642D" w:rsidP="007F23EE">
      <w:pPr>
        <w:suppressAutoHyphens/>
        <w:rPr>
          <w:rFonts w:ascii="Times New Roman" w:hAnsi="Times New Roman"/>
          <w:color w:val="000000"/>
          <w:szCs w:val="22"/>
        </w:rPr>
      </w:pPr>
    </w:p>
    <w:p w14:paraId="0C080429"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14.</w:t>
      </w:r>
      <w:r w:rsidRPr="008A5F3B">
        <w:rPr>
          <w:rFonts w:ascii="Times New Roman" w:hAnsi="Times New Roman"/>
          <w:b/>
          <w:color w:val="000000"/>
          <w:szCs w:val="22"/>
        </w:rPr>
        <w:tab/>
        <w:t>CONDITIONS DE PRESCRIPTION ET DE D</w:t>
      </w:r>
      <w:r w:rsidR="00786985" w:rsidRPr="008A5F3B">
        <w:rPr>
          <w:rFonts w:ascii="Times New Roman" w:hAnsi="Times New Roman"/>
          <w:b/>
          <w:color w:val="000000"/>
          <w:szCs w:val="22"/>
        </w:rPr>
        <w:t>É</w:t>
      </w:r>
      <w:r w:rsidRPr="008A5F3B">
        <w:rPr>
          <w:rFonts w:ascii="Times New Roman" w:hAnsi="Times New Roman"/>
          <w:b/>
          <w:color w:val="000000"/>
          <w:szCs w:val="22"/>
        </w:rPr>
        <w:t>LIVRANCE</w:t>
      </w:r>
    </w:p>
    <w:p w14:paraId="2A94604E" w14:textId="77777777" w:rsidR="007D642D" w:rsidRPr="008A5F3B" w:rsidRDefault="007D642D" w:rsidP="007F23EE">
      <w:pPr>
        <w:rPr>
          <w:rFonts w:ascii="Times New Roman" w:hAnsi="Times New Roman"/>
          <w:color w:val="000000"/>
          <w:szCs w:val="22"/>
        </w:rPr>
      </w:pPr>
    </w:p>
    <w:p w14:paraId="193F47C9" w14:textId="77777777" w:rsidR="007D642D" w:rsidRPr="008A5F3B" w:rsidRDefault="007D642D" w:rsidP="007F23EE">
      <w:pPr>
        <w:suppressAutoHyphens/>
        <w:rPr>
          <w:rFonts w:ascii="Times New Roman" w:hAnsi="Times New Roman"/>
          <w:color w:val="000000"/>
          <w:szCs w:val="22"/>
        </w:rPr>
      </w:pPr>
    </w:p>
    <w:p w14:paraId="2BB1AD62"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15.</w:t>
      </w:r>
      <w:r w:rsidRPr="008A5F3B">
        <w:rPr>
          <w:rFonts w:ascii="Times New Roman" w:hAnsi="Times New Roman"/>
          <w:b/>
          <w:color w:val="000000"/>
          <w:szCs w:val="22"/>
        </w:rPr>
        <w:tab/>
        <w:t>INDICATIONS D’UTILISATION</w:t>
      </w:r>
    </w:p>
    <w:p w14:paraId="5A554764" w14:textId="77777777" w:rsidR="007D642D" w:rsidRPr="008A5F3B" w:rsidRDefault="007D642D" w:rsidP="007F23EE">
      <w:pPr>
        <w:suppressAutoHyphens/>
        <w:rPr>
          <w:rFonts w:ascii="Times New Roman" w:hAnsi="Times New Roman"/>
          <w:color w:val="000000"/>
          <w:szCs w:val="22"/>
        </w:rPr>
      </w:pPr>
    </w:p>
    <w:p w14:paraId="14A0A96A" w14:textId="77777777" w:rsidR="007D642D" w:rsidRPr="008A5F3B" w:rsidRDefault="007D642D" w:rsidP="007F23EE">
      <w:pPr>
        <w:suppressAutoHyphens/>
        <w:rPr>
          <w:rFonts w:ascii="Times New Roman" w:hAnsi="Times New Roman"/>
          <w:color w:val="000000"/>
          <w:szCs w:val="22"/>
        </w:rPr>
      </w:pPr>
    </w:p>
    <w:p w14:paraId="728FF210"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16.</w:t>
      </w:r>
      <w:r w:rsidRPr="008A5F3B">
        <w:rPr>
          <w:rFonts w:ascii="Times New Roman" w:hAnsi="Times New Roman"/>
          <w:b/>
          <w:color w:val="000000"/>
          <w:szCs w:val="22"/>
        </w:rPr>
        <w:tab/>
        <w:t>INFORMATIONS EN BRAILLE</w:t>
      </w:r>
    </w:p>
    <w:p w14:paraId="1746569C" w14:textId="77777777" w:rsidR="007D642D" w:rsidRPr="008A5F3B" w:rsidRDefault="007D642D" w:rsidP="007F23EE">
      <w:pPr>
        <w:suppressAutoHyphens/>
        <w:rPr>
          <w:rFonts w:ascii="Times New Roman" w:hAnsi="Times New Roman"/>
          <w:color w:val="000000"/>
          <w:szCs w:val="22"/>
        </w:rPr>
      </w:pPr>
    </w:p>
    <w:p w14:paraId="00756FD3" w14:textId="77777777" w:rsidR="007D642D" w:rsidRPr="008A5F3B" w:rsidRDefault="007D642D" w:rsidP="007F23EE">
      <w:pPr>
        <w:suppressAutoHyphens/>
        <w:rPr>
          <w:rFonts w:ascii="Times New Roman" w:hAnsi="Times New Roman"/>
          <w:color w:val="000000"/>
          <w:szCs w:val="22"/>
        </w:rPr>
      </w:pPr>
      <w:r w:rsidRPr="008A5F3B">
        <w:rPr>
          <w:rFonts w:ascii="Times New Roman" w:hAnsi="Times New Roman"/>
          <w:color w:val="000000"/>
          <w:szCs w:val="22"/>
        </w:rPr>
        <w:t>Glivec 400 mg</w:t>
      </w:r>
    </w:p>
    <w:p w14:paraId="344F9A44" w14:textId="77777777" w:rsidR="007A3155" w:rsidRPr="008A5F3B" w:rsidRDefault="007A3155" w:rsidP="007F23EE">
      <w:pPr>
        <w:suppressAutoHyphens/>
        <w:rPr>
          <w:rFonts w:ascii="Times New Roman" w:hAnsi="Times New Roman"/>
          <w:color w:val="000000"/>
          <w:szCs w:val="22"/>
        </w:rPr>
      </w:pPr>
    </w:p>
    <w:p w14:paraId="6CDDE769" w14:textId="77777777" w:rsidR="007A3155" w:rsidRPr="008A5F3B" w:rsidRDefault="007A3155" w:rsidP="007F23EE">
      <w:pPr>
        <w:suppressAutoHyphens/>
        <w:rPr>
          <w:rFonts w:ascii="Times New Roman" w:hAnsi="Times New Roman"/>
          <w:color w:val="000000"/>
          <w:szCs w:val="22"/>
        </w:rPr>
      </w:pPr>
    </w:p>
    <w:p w14:paraId="1803A224" w14:textId="77777777" w:rsidR="007A3155" w:rsidRPr="008A5F3B" w:rsidRDefault="007A3155" w:rsidP="007F23EE">
      <w:pPr>
        <w:pBdr>
          <w:top w:val="single" w:sz="4" w:space="1" w:color="auto"/>
          <w:left w:val="single" w:sz="4" w:space="4" w:color="auto"/>
          <w:bottom w:val="single" w:sz="4" w:space="1" w:color="auto"/>
          <w:right w:val="single" w:sz="4" w:space="4" w:color="auto"/>
        </w:pBdr>
        <w:rPr>
          <w:rFonts w:ascii="Times New Roman" w:hAnsi="Times New Roman"/>
          <w:i/>
          <w:noProof/>
        </w:rPr>
      </w:pPr>
      <w:r w:rsidRPr="008A5F3B">
        <w:rPr>
          <w:rFonts w:ascii="Times New Roman" w:hAnsi="Times New Roman"/>
          <w:b/>
          <w:noProof/>
        </w:rPr>
        <w:t>17.</w:t>
      </w:r>
      <w:r w:rsidRPr="008A5F3B">
        <w:rPr>
          <w:rFonts w:ascii="Times New Roman" w:hAnsi="Times New Roman"/>
          <w:b/>
          <w:noProof/>
        </w:rPr>
        <w:tab/>
        <w:t>IDENTIFIANT UNIQUE - CODE-BARRES 2D</w:t>
      </w:r>
    </w:p>
    <w:p w14:paraId="5E700C07" w14:textId="77777777" w:rsidR="007A3155" w:rsidRPr="008A5F3B" w:rsidRDefault="007A3155" w:rsidP="007F23EE">
      <w:pPr>
        <w:rPr>
          <w:rFonts w:ascii="Times New Roman" w:hAnsi="Times New Roman"/>
          <w:shd w:val="pct15" w:color="auto" w:fill="auto"/>
        </w:rPr>
      </w:pPr>
    </w:p>
    <w:p w14:paraId="0B8A574A" w14:textId="3B6EA383" w:rsidR="007A3155" w:rsidRPr="008A5F3B" w:rsidRDefault="007A3155" w:rsidP="007F23EE">
      <w:pPr>
        <w:rPr>
          <w:rFonts w:ascii="Times New Roman" w:hAnsi="Times New Roman"/>
          <w:shd w:val="pct15" w:color="auto" w:fill="auto"/>
        </w:rPr>
      </w:pPr>
      <w:r w:rsidRPr="008A5F3B">
        <w:rPr>
          <w:rFonts w:ascii="Times New Roman" w:hAnsi="Times New Roman"/>
          <w:shd w:val="pct15" w:color="auto" w:fill="auto"/>
        </w:rPr>
        <w:t>Code-barres 2D portant l</w:t>
      </w:r>
      <w:r w:rsidR="00813A7A">
        <w:rPr>
          <w:rFonts w:ascii="Times New Roman" w:hAnsi="Times New Roman"/>
          <w:shd w:val="pct15" w:color="auto" w:fill="auto"/>
        </w:rPr>
        <w:t>’</w:t>
      </w:r>
      <w:r w:rsidRPr="008A5F3B">
        <w:rPr>
          <w:rFonts w:ascii="Times New Roman" w:hAnsi="Times New Roman"/>
          <w:shd w:val="pct15" w:color="auto" w:fill="auto"/>
        </w:rPr>
        <w:t>identifiant unique inclus.</w:t>
      </w:r>
    </w:p>
    <w:p w14:paraId="55437731" w14:textId="77777777" w:rsidR="007A3155" w:rsidRPr="008A5F3B" w:rsidRDefault="007A3155" w:rsidP="007F23EE">
      <w:pPr>
        <w:rPr>
          <w:rFonts w:ascii="Times New Roman" w:hAnsi="Times New Roman"/>
          <w:noProof/>
        </w:rPr>
      </w:pPr>
    </w:p>
    <w:p w14:paraId="18406D51" w14:textId="77777777" w:rsidR="007A3155" w:rsidRPr="008A5F3B" w:rsidRDefault="007A3155" w:rsidP="007F23EE">
      <w:pPr>
        <w:rPr>
          <w:rFonts w:ascii="Times New Roman" w:hAnsi="Times New Roman"/>
          <w:noProof/>
        </w:rPr>
      </w:pPr>
    </w:p>
    <w:p w14:paraId="7AAE8015" w14:textId="77777777" w:rsidR="007A3155" w:rsidRPr="008A5F3B" w:rsidRDefault="007A3155" w:rsidP="007F23EE">
      <w:pPr>
        <w:pBdr>
          <w:top w:val="single" w:sz="4" w:space="1" w:color="auto"/>
          <w:left w:val="single" w:sz="4" w:space="4" w:color="auto"/>
          <w:bottom w:val="single" w:sz="4" w:space="1" w:color="auto"/>
          <w:right w:val="single" w:sz="4" w:space="4" w:color="auto"/>
        </w:pBdr>
        <w:ind w:left="-3"/>
        <w:rPr>
          <w:rFonts w:ascii="Times New Roman" w:hAnsi="Times New Roman"/>
          <w:i/>
          <w:noProof/>
        </w:rPr>
      </w:pPr>
      <w:r w:rsidRPr="008A5F3B">
        <w:rPr>
          <w:rFonts w:ascii="Times New Roman" w:hAnsi="Times New Roman"/>
          <w:b/>
          <w:noProof/>
        </w:rPr>
        <w:t>18.</w:t>
      </w:r>
      <w:r w:rsidRPr="008A5F3B">
        <w:rPr>
          <w:rFonts w:ascii="Times New Roman" w:hAnsi="Times New Roman"/>
          <w:b/>
          <w:noProof/>
        </w:rPr>
        <w:tab/>
        <w:t>IDENTIFIANT UNIQUE - DONNÉES LISIBLES PAR LES HUMAINS</w:t>
      </w:r>
    </w:p>
    <w:p w14:paraId="1374A6A9" w14:textId="77777777" w:rsidR="007A3155" w:rsidRPr="008A5F3B" w:rsidRDefault="007A3155" w:rsidP="007F23EE">
      <w:pPr>
        <w:rPr>
          <w:rFonts w:ascii="Times New Roman" w:hAnsi="Times New Roman"/>
          <w:noProof/>
        </w:rPr>
      </w:pPr>
    </w:p>
    <w:p w14:paraId="7D2A4CC6" w14:textId="113D14B3" w:rsidR="007A3155" w:rsidRPr="008A5F3B" w:rsidRDefault="007A3155" w:rsidP="007F23EE">
      <w:pPr>
        <w:rPr>
          <w:rFonts w:ascii="Times New Roman" w:hAnsi="Times New Roman"/>
          <w:color w:val="000000" w:themeColor="text1"/>
        </w:rPr>
      </w:pPr>
      <w:r w:rsidRPr="008A5F3B">
        <w:rPr>
          <w:rFonts w:ascii="Times New Roman" w:hAnsi="Times New Roman"/>
          <w:color w:val="000000" w:themeColor="text1"/>
        </w:rPr>
        <w:t>PC</w:t>
      </w:r>
    </w:p>
    <w:p w14:paraId="5AD04EA6" w14:textId="6F4FE177" w:rsidR="007A3155" w:rsidRPr="008A5F3B" w:rsidRDefault="007A3155" w:rsidP="007F23EE">
      <w:pPr>
        <w:rPr>
          <w:rFonts w:ascii="Times New Roman" w:hAnsi="Times New Roman"/>
          <w:szCs w:val="22"/>
        </w:rPr>
      </w:pPr>
      <w:r w:rsidRPr="008A5F3B">
        <w:rPr>
          <w:rFonts w:ascii="Times New Roman" w:hAnsi="Times New Roman"/>
        </w:rPr>
        <w:t>SN</w:t>
      </w:r>
    </w:p>
    <w:p w14:paraId="046626ED" w14:textId="668990E5" w:rsidR="007A3155" w:rsidRPr="008A5F3B" w:rsidRDefault="007A3155" w:rsidP="007F23EE">
      <w:pPr>
        <w:rPr>
          <w:rFonts w:ascii="Times New Roman" w:hAnsi="Times New Roman"/>
          <w:shd w:val="pct15" w:color="auto" w:fill="auto"/>
        </w:rPr>
      </w:pPr>
      <w:r w:rsidRPr="008A5F3B">
        <w:rPr>
          <w:rFonts w:ascii="Times New Roman" w:hAnsi="Times New Roman"/>
        </w:rPr>
        <w:t>NN</w:t>
      </w:r>
    </w:p>
    <w:p w14:paraId="5DF005CC" w14:textId="77777777" w:rsidR="007D642D" w:rsidRPr="008A5F3B" w:rsidRDefault="007D642D" w:rsidP="007F23EE">
      <w:pPr>
        <w:suppressAutoHyphens/>
        <w:rPr>
          <w:rFonts w:ascii="Times New Roman" w:hAnsi="Times New Roman"/>
          <w:color w:val="000000"/>
          <w:szCs w:val="22"/>
        </w:rPr>
      </w:pPr>
      <w:r w:rsidRPr="008A5F3B">
        <w:rPr>
          <w:rFonts w:ascii="Times New Roman" w:hAnsi="Times New Roman"/>
          <w:color w:val="000000"/>
          <w:szCs w:val="22"/>
        </w:rPr>
        <w:br w:type="page"/>
      </w:r>
    </w:p>
    <w:p w14:paraId="5C1B49AF" w14:textId="77777777" w:rsidR="00C67CDE" w:rsidRPr="008A5F3B" w:rsidRDefault="00C67CDE" w:rsidP="007F23EE">
      <w:pPr>
        <w:suppressAutoHyphens/>
        <w:rPr>
          <w:rFonts w:ascii="Times New Roman" w:hAnsi="Times New Roman"/>
          <w:color w:val="000000"/>
          <w:szCs w:val="22"/>
        </w:rPr>
      </w:pPr>
    </w:p>
    <w:p w14:paraId="1DE6B1F7" w14:textId="588E0272" w:rsidR="007D642D" w:rsidRPr="008A5F3B" w:rsidRDefault="007D642D" w:rsidP="007F23EE">
      <w:pPr>
        <w:pBdr>
          <w:top w:val="single" w:sz="4" w:space="1" w:color="auto"/>
          <w:left w:val="single" w:sz="4" w:space="4" w:color="auto"/>
          <w:bottom w:val="single" w:sz="4" w:space="1" w:color="auto"/>
          <w:right w:val="single" w:sz="4" w:space="4" w:color="auto"/>
        </w:pBdr>
        <w:suppressAutoHyphens/>
        <w:rPr>
          <w:rFonts w:ascii="Times New Roman" w:hAnsi="Times New Roman"/>
          <w:b/>
          <w:color w:val="000000"/>
          <w:szCs w:val="22"/>
        </w:rPr>
      </w:pPr>
      <w:r w:rsidRPr="008A5F3B">
        <w:rPr>
          <w:rFonts w:ascii="Times New Roman" w:hAnsi="Times New Roman"/>
          <w:b/>
          <w:color w:val="000000"/>
          <w:szCs w:val="22"/>
        </w:rPr>
        <w:t xml:space="preserve">MENTIONS MINIMALES DEVANT FIGURER </w:t>
      </w:r>
      <w:smartTag w:uri="urn:schemas-microsoft-com:office:smarttags" w:element="stockticker">
        <w:r w:rsidRPr="008A5F3B">
          <w:rPr>
            <w:rFonts w:ascii="Times New Roman" w:hAnsi="Times New Roman"/>
            <w:b/>
            <w:color w:val="000000"/>
            <w:szCs w:val="22"/>
          </w:rPr>
          <w:t>SUR</w:t>
        </w:r>
      </w:smartTag>
      <w:r w:rsidRPr="008A5F3B">
        <w:rPr>
          <w:rFonts w:ascii="Times New Roman" w:hAnsi="Times New Roman"/>
          <w:b/>
          <w:color w:val="000000"/>
          <w:szCs w:val="22"/>
        </w:rPr>
        <w:t xml:space="preserve"> LES PLAQUETTES OU LES FILMS THERMOSOUD</w:t>
      </w:r>
      <w:r w:rsidR="00786985" w:rsidRPr="008A5F3B">
        <w:rPr>
          <w:rFonts w:ascii="Times New Roman" w:hAnsi="Times New Roman"/>
          <w:b/>
          <w:color w:val="000000"/>
          <w:szCs w:val="22"/>
        </w:rPr>
        <w:t>É</w:t>
      </w:r>
      <w:r w:rsidRPr="008A5F3B">
        <w:rPr>
          <w:rFonts w:ascii="Times New Roman" w:hAnsi="Times New Roman"/>
          <w:b/>
          <w:color w:val="000000"/>
          <w:szCs w:val="22"/>
        </w:rPr>
        <w:t>S</w:t>
      </w:r>
    </w:p>
    <w:p w14:paraId="36462015" w14:textId="77777777" w:rsidR="007D642D" w:rsidRPr="008A5F3B" w:rsidRDefault="007D642D" w:rsidP="007F23EE">
      <w:pPr>
        <w:pBdr>
          <w:top w:val="single" w:sz="4" w:space="1" w:color="auto"/>
          <w:left w:val="single" w:sz="4" w:space="4" w:color="auto"/>
          <w:bottom w:val="single" w:sz="4" w:space="1" w:color="auto"/>
          <w:right w:val="single" w:sz="4" w:space="4" w:color="auto"/>
        </w:pBdr>
        <w:suppressAutoHyphens/>
        <w:rPr>
          <w:rFonts w:ascii="Times New Roman" w:hAnsi="Times New Roman"/>
          <w:color w:val="000000"/>
          <w:szCs w:val="22"/>
        </w:rPr>
      </w:pPr>
    </w:p>
    <w:p w14:paraId="3B4986D1" w14:textId="117F6D74" w:rsidR="007D642D" w:rsidRPr="008A5F3B" w:rsidRDefault="007D642D" w:rsidP="007F23EE">
      <w:pPr>
        <w:pBdr>
          <w:top w:val="single" w:sz="4" w:space="1" w:color="auto"/>
          <w:left w:val="single" w:sz="4" w:space="4" w:color="auto"/>
          <w:bottom w:val="single" w:sz="4" w:space="1" w:color="auto"/>
          <w:right w:val="single" w:sz="4" w:space="4" w:color="auto"/>
        </w:pBdr>
        <w:suppressAutoHyphens/>
        <w:rPr>
          <w:rFonts w:ascii="Times New Roman" w:hAnsi="Times New Roman"/>
          <w:b/>
          <w:color w:val="000000"/>
          <w:szCs w:val="22"/>
        </w:rPr>
      </w:pPr>
      <w:r w:rsidRPr="008A5F3B">
        <w:rPr>
          <w:rFonts w:ascii="Times New Roman" w:hAnsi="Times New Roman"/>
          <w:b/>
          <w:color w:val="000000"/>
          <w:szCs w:val="22"/>
        </w:rPr>
        <w:t>PLAQUETTES</w:t>
      </w:r>
    </w:p>
    <w:p w14:paraId="0EC5DAD1" w14:textId="77777777" w:rsidR="007D642D" w:rsidRPr="008A5F3B" w:rsidRDefault="007D642D" w:rsidP="007F23EE">
      <w:pPr>
        <w:suppressAutoHyphens/>
        <w:rPr>
          <w:rFonts w:ascii="Times New Roman" w:hAnsi="Times New Roman"/>
          <w:color w:val="000000"/>
          <w:szCs w:val="22"/>
        </w:rPr>
      </w:pPr>
    </w:p>
    <w:p w14:paraId="57684410" w14:textId="77777777" w:rsidR="007D642D" w:rsidRPr="008A5F3B" w:rsidRDefault="007D642D" w:rsidP="007F23EE">
      <w:pPr>
        <w:suppressAutoHyphens/>
        <w:rPr>
          <w:rFonts w:ascii="Times New Roman" w:hAnsi="Times New Roman"/>
          <w:color w:val="000000"/>
          <w:szCs w:val="22"/>
        </w:rPr>
      </w:pPr>
    </w:p>
    <w:p w14:paraId="5608063C"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1.</w:t>
      </w:r>
      <w:r w:rsidRPr="008A5F3B">
        <w:rPr>
          <w:rFonts w:ascii="Times New Roman" w:hAnsi="Times New Roman"/>
          <w:b/>
          <w:color w:val="000000"/>
          <w:szCs w:val="22"/>
        </w:rPr>
        <w:tab/>
        <w:t>D</w:t>
      </w:r>
      <w:r w:rsidR="00786985" w:rsidRPr="008A5F3B">
        <w:rPr>
          <w:rFonts w:ascii="Times New Roman" w:hAnsi="Times New Roman"/>
          <w:b/>
          <w:color w:val="000000"/>
          <w:szCs w:val="22"/>
        </w:rPr>
        <w:t>É</w:t>
      </w:r>
      <w:r w:rsidRPr="008A5F3B">
        <w:rPr>
          <w:rFonts w:ascii="Times New Roman" w:hAnsi="Times New Roman"/>
          <w:b/>
          <w:color w:val="000000"/>
          <w:szCs w:val="22"/>
        </w:rPr>
        <w:t>NOMINATION DU M</w:t>
      </w:r>
      <w:r w:rsidR="00786985" w:rsidRPr="008A5F3B">
        <w:rPr>
          <w:rFonts w:ascii="Times New Roman" w:hAnsi="Times New Roman"/>
          <w:b/>
          <w:color w:val="000000"/>
          <w:szCs w:val="22"/>
        </w:rPr>
        <w:t>É</w:t>
      </w:r>
      <w:r w:rsidRPr="008A5F3B">
        <w:rPr>
          <w:rFonts w:ascii="Times New Roman" w:hAnsi="Times New Roman"/>
          <w:b/>
          <w:color w:val="000000"/>
          <w:szCs w:val="22"/>
        </w:rPr>
        <w:t>DICAMENT</w:t>
      </w:r>
    </w:p>
    <w:p w14:paraId="0CE3FF45" w14:textId="77777777" w:rsidR="007D642D" w:rsidRPr="008A5F3B" w:rsidRDefault="007D642D" w:rsidP="007F23EE">
      <w:pPr>
        <w:suppressAutoHyphens/>
        <w:rPr>
          <w:rFonts w:ascii="Times New Roman" w:hAnsi="Times New Roman"/>
          <w:color w:val="000000"/>
          <w:szCs w:val="22"/>
        </w:rPr>
      </w:pPr>
    </w:p>
    <w:p w14:paraId="21C4BAE2"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Glivec 400 mg comprimés</w:t>
      </w:r>
    </w:p>
    <w:p w14:paraId="13422827" w14:textId="77777777" w:rsidR="007D642D" w:rsidRPr="008A5F3B" w:rsidRDefault="00D535F2" w:rsidP="007F23EE">
      <w:pPr>
        <w:rPr>
          <w:rFonts w:ascii="Times New Roman" w:hAnsi="Times New Roman"/>
          <w:color w:val="000000"/>
          <w:szCs w:val="22"/>
        </w:rPr>
      </w:pPr>
      <w:proofErr w:type="gramStart"/>
      <w:r w:rsidRPr="008A5F3B">
        <w:rPr>
          <w:rFonts w:ascii="Times New Roman" w:hAnsi="Times New Roman"/>
          <w:color w:val="000000"/>
          <w:szCs w:val="22"/>
        </w:rPr>
        <w:t>i</w:t>
      </w:r>
      <w:r w:rsidR="007D642D" w:rsidRPr="008A5F3B">
        <w:rPr>
          <w:rFonts w:ascii="Times New Roman" w:hAnsi="Times New Roman"/>
          <w:color w:val="000000"/>
          <w:szCs w:val="22"/>
        </w:rPr>
        <w:t>matinib</w:t>
      </w:r>
      <w:proofErr w:type="gramEnd"/>
    </w:p>
    <w:p w14:paraId="6C0B0E8C" w14:textId="77777777" w:rsidR="007D642D" w:rsidRPr="008A5F3B" w:rsidRDefault="007D642D" w:rsidP="007F23EE">
      <w:pPr>
        <w:rPr>
          <w:rFonts w:ascii="Times New Roman" w:hAnsi="Times New Roman"/>
          <w:color w:val="000000"/>
          <w:szCs w:val="22"/>
        </w:rPr>
      </w:pPr>
    </w:p>
    <w:p w14:paraId="7F39FB67" w14:textId="77777777" w:rsidR="007D642D" w:rsidRPr="008A5F3B" w:rsidRDefault="007D642D" w:rsidP="007F23EE">
      <w:pPr>
        <w:suppressAutoHyphens/>
        <w:rPr>
          <w:rFonts w:ascii="Times New Roman" w:hAnsi="Times New Roman"/>
          <w:color w:val="000000"/>
          <w:szCs w:val="22"/>
        </w:rPr>
      </w:pPr>
    </w:p>
    <w:p w14:paraId="6E6EAA02" w14:textId="77777777" w:rsidR="007D642D" w:rsidRPr="008A5F3B" w:rsidRDefault="007D642D" w:rsidP="007F23EE">
      <w:pPr>
        <w:pBdr>
          <w:top w:val="single" w:sz="4" w:space="1" w:color="auto"/>
          <w:left w:val="single" w:sz="4" w:space="4" w:color="auto"/>
          <w:bottom w:val="single" w:sz="4" w:space="1" w:color="auto"/>
          <w:right w:val="single" w:sz="4" w:space="4" w:color="auto"/>
        </w:pBdr>
        <w:ind w:left="567" w:hanging="567"/>
        <w:rPr>
          <w:rFonts w:ascii="Times New Roman" w:hAnsi="Times New Roman"/>
          <w:b/>
          <w:color w:val="000000"/>
          <w:szCs w:val="22"/>
        </w:rPr>
      </w:pPr>
      <w:r w:rsidRPr="008A5F3B">
        <w:rPr>
          <w:rFonts w:ascii="Times New Roman" w:hAnsi="Times New Roman"/>
          <w:b/>
          <w:color w:val="000000"/>
          <w:szCs w:val="22"/>
        </w:rPr>
        <w:t>2.</w:t>
      </w:r>
      <w:r w:rsidRPr="008A5F3B">
        <w:rPr>
          <w:rFonts w:ascii="Times New Roman" w:hAnsi="Times New Roman"/>
          <w:b/>
          <w:color w:val="000000"/>
          <w:szCs w:val="22"/>
        </w:rPr>
        <w:tab/>
        <w:t xml:space="preserve">NOM DU TITULAIRE DE L’AUTORISATION DE MISE </w:t>
      </w:r>
      <w:smartTag w:uri="urn:schemas-microsoft-com:office:smarttags" w:element="stockticker">
        <w:r w:rsidRPr="008A5F3B">
          <w:rPr>
            <w:rFonts w:ascii="Times New Roman" w:hAnsi="Times New Roman"/>
            <w:b/>
            <w:color w:val="000000"/>
            <w:szCs w:val="22"/>
          </w:rPr>
          <w:t>SUR</w:t>
        </w:r>
      </w:smartTag>
      <w:r w:rsidRPr="008A5F3B">
        <w:rPr>
          <w:rFonts w:ascii="Times New Roman" w:hAnsi="Times New Roman"/>
          <w:b/>
          <w:color w:val="000000"/>
          <w:szCs w:val="22"/>
        </w:rPr>
        <w:t xml:space="preserve"> LE MARCH</w:t>
      </w:r>
      <w:r w:rsidR="00786985" w:rsidRPr="008A5F3B">
        <w:rPr>
          <w:rFonts w:ascii="Times New Roman" w:hAnsi="Times New Roman"/>
          <w:b/>
          <w:color w:val="000000"/>
          <w:szCs w:val="22"/>
        </w:rPr>
        <w:t>É</w:t>
      </w:r>
    </w:p>
    <w:p w14:paraId="267CF7DA" w14:textId="77777777" w:rsidR="007D642D" w:rsidRPr="008A5F3B" w:rsidRDefault="007D642D" w:rsidP="007F23EE">
      <w:pPr>
        <w:suppressAutoHyphens/>
        <w:rPr>
          <w:rFonts w:ascii="Times New Roman" w:hAnsi="Times New Roman"/>
          <w:color w:val="000000"/>
          <w:szCs w:val="22"/>
        </w:rPr>
      </w:pPr>
    </w:p>
    <w:p w14:paraId="233D3A0B"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 xml:space="preserve">Novartis </w:t>
      </w:r>
      <w:proofErr w:type="spellStart"/>
      <w:r w:rsidRPr="008A5F3B">
        <w:rPr>
          <w:rFonts w:ascii="Times New Roman" w:hAnsi="Times New Roman"/>
          <w:color w:val="000000"/>
          <w:szCs w:val="22"/>
        </w:rPr>
        <w:t>Europharm</w:t>
      </w:r>
      <w:proofErr w:type="spellEnd"/>
      <w:r w:rsidRPr="008A5F3B">
        <w:rPr>
          <w:rFonts w:ascii="Times New Roman" w:hAnsi="Times New Roman"/>
          <w:color w:val="000000"/>
          <w:szCs w:val="22"/>
        </w:rPr>
        <w:t xml:space="preserve"> Limited</w:t>
      </w:r>
    </w:p>
    <w:p w14:paraId="7EE87549" w14:textId="77777777" w:rsidR="007D642D" w:rsidRPr="008A5F3B" w:rsidRDefault="007D642D" w:rsidP="007F23EE">
      <w:pPr>
        <w:rPr>
          <w:rFonts w:ascii="Times New Roman" w:hAnsi="Times New Roman"/>
          <w:color w:val="000000"/>
          <w:szCs w:val="22"/>
        </w:rPr>
      </w:pPr>
    </w:p>
    <w:p w14:paraId="36E861B0" w14:textId="77777777" w:rsidR="007D642D" w:rsidRPr="008A5F3B" w:rsidRDefault="007D642D" w:rsidP="007F23EE">
      <w:pPr>
        <w:rPr>
          <w:rFonts w:ascii="Times New Roman" w:hAnsi="Times New Roman"/>
          <w:color w:val="000000"/>
          <w:szCs w:val="22"/>
        </w:rPr>
      </w:pPr>
    </w:p>
    <w:p w14:paraId="0BF873A2" w14:textId="77777777" w:rsidR="007D642D" w:rsidRPr="008A5F3B" w:rsidRDefault="007D642D" w:rsidP="007F23EE">
      <w:pPr>
        <w:pBdr>
          <w:top w:val="single" w:sz="4" w:space="1" w:color="auto"/>
          <w:left w:val="single" w:sz="4" w:space="4" w:color="auto"/>
          <w:bottom w:val="single" w:sz="4" w:space="1" w:color="auto"/>
          <w:right w:val="single" w:sz="4" w:space="4" w:color="auto"/>
        </w:pBdr>
        <w:rPr>
          <w:rFonts w:ascii="Times New Roman" w:hAnsi="Times New Roman"/>
          <w:b/>
          <w:color w:val="000000"/>
          <w:szCs w:val="22"/>
        </w:rPr>
      </w:pPr>
      <w:r w:rsidRPr="008A5F3B">
        <w:rPr>
          <w:rFonts w:ascii="Times New Roman" w:hAnsi="Times New Roman"/>
          <w:b/>
          <w:color w:val="000000"/>
          <w:szCs w:val="22"/>
        </w:rPr>
        <w:t>3.</w:t>
      </w:r>
      <w:r w:rsidRPr="008A5F3B">
        <w:rPr>
          <w:rFonts w:ascii="Times New Roman" w:hAnsi="Times New Roman"/>
          <w:b/>
          <w:color w:val="000000"/>
          <w:szCs w:val="22"/>
        </w:rPr>
        <w:tab/>
        <w:t>DATE DE P</w:t>
      </w:r>
      <w:r w:rsidR="00786985" w:rsidRPr="008A5F3B">
        <w:rPr>
          <w:rFonts w:ascii="Times New Roman" w:hAnsi="Times New Roman"/>
          <w:b/>
          <w:color w:val="000000"/>
          <w:szCs w:val="22"/>
        </w:rPr>
        <w:t>É</w:t>
      </w:r>
      <w:r w:rsidRPr="008A5F3B">
        <w:rPr>
          <w:rFonts w:ascii="Times New Roman" w:hAnsi="Times New Roman"/>
          <w:b/>
          <w:color w:val="000000"/>
          <w:szCs w:val="22"/>
        </w:rPr>
        <w:t>REMPTION</w:t>
      </w:r>
    </w:p>
    <w:p w14:paraId="5578C765" w14:textId="77777777" w:rsidR="007D642D" w:rsidRPr="008A5F3B" w:rsidRDefault="007D642D" w:rsidP="007F23EE">
      <w:pPr>
        <w:rPr>
          <w:rFonts w:ascii="Times New Roman" w:hAnsi="Times New Roman"/>
          <w:color w:val="000000"/>
          <w:szCs w:val="22"/>
        </w:rPr>
      </w:pPr>
    </w:p>
    <w:p w14:paraId="15865AB7"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EXP</w:t>
      </w:r>
    </w:p>
    <w:p w14:paraId="5E52DCF8" w14:textId="77777777" w:rsidR="007D642D" w:rsidRPr="008A5F3B" w:rsidRDefault="007D642D" w:rsidP="007F23EE">
      <w:pPr>
        <w:rPr>
          <w:rFonts w:ascii="Times New Roman" w:hAnsi="Times New Roman"/>
          <w:color w:val="000000"/>
          <w:szCs w:val="22"/>
        </w:rPr>
      </w:pPr>
    </w:p>
    <w:p w14:paraId="2BF402AB" w14:textId="77777777" w:rsidR="007D642D" w:rsidRPr="008A5F3B" w:rsidRDefault="007D642D" w:rsidP="007F23EE">
      <w:pPr>
        <w:rPr>
          <w:rFonts w:ascii="Times New Roman" w:hAnsi="Times New Roman"/>
          <w:color w:val="000000"/>
          <w:szCs w:val="22"/>
        </w:rPr>
      </w:pPr>
    </w:p>
    <w:p w14:paraId="4B17152A" w14:textId="77777777" w:rsidR="007D642D" w:rsidRPr="008A5F3B" w:rsidRDefault="007D642D" w:rsidP="007F23EE">
      <w:pPr>
        <w:pBdr>
          <w:top w:val="single" w:sz="4" w:space="1" w:color="auto"/>
          <w:left w:val="single" w:sz="4" w:space="4" w:color="auto"/>
          <w:bottom w:val="single" w:sz="4" w:space="1" w:color="auto"/>
          <w:right w:val="single" w:sz="4" w:space="4" w:color="auto"/>
        </w:pBdr>
        <w:rPr>
          <w:rFonts w:ascii="Times New Roman" w:hAnsi="Times New Roman"/>
          <w:b/>
          <w:color w:val="000000"/>
          <w:szCs w:val="22"/>
        </w:rPr>
      </w:pPr>
      <w:r w:rsidRPr="008A5F3B">
        <w:rPr>
          <w:rFonts w:ascii="Times New Roman" w:hAnsi="Times New Roman"/>
          <w:b/>
          <w:color w:val="000000"/>
          <w:szCs w:val="22"/>
        </w:rPr>
        <w:t>4.</w:t>
      </w:r>
      <w:r w:rsidRPr="008A5F3B">
        <w:rPr>
          <w:rFonts w:ascii="Times New Roman" w:hAnsi="Times New Roman"/>
          <w:b/>
          <w:color w:val="000000"/>
          <w:szCs w:val="22"/>
        </w:rPr>
        <w:tab/>
        <w:t>NUM</w:t>
      </w:r>
      <w:r w:rsidR="00786985" w:rsidRPr="008A5F3B">
        <w:rPr>
          <w:rFonts w:ascii="Times New Roman" w:hAnsi="Times New Roman"/>
          <w:b/>
          <w:color w:val="000000"/>
          <w:szCs w:val="22"/>
        </w:rPr>
        <w:t>É</w:t>
      </w:r>
      <w:r w:rsidRPr="008A5F3B">
        <w:rPr>
          <w:rFonts w:ascii="Times New Roman" w:hAnsi="Times New Roman"/>
          <w:b/>
          <w:color w:val="000000"/>
          <w:szCs w:val="22"/>
        </w:rPr>
        <w:t>RO DU LOT</w:t>
      </w:r>
    </w:p>
    <w:p w14:paraId="4F93CB31" w14:textId="77777777" w:rsidR="007D642D" w:rsidRPr="008A5F3B" w:rsidRDefault="007D642D" w:rsidP="007F23EE">
      <w:pPr>
        <w:rPr>
          <w:rFonts w:ascii="Times New Roman" w:hAnsi="Times New Roman"/>
          <w:color w:val="000000"/>
          <w:szCs w:val="22"/>
        </w:rPr>
      </w:pPr>
    </w:p>
    <w:p w14:paraId="73E6F5F5" w14:textId="77777777" w:rsidR="007D642D" w:rsidRPr="008A5F3B" w:rsidRDefault="007D642D" w:rsidP="007F23EE">
      <w:pPr>
        <w:rPr>
          <w:rFonts w:ascii="Times New Roman" w:hAnsi="Times New Roman"/>
          <w:color w:val="000000"/>
          <w:szCs w:val="22"/>
        </w:rPr>
      </w:pPr>
      <w:r w:rsidRPr="008A5F3B">
        <w:rPr>
          <w:rFonts w:ascii="Times New Roman" w:hAnsi="Times New Roman"/>
          <w:color w:val="000000"/>
          <w:szCs w:val="22"/>
        </w:rPr>
        <w:t>Lot</w:t>
      </w:r>
    </w:p>
    <w:p w14:paraId="7E76AC10" w14:textId="77777777" w:rsidR="007D642D" w:rsidRPr="008A5F3B" w:rsidRDefault="007D642D" w:rsidP="007F23EE">
      <w:pPr>
        <w:rPr>
          <w:rFonts w:ascii="Times New Roman" w:hAnsi="Times New Roman"/>
          <w:color w:val="000000"/>
          <w:szCs w:val="22"/>
        </w:rPr>
      </w:pPr>
    </w:p>
    <w:p w14:paraId="29B3EFF4" w14:textId="77777777" w:rsidR="007D642D" w:rsidRPr="008A5F3B" w:rsidRDefault="007D642D" w:rsidP="007F23EE">
      <w:pPr>
        <w:rPr>
          <w:rFonts w:ascii="Times New Roman" w:hAnsi="Times New Roman"/>
          <w:color w:val="000000"/>
          <w:szCs w:val="22"/>
        </w:rPr>
      </w:pPr>
    </w:p>
    <w:p w14:paraId="77092D24" w14:textId="77777777" w:rsidR="007D642D" w:rsidRPr="008A5F3B" w:rsidRDefault="007D642D" w:rsidP="007F23EE">
      <w:pPr>
        <w:pBdr>
          <w:top w:val="single" w:sz="4" w:space="1" w:color="auto"/>
          <w:left w:val="single" w:sz="4" w:space="4" w:color="auto"/>
          <w:bottom w:val="single" w:sz="4" w:space="1" w:color="auto"/>
          <w:right w:val="single" w:sz="4" w:space="4" w:color="auto"/>
        </w:pBdr>
        <w:rPr>
          <w:rFonts w:ascii="Times New Roman" w:hAnsi="Times New Roman"/>
          <w:b/>
          <w:color w:val="000000"/>
          <w:szCs w:val="22"/>
        </w:rPr>
      </w:pPr>
      <w:r w:rsidRPr="008A5F3B">
        <w:rPr>
          <w:rFonts w:ascii="Times New Roman" w:hAnsi="Times New Roman"/>
          <w:b/>
          <w:color w:val="000000"/>
          <w:szCs w:val="22"/>
        </w:rPr>
        <w:t>5.</w:t>
      </w:r>
      <w:r w:rsidRPr="008A5F3B">
        <w:rPr>
          <w:rFonts w:ascii="Times New Roman" w:hAnsi="Times New Roman"/>
          <w:b/>
          <w:color w:val="000000"/>
          <w:szCs w:val="22"/>
        </w:rPr>
        <w:tab/>
        <w:t>AUTRE</w:t>
      </w:r>
    </w:p>
    <w:p w14:paraId="3615C58D" w14:textId="77777777" w:rsidR="007D642D" w:rsidRPr="008A5F3B" w:rsidRDefault="007D642D" w:rsidP="007F23EE">
      <w:pPr>
        <w:rPr>
          <w:rFonts w:ascii="Times New Roman" w:hAnsi="Times New Roman"/>
          <w:color w:val="000000"/>
          <w:szCs w:val="22"/>
        </w:rPr>
      </w:pPr>
    </w:p>
    <w:p w14:paraId="7C487548" w14:textId="77777777" w:rsidR="007D642D" w:rsidRPr="008A5F3B" w:rsidRDefault="007D642D" w:rsidP="007F23EE">
      <w:pPr>
        <w:suppressAutoHyphens/>
        <w:jc w:val="both"/>
        <w:rPr>
          <w:rFonts w:ascii="Times New Roman" w:hAnsi="Times New Roman"/>
          <w:color w:val="000000"/>
          <w:szCs w:val="22"/>
        </w:rPr>
      </w:pPr>
      <w:r w:rsidRPr="008A5F3B">
        <w:rPr>
          <w:rFonts w:ascii="Times New Roman" w:hAnsi="Times New Roman"/>
          <w:color w:val="000000"/>
          <w:szCs w:val="22"/>
        </w:rPr>
        <w:br w:type="page"/>
      </w:r>
    </w:p>
    <w:p w14:paraId="02C83ACE" w14:textId="77777777" w:rsidR="007D642D" w:rsidRPr="008A5F3B" w:rsidRDefault="007D642D" w:rsidP="007F23EE">
      <w:pPr>
        <w:jc w:val="both"/>
        <w:rPr>
          <w:rFonts w:ascii="Times New Roman" w:hAnsi="Times New Roman"/>
          <w:color w:val="000000"/>
          <w:szCs w:val="22"/>
        </w:rPr>
      </w:pPr>
    </w:p>
    <w:p w14:paraId="568496D3" w14:textId="77777777" w:rsidR="007D642D" w:rsidRPr="008A5F3B" w:rsidRDefault="007D642D" w:rsidP="007F23EE">
      <w:pPr>
        <w:suppressAutoHyphens/>
        <w:ind w:left="-142" w:firstLine="142"/>
        <w:jc w:val="both"/>
        <w:rPr>
          <w:rFonts w:ascii="Times New Roman" w:hAnsi="Times New Roman"/>
          <w:color w:val="000000"/>
          <w:szCs w:val="22"/>
        </w:rPr>
      </w:pPr>
    </w:p>
    <w:p w14:paraId="379AFA04" w14:textId="77777777" w:rsidR="007D642D" w:rsidRPr="008A5F3B" w:rsidRDefault="007D642D" w:rsidP="007F23EE">
      <w:pPr>
        <w:suppressAutoHyphens/>
        <w:ind w:left="-142" w:firstLine="142"/>
        <w:jc w:val="both"/>
        <w:rPr>
          <w:rFonts w:ascii="Times New Roman" w:hAnsi="Times New Roman"/>
          <w:color w:val="000000"/>
          <w:szCs w:val="22"/>
        </w:rPr>
      </w:pPr>
    </w:p>
    <w:p w14:paraId="4F76425F" w14:textId="77777777" w:rsidR="007D642D" w:rsidRPr="008A5F3B" w:rsidRDefault="007D642D" w:rsidP="007F23EE">
      <w:pPr>
        <w:suppressAutoHyphens/>
        <w:ind w:left="-142" w:firstLine="142"/>
        <w:jc w:val="both"/>
        <w:rPr>
          <w:rFonts w:ascii="Times New Roman" w:hAnsi="Times New Roman"/>
          <w:color w:val="000000"/>
          <w:szCs w:val="22"/>
        </w:rPr>
      </w:pPr>
    </w:p>
    <w:p w14:paraId="06DD04F7" w14:textId="77777777" w:rsidR="007D642D" w:rsidRPr="008A5F3B" w:rsidRDefault="007D642D" w:rsidP="007F23EE">
      <w:pPr>
        <w:suppressAutoHyphens/>
        <w:ind w:left="-142" w:firstLine="142"/>
        <w:jc w:val="both"/>
        <w:rPr>
          <w:rFonts w:ascii="Times New Roman" w:hAnsi="Times New Roman"/>
          <w:color w:val="000000"/>
          <w:szCs w:val="22"/>
        </w:rPr>
      </w:pPr>
    </w:p>
    <w:p w14:paraId="68143206" w14:textId="77777777" w:rsidR="007D642D" w:rsidRPr="008A5F3B" w:rsidRDefault="007D642D" w:rsidP="007F23EE">
      <w:pPr>
        <w:suppressAutoHyphens/>
        <w:ind w:left="-142" w:firstLine="142"/>
        <w:jc w:val="both"/>
        <w:rPr>
          <w:rFonts w:ascii="Times New Roman" w:hAnsi="Times New Roman"/>
          <w:color w:val="000000"/>
          <w:szCs w:val="22"/>
        </w:rPr>
      </w:pPr>
    </w:p>
    <w:p w14:paraId="69CFF628" w14:textId="77777777" w:rsidR="007D642D" w:rsidRPr="008A5F3B" w:rsidRDefault="007D642D" w:rsidP="007F23EE">
      <w:pPr>
        <w:suppressAutoHyphens/>
        <w:ind w:left="-142" w:firstLine="142"/>
        <w:jc w:val="both"/>
        <w:rPr>
          <w:rFonts w:ascii="Times New Roman" w:hAnsi="Times New Roman"/>
          <w:color w:val="000000"/>
          <w:szCs w:val="22"/>
        </w:rPr>
      </w:pPr>
    </w:p>
    <w:p w14:paraId="6A233E89" w14:textId="77777777" w:rsidR="007D642D" w:rsidRPr="008A5F3B" w:rsidRDefault="007D642D" w:rsidP="007F23EE">
      <w:pPr>
        <w:suppressAutoHyphens/>
        <w:ind w:left="-142" w:firstLine="142"/>
        <w:jc w:val="both"/>
        <w:rPr>
          <w:rFonts w:ascii="Times New Roman" w:hAnsi="Times New Roman"/>
          <w:color w:val="000000"/>
          <w:szCs w:val="22"/>
        </w:rPr>
      </w:pPr>
    </w:p>
    <w:p w14:paraId="6522FE16" w14:textId="77777777" w:rsidR="007D642D" w:rsidRPr="008A5F3B" w:rsidRDefault="007D642D" w:rsidP="007F23EE">
      <w:pPr>
        <w:suppressAutoHyphens/>
        <w:ind w:left="-142" w:firstLine="142"/>
        <w:jc w:val="both"/>
        <w:rPr>
          <w:rFonts w:ascii="Times New Roman" w:hAnsi="Times New Roman"/>
          <w:color w:val="000000"/>
          <w:szCs w:val="22"/>
        </w:rPr>
      </w:pPr>
    </w:p>
    <w:p w14:paraId="0A7A768D" w14:textId="77777777" w:rsidR="007D642D" w:rsidRPr="008A5F3B" w:rsidRDefault="007D642D" w:rsidP="007F23EE">
      <w:pPr>
        <w:suppressAutoHyphens/>
        <w:ind w:left="-142" w:firstLine="142"/>
        <w:jc w:val="both"/>
        <w:rPr>
          <w:rFonts w:ascii="Times New Roman" w:hAnsi="Times New Roman"/>
          <w:color w:val="000000"/>
          <w:szCs w:val="22"/>
        </w:rPr>
      </w:pPr>
    </w:p>
    <w:p w14:paraId="1722A98F" w14:textId="77777777" w:rsidR="007D642D" w:rsidRPr="008A5F3B" w:rsidRDefault="007D642D" w:rsidP="007F23EE">
      <w:pPr>
        <w:suppressAutoHyphens/>
        <w:ind w:left="-142" w:firstLine="142"/>
        <w:jc w:val="both"/>
        <w:rPr>
          <w:rFonts w:ascii="Times New Roman" w:hAnsi="Times New Roman"/>
          <w:color w:val="000000"/>
          <w:szCs w:val="22"/>
        </w:rPr>
      </w:pPr>
    </w:p>
    <w:p w14:paraId="27CF9E7B" w14:textId="77777777" w:rsidR="007D642D" w:rsidRPr="008A5F3B" w:rsidRDefault="007D642D" w:rsidP="007F23EE">
      <w:pPr>
        <w:suppressAutoHyphens/>
        <w:ind w:left="-142" w:firstLine="142"/>
        <w:jc w:val="both"/>
        <w:rPr>
          <w:rFonts w:ascii="Times New Roman" w:hAnsi="Times New Roman"/>
          <w:color w:val="000000"/>
          <w:szCs w:val="22"/>
        </w:rPr>
      </w:pPr>
    </w:p>
    <w:p w14:paraId="62FF8BC1" w14:textId="77777777" w:rsidR="007D642D" w:rsidRPr="008A5F3B" w:rsidRDefault="007D642D" w:rsidP="007F23EE">
      <w:pPr>
        <w:suppressAutoHyphens/>
        <w:ind w:left="-142" w:firstLine="142"/>
        <w:jc w:val="both"/>
        <w:rPr>
          <w:rFonts w:ascii="Times New Roman" w:hAnsi="Times New Roman"/>
          <w:color w:val="000000"/>
          <w:szCs w:val="22"/>
        </w:rPr>
      </w:pPr>
    </w:p>
    <w:p w14:paraId="00A1585D" w14:textId="77777777" w:rsidR="007D642D" w:rsidRPr="008A5F3B" w:rsidRDefault="007D642D" w:rsidP="007F23EE">
      <w:pPr>
        <w:suppressAutoHyphens/>
        <w:ind w:left="-142" w:firstLine="142"/>
        <w:jc w:val="both"/>
        <w:rPr>
          <w:rFonts w:ascii="Times New Roman" w:hAnsi="Times New Roman"/>
          <w:color w:val="000000"/>
          <w:szCs w:val="22"/>
        </w:rPr>
      </w:pPr>
    </w:p>
    <w:p w14:paraId="48C794D1" w14:textId="77777777" w:rsidR="007D642D" w:rsidRPr="008A5F3B" w:rsidRDefault="007D642D" w:rsidP="007F23EE">
      <w:pPr>
        <w:suppressAutoHyphens/>
        <w:ind w:left="-142" w:firstLine="142"/>
        <w:jc w:val="both"/>
        <w:rPr>
          <w:rFonts w:ascii="Times New Roman" w:hAnsi="Times New Roman"/>
          <w:color w:val="000000"/>
          <w:szCs w:val="22"/>
        </w:rPr>
      </w:pPr>
    </w:p>
    <w:p w14:paraId="2BA4F623" w14:textId="77777777" w:rsidR="007D642D" w:rsidRPr="008A5F3B" w:rsidRDefault="007D642D" w:rsidP="007F23EE">
      <w:pPr>
        <w:suppressAutoHyphens/>
        <w:ind w:left="-142" w:firstLine="142"/>
        <w:jc w:val="both"/>
        <w:rPr>
          <w:rFonts w:ascii="Times New Roman" w:hAnsi="Times New Roman"/>
          <w:color w:val="000000"/>
          <w:szCs w:val="22"/>
        </w:rPr>
      </w:pPr>
    </w:p>
    <w:p w14:paraId="72836458" w14:textId="77777777" w:rsidR="007D642D" w:rsidRPr="008A5F3B" w:rsidRDefault="007D642D" w:rsidP="007F23EE">
      <w:pPr>
        <w:suppressAutoHyphens/>
        <w:ind w:left="-142" w:firstLine="142"/>
        <w:jc w:val="both"/>
        <w:rPr>
          <w:rFonts w:ascii="Times New Roman" w:hAnsi="Times New Roman"/>
          <w:color w:val="000000"/>
          <w:szCs w:val="22"/>
        </w:rPr>
      </w:pPr>
    </w:p>
    <w:p w14:paraId="35AD76AF" w14:textId="77777777" w:rsidR="007D642D" w:rsidRPr="008A5F3B" w:rsidRDefault="007D642D" w:rsidP="007F23EE">
      <w:pPr>
        <w:suppressAutoHyphens/>
        <w:ind w:left="-142" w:firstLine="142"/>
        <w:jc w:val="both"/>
        <w:rPr>
          <w:rFonts w:ascii="Times New Roman" w:hAnsi="Times New Roman"/>
          <w:color w:val="000000"/>
          <w:szCs w:val="22"/>
        </w:rPr>
      </w:pPr>
    </w:p>
    <w:p w14:paraId="5AAEF502" w14:textId="77777777" w:rsidR="007D642D" w:rsidRPr="008A5F3B" w:rsidRDefault="007D642D" w:rsidP="007F23EE">
      <w:pPr>
        <w:suppressAutoHyphens/>
        <w:ind w:left="-142" w:firstLine="142"/>
        <w:jc w:val="both"/>
        <w:rPr>
          <w:rFonts w:ascii="Times New Roman" w:hAnsi="Times New Roman"/>
          <w:color w:val="000000"/>
          <w:szCs w:val="22"/>
        </w:rPr>
      </w:pPr>
    </w:p>
    <w:p w14:paraId="04FA3AFA" w14:textId="77777777" w:rsidR="007D642D" w:rsidRPr="008A5F3B" w:rsidRDefault="007D642D" w:rsidP="007F23EE">
      <w:pPr>
        <w:suppressAutoHyphens/>
        <w:ind w:left="-142" w:firstLine="142"/>
        <w:jc w:val="both"/>
        <w:rPr>
          <w:rFonts w:ascii="Times New Roman" w:hAnsi="Times New Roman"/>
          <w:color w:val="000000"/>
          <w:szCs w:val="22"/>
        </w:rPr>
      </w:pPr>
    </w:p>
    <w:p w14:paraId="0EB535DB" w14:textId="77777777" w:rsidR="007D642D" w:rsidRPr="008A5F3B" w:rsidRDefault="007D642D" w:rsidP="007F23EE">
      <w:pPr>
        <w:suppressAutoHyphens/>
        <w:ind w:left="-142" w:firstLine="142"/>
        <w:jc w:val="both"/>
        <w:rPr>
          <w:rFonts w:ascii="Times New Roman" w:hAnsi="Times New Roman"/>
          <w:color w:val="000000"/>
          <w:szCs w:val="22"/>
        </w:rPr>
      </w:pPr>
    </w:p>
    <w:p w14:paraId="58DFCC67" w14:textId="77777777" w:rsidR="007D642D" w:rsidRPr="008A5F3B" w:rsidRDefault="007D642D" w:rsidP="007F23EE">
      <w:pPr>
        <w:suppressAutoHyphens/>
        <w:ind w:left="-142" w:firstLine="142"/>
        <w:jc w:val="both"/>
        <w:rPr>
          <w:rFonts w:ascii="Times New Roman" w:hAnsi="Times New Roman"/>
          <w:color w:val="000000"/>
          <w:szCs w:val="22"/>
        </w:rPr>
      </w:pPr>
    </w:p>
    <w:p w14:paraId="1CB16DF3" w14:textId="77777777" w:rsidR="00C67CDE" w:rsidRPr="008A5F3B" w:rsidRDefault="00C67CDE" w:rsidP="007F23EE">
      <w:pPr>
        <w:suppressAutoHyphens/>
        <w:ind w:left="-142" w:firstLine="142"/>
        <w:jc w:val="both"/>
        <w:rPr>
          <w:rFonts w:ascii="Times New Roman" w:hAnsi="Times New Roman"/>
          <w:color w:val="000000"/>
          <w:szCs w:val="22"/>
        </w:rPr>
      </w:pPr>
    </w:p>
    <w:p w14:paraId="5DD3D7A5" w14:textId="77777777" w:rsidR="00C67CDE" w:rsidRPr="008A5F3B" w:rsidRDefault="00C67CDE" w:rsidP="007F23EE">
      <w:pPr>
        <w:suppressAutoHyphens/>
        <w:ind w:left="-142" w:firstLine="142"/>
        <w:jc w:val="both"/>
        <w:rPr>
          <w:rFonts w:ascii="Times New Roman" w:hAnsi="Times New Roman"/>
          <w:color w:val="000000"/>
          <w:szCs w:val="22"/>
        </w:rPr>
      </w:pPr>
    </w:p>
    <w:p w14:paraId="2304C303" w14:textId="77777777" w:rsidR="007D642D" w:rsidRPr="00E0122B" w:rsidRDefault="007D642D" w:rsidP="007F23EE">
      <w:pPr>
        <w:jc w:val="center"/>
        <w:outlineLvl w:val="0"/>
        <w:rPr>
          <w:rFonts w:ascii="Times New Roman" w:hAnsi="Times New Roman"/>
          <w:b/>
          <w:bCs/>
        </w:rPr>
      </w:pPr>
      <w:r w:rsidRPr="00E0122B">
        <w:rPr>
          <w:rFonts w:ascii="Times New Roman" w:hAnsi="Times New Roman"/>
          <w:b/>
          <w:bCs/>
        </w:rPr>
        <w:t>B. NOTICE</w:t>
      </w:r>
    </w:p>
    <w:p w14:paraId="4692D014" w14:textId="77777777" w:rsidR="007D642D" w:rsidRPr="008A5F3B" w:rsidRDefault="007D642D" w:rsidP="007F23EE">
      <w:pPr>
        <w:suppressAutoHyphens/>
        <w:ind w:left="-142" w:firstLine="142"/>
        <w:jc w:val="center"/>
        <w:rPr>
          <w:rFonts w:ascii="Times New Roman" w:hAnsi="Times New Roman"/>
          <w:b/>
          <w:color w:val="000000"/>
          <w:szCs w:val="22"/>
        </w:rPr>
      </w:pPr>
      <w:r w:rsidRPr="008A5F3B">
        <w:rPr>
          <w:color w:val="000000"/>
        </w:rPr>
        <w:br w:type="page"/>
      </w:r>
      <w:r w:rsidRPr="008A5F3B">
        <w:rPr>
          <w:rFonts w:ascii="Times New Roman" w:hAnsi="Times New Roman"/>
          <w:b/>
          <w:color w:val="000000"/>
          <w:szCs w:val="22"/>
        </w:rPr>
        <w:lastRenderedPageBreak/>
        <w:t xml:space="preserve">Notice : </w:t>
      </w:r>
      <w:r w:rsidR="00B83C4B" w:rsidRPr="008A5F3B">
        <w:rPr>
          <w:rFonts w:ascii="Times New Roman" w:hAnsi="Times New Roman"/>
          <w:b/>
          <w:color w:val="000000"/>
          <w:szCs w:val="22"/>
        </w:rPr>
        <w:t xml:space="preserve">Information </w:t>
      </w:r>
      <w:r w:rsidRPr="008A5F3B">
        <w:rPr>
          <w:rFonts w:ascii="Times New Roman" w:hAnsi="Times New Roman"/>
          <w:b/>
          <w:color w:val="000000"/>
          <w:szCs w:val="22"/>
        </w:rPr>
        <w:t>de l’utilisateur</w:t>
      </w:r>
    </w:p>
    <w:p w14:paraId="094578FE" w14:textId="77777777" w:rsidR="007D642D" w:rsidRPr="008A5F3B" w:rsidRDefault="007D642D" w:rsidP="007F23EE">
      <w:pPr>
        <w:suppressAutoHyphens/>
        <w:ind w:left="-142" w:firstLine="142"/>
        <w:jc w:val="center"/>
        <w:rPr>
          <w:rFonts w:ascii="Times New Roman" w:hAnsi="Times New Roman"/>
          <w:color w:val="000000"/>
          <w:szCs w:val="22"/>
        </w:rPr>
      </w:pPr>
    </w:p>
    <w:p w14:paraId="493F6710" w14:textId="0EBE17B4" w:rsidR="007D642D" w:rsidRPr="008A5F3B" w:rsidRDefault="007D642D" w:rsidP="007F23EE">
      <w:pPr>
        <w:suppressAutoHyphens/>
        <w:ind w:left="-142" w:firstLine="142"/>
        <w:jc w:val="center"/>
        <w:rPr>
          <w:rFonts w:ascii="Times New Roman" w:hAnsi="Times New Roman"/>
          <w:b/>
          <w:color w:val="000000"/>
          <w:szCs w:val="22"/>
        </w:rPr>
      </w:pPr>
      <w:r w:rsidRPr="008A5F3B">
        <w:rPr>
          <w:rFonts w:ascii="Times New Roman" w:hAnsi="Times New Roman"/>
          <w:b/>
          <w:color w:val="000000"/>
          <w:szCs w:val="22"/>
        </w:rPr>
        <w:t>Glivec 100 mg comprimés pelliculés</w:t>
      </w:r>
    </w:p>
    <w:p w14:paraId="2DA0065F" w14:textId="53854957" w:rsidR="00E155EF" w:rsidRPr="008A5F3B" w:rsidRDefault="00E155EF" w:rsidP="007F23EE">
      <w:pPr>
        <w:suppressAutoHyphens/>
        <w:ind w:left="-142" w:firstLine="142"/>
        <w:jc w:val="center"/>
        <w:rPr>
          <w:rFonts w:ascii="Times New Roman" w:hAnsi="Times New Roman"/>
          <w:b/>
          <w:color w:val="000000"/>
          <w:szCs w:val="22"/>
        </w:rPr>
      </w:pPr>
      <w:r w:rsidRPr="008A5F3B">
        <w:rPr>
          <w:rFonts w:ascii="Times New Roman" w:hAnsi="Times New Roman"/>
          <w:b/>
          <w:color w:val="000000"/>
          <w:szCs w:val="22"/>
        </w:rPr>
        <w:t>Glivec 400 mg comprimés pelliculés</w:t>
      </w:r>
    </w:p>
    <w:p w14:paraId="2061B2E5" w14:textId="77777777" w:rsidR="007D642D" w:rsidRPr="008A5F3B" w:rsidRDefault="00D535F2" w:rsidP="007F23EE">
      <w:pPr>
        <w:suppressAutoHyphens/>
        <w:ind w:left="-142" w:firstLine="142"/>
        <w:jc w:val="center"/>
        <w:rPr>
          <w:rFonts w:ascii="Times New Roman" w:hAnsi="Times New Roman"/>
          <w:color w:val="000000"/>
          <w:szCs w:val="22"/>
        </w:rPr>
      </w:pPr>
      <w:proofErr w:type="gramStart"/>
      <w:r w:rsidRPr="008A5F3B">
        <w:rPr>
          <w:rFonts w:ascii="Times New Roman" w:hAnsi="Times New Roman"/>
          <w:color w:val="000000"/>
          <w:szCs w:val="22"/>
        </w:rPr>
        <w:t>i</w:t>
      </w:r>
      <w:r w:rsidR="007D642D" w:rsidRPr="008A5F3B">
        <w:rPr>
          <w:rFonts w:ascii="Times New Roman" w:hAnsi="Times New Roman"/>
          <w:color w:val="000000"/>
          <w:szCs w:val="22"/>
        </w:rPr>
        <w:t>matinib</w:t>
      </w:r>
      <w:proofErr w:type="gramEnd"/>
    </w:p>
    <w:p w14:paraId="5F18CC1D" w14:textId="77777777" w:rsidR="003A406F" w:rsidRPr="008A5F3B" w:rsidRDefault="003A406F" w:rsidP="007F23EE">
      <w:pPr>
        <w:suppressAutoHyphens/>
        <w:ind w:left="-142" w:firstLine="142"/>
        <w:rPr>
          <w:rFonts w:ascii="Times New Roman" w:hAnsi="Times New Roman"/>
          <w:color w:val="000000"/>
          <w:szCs w:val="22"/>
        </w:rPr>
      </w:pPr>
    </w:p>
    <w:p w14:paraId="05365CA2" w14:textId="77777777" w:rsidR="007D642D" w:rsidRPr="008A5F3B" w:rsidRDefault="007D642D" w:rsidP="007F23EE">
      <w:pPr>
        <w:ind w:right="-2"/>
        <w:rPr>
          <w:rFonts w:ascii="Times New Roman" w:hAnsi="Times New Roman"/>
          <w:b/>
          <w:color w:val="000000"/>
          <w:szCs w:val="22"/>
        </w:rPr>
      </w:pPr>
      <w:r w:rsidRPr="008A5F3B">
        <w:rPr>
          <w:rFonts w:ascii="Times New Roman" w:hAnsi="Times New Roman"/>
          <w:b/>
          <w:color w:val="000000"/>
          <w:szCs w:val="22"/>
        </w:rPr>
        <w:t>Veuillez lire attentivement cette notice avant de prendre ce médicament car elle contient des informations importantes pour vous.</w:t>
      </w:r>
    </w:p>
    <w:p w14:paraId="118C5552" w14:textId="77777777" w:rsidR="007D642D" w:rsidRPr="008A5F3B" w:rsidRDefault="007D642D" w:rsidP="007F23EE">
      <w:pPr>
        <w:numPr>
          <w:ilvl w:val="0"/>
          <w:numId w:val="5"/>
        </w:numPr>
        <w:tabs>
          <w:tab w:val="clear" w:pos="644"/>
        </w:tabs>
        <w:ind w:right="-2" w:hanging="567"/>
        <w:rPr>
          <w:rFonts w:ascii="Times New Roman" w:hAnsi="Times New Roman"/>
          <w:color w:val="000000"/>
          <w:szCs w:val="22"/>
        </w:rPr>
      </w:pPr>
      <w:r w:rsidRPr="008A5F3B">
        <w:rPr>
          <w:rFonts w:ascii="Times New Roman" w:hAnsi="Times New Roman"/>
          <w:color w:val="000000"/>
          <w:szCs w:val="22"/>
        </w:rPr>
        <w:t>Gardez cette notice. Vous pourriez avoir besoin de la relire.</w:t>
      </w:r>
    </w:p>
    <w:p w14:paraId="4FB1F38B" w14:textId="77777777" w:rsidR="007D642D" w:rsidRPr="008A5F3B" w:rsidRDefault="007D642D" w:rsidP="007F23EE">
      <w:pPr>
        <w:numPr>
          <w:ilvl w:val="0"/>
          <w:numId w:val="5"/>
        </w:numPr>
        <w:tabs>
          <w:tab w:val="clear" w:pos="644"/>
        </w:tabs>
        <w:ind w:right="-2" w:hanging="567"/>
        <w:rPr>
          <w:rFonts w:ascii="Times New Roman" w:hAnsi="Times New Roman"/>
          <w:color w:val="000000"/>
          <w:szCs w:val="22"/>
        </w:rPr>
      </w:pPr>
      <w:r w:rsidRPr="008A5F3B">
        <w:rPr>
          <w:rFonts w:ascii="Times New Roman" w:hAnsi="Times New Roman"/>
          <w:color w:val="000000"/>
          <w:szCs w:val="22"/>
        </w:rPr>
        <w:t>Si vous avez d’autres questions, interrogez votre médecin, votre pharmacien ou votre infirmier/ère.</w:t>
      </w:r>
    </w:p>
    <w:p w14:paraId="78D903A5" w14:textId="77777777" w:rsidR="007D642D" w:rsidRPr="008A5F3B" w:rsidRDefault="007D642D" w:rsidP="007F23EE">
      <w:pPr>
        <w:numPr>
          <w:ilvl w:val="0"/>
          <w:numId w:val="5"/>
        </w:numPr>
        <w:tabs>
          <w:tab w:val="clear" w:pos="644"/>
        </w:tabs>
        <w:ind w:right="-2" w:hanging="567"/>
        <w:rPr>
          <w:rFonts w:ascii="Times New Roman" w:hAnsi="Times New Roman"/>
          <w:color w:val="000000"/>
          <w:szCs w:val="22"/>
        </w:rPr>
      </w:pPr>
      <w:r w:rsidRPr="008A5F3B">
        <w:rPr>
          <w:rFonts w:ascii="Times New Roman" w:hAnsi="Times New Roman"/>
          <w:color w:val="000000"/>
          <w:szCs w:val="22"/>
        </w:rPr>
        <w:t>Ce médicament vous a été personnellement prescrit. Ne le donnez pas à d’autres personnes. Il pourrait leur être nocif, même si les signes de leur maladie sont identiques aux vôtres.</w:t>
      </w:r>
    </w:p>
    <w:p w14:paraId="386DBD37" w14:textId="5CA99456" w:rsidR="007D642D" w:rsidRPr="008A5F3B" w:rsidRDefault="007D642D" w:rsidP="007F23EE">
      <w:pPr>
        <w:numPr>
          <w:ilvl w:val="0"/>
          <w:numId w:val="5"/>
        </w:numPr>
        <w:tabs>
          <w:tab w:val="clear" w:pos="644"/>
        </w:tabs>
        <w:ind w:right="-2" w:hanging="567"/>
        <w:rPr>
          <w:rFonts w:ascii="Times New Roman" w:hAnsi="Times New Roman"/>
          <w:color w:val="000000"/>
          <w:szCs w:val="22"/>
        </w:rPr>
      </w:pPr>
      <w:r w:rsidRPr="008A5F3B">
        <w:rPr>
          <w:rFonts w:ascii="Times New Roman" w:hAnsi="Times New Roman"/>
          <w:color w:val="000000"/>
          <w:szCs w:val="22"/>
        </w:rPr>
        <w:t>Si vous ressentez un quelconque effet indésirable, parlez-en à votre médecin, votre pharmacien ou votre infirmier/ère. Ceci s’applique aussi à tout effet indésirable qui ne serait pas mentionné dans cette notice.</w:t>
      </w:r>
      <w:r w:rsidR="00B83C4B" w:rsidRPr="008A5F3B">
        <w:rPr>
          <w:rFonts w:ascii="Times New Roman" w:hAnsi="Times New Roman"/>
          <w:color w:val="000000"/>
          <w:szCs w:val="22"/>
        </w:rPr>
        <w:t xml:space="preserve"> Voir rubrique</w:t>
      </w:r>
      <w:r w:rsidR="00F9509F" w:rsidRPr="008A5F3B">
        <w:rPr>
          <w:color w:val="000000"/>
          <w:szCs w:val="22"/>
        </w:rPr>
        <w:t> </w:t>
      </w:r>
      <w:r w:rsidR="00B83C4B" w:rsidRPr="008A5F3B">
        <w:rPr>
          <w:rFonts w:ascii="Times New Roman" w:hAnsi="Times New Roman"/>
          <w:color w:val="000000"/>
          <w:szCs w:val="22"/>
        </w:rPr>
        <w:t>4.</w:t>
      </w:r>
    </w:p>
    <w:p w14:paraId="6500AC96" w14:textId="77777777" w:rsidR="007D642D" w:rsidRPr="008A5F3B" w:rsidRDefault="007D642D" w:rsidP="007F23EE">
      <w:pPr>
        <w:ind w:right="-2"/>
        <w:rPr>
          <w:rFonts w:ascii="Times New Roman" w:hAnsi="Times New Roman"/>
          <w:color w:val="000000"/>
          <w:szCs w:val="22"/>
        </w:rPr>
      </w:pPr>
    </w:p>
    <w:p w14:paraId="65E9ECE0" w14:textId="77777777" w:rsidR="007D642D" w:rsidRPr="008A5F3B" w:rsidRDefault="007D642D" w:rsidP="007F23EE">
      <w:pPr>
        <w:ind w:right="-2"/>
        <w:rPr>
          <w:rFonts w:ascii="Times New Roman" w:hAnsi="Times New Roman"/>
          <w:color w:val="000000"/>
          <w:szCs w:val="22"/>
        </w:rPr>
      </w:pPr>
    </w:p>
    <w:p w14:paraId="5A314D47" w14:textId="25582AC0" w:rsidR="007D642D" w:rsidRPr="008A5F3B" w:rsidRDefault="007D642D" w:rsidP="007F23EE">
      <w:pPr>
        <w:keepNext/>
        <w:rPr>
          <w:rFonts w:ascii="Times New Roman" w:hAnsi="Times New Roman"/>
          <w:b/>
          <w:color w:val="000000"/>
          <w:szCs w:val="22"/>
        </w:rPr>
      </w:pPr>
      <w:r w:rsidRPr="008A5F3B">
        <w:rPr>
          <w:rFonts w:ascii="Times New Roman" w:hAnsi="Times New Roman"/>
          <w:b/>
          <w:color w:val="000000"/>
          <w:szCs w:val="22"/>
        </w:rPr>
        <w:t xml:space="preserve">Que contient cette </w:t>
      </w:r>
      <w:proofErr w:type="gramStart"/>
      <w:r w:rsidRPr="008A5F3B">
        <w:rPr>
          <w:rFonts w:ascii="Times New Roman" w:hAnsi="Times New Roman"/>
          <w:b/>
          <w:color w:val="000000"/>
          <w:szCs w:val="22"/>
        </w:rPr>
        <w:t>notice</w:t>
      </w:r>
      <w:r w:rsidR="00B83C4B" w:rsidRPr="008A5F3B">
        <w:rPr>
          <w:rFonts w:ascii="Times New Roman" w:hAnsi="Times New Roman"/>
          <w:b/>
          <w:color w:val="000000"/>
          <w:szCs w:val="22"/>
        </w:rPr>
        <w:t> ?</w:t>
      </w:r>
      <w:r w:rsidR="00BD34D0" w:rsidRPr="008A5F3B">
        <w:rPr>
          <w:rFonts w:ascii="Times New Roman" w:hAnsi="Times New Roman"/>
          <w:b/>
          <w:color w:val="000000"/>
          <w:szCs w:val="22"/>
        </w:rPr>
        <w:t>:</w:t>
      </w:r>
      <w:proofErr w:type="gramEnd"/>
    </w:p>
    <w:p w14:paraId="3161BAEA" w14:textId="77777777" w:rsidR="00485803" w:rsidRPr="008A5F3B" w:rsidRDefault="00485803" w:rsidP="007F23EE">
      <w:pPr>
        <w:keepNext/>
        <w:rPr>
          <w:rFonts w:ascii="Times New Roman" w:hAnsi="Times New Roman"/>
          <w:color w:val="000000"/>
          <w:szCs w:val="22"/>
        </w:rPr>
      </w:pPr>
    </w:p>
    <w:p w14:paraId="306E78F5" w14:textId="766A2F91" w:rsidR="007D642D" w:rsidRPr="008A5F3B" w:rsidRDefault="007D642D" w:rsidP="007F23EE">
      <w:pPr>
        <w:ind w:left="567" w:right="-29" w:hanging="567"/>
        <w:rPr>
          <w:rFonts w:ascii="Times New Roman" w:hAnsi="Times New Roman"/>
          <w:color w:val="000000"/>
          <w:szCs w:val="22"/>
        </w:rPr>
      </w:pPr>
      <w:r w:rsidRPr="008A5F3B">
        <w:rPr>
          <w:rFonts w:ascii="Times New Roman" w:hAnsi="Times New Roman"/>
          <w:color w:val="000000"/>
          <w:szCs w:val="22"/>
        </w:rPr>
        <w:t>1.</w:t>
      </w:r>
      <w:r w:rsidRPr="008A5F3B">
        <w:rPr>
          <w:rFonts w:ascii="Times New Roman" w:hAnsi="Times New Roman"/>
          <w:color w:val="000000"/>
          <w:szCs w:val="22"/>
        </w:rPr>
        <w:tab/>
        <w:t>Qu</w:t>
      </w:r>
      <w:r w:rsidRPr="008A5F3B">
        <w:rPr>
          <w:rFonts w:ascii="Times New Roman" w:hAnsi="Times New Roman"/>
          <w:noProof/>
          <w:color w:val="000000"/>
        </w:rPr>
        <w:t>’</w:t>
      </w:r>
      <w:r w:rsidRPr="008A5F3B">
        <w:rPr>
          <w:rFonts w:ascii="Times New Roman" w:hAnsi="Times New Roman"/>
          <w:color w:val="000000"/>
          <w:szCs w:val="22"/>
        </w:rPr>
        <w:t>est-ce que Glivec et dans quel</w:t>
      </w:r>
      <w:r w:rsidR="00BD34D0" w:rsidRPr="008A5F3B">
        <w:rPr>
          <w:rFonts w:ascii="Times New Roman" w:hAnsi="Times New Roman"/>
          <w:color w:val="000000"/>
          <w:szCs w:val="22"/>
        </w:rPr>
        <w:t>s</w:t>
      </w:r>
      <w:r w:rsidRPr="008A5F3B">
        <w:rPr>
          <w:rFonts w:ascii="Times New Roman" w:hAnsi="Times New Roman"/>
          <w:color w:val="000000"/>
          <w:szCs w:val="22"/>
        </w:rPr>
        <w:t xml:space="preserve"> cas est-il utilisé</w:t>
      </w:r>
    </w:p>
    <w:p w14:paraId="19231284" w14:textId="77777777" w:rsidR="007D642D" w:rsidRPr="008A5F3B" w:rsidRDefault="007D642D" w:rsidP="007F23EE">
      <w:pPr>
        <w:ind w:left="567" w:right="-29" w:hanging="567"/>
        <w:rPr>
          <w:rFonts w:ascii="Times New Roman" w:hAnsi="Times New Roman"/>
          <w:color w:val="000000"/>
          <w:szCs w:val="22"/>
        </w:rPr>
      </w:pPr>
      <w:r w:rsidRPr="008A5F3B">
        <w:rPr>
          <w:rFonts w:ascii="Times New Roman" w:hAnsi="Times New Roman"/>
          <w:color w:val="000000"/>
          <w:szCs w:val="22"/>
        </w:rPr>
        <w:t>2.</w:t>
      </w:r>
      <w:r w:rsidRPr="008A5F3B">
        <w:rPr>
          <w:rFonts w:ascii="Times New Roman" w:hAnsi="Times New Roman"/>
          <w:color w:val="000000"/>
          <w:szCs w:val="22"/>
        </w:rPr>
        <w:tab/>
        <w:t>Quelles sont les informations à connaître avant de prendre Glivec</w:t>
      </w:r>
    </w:p>
    <w:p w14:paraId="718A1EAD" w14:textId="77777777" w:rsidR="007D642D" w:rsidRPr="008A5F3B" w:rsidRDefault="007D642D" w:rsidP="007F23EE">
      <w:pPr>
        <w:ind w:left="567" w:right="-29" w:hanging="567"/>
        <w:rPr>
          <w:rFonts w:ascii="Times New Roman" w:hAnsi="Times New Roman"/>
          <w:color w:val="000000"/>
          <w:szCs w:val="22"/>
        </w:rPr>
      </w:pPr>
      <w:r w:rsidRPr="008A5F3B">
        <w:rPr>
          <w:rFonts w:ascii="Times New Roman" w:hAnsi="Times New Roman"/>
          <w:color w:val="000000"/>
          <w:szCs w:val="22"/>
        </w:rPr>
        <w:t>3.</w:t>
      </w:r>
      <w:r w:rsidRPr="008A5F3B">
        <w:rPr>
          <w:rFonts w:ascii="Times New Roman" w:hAnsi="Times New Roman"/>
          <w:color w:val="000000"/>
          <w:szCs w:val="22"/>
        </w:rPr>
        <w:tab/>
        <w:t>Comment prendre Glivec</w:t>
      </w:r>
    </w:p>
    <w:p w14:paraId="5AC7D30C" w14:textId="02BAB9EC" w:rsidR="007D642D" w:rsidRPr="008A5F3B" w:rsidRDefault="007D642D" w:rsidP="007F23EE">
      <w:pPr>
        <w:ind w:left="567" w:right="-29" w:hanging="567"/>
        <w:rPr>
          <w:rFonts w:ascii="Times New Roman" w:hAnsi="Times New Roman"/>
          <w:color w:val="000000"/>
          <w:szCs w:val="22"/>
        </w:rPr>
      </w:pPr>
      <w:r w:rsidRPr="008A5F3B">
        <w:rPr>
          <w:rFonts w:ascii="Times New Roman" w:hAnsi="Times New Roman"/>
          <w:color w:val="000000"/>
          <w:szCs w:val="22"/>
        </w:rPr>
        <w:t>4.</w:t>
      </w:r>
      <w:r w:rsidRPr="008A5F3B">
        <w:rPr>
          <w:rFonts w:ascii="Times New Roman" w:hAnsi="Times New Roman"/>
          <w:color w:val="000000"/>
          <w:szCs w:val="22"/>
        </w:rPr>
        <w:tab/>
      </w:r>
      <w:r w:rsidR="00B83C4B" w:rsidRPr="008A5F3B">
        <w:rPr>
          <w:rFonts w:ascii="Times New Roman" w:hAnsi="Times New Roman"/>
          <w:color w:val="000000"/>
          <w:szCs w:val="22"/>
        </w:rPr>
        <w:t xml:space="preserve">Quels sont les effets </w:t>
      </w:r>
      <w:r w:rsidRPr="008A5F3B">
        <w:rPr>
          <w:rFonts w:ascii="Times New Roman" w:hAnsi="Times New Roman"/>
          <w:color w:val="000000"/>
          <w:szCs w:val="22"/>
        </w:rPr>
        <w:t>indésirables éventuels</w:t>
      </w:r>
      <w:r w:rsidR="00BD34D0" w:rsidRPr="008A5F3B">
        <w:rPr>
          <w:rFonts w:ascii="Times New Roman" w:hAnsi="Times New Roman"/>
          <w:color w:val="000000"/>
          <w:szCs w:val="22"/>
        </w:rPr>
        <w:t> ?</w:t>
      </w:r>
    </w:p>
    <w:p w14:paraId="3EF86B78" w14:textId="77777777" w:rsidR="007D642D" w:rsidRPr="008A5F3B" w:rsidRDefault="007D642D" w:rsidP="007F23EE">
      <w:pPr>
        <w:ind w:left="567" w:right="-29" w:hanging="567"/>
        <w:rPr>
          <w:rFonts w:ascii="Times New Roman" w:hAnsi="Times New Roman"/>
          <w:color w:val="000000"/>
          <w:szCs w:val="22"/>
        </w:rPr>
      </w:pPr>
      <w:r w:rsidRPr="008A5F3B">
        <w:rPr>
          <w:rFonts w:ascii="Times New Roman" w:hAnsi="Times New Roman"/>
          <w:color w:val="000000"/>
          <w:szCs w:val="22"/>
        </w:rPr>
        <w:t>5.</w:t>
      </w:r>
      <w:r w:rsidRPr="008A5F3B">
        <w:rPr>
          <w:rFonts w:ascii="Times New Roman" w:hAnsi="Times New Roman"/>
          <w:color w:val="000000"/>
          <w:szCs w:val="22"/>
        </w:rPr>
        <w:tab/>
        <w:t>Comment conserver Glivec</w:t>
      </w:r>
    </w:p>
    <w:p w14:paraId="5B3FBAF3" w14:textId="77777777" w:rsidR="007D642D" w:rsidRPr="008A5F3B" w:rsidRDefault="007D642D" w:rsidP="007F23EE">
      <w:pPr>
        <w:ind w:left="567" w:right="-29" w:hanging="567"/>
        <w:rPr>
          <w:rFonts w:ascii="Times New Roman" w:hAnsi="Times New Roman"/>
          <w:color w:val="000000"/>
          <w:szCs w:val="22"/>
        </w:rPr>
      </w:pPr>
      <w:r w:rsidRPr="008A5F3B">
        <w:rPr>
          <w:rFonts w:ascii="Times New Roman" w:hAnsi="Times New Roman"/>
          <w:color w:val="000000"/>
          <w:szCs w:val="22"/>
        </w:rPr>
        <w:t>6.</w:t>
      </w:r>
      <w:r w:rsidRPr="008A5F3B">
        <w:rPr>
          <w:rFonts w:ascii="Times New Roman" w:hAnsi="Times New Roman"/>
          <w:color w:val="000000"/>
          <w:szCs w:val="22"/>
        </w:rPr>
        <w:tab/>
        <w:t>Contenu de l’emballage et autres informations</w:t>
      </w:r>
    </w:p>
    <w:p w14:paraId="36F3ECBF" w14:textId="77777777" w:rsidR="007D642D" w:rsidRPr="008A5F3B" w:rsidRDefault="007D642D" w:rsidP="007F23EE">
      <w:pPr>
        <w:suppressAutoHyphens/>
        <w:ind w:left="567" w:hanging="567"/>
        <w:rPr>
          <w:rFonts w:ascii="Times New Roman" w:hAnsi="Times New Roman"/>
          <w:color w:val="000000"/>
          <w:szCs w:val="22"/>
        </w:rPr>
      </w:pPr>
    </w:p>
    <w:p w14:paraId="46CE2784" w14:textId="77777777" w:rsidR="007D642D" w:rsidRPr="008A5F3B" w:rsidRDefault="007D642D" w:rsidP="007F23EE">
      <w:pPr>
        <w:suppressAutoHyphens/>
        <w:rPr>
          <w:rFonts w:ascii="Times New Roman" w:hAnsi="Times New Roman"/>
          <w:color w:val="000000"/>
          <w:szCs w:val="22"/>
        </w:rPr>
      </w:pPr>
    </w:p>
    <w:p w14:paraId="6DCEBB68" w14:textId="62AFC6E8" w:rsidR="007D642D" w:rsidRPr="008A5F3B" w:rsidRDefault="007D642D" w:rsidP="007F23EE">
      <w:pPr>
        <w:pStyle w:val="BodyText3"/>
        <w:keepNext/>
        <w:rPr>
          <w:color w:val="000000"/>
          <w:szCs w:val="22"/>
        </w:rPr>
      </w:pPr>
      <w:r w:rsidRPr="008A5F3B">
        <w:rPr>
          <w:color w:val="000000"/>
          <w:szCs w:val="22"/>
        </w:rPr>
        <w:t>1.</w:t>
      </w:r>
      <w:r w:rsidRPr="008A5F3B">
        <w:rPr>
          <w:color w:val="000000"/>
          <w:szCs w:val="22"/>
        </w:rPr>
        <w:tab/>
        <w:t>Qu'est-ce que Glivec et dans quel</w:t>
      </w:r>
      <w:r w:rsidR="00BD34D0" w:rsidRPr="008A5F3B">
        <w:rPr>
          <w:color w:val="000000"/>
          <w:szCs w:val="22"/>
        </w:rPr>
        <w:t>s</w:t>
      </w:r>
      <w:r w:rsidRPr="008A5F3B">
        <w:rPr>
          <w:color w:val="000000"/>
          <w:szCs w:val="22"/>
        </w:rPr>
        <w:t xml:space="preserve"> cas est-il utilisé</w:t>
      </w:r>
    </w:p>
    <w:p w14:paraId="2EF8776C" w14:textId="77777777" w:rsidR="007D642D" w:rsidRPr="008A5F3B" w:rsidRDefault="007D642D" w:rsidP="007F23EE">
      <w:pPr>
        <w:keepNext/>
        <w:suppressAutoHyphens/>
        <w:ind w:left="567" w:hanging="567"/>
        <w:rPr>
          <w:rFonts w:ascii="Times New Roman" w:hAnsi="Times New Roman"/>
          <w:color w:val="000000"/>
          <w:szCs w:val="22"/>
        </w:rPr>
      </w:pPr>
    </w:p>
    <w:p w14:paraId="0D0A40C8" w14:textId="77777777" w:rsidR="007D642D" w:rsidRPr="008A5F3B" w:rsidRDefault="007D642D" w:rsidP="007F23EE">
      <w:pPr>
        <w:suppressAutoHyphens/>
        <w:rPr>
          <w:rFonts w:ascii="Times New Roman" w:hAnsi="Times New Roman"/>
          <w:color w:val="000000"/>
          <w:szCs w:val="22"/>
        </w:rPr>
      </w:pPr>
      <w:r w:rsidRPr="008A5F3B">
        <w:rPr>
          <w:rFonts w:ascii="Times New Roman" w:hAnsi="Times New Roman"/>
          <w:color w:val="000000"/>
          <w:szCs w:val="22"/>
        </w:rPr>
        <w:t>Glivec est un médicament qui contient une substance active appelée imatinib. Ce médicament agit par inhibition de la croissance des cellules anormales des maladies décrites ci-dessous parmi lesquelles certains types de cancer.</w:t>
      </w:r>
    </w:p>
    <w:p w14:paraId="5D63E443" w14:textId="77777777" w:rsidR="007D642D" w:rsidRPr="008A5F3B" w:rsidRDefault="007D642D" w:rsidP="007F23EE">
      <w:pPr>
        <w:suppressAutoHyphens/>
        <w:ind w:left="567" w:hanging="567"/>
        <w:rPr>
          <w:rFonts w:ascii="Times New Roman" w:hAnsi="Times New Roman"/>
          <w:color w:val="000000"/>
          <w:szCs w:val="22"/>
        </w:rPr>
      </w:pPr>
    </w:p>
    <w:p w14:paraId="5C38D39A" w14:textId="77777777" w:rsidR="007D642D" w:rsidRPr="008A5F3B" w:rsidRDefault="007D642D" w:rsidP="007F23EE">
      <w:pPr>
        <w:keepNext/>
        <w:suppressAutoHyphens/>
        <w:rPr>
          <w:rFonts w:ascii="Times New Roman" w:hAnsi="Times New Roman"/>
          <w:b/>
          <w:color w:val="000000"/>
          <w:szCs w:val="22"/>
        </w:rPr>
      </w:pPr>
      <w:r w:rsidRPr="008A5F3B">
        <w:rPr>
          <w:rFonts w:ascii="Times New Roman" w:hAnsi="Times New Roman"/>
          <w:b/>
          <w:color w:val="000000"/>
          <w:szCs w:val="22"/>
        </w:rPr>
        <w:t>Glivec est un traitement chez les adultes et les enfants :</w:t>
      </w:r>
    </w:p>
    <w:p w14:paraId="0B1A9F0E" w14:textId="77777777" w:rsidR="007D642D" w:rsidRPr="008A5F3B" w:rsidRDefault="007D642D" w:rsidP="007F23EE">
      <w:pPr>
        <w:keepNext/>
        <w:suppressAutoHyphens/>
        <w:rPr>
          <w:rFonts w:ascii="Times New Roman" w:hAnsi="Times New Roman"/>
          <w:bCs/>
          <w:color w:val="000000"/>
          <w:szCs w:val="22"/>
        </w:rPr>
      </w:pPr>
    </w:p>
    <w:p w14:paraId="175482FA" w14:textId="77777777" w:rsidR="007D642D" w:rsidRPr="008A5F3B" w:rsidRDefault="007D642D" w:rsidP="007F23EE">
      <w:pPr>
        <w:pStyle w:val="paragraphSIF"/>
        <w:numPr>
          <w:ilvl w:val="0"/>
          <w:numId w:val="16"/>
        </w:numPr>
        <w:tabs>
          <w:tab w:val="clear" w:pos="-720"/>
          <w:tab w:val="clear" w:pos="-113"/>
        </w:tabs>
        <w:suppressAutoHyphens/>
        <w:ind w:left="567" w:hanging="567"/>
        <w:jc w:val="left"/>
        <w:rPr>
          <w:color w:val="000000"/>
          <w:szCs w:val="22"/>
          <w:lang w:val="fr-FR"/>
        </w:rPr>
      </w:pPr>
      <w:r w:rsidRPr="008A5F3B">
        <w:rPr>
          <w:b/>
          <w:color w:val="000000"/>
          <w:szCs w:val="22"/>
          <w:lang w:val="fr-FR"/>
        </w:rPr>
        <w:t>Leucémie myéloïde chronique (LMC).</w:t>
      </w:r>
      <w:r w:rsidRPr="008A5F3B">
        <w:rPr>
          <w:color w:val="000000"/>
          <w:szCs w:val="22"/>
          <w:lang w:val="fr-FR"/>
        </w:rPr>
        <w:t xml:space="preserve"> La leucémie est un cancer des globules blancs du sang. Ces globules blancs aident habituellement l’organisme à se défendre contre les infections. La leucémie myéloïde chronique est une forme de leucémie dans laquelle certains globules blancs anormaux, (appelés cellules myéloïdes), commencent à se multiplier de manière incontrôlée. Glivec inhibe la croissance de ces cellules.</w:t>
      </w:r>
    </w:p>
    <w:p w14:paraId="20316EB7" w14:textId="77777777" w:rsidR="00CD7E29" w:rsidRPr="008A5F3B" w:rsidRDefault="00CD7E29" w:rsidP="007F23EE">
      <w:pPr>
        <w:pStyle w:val="paragraphSIF"/>
        <w:numPr>
          <w:ilvl w:val="0"/>
          <w:numId w:val="16"/>
        </w:numPr>
        <w:tabs>
          <w:tab w:val="clear" w:pos="-720"/>
          <w:tab w:val="clear" w:pos="-113"/>
        </w:tabs>
        <w:suppressAutoHyphens/>
        <w:ind w:left="567" w:hanging="567"/>
        <w:jc w:val="left"/>
        <w:rPr>
          <w:color w:val="000000"/>
          <w:szCs w:val="22"/>
          <w:lang w:val="fr-FR"/>
        </w:rPr>
      </w:pPr>
      <w:r w:rsidRPr="008A5F3B">
        <w:rPr>
          <w:b/>
          <w:color w:val="000000"/>
          <w:szCs w:val="22"/>
          <w:lang w:val="fr-FR"/>
        </w:rPr>
        <w:t>Leucémie aiguë lymphoïde chromosome Philadelphie positive (LAL Ph-positive)</w:t>
      </w:r>
      <w:r w:rsidRPr="008A5F3B">
        <w:rPr>
          <w:color w:val="000000"/>
          <w:szCs w:val="22"/>
          <w:lang w:val="fr-FR"/>
        </w:rPr>
        <w:t>. La leucémie est un cancer des globules blancs du sang. Ces globules blancs aident habituellement l’organisme à se défendre contre les infections. La leucémie aiguë lymphoblastique est une forme de leucémie dans laquelle certains globules blancs anormaux (appelés lymphoblastes) commencent à se multiplier de manière incontrôlée. Glivec inhibe la croissance de ces cellules.</w:t>
      </w:r>
    </w:p>
    <w:p w14:paraId="2371174F" w14:textId="77777777" w:rsidR="007D642D" w:rsidRPr="008A5F3B" w:rsidRDefault="007D642D" w:rsidP="007F23EE">
      <w:pPr>
        <w:pStyle w:val="paragraphSIF"/>
        <w:tabs>
          <w:tab w:val="clear" w:pos="-720"/>
        </w:tabs>
        <w:suppressAutoHyphens/>
        <w:jc w:val="left"/>
        <w:rPr>
          <w:color w:val="000000"/>
          <w:szCs w:val="22"/>
          <w:lang w:val="fr-FR"/>
        </w:rPr>
      </w:pPr>
    </w:p>
    <w:p w14:paraId="4497E759" w14:textId="77777777" w:rsidR="007D642D" w:rsidRPr="008A5F3B" w:rsidRDefault="007D642D" w:rsidP="007F23EE">
      <w:pPr>
        <w:pStyle w:val="paragraphSIF"/>
        <w:keepNext/>
        <w:tabs>
          <w:tab w:val="clear" w:pos="-720"/>
        </w:tabs>
        <w:suppressAutoHyphens/>
        <w:jc w:val="left"/>
        <w:rPr>
          <w:b/>
          <w:color w:val="000000"/>
          <w:szCs w:val="22"/>
          <w:lang w:val="fr-FR"/>
        </w:rPr>
      </w:pPr>
      <w:r w:rsidRPr="008A5F3B">
        <w:rPr>
          <w:b/>
          <w:color w:val="000000"/>
          <w:szCs w:val="22"/>
          <w:lang w:val="fr-FR"/>
        </w:rPr>
        <w:t>Glivec est aussi un traitement chez l’adulte :</w:t>
      </w:r>
    </w:p>
    <w:p w14:paraId="12931D46" w14:textId="77777777" w:rsidR="007D642D" w:rsidRPr="008A5F3B" w:rsidRDefault="007D642D" w:rsidP="007F23EE">
      <w:pPr>
        <w:pStyle w:val="paragraphSIF"/>
        <w:keepNext/>
        <w:tabs>
          <w:tab w:val="clear" w:pos="-720"/>
        </w:tabs>
        <w:suppressAutoHyphens/>
        <w:jc w:val="left"/>
        <w:rPr>
          <w:color w:val="000000"/>
          <w:szCs w:val="22"/>
          <w:lang w:val="fr-FR"/>
        </w:rPr>
      </w:pPr>
    </w:p>
    <w:p w14:paraId="30D6B509" w14:textId="77777777" w:rsidR="007D642D" w:rsidRPr="008A5F3B" w:rsidRDefault="007D642D" w:rsidP="007F23EE">
      <w:pPr>
        <w:pStyle w:val="Listlevel1"/>
        <w:numPr>
          <w:ilvl w:val="0"/>
          <w:numId w:val="16"/>
        </w:numPr>
        <w:tabs>
          <w:tab w:val="clear" w:pos="-113"/>
        </w:tabs>
        <w:spacing w:before="0" w:after="0"/>
        <w:ind w:left="567" w:hanging="567"/>
        <w:rPr>
          <w:color w:val="000000"/>
          <w:sz w:val="22"/>
          <w:szCs w:val="22"/>
          <w:lang w:val="fr-FR"/>
        </w:rPr>
      </w:pPr>
      <w:r w:rsidRPr="008A5F3B">
        <w:rPr>
          <w:b/>
          <w:color w:val="000000"/>
          <w:sz w:val="22"/>
          <w:szCs w:val="22"/>
          <w:lang w:val="fr-FR"/>
        </w:rPr>
        <w:t>Syndromes myéloprolifératifs/myélodysplasiques (</w:t>
      </w:r>
      <w:smartTag w:uri="urn:schemas-microsoft-com:office:smarttags" w:element="stockticker">
        <w:r w:rsidRPr="008A5F3B">
          <w:rPr>
            <w:b/>
            <w:color w:val="000000"/>
            <w:sz w:val="22"/>
            <w:szCs w:val="22"/>
            <w:lang w:val="fr-FR"/>
          </w:rPr>
          <w:t>SMP</w:t>
        </w:r>
      </w:smartTag>
      <w:r w:rsidRPr="008A5F3B">
        <w:rPr>
          <w:b/>
          <w:color w:val="000000"/>
          <w:sz w:val="22"/>
          <w:szCs w:val="22"/>
          <w:lang w:val="fr-FR"/>
        </w:rPr>
        <w:t>/</w:t>
      </w:r>
      <w:smartTag w:uri="urn:schemas-microsoft-com:office:smarttags" w:element="stockticker">
        <w:r w:rsidRPr="008A5F3B">
          <w:rPr>
            <w:b/>
            <w:color w:val="000000"/>
            <w:sz w:val="22"/>
            <w:szCs w:val="22"/>
            <w:lang w:val="fr-FR"/>
          </w:rPr>
          <w:t>SMD</w:t>
        </w:r>
      </w:smartTag>
      <w:r w:rsidRPr="008A5F3B">
        <w:rPr>
          <w:b/>
          <w:color w:val="000000"/>
          <w:sz w:val="22"/>
          <w:szCs w:val="22"/>
          <w:lang w:val="fr-FR"/>
        </w:rPr>
        <w:t>)</w:t>
      </w:r>
      <w:r w:rsidRPr="008A5F3B">
        <w:rPr>
          <w:color w:val="000000"/>
          <w:sz w:val="22"/>
          <w:szCs w:val="22"/>
          <w:lang w:val="fr-FR"/>
        </w:rPr>
        <w:t>. Il s’agit d’un groupe de maladies du sang pour lesquelles des cellules du sang commencent à se multiplier de manière incontrôlée. Glivec inhibe la croissance de ces cellules dans un certain sous-groupe de ces maladies.</w:t>
      </w:r>
    </w:p>
    <w:p w14:paraId="37EBF35C" w14:textId="77777777" w:rsidR="007D642D" w:rsidRPr="008A5F3B" w:rsidRDefault="007D642D" w:rsidP="007F23EE">
      <w:pPr>
        <w:pStyle w:val="Listlevel1"/>
        <w:keepLines/>
        <w:numPr>
          <w:ilvl w:val="0"/>
          <w:numId w:val="16"/>
        </w:numPr>
        <w:tabs>
          <w:tab w:val="clear" w:pos="-113"/>
        </w:tabs>
        <w:spacing w:before="0" w:after="0"/>
        <w:ind w:left="567" w:hanging="567"/>
        <w:rPr>
          <w:color w:val="000000"/>
          <w:sz w:val="22"/>
          <w:szCs w:val="22"/>
          <w:lang w:val="fr-FR"/>
        </w:rPr>
      </w:pPr>
      <w:r w:rsidRPr="008A5F3B">
        <w:rPr>
          <w:b/>
          <w:color w:val="000000"/>
          <w:sz w:val="22"/>
          <w:szCs w:val="22"/>
          <w:lang w:val="fr-FR"/>
        </w:rPr>
        <w:t xml:space="preserve">Syndrome </w:t>
      </w:r>
      <w:proofErr w:type="spellStart"/>
      <w:r w:rsidRPr="008A5F3B">
        <w:rPr>
          <w:b/>
          <w:color w:val="000000"/>
          <w:sz w:val="22"/>
          <w:szCs w:val="22"/>
          <w:lang w:val="fr-FR"/>
        </w:rPr>
        <w:t>hyperéosinophilique</w:t>
      </w:r>
      <w:proofErr w:type="spellEnd"/>
      <w:r w:rsidRPr="008A5F3B">
        <w:rPr>
          <w:b/>
          <w:color w:val="000000"/>
          <w:sz w:val="22"/>
          <w:szCs w:val="22"/>
          <w:lang w:val="fr-FR"/>
        </w:rPr>
        <w:t xml:space="preserve"> (SHE) et/ou de la leucémie chronique à éosinophiles (LCE)</w:t>
      </w:r>
      <w:r w:rsidRPr="008A5F3B">
        <w:rPr>
          <w:color w:val="000000"/>
          <w:sz w:val="22"/>
          <w:szCs w:val="22"/>
          <w:lang w:val="fr-FR"/>
        </w:rPr>
        <w:t>. Ce sont des maladies pour lesquelles des cellules du sang (appelées éosinophiles) commencent à se multiplier de manière incontrôlée. Glivec inhibe la croissance de ces cellules dans un certain sous-groupe de ces maladies.</w:t>
      </w:r>
    </w:p>
    <w:p w14:paraId="71E3E922" w14:textId="5910E390" w:rsidR="007D642D" w:rsidRPr="008A5F3B" w:rsidRDefault="007D642D" w:rsidP="007F23EE">
      <w:pPr>
        <w:pStyle w:val="paragraphSIF"/>
        <w:numPr>
          <w:ilvl w:val="0"/>
          <w:numId w:val="16"/>
        </w:numPr>
        <w:tabs>
          <w:tab w:val="clear" w:pos="-720"/>
          <w:tab w:val="clear" w:pos="-113"/>
        </w:tabs>
        <w:suppressAutoHyphens/>
        <w:ind w:left="567" w:hanging="567"/>
        <w:jc w:val="left"/>
        <w:rPr>
          <w:color w:val="000000"/>
          <w:szCs w:val="22"/>
          <w:lang w:val="fr-FR"/>
        </w:rPr>
      </w:pPr>
      <w:r w:rsidRPr="008A5F3B">
        <w:rPr>
          <w:b/>
          <w:color w:val="000000"/>
          <w:szCs w:val="22"/>
          <w:lang w:val="fr-FR"/>
        </w:rPr>
        <w:lastRenderedPageBreak/>
        <w:t>Tumeurs stromales gastro-intestinales malignes (GIST)</w:t>
      </w:r>
      <w:r w:rsidRPr="008A5F3B">
        <w:rPr>
          <w:color w:val="000000"/>
          <w:szCs w:val="22"/>
          <w:lang w:val="fr-FR"/>
        </w:rPr>
        <w:t>. GIST est un cancer de l</w:t>
      </w:r>
      <w:r w:rsidR="00813A7A">
        <w:rPr>
          <w:color w:val="000000"/>
          <w:szCs w:val="22"/>
          <w:lang w:val="fr-FR"/>
        </w:rPr>
        <w:t>’</w:t>
      </w:r>
      <w:r w:rsidRPr="008A5F3B">
        <w:rPr>
          <w:color w:val="000000"/>
          <w:szCs w:val="22"/>
          <w:lang w:val="fr-FR"/>
        </w:rPr>
        <w:t>estomac et des intestins. Il résulte de la croissance cellulaire incontrôlée des tissus de support de ces organes. Glivec inhibe la croissance de ces cellules.</w:t>
      </w:r>
    </w:p>
    <w:p w14:paraId="4F73BFF3" w14:textId="77777777" w:rsidR="007D642D" w:rsidRPr="008A5F3B" w:rsidRDefault="007D642D" w:rsidP="007F23EE">
      <w:pPr>
        <w:pStyle w:val="paragraphSIF"/>
        <w:keepNext/>
        <w:keepLines/>
        <w:numPr>
          <w:ilvl w:val="0"/>
          <w:numId w:val="16"/>
        </w:numPr>
        <w:tabs>
          <w:tab w:val="clear" w:pos="-720"/>
          <w:tab w:val="clear" w:pos="-113"/>
        </w:tabs>
        <w:suppressAutoHyphens/>
        <w:ind w:left="567" w:hanging="567"/>
        <w:jc w:val="left"/>
        <w:rPr>
          <w:color w:val="000000"/>
          <w:szCs w:val="22"/>
          <w:lang w:val="fr-FR"/>
        </w:rPr>
      </w:pPr>
      <w:proofErr w:type="spellStart"/>
      <w:r w:rsidRPr="008A5F3B">
        <w:rPr>
          <w:b/>
          <w:color w:val="000000"/>
          <w:szCs w:val="22"/>
          <w:lang w:val="fr-FR"/>
        </w:rPr>
        <w:t>Dermatofibrosarcome</w:t>
      </w:r>
      <w:proofErr w:type="spellEnd"/>
      <w:r w:rsidRPr="008A5F3B">
        <w:rPr>
          <w:b/>
          <w:color w:val="000000"/>
          <w:szCs w:val="22"/>
          <w:lang w:val="fr-FR"/>
        </w:rPr>
        <w:t xml:space="preserve"> </w:t>
      </w:r>
      <w:proofErr w:type="spellStart"/>
      <w:r w:rsidRPr="008A5F3B">
        <w:rPr>
          <w:b/>
          <w:color w:val="000000"/>
          <w:szCs w:val="22"/>
          <w:lang w:val="fr-FR"/>
        </w:rPr>
        <w:t>protuberans</w:t>
      </w:r>
      <w:proofErr w:type="spellEnd"/>
      <w:r w:rsidRPr="008A5F3B">
        <w:rPr>
          <w:b/>
          <w:color w:val="000000"/>
          <w:szCs w:val="22"/>
          <w:lang w:val="fr-FR"/>
        </w:rPr>
        <w:t xml:space="preserve"> (DFSP)</w:t>
      </w:r>
      <w:r w:rsidRPr="008A5F3B">
        <w:rPr>
          <w:color w:val="000000"/>
          <w:szCs w:val="22"/>
          <w:lang w:val="fr-FR"/>
        </w:rPr>
        <w:t xml:space="preserve">. Le </w:t>
      </w:r>
      <w:proofErr w:type="spellStart"/>
      <w:r w:rsidRPr="008A5F3B">
        <w:rPr>
          <w:color w:val="000000"/>
          <w:szCs w:val="22"/>
          <w:lang w:val="fr-FR"/>
        </w:rPr>
        <w:t>dermatofibrosarcome</w:t>
      </w:r>
      <w:proofErr w:type="spellEnd"/>
      <w:r w:rsidRPr="008A5F3B">
        <w:rPr>
          <w:color w:val="000000"/>
          <w:szCs w:val="22"/>
          <w:lang w:val="fr-FR"/>
        </w:rPr>
        <w:t xml:space="preserve"> est un cancer du tissu sous la peau dans lequel certaines cellules commencent à se multiplier de manière incontrôlée. Glivec inhibe la croissance de ces cellules.</w:t>
      </w:r>
    </w:p>
    <w:p w14:paraId="2697BE32" w14:textId="77777777" w:rsidR="007D642D" w:rsidRPr="008A5F3B" w:rsidRDefault="007D642D" w:rsidP="007F23EE">
      <w:pPr>
        <w:pStyle w:val="paragraphSIF"/>
        <w:tabs>
          <w:tab w:val="clear" w:pos="-720"/>
        </w:tabs>
        <w:suppressAutoHyphens/>
        <w:jc w:val="left"/>
        <w:rPr>
          <w:color w:val="000000"/>
          <w:szCs w:val="22"/>
          <w:lang w:val="fr-FR"/>
        </w:rPr>
      </w:pPr>
      <w:r w:rsidRPr="008A5F3B">
        <w:rPr>
          <w:color w:val="000000"/>
          <w:szCs w:val="22"/>
          <w:lang w:val="fr-FR"/>
        </w:rPr>
        <w:t>Par la suite dans cette notice, les abréviations ci-dessus sont utilisées pour désigner ces maladies.</w:t>
      </w:r>
    </w:p>
    <w:p w14:paraId="266853BD" w14:textId="77777777" w:rsidR="007D642D" w:rsidRPr="008A5F3B" w:rsidRDefault="007D642D" w:rsidP="007F23EE">
      <w:pPr>
        <w:pStyle w:val="paragraphSIF"/>
        <w:tabs>
          <w:tab w:val="clear" w:pos="-720"/>
        </w:tabs>
        <w:suppressAutoHyphens/>
        <w:jc w:val="left"/>
        <w:rPr>
          <w:color w:val="000000"/>
          <w:szCs w:val="22"/>
          <w:lang w:val="fr-FR"/>
        </w:rPr>
      </w:pPr>
    </w:p>
    <w:p w14:paraId="0B614FC2" w14:textId="77777777" w:rsidR="007D642D" w:rsidRPr="008A5F3B" w:rsidRDefault="007D642D" w:rsidP="007F23EE">
      <w:pPr>
        <w:pStyle w:val="paragraphSIF"/>
        <w:tabs>
          <w:tab w:val="clear" w:pos="-720"/>
        </w:tabs>
        <w:suppressAutoHyphens/>
        <w:jc w:val="left"/>
        <w:rPr>
          <w:color w:val="000000"/>
          <w:lang w:val="fr-FR"/>
        </w:rPr>
      </w:pPr>
      <w:r w:rsidRPr="008A5F3B">
        <w:rPr>
          <w:color w:val="000000"/>
          <w:lang w:val="fr-FR"/>
        </w:rPr>
        <w:t>Si vous avez des questions sur comment Glivec agit ou pourquoi ce médicament vous a été prescrit, adressez-vous à votre médecin.</w:t>
      </w:r>
    </w:p>
    <w:p w14:paraId="2F3D6DA4" w14:textId="77777777" w:rsidR="007D642D" w:rsidRPr="008A5F3B" w:rsidRDefault="007D642D" w:rsidP="007F23EE">
      <w:pPr>
        <w:suppressAutoHyphens/>
        <w:rPr>
          <w:rFonts w:ascii="Times New Roman" w:hAnsi="Times New Roman"/>
          <w:color w:val="000000"/>
          <w:szCs w:val="22"/>
        </w:rPr>
      </w:pPr>
    </w:p>
    <w:p w14:paraId="62A3EDD7" w14:textId="77777777" w:rsidR="007D642D" w:rsidRPr="008A5F3B" w:rsidRDefault="007D642D" w:rsidP="007F23EE">
      <w:pPr>
        <w:suppressAutoHyphens/>
        <w:rPr>
          <w:rFonts w:ascii="Times New Roman" w:hAnsi="Times New Roman"/>
          <w:color w:val="000000"/>
          <w:szCs w:val="22"/>
        </w:rPr>
      </w:pPr>
    </w:p>
    <w:p w14:paraId="45E832F6" w14:textId="77777777" w:rsidR="007D642D" w:rsidRPr="008A5F3B" w:rsidRDefault="007D642D" w:rsidP="007F23EE">
      <w:pPr>
        <w:keepNext/>
        <w:suppressAutoHyphens/>
        <w:ind w:left="567" w:hanging="567"/>
        <w:rPr>
          <w:rFonts w:ascii="Times New Roman" w:hAnsi="Times New Roman"/>
          <w:b/>
          <w:color w:val="000000"/>
          <w:szCs w:val="22"/>
        </w:rPr>
      </w:pPr>
      <w:r w:rsidRPr="008A5F3B">
        <w:rPr>
          <w:rFonts w:ascii="Times New Roman" w:hAnsi="Times New Roman"/>
          <w:b/>
          <w:color w:val="000000"/>
          <w:szCs w:val="22"/>
        </w:rPr>
        <w:t>2.</w:t>
      </w:r>
      <w:r w:rsidRPr="008A5F3B">
        <w:rPr>
          <w:rFonts w:ascii="Times New Roman" w:hAnsi="Times New Roman"/>
          <w:b/>
          <w:color w:val="000000"/>
          <w:szCs w:val="22"/>
        </w:rPr>
        <w:tab/>
        <w:t>Quelles sont les informations à connaître avant de prendre Glivec</w:t>
      </w:r>
    </w:p>
    <w:p w14:paraId="77F7E9BF" w14:textId="77777777" w:rsidR="007D642D" w:rsidRPr="008A5F3B" w:rsidRDefault="007D642D" w:rsidP="007F23EE">
      <w:pPr>
        <w:keepNext/>
        <w:suppressAutoHyphens/>
        <w:ind w:left="567" w:hanging="567"/>
        <w:rPr>
          <w:rFonts w:ascii="Times New Roman" w:hAnsi="Times New Roman"/>
          <w:color w:val="000000"/>
          <w:szCs w:val="22"/>
        </w:rPr>
      </w:pPr>
    </w:p>
    <w:p w14:paraId="7CCF312E" w14:textId="77777777" w:rsidR="007D642D" w:rsidRPr="008A5F3B" w:rsidRDefault="007D642D" w:rsidP="007F23EE">
      <w:pPr>
        <w:suppressAutoHyphens/>
        <w:rPr>
          <w:rFonts w:ascii="Times New Roman" w:hAnsi="Times New Roman"/>
          <w:color w:val="000000"/>
          <w:szCs w:val="22"/>
        </w:rPr>
      </w:pPr>
      <w:r w:rsidRPr="008A5F3B">
        <w:rPr>
          <w:rFonts w:ascii="Times New Roman" w:hAnsi="Times New Roman"/>
          <w:color w:val="000000"/>
          <w:szCs w:val="22"/>
        </w:rPr>
        <w:t>Glivec vous sera prescrit uniquement par un médecin qui a l’expérience des médicaments utilisés dans les traitements des cancers du sang ou de tumeurs solides.</w:t>
      </w:r>
    </w:p>
    <w:p w14:paraId="339EA806" w14:textId="77777777" w:rsidR="007D642D" w:rsidRPr="008A5F3B" w:rsidRDefault="007D642D" w:rsidP="007F23EE">
      <w:pPr>
        <w:suppressAutoHyphens/>
        <w:rPr>
          <w:rFonts w:ascii="Times New Roman" w:hAnsi="Times New Roman"/>
          <w:color w:val="000000"/>
          <w:szCs w:val="22"/>
        </w:rPr>
      </w:pPr>
    </w:p>
    <w:p w14:paraId="68A0C0D3" w14:textId="77777777" w:rsidR="007D642D" w:rsidRPr="008A5F3B" w:rsidRDefault="007D642D" w:rsidP="007F23EE">
      <w:pPr>
        <w:suppressAutoHyphens/>
        <w:rPr>
          <w:rFonts w:ascii="Times New Roman" w:hAnsi="Times New Roman"/>
          <w:color w:val="000000"/>
          <w:szCs w:val="22"/>
        </w:rPr>
      </w:pPr>
      <w:r w:rsidRPr="008A5F3B">
        <w:rPr>
          <w:rFonts w:ascii="Times New Roman" w:hAnsi="Times New Roman"/>
          <w:color w:val="000000"/>
          <w:szCs w:val="22"/>
        </w:rPr>
        <w:t>Suivez attentivement toutes les instructions qui vous sont données par votre médecin même si elles diffèrent des informations générales qui sont précisées dans cette notice.</w:t>
      </w:r>
    </w:p>
    <w:p w14:paraId="7A1245E6" w14:textId="77777777" w:rsidR="007D642D" w:rsidRPr="008A5F3B" w:rsidRDefault="007D642D" w:rsidP="007F23EE">
      <w:pPr>
        <w:suppressAutoHyphens/>
        <w:rPr>
          <w:rFonts w:ascii="Times New Roman" w:hAnsi="Times New Roman"/>
          <w:color w:val="000000"/>
          <w:szCs w:val="22"/>
        </w:rPr>
      </w:pPr>
    </w:p>
    <w:p w14:paraId="2A10944C" w14:textId="18A46755" w:rsidR="007D642D" w:rsidRPr="008A5F3B" w:rsidRDefault="007D642D" w:rsidP="007F23EE">
      <w:pPr>
        <w:pStyle w:val="BodyText2"/>
        <w:keepNext/>
        <w:rPr>
          <w:b/>
          <w:color w:val="000000"/>
          <w:szCs w:val="22"/>
        </w:rPr>
      </w:pPr>
      <w:r w:rsidRPr="008A5F3B">
        <w:rPr>
          <w:b/>
          <w:color w:val="000000"/>
          <w:szCs w:val="22"/>
        </w:rPr>
        <w:t>Ne prenez jamais Glivec</w:t>
      </w:r>
    </w:p>
    <w:p w14:paraId="5915F84E" w14:textId="761CF32E" w:rsidR="007D642D" w:rsidRPr="008A5F3B" w:rsidRDefault="007D642D" w:rsidP="007F23EE">
      <w:pPr>
        <w:pStyle w:val="BodyText2"/>
        <w:keepNext/>
        <w:numPr>
          <w:ilvl w:val="0"/>
          <w:numId w:val="4"/>
        </w:numPr>
        <w:ind w:left="567" w:hanging="567"/>
        <w:rPr>
          <w:color w:val="000000"/>
          <w:szCs w:val="22"/>
        </w:rPr>
      </w:pPr>
      <w:proofErr w:type="gramStart"/>
      <w:r w:rsidRPr="008A5F3B">
        <w:rPr>
          <w:color w:val="000000"/>
          <w:szCs w:val="22"/>
        </w:rPr>
        <w:t>si</w:t>
      </w:r>
      <w:proofErr w:type="gramEnd"/>
      <w:r w:rsidRPr="008A5F3B">
        <w:rPr>
          <w:color w:val="000000"/>
          <w:szCs w:val="22"/>
        </w:rPr>
        <w:t xml:space="preserve"> vous êtes allergique à l’imatinib ou à l’un des autres composants contenus dans ce médicament mentionnés </w:t>
      </w:r>
      <w:r w:rsidR="001A5A94" w:rsidRPr="008A5F3B">
        <w:rPr>
          <w:color w:val="000000"/>
          <w:szCs w:val="22"/>
        </w:rPr>
        <w:t>dans</w:t>
      </w:r>
      <w:r w:rsidRPr="008A5F3B">
        <w:rPr>
          <w:color w:val="000000"/>
          <w:szCs w:val="22"/>
        </w:rPr>
        <w:t xml:space="preserve"> la rubrique 6.</w:t>
      </w:r>
    </w:p>
    <w:p w14:paraId="3AE3BA3A" w14:textId="77777777" w:rsidR="007D642D" w:rsidRPr="008A5F3B" w:rsidRDefault="007D642D" w:rsidP="007F23EE">
      <w:pPr>
        <w:pStyle w:val="BodyText2"/>
        <w:ind w:left="0" w:firstLine="0"/>
        <w:rPr>
          <w:color w:val="000000"/>
          <w:szCs w:val="22"/>
        </w:rPr>
      </w:pPr>
      <w:r w:rsidRPr="008A5F3B">
        <w:rPr>
          <w:color w:val="000000"/>
          <w:szCs w:val="22"/>
        </w:rPr>
        <w:t>Si vous êtes concernés,</w:t>
      </w:r>
      <w:r w:rsidRPr="008A5F3B">
        <w:rPr>
          <w:b/>
          <w:color w:val="000000"/>
          <w:szCs w:val="22"/>
        </w:rPr>
        <w:t xml:space="preserve"> parlez-en à votre médecin avant de prendre Glivec</w:t>
      </w:r>
      <w:r w:rsidRPr="008A5F3B">
        <w:rPr>
          <w:color w:val="000000"/>
          <w:szCs w:val="22"/>
        </w:rPr>
        <w:t>.</w:t>
      </w:r>
    </w:p>
    <w:p w14:paraId="4D6C2081" w14:textId="77777777" w:rsidR="007D642D" w:rsidRPr="008A5F3B" w:rsidRDefault="007D642D" w:rsidP="007F23EE">
      <w:pPr>
        <w:pStyle w:val="BodyText2"/>
        <w:ind w:left="0" w:firstLine="0"/>
        <w:rPr>
          <w:color w:val="000000"/>
          <w:szCs w:val="22"/>
        </w:rPr>
      </w:pPr>
    </w:p>
    <w:p w14:paraId="4827E21C" w14:textId="4B04DE2A" w:rsidR="007D642D" w:rsidRPr="008A5F3B" w:rsidRDefault="007D642D" w:rsidP="007F23EE">
      <w:pPr>
        <w:pStyle w:val="BodyText2"/>
        <w:ind w:left="0" w:firstLine="0"/>
        <w:rPr>
          <w:color w:val="000000"/>
          <w:szCs w:val="22"/>
        </w:rPr>
      </w:pPr>
      <w:r w:rsidRPr="008A5F3B">
        <w:rPr>
          <w:color w:val="000000"/>
          <w:szCs w:val="22"/>
        </w:rPr>
        <w:t>Si vous pensez que vous pouvez être allergique mais vous n’êtes pas sûr</w:t>
      </w:r>
      <w:r w:rsidR="007F56F8">
        <w:rPr>
          <w:color w:val="000000"/>
          <w:szCs w:val="22"/>
        </w:rPr>
        <w:t>(</w:t>
      </w:r>
      <w:r w:rsidRPr="008A5F3B">
        <w:rPr>
          <w:color w:val="000000"/>
          <w:szCs w:val="22"/>
        </w:rPr>
        <w:t>e</w:t>
      </w:r>
      <w:r w:rsidR="007F56F8">
        <w:rPr>
          <w:color w:val="000000"/>
          <w:szCs w:val="22"/>
        </w:rPr>
        <w:t>)</w:t>
      </w:r>
      <w:r w:rsidRPr="008A5F3B">
        <w:rPr>
          <w:color w:val="000000"/>
          <w:szCs w:val="22"/>
        </w:rPr>
        <w:t>, demandez l’avis de votre médecin.</w:t>
      </w:r>
    </w:p>
    <w:p w14:paraId="3D1A1F91" w14:textId="77777777" w:rsidR="007D642D" w:rsidRPr="008A5F3B" w:rsidRDefault="007D642D" w:rsidP="007F23EE">
      <w:pPr>
        <w:suppressAutoHyphens/>
        <w:rPr>
          <w:rFonts w:ascii="Times New Roman" w:hAnsi="Times New Roman"/>
          <w:color w:val="000000"/>
          <w:szCs w:val="22"/>
        </w:rPr>
      </w:pPr>
    </w:p>
    <w:p w14:paraId="2E39DDE3" w14:textId="77777777" w:rsidR="007D642D" w:rsidRPr="008A5F3B" w:rsidRDefault="007D642D" w:rsidP="007F23EE">
      <w:pPr>
        <w:keepNext/>
        <w:suppressAutoHyphens/>
        <w:rPr>
          <w:rFonts w:ascii="Times New Roman" w:hAnsi="Times New Roman"/>
          <w:b/>
          <w:color w:val="000000"/>
          <w:szCs w:val="22"/>
        </w:rPr>
      </w:pPr>
      <w:r w:rsidRPr="008A5F3B">
        <w:rPr>
          <w:rFonts w:ascii="Times New Roman" w:hAnsi="Times New Roman"/>
          <w:b/>
          <w:noProof/>
          <w:szCs w:val="22"/>
          <w:lang w:val="fr-BE"/>
        </w:rPr>
        <w:t>Avertissements et précautions</w:t>
      </w:r>
    </w:p>
    <w:p w14:paraId="7D0209A1" w14:textId="77777777" w:rsidR="007D642D" w:rsidRPr="008A5F3B" w:rsidRDefault="007D642D" w:rsidP="007F23EE">
      <w:pPr>
        <w:keepNext/>
        <w:suppressAutoHyphens/>
        <w:rPr>
          <w:rFonts w:ascii="Times New Roman" w:hAnsi="Times New Roman"/>
          <w:color w:val="000000"/>
          <w:szCs w:val="22"/>
        </w:rPr>
      </w:pPr>
      <w:r w:rsidRPr="008A5F3B">
        <w:rPr>
          <w:rFonts w:ascii="Times New Roman" w:hAnsi="Times New Roman"/>
          <w:color w:val="000000"/>
          <w:szCs w:val="22"/>
        </w:rPr>
        <w:t>Adressez-vous à votre médecin avant de prendre Glivec :</w:t>
      </w:r>
    </w:p>
    <w:p w14:paraId="52386038" w14:textId="77777777" w:rsidR="007D642D" w:rsidRPr="008A5F3B" w:rsidRDefault="007D642D" w:rsidP="007F23EE">
      <w:pPr>
        <w:numPr>
          <w:ilvl w:val="0"/>
          <w:numId w:val="4"/>
        </w:numPr>
        <w:suppressAutoHyphens/>
        <w:ind w:left="567" w:hanging="567"/>
        <w:rPr>
          <w:rFonts w:ascii="Times New Roman" w:hAnsi="Times New Roman"/>
          <w:color w:val="000000"/>
          <w:szCs w:val="22"/>
        </w:rPr>
      </w:pPr>
      <w:proofErr w:type="gramStart"/>
      <w:r w:rsidRPr="008A5F3B">
        <w:rPr>
          <w:rFonts w:ascii="Times New Roman" w:hAnsi="Times New Roman"/>
          <w:color w:val="000000"/>
          <w:szCs w:val="22"/>
        </w:rPr>
        <w:t>si</w:t>
      </w:r>
      <w:proofErr w:type="gramEnd"/>
      <w:r w:rsidRPr="008A5F3B">
        <w:rPr>
          <w:rFonts w:ascii="Times New Roman" w:hAnsi="Times New Roman"/>
          <w:color w:val="000000"/>
          <w:szCs w:val="22"/>
        </w:rPr>
        <w:t xml:space="preserve"> vous avez ou avez eu un problème au foie, aux reins ou au cœur.</w:t>
      </w:r>
    </w:p>
    <w:p w14:paraId="57D03290" w14:textId="43667614" w:rsidR="007D642D" w:rsidRPr="008A5F3B" w:rsidRDefault="007D642D" w:rsidP="007F23EE">
      <w:pPr>
        <w:numPr>
          <w:ilvl w:val="0"/>
          <w:numId w:val="4"/>
        </w:numPr>
        <w:suppressAutoHyphens/>
        <w:ind w:left="567" w:hanging="567"/>
        <w:rPr>
          <w:rFonts w:ascii="Times New Roman" w:hAnsi="Times New Roman"/>
          <w:color w:val="000000"/>
          <w:szCs w:val="22"/>
        </w:rPr>
      </w:pPr>
      <w:proofErr w:type="gramStart"/>
      <w:r w:rsidRPr="008A5F3B">
        <w:rPr>
          <w:rFonts w:ascii="Times New Roman" w:hAnsi="Times New Roman"/>
          <w:color w:val="000000"/>
          <w:szCs w:val="22"/>
        </w:rPr>
        <w:t>si</w:t>
      </w:r>
      <w:proofErr w:type="gramEnd"/>
      <w:r w:rsidRPr="008A5F3B">
        <w:rPr>
          <w:rFonts w:ascii="Times New Roman" w:hAnsi="Times New Roman"/>
          <w:color w:val="000000"/>
          <w:szCs w:val="22"/>
        </w:rPr>
        <w:t xml:space="preserve"> vous recevez un traitement par lévot</w:t>
      </w:r>
      <w:r w:rsidR="00A2334D">
        <w:rPr>
          <w:rFonts w:ascii="Times New Roman" w:hAnsi="Times New Roman"/>
          <w:color w:val="000000"/>
          <w:szCs w:val="22"/>
        </w:rPr>
        <w:t>h</w:t>
      </w:r>
      <w:r w:rsidRPr="008A5F3B">
        <w:rPr>
          <w:rFonts w:ascii="Times New Roman" w:hAnsi="Times New Roman"/>
          <w:color w:val="000000"/>
          <w:szCs w:val="22"/>
        </w:rPr>
        <w:t>yroxine car vous avez subi une chirurgie de la thyroïde.</w:t>
      </w:r>
    </w:p>
    <w:p w14:paraId="69309F91" w14:textId="77777777" w:rsidR="008914A0" w:rsidRPr="008A5F3B" w:rsidRDefault="008914A0" w:rsidP="007F23EE">
      <w:pPr>
        <w:pStyle w:val="Default"/>
        <w:numPr>
          <w:ilvl w:val="0"/>
          <w:numId w:val="4"/>
        </w:numPr>
        <w:snapToGrid w:val="0"/>
        <w:ind w:left="567" w:hanging="567"/>
        <w:rPr>
          <w:rFonts w:ascii="Times New Roman" w:hAnsi="Times New Roman" w:cs="Times New Roman"/>
          <w:sz w:val="22"/>
          <w:szCs w:val="22"/>
          <w:lang w:val="fr-FR"/>
        </w:rPr>
      </w:pPr>
      <w:proofErr w:type="gramStart"/>
      <w:r w:rsidRPr="008A5F3B">
        <w:rPr>
          <w:rFonts w:ascii="Times New Roman" w:hAnsi="Times New Roman" w:cs="Times New Roman"/>
          <w:sz w:val="22"/>
          <w:szCs w:val="22"/>
          <w:lang w:val="fr-FR"/>
        </w:rPr>
        <w:t>si</w:t>
      </w:r>
      <w:proofErr w:type="gramEnd"/>
      <w:r w:rsidRPr="008A5F3B">
        <w:rPr>
          <w:rFonts w:ascii="Times New Roman" w:hAnsi="Times New Roman" w:cs="Times New Roman"/>
          <w:sz w:val="22"/>
          <w:szCs w:val="22"/>
          <w:lang w:val="fr-FR"/>
        </w:rPr>
        <w:t xml:space="preserve"> vous avez </w:t>
      </w:r>
      <w:r w:rsidR="00FC7FBB" w:rsidRPr="008A5F3B">
        <w:rPr>
          <w:rFonts w:ascii="Times New Roman" w:hAnsi="Times New Roman" w:cs="Times New Roman"/>
          <w:sz w:val="22"/>
          <w:szCs w:val="22"/>
          <w:lang w:val="fr-FR"/>
        </w:rPr>
        <w:t xml:space="preserve">déjà </w:t>
      </w:r>
      <w:r w:rsidRPr="008A5F3B">
        <w:rPr>
          <w:rFonts w:ascii="Times New Roman" w:hAnsi="Times New Roman" w:cs="Times New Roman"/>
          <w:sz w:val="22"/>
          <w:szCs w:val="22"/>
          <w:lang w:val="fr-FR"/>
        </w:rPr>
        <w:t>eu ou pouvez avoir actuellement une hépatite B. En effet, Glivec pourrait réactiver votre hépatite B, ce qui peut être fatal dans certains cas. Les patients seront étroitement surveillés par leur médecin afin de détecter tout signe d’infection avant l’instauration du traitement.</w:t>
      </w:r>
    </w:p>
    <w:p w14:paraId="0966750A" w14:textId="77777777" w:rsidR="00114267" w:rsidRPr="008A5F3B" w:rsidRDefault="00237C0F" w:rsidP="007F23EE">
      <w:pPr>
        <w:keepNext/>
        <w:keepLines/>
        <w:numPr>
          <w:ilvl w:val="0"/>
          <w:numId w:val="4"/>
        </w:numPr>
        <w:suppressAutoHyphens/>
        <w:ind w:left="567" w:hanging="567"/>
        <w:rPr>
          <w:rFonts w:ascii="Times New Roman" w:hAnsi="Times New Roman"/>
          <w:szCs w:val="22"/>
        </w:rPr>
      </w:pPr>
      <w:proofErr w:type="gramStart"/>
      <w:r w:rsidRPr="008A5F3B">
        <w:rPr>
          <w:rFonts w:ascii="Times New Roman" w:hAnsi="Times New Roman"/>
          <w:szCs w:val="22"/>
        </w:rPr>
        <w:t>s</w:t>
      </w:r>
      <w:r w:rsidR="00114267" w:rsidRPr="008A5F3B">
        <w:rPr>
          <w:rFonts w:ascii="Times New Roman" w:hAnsi="Times New Roman"/>
          <w:szCs w:val="22"/>
        </w:rPr>
        <w:t>i</w:t>
      </w:r>
      <w:proofErr w:type="gramEnd"/>
      <w:r w:rsidR="00114267" w:rsidRPr="008A5F3B">
        <w:rPr>
          <w:rFonts w:ascii="Times New Roman" w:hAnsi="Times New Roman"/>
          <w:szCs w:val="22"/>
        </w:rPr>
        <w:t xml:space="preserve"> vous présentez des ecchymoses, des saignements, de la fièvre, de la fatigue et une confusion quand vous prenez Glivec, contactez votre médecin. Cela peut être </w:t>
      </w:r>
      <w:r w:rsidR="0075579D" w:rsidRPr="008A5F3B">
        <w:rPr>
          <w:rFonts w:ascii="Times New Roman" w:hAnsi="Times New Roman"/>
          <w:szCs w:val="22"/>
        </w:rPr>
        <w:t>un</w:t>
      </w:r>
      <w:r w:rsidR="00114267" w:rsidRPr="008A5F3B">
        <w:rPr>
          <w:rFonts w:ascii="Times New Roman" w:hAnsi="Times New Roman"/>
          <w:szCs w:val="22"/>
        </w:rPr>
        <w:t xml:space="preserve"> signe d</w:t>
      </w:r>
      <w:r w:rsidR="0075579D" w:rsidRPr="008A5F3B">
        <w:rPr>
          <w:rFonts w:ascii="Times New Roman" w:hAnsi="Times New Roman"/>
          <w:szCs w:val="22"/>
        </w:rPr>
        <w:t>e</w:t>
      </w:r>
      <w:r w:rsidR="00114267" w:rsidRPr="008A5F3B">
        <w:rPr>
          <w:rFonts w:ascii="Times New Roman" w:hAnsi="Times New Roman"/>
          <w:szCs w:val="22"/>
        </w:rPr>
        <w:t xml:space="preserve"> lésion des vaisseaux sanguins connue sous le nom de microangiopathie thrombotique (MAT).</w:t>
      </w:r>
    </w:p>
    <w:p w14:paraId="3AA4C1AC" w14:textId="77777777" w:rsidR="007D642D" w:rsidRPr="008A5F3B" w:rsidRDefault="007D642D" w:rsidP="007F23EE">
      <w:pPr>
        <w:suppressAutoHyphens/>
        <w:rPr>
          <w:rFonts w:ascii="Times New Roman" w:hAnsi="Times New Roman"/>
          <w:color w:val="000000"/>
          <w:szCs w:val="22"/>
        </w:rPr>
      </w:pPr>
      <w:r w:rsidRPr="008A5F3B">
        <w:rPr>
          <w:rFonts w:ascii="Times New Roman" w:hAnsi="Times New Roman"/>
          <w:color w:val="000000"/>
          <w:szCs w:val="22"/>
        </w:rPr>
        <w:t xml:space="preserve">Si l’une de ces situations vous concerne, </w:t>
      </w:r>
      <w:r w:rsidRPr="008A5F3B">
        <w:rPr>
          <w:rFonts w:ascii="Times New Roman" w:hAnsi="Times New Roman"/>
          <w:b/>
          <w:color w:val="000000"/>
          <w:szCs w:val="22"/>
        </w:rPr>
        <w:t>parlez-en à votre médecin avant de prendre Glivec</w:t>
      </w:r>
      <w:r w:rsidRPr="008A5F3B">
        <w:rPr>
          <w:rFonts w:ascii="Times New Roman" w:hAnsi="Times New Roman"/>
          <w:color w:val="000000"/>
          <w:szCs w:val="22"/>
        </w:rPr>
        <w:t>.</w:t>
      </w:r>
    </w:p>
    <w:p w14:paraId="5DA6B06F" w14:textId="77777777" w:rsidR="00226601" w:rsidRPr="008A5F3B" w:rsidRDefault="00226601" w:rsidP="007F23EE">
      <w:pPr>
        <w:suppressAutoHyphens/>
        <w:rPr>
          <w:rFonts w:ascii="Times New Roman" w:hAnsi="Times New Roman"/>
          <w:color w:val="000000"/>
          <w:szCs w:val="22"/>
        </w:rPr>
      </w:pPr>
    </w:p>
    <w:p w14:paraId="5ECB8111" w14:textId="77777777" w:rsidR="007D642D" w:rsidRPr="008A5F3B" w:rsidRDefault="00226601" w:rsidP="007F23EE">
      <w:pPr>
        <w:suppressAutoHyphens/>
        <w:rPr>
          <w:rFonts w:ascii="Times New Roman" w:hAnsi="Times New Roman"/>
          <w:color w:val="000000"/>
          <w:szCs w:val="22"/>
        </w:rPr>
      </w:pPr>
      <w:r w:rsidRPr="008A5F3B">
        <w:rPr>
          <w:rFonts w:ascii="Times New Roman" w:hAnsi="Times New Roman"/>
          <w:color w:val="000000"/>
          <w:szCs w:val="22"/>
        </w:rPr>
        <w:t>Vous pourriez devenir plus sensible au soleil pendant votre traitement par Glivec. Il est important de couvrir les zones de la peau exposées au soleil et d’utiliser un écran solaire avec un facteur de protection solaire (FPS) élevé. Ces précautions doivent également être appliquées chez les enfants.</w:t>
      </w:r>
    </w:p>
    <w:p w14:paraId="402354D9" w14:textId="77777777" w:rsidR="00226601" w:rsidRPr="008A5F3B" w:rsidRDefault="00226601" w:rsidP="007F23EE">
      <w:pPr>
        <w:suppressAutoHyphens/>
        <w:rPr>
          <w:rFonts w:ascii="Times New Roman" w:hAnsi="Times New Roman"/>
          <w:color w:val="000000"/>
          <w:szCs w:val="22"/>
        </w:rPr>
      </w:pPr>
    </w:p>
    <w:p w14:paraId="267AE359" w14:textId="77777777" w:rsidR="007D642D" w:rsidRPr="008A5F3B" w:rsidRDefault="007D642D" w:rsidP="007F23EE">
      <w:pPr>
        <w:suppressAutoHyphens/>
        <w:rPr>
          <w:rFonts w:ascii="Times New Roman" w:hAnsi="Times New Roman"/>
          <w:color w:val="000000"/>
          <w:szCs w:val="22"/>
        </w:rPr>
      </w:pPr>
      <w:r w:rsidRPr="008A5F3B">
        <w:rPr>
          <w:rFonts w:ascii="Times New Roman" w:hAnsi="Times New Roman"/>
          <w:b/>
          <w:color w:val="000000"/>
          <w:szCs w:val="22"/>
        </w:rPr>
        <w:t>Au cours de votre traitement avec Glivec, dites immédiatement à votre médecin</w:t>
      </w:r>
      <w:r w:rsidRPr="008A5F3B">
        <w:rPr>
          <w:rFonts w:ascii="Times New Roman" w:hAnsi="Times New Roman"/>
          <w:color w:val="000000"/>
          <w:szCs w:val="22"/>
        </w:rPr>
        <w:t xml:space="preserve"> si vous prenez du poids très rapidement. Glivec peut faire que votre corps va retenir plus d’eau (rétention d’eau sévère).</w:t>
      </w:r>
    </w:p>
    <w:p w14:paraId="537090FE" w14:textId="77777777" w:rsidR="007D642D" w:rsidRPr="008A5F3B" w:rsidRDefault="007D642D" w:rsidP="007F23EE">
      <w:pPr>
        <w:suppressAutoHyphens/>
        <w:rPr>
          <w:rFonts w:ascii="Times New Roman" w:hAnsi="Times New Roman"/>
          <w:color w:val="000000"/>
          <w:szCs w:val="22"/>
        </w:rPr>
      </w:pPr>
    </w:p>
    <w:p w14:paraId="20773AF0" w14:textId="77777777" w:rsidR="007D642D" w:rsidRPr="008A5F3B" w:rsidRDefault="007D642D" w:rsidP="007F23EE">
      <w:pPr>
        <w:pStyle w:val="paragraphSIF"/>
        <w:tabs>
          <w:tab w:val="clear" w:pos="-720"/>
        </w:tabs>
        <w:suppressAutoHyphens/>
        <w:jc w:val="left"/>
        <w:rPr>
          <w:color w:val="000000"/>
          <w:szCs w:val="22"/>
          <w:lang w:val="fr-FR"/>
        </w:rPr>
      </w:pPr>
      <w:r w:rsidRPr="008A5F3B">
        <w:rPr>
          <w:color w:val="000000"/>
          <w:szCs w:val="22"/>
          <w:lang w:val="fr-FR"/>
        </w:rPr>
        <w:t>Pendant que vous prenez Glivec, votre médecin surveillera régulièrement si ce médicament agit. Des examens sanguins seront réalisés et vous serez régulièrement pesé pendant que vous prendrez Glivec.</w:t>
      </w:r>
    </w:p>
    <w:p w14:paraId="191CDACA" w14:textId="77777777" w:rsidR="007D642D" w:rsidRPr="008A5F3B" w:rsidRDefault="007D642D" w:rsidP="007F23EE">
      <w:pPr>
        <w:pStyle w:val="paragraphSIF"/>
        <w:tabs>
          <w:tab w:val="clear" w:pos="-720"/>
        </w:tabs>
        <w:suppressAutoHyphens/>
        <w:jc w:val="left"/>
        <w:rPr>
          <w:color w:val="000000"/>
          <w:szCs w:val="22"/>
          <w:lang w:val="fr-FR"/>
        </w:rPr>
      </w:pPr>
    </w:p>
    <w:p w14:paraId="03022372" w14:textId="77777777" w:rsidR="007D642D" w:rsidRPr="008A5F3B" w:rsidRDefault="007D642D" w:rsidP="007F23EE">
      <w:pPr>
        <w:keepNext/>
        <w:rPr>
          <w:rFonts w:ascii="Times New Roman" w:hAnsi="Times New Roman"/>
          <w:b/>
          <w:bCs/>
          <w:color w:val="000000"/>
        </w:rPr>
      </w:pPr>
      <w:r w:rsidRPr="008A5F3B">
        <w:rPr>
          <w:rFonts w:ascii="Times New Roman" w:hAnsi="Times New Roman"/>
          <w:b/>
          <w:bCs/>
          <w:color w:val="000000"/>
        </w:rPr>
        <w:t>Enfants et adolescents</w:t>
      </w:r>
    </w:p>
    <w:p w14:paraId="04167867" w14:textId="77777777" w:rsidR="007D642D" w:rsidRPr="008A5F3B" w:rsidRDefault="007D642D" w:rsidP="007F23EE">
      <w:pPr>
        <w:rPr>
          <w:rFonts w:ascii="Times New Roman" w:hAnsi="Times New Roman"/>
          <w:color w:val="000000"/>
        </w:rPr>
      </w:pPr>
      <w:r w:rsidRPr="008A5F3B">
        <w:rPr>
          <w:rFonts w:ascii="Times New Roman" w:hAnsi="Times New Roman"/>
          <w:color w:val="000000"/>
        </w:rPr>
        <w:t xml:space="preserve">Glivec est aussi un traitement de </w:t>
      </w:r>
      <w:smartTag w:uri="urn:schemas-microsoft-com:office:smarttags" w:element="PersonName">
        <w:smartTagPr>
          <w:attr w:name="ProductID" w:val="la LMC"/>
        </w:smartTagPr>
        <w:r w:rsidRPr="008A5F3B">
          <w:rPr>
            <w:rFonts w:ascii="Times New Roman" w:hAnsi="Times New Roman"/>
            <w:color w:val="000000"/>
          </w:rPr>
          <w:t>la LMC</w:t>
        </w:r>
      </w:smartTag>
      <w:r w:rsidRPr="008A5F3B">
        <w:rPr>
          <w:rFonts w:ascii="Times New Roman" w:hAnsi="Times New Roman"/>
          <w:color w:val="000000"/>
        </w:rPr>
        <w:t xml:space="preserve"> chez l’enfant. Il n’y a pas eu d’utilisation de Glivec chez l’enfant de moins de 2 ans. L’</w:t>
      </w:r>
      <w:r w:rsidR="009D0572" w:rsidRPr="008A5F3B">
        <w:rPr>
          <w:rFonts w:ascii="Times New Roman" w:hAnsi="Times New Roman"/>
          <w:color w:val="000000"/>
        </w:rPr>
        <w:t>expérience est limitée</w:t>
      </w:r>
      <w:r w:rsidRPr="008A5F3B">
        <w:rPr>
          <w:rFonts w:ascii="Times New Roman" w:hAnsi="Times New Roman"/>
          <w:color w:val="000000"/>
        </w:rPr>
        <w:t xml:space="preserve"> chez les enfants ayant une LAL Ph-positive</w:t>
      </w:r>
      <w:r w:rsidR="009D0572" w:rsidRPr="008A5F3B">
        <w:rPr>
          <w:rFonts w:ascii="Times New Roman" w:hAnsi="Times New Roman"/>
          <w:color w:val="000000"/>
        </w:rPr>
        <w:t xml:space="preserve"> et très limitée chez les enfants ayant un SMP/SMD, DFSP, GIST et SHE/LCE</w:t>
      </w:r>
      <w:r w:rsidRPr="008A5F3B">
        <w:rPr>
          <w:rFonts w:ascii="Times New Roman" w:hAnsi="Times New Roman"/>
          <w:color w:val="000000"/>
        </w:rPr>
        <w:t>.</w:t>
      </w:r>
    </w:p>
    <w:p w14:paraId="6D15AC6F" w14:textId="77777777" w:rsidR="007D642D" w:rsidRPr="008A5F3B" w:rsidRDefault="007D642D" w:rsidP="007F23EE">
      <w:pPr>
        <w:rPr>
          <w:rFonts w:ascii="Times New Roman" w:hAnsi="Times New Roman"/>
          <w:color w:val="000000"/>
        </w:rPr>
      </w:pPr>
    </w:p>
    <w:p w14:paraId="738504D0" w14:textId="77777777" w:rsidR="007D642D" w:rsidRPr="008A5F3B" w:rsidRDefault="007D642D" w:rsidP="007F23EE">
      <w:pPr>
        <w:rPr>
          <w:rFonts w:ascii="Times New Roman" w:hAnsi="Times New Roman"/>
          <w:color w:val="000000"/>
        </w:rPr>
      </w:pPr>
      <w:r w:rsidRPr="008A5F3B">
        <w:rPr>
          <w:rFonts w:ascii="Times New Roman" w:hAnsi="Times New Roman"/>
          <w:color w:val="000000"/>
        </w:rPr>
        <w:lastRenderedPageBreak/>
        <w:t>Certains enfants ou adolescents traités par Glivec peuvent avoir un retard de croissance. Le médecin surveillera régulièrement la croissance de votre enfant lors des visites prévues.</w:t>
      </w:r>
    </w:p>
    <w:p w14:paraId="5116A336" w14:textId="77777777" w:rsidR="007D642D" w:rsidRPr="008A5F3B" w:rsidRDefault="007D642D" w:rsidP="007F23EE">
      <w:pPr>
        <w:pStyle w:val="paragraphSIF"/>
        <w:tabs>
          <w:tab w:val="clear" w:pos="-720"/>
        </w:tabs>
        <w:suppressAutoHyphens/>
        <w:jc w:val="left"/>
        <w:rPr>
          <w:color w:val="000000"/>
          <w:szCs w:val="22"/>
          <w:lang w:val="fr-FR"/>
        </w:rPr>
      </w:pPr>
    </w:p>
    <w:p w14:paraId="6C802E00" w14:textId="77777777" w:rsidR="007D642D" w:rsidRPr="008A5F3B" w:rsidRDefault="007D642D" w:rsidP="007F23EE">
      <w:pPr>
        <w:pStyle w:val="paragraphSIF"/>
        <w:keepNext/>
        <w:tabs>
          <w:tab w:val="clear" w:pos="-720"/>
        </w:tabs>
        <w:suppressAutoHyphens/>
        <w:jc w:val="left"/>
        <w:rPr>
          <w:b/>
          <w:color w:val="000000"/>
          <w:szCs w:val="22"/>
          <w:lang w:val="fr-FR"/>
        </w:rPr>
      </w:pPr>
      <w:r w:rsidRPr="008A5F3B">
        <w:rPr>
          <w:b/>
          <w:color w:val="000000"/>
          <w:szCs w:val="22"/>
          <w:lang w:val="fr-FR"/>
        </w:rPr>
        <w:t>Autres médicaments et Glivec</w:t>
      </w:r>
    </w:p>
    <w:p w14:paraId="0C71989C" w14:textId="77777777" w:rsidR="007D642D" w:rsidRPr="008A5F3B" w:rsidRDefault="007D642D" w:rsidP="007F23EE">
      <w:pPr>
        <w:pStyle w:val="paragraphSIF"/>
        <w:tabs>
          <w:tab w:val="clear" w:pos="-720"/>
        </w:tabs>
        <w:suppressAutoHyphens/>
        <w:jc w:val="left"/>
        <w:rPr>
          <w:color w:val="000000"/>
          <w:szCs w:val="22"/>
          <w:lang w:val="fr-FR"/>
        </w:rPr>
      </w:pPr>
      <w:r w:rsidRPr="008A5F3B">
        <w:rPr>
          <w:color w:val="000000"/>
          <w:lang w:val="fr-FR"/>
        </w:rPr>
        <w:t>Informez votre médecin ou pharmacien si vous prenez, avez récemment pris ou pourriez prendre tout autre médicament, y compris un médicament obtenu sans ordonnance (tel que le paracétamol) y compris les médicaments à base de plantes (tel que le millepertuis). Certains médicaments peuvent interagir sur l’effet de Glivec lorsqu’ils sont pris en même temps. Ils peuvent augmenter ou diminuer l’effet de Glivec en menant à une augmentation des effets indésirables de Glivec ou à une moindre efficacité de Glivec. Glivec peut agir de la même façon sur d’autres médicaments.</w:t>
      </w:r>
    </w:p>
    <w:p w14:paraId="7CF84DA5" w14:textId="77777777" w:rsidR="007D642D" w:rsidRPr="008A5F3B" w:rsidRDefault="007D642D" w:rsidP="007F23EE">
      <w:pPr>
        <w:suppressAutoHyphens/>
        <w:rPr>
          <w:rFonts w:ascii="Times New Roman" w:hAnsi="Times New Roman"/>
          <w:color w:val="000000"/>
          <w:szCs w:val="22"/>
        </w:rPr>
      </w:pPr>
    </w:p>
    <w:p w14:paraId="5CC79CE3" w14:textId="77777777" w:rsidR="007D642D" w:rsidRPr="008A5F3B" w:rsidRDefault="007D642D" w:rsidP="007F23EE">
      <w:pPr>
        <w:suppressAutoHyphens/>
        <w:rPr>
          <w:rFonts w:ascii="Times New Roman" w:hAnsi="Times New Roman"/>
          <w:color w:val="000000"/>
          <w:szCs w:val="22"/>
        </w:rPr>
      </w:pPr>
      <w:r w:rsidRPr="008A5F3B">
        <w:rPr>
          <w:rFonts w:ascii="Times New Roman" w:hAnsi="Times New Roman"/>
          <w:color w:val="000000"/>
          <w:szCs w:val="22"/>
        </w:rPr>
        <w:t>Prévenez votre médecin si vous utilisez d’autres médicaments qui empêchent la formation de caillots sanguins.</w:t>
      </w:r>
    </w:p>
    <w:p w14:paraId="70DAAAAC" w14:textId="77777777" w:rsidR="007D642D" w:rsidRPr="008A5F3B" w:rsidRDefault="007D642D" w:rsidP="007F23EE">
      <w:pPr>
        <w:suppressAutoHyphens/>
        <w:rPr>
          <w:rFonts w:ascii="Times New Roman" w:hAnsi="Times New Roman"/>
          <w:color w:val="000000"/>
          <w:szCs w:val="22"/>
        </w:rPr>
      </w:pPr>
    </w:p>
    <w:p w14:paraId="0FD26C24" w14:textId="77777777" w:rsidR="007D642D" w:rsidRPr="008A5F3B" w:rsidRDefault="007D642D" w:rsidP="007F23EE">
      <w:pPr>
        <w:keepNext/>
        <w:suppressAutoHyphens/>
        <w:rPr>
          <w:rFonts w:ascii="Times New Roman" w:hAnsi="Times New Roman"/>
          <w:b/>
          <w:color w:val="000000"/>
          <w:szCs w:val="22"/>
        </w:rPr>
      </w:pPr>
      <w:r w:rsidRPr="008A5F3B">
        <w:rPr>
          <w:rFonts w:ascii="Times New Roman" w:hAnsi="Times New Roman"/>
          <w:b/>
          <w:color w:val="000000"/>
          <w:szCs w:val="22"/>
        </w:rPr>
        <w:t xml:space="preserve">Grossesse, allaitement et </w:t>
      </w:r>
      <w:r w:rsidR="00B83C4B" w:rsidRPr="008A5F3B">
        <w:rPr>
          <w:rFonts w:ascii="Times New Roman" w:hAnsi="Times New Roman"/>
          <w:b/>
          <w:color w:val="000000"/>
          <w:szCs w:val="22"/>
        </w:rPr>
        <w:t>fertilité</w:t>
      </w:r>
    </w:p>
    <w:p w14:paraId="168B6B09" w14:textId="77777777" w:rsidR="007D642D" w:rsidRPr="008A5F3B" w:rsidRDefault="007D642D" w:rsidP="007F23EE">
      <w:pPr>
        <w:numPr>
          <w:ilvl w:val="0"/>
          <w:numId w:val="17"/>
        </w:numPr>
        <w:tabs>
          <w:tab w:val="clear" w:pos="0"/>
        </w:tabs>
        <w:suppressAutoHyphens/>
        <w:ind w:left="567" w:hanging="567"/>
        <w:rPr>
          <w:rFonts w:ascii="Times New Roman" w:hAnsi="Times New Roman"/>
          <w:color w:val="000000"/>
          <w:szCs w:val="22"/>
        </w:rPr>
      </w:pPr>
      <w:r w:rsidRPr="008A5F3B">
        <w:rPr>
          <w:rFonts w:ascii="Times New Roman" w:hAnsi="Times New Roman"/>
          <w:color w:val="000000"/>
          <w:szCs w:val="22"/>
        </w:rPr>
        <w:t xml:space="preserve">Si vous êtes enceinte ou que vous allaitez, si vous pensez être enceinte ou </w:t>
      </w:r>
      <w:r w:rsidR="00B83C4B" w:rsidRPr="008A5F3B">
        <w:rPr>
          <w:rFonts w:ascii="Times New Roman" w:hAnsi="Times New Roman"/>
          <w:color w:val="000000"/>
          <w:szCs w:val="22"/>
        </w:rPr>
        <w:t>planifiez une grossesse</w:t>
      </w:r>
      <w:r w:rsidRPr="008A5F3B">
        <w:rPr>
          <w:rFonts w:ascii="Times New Roman" w:hAnsi="Times New Roman"/>
          <w:color w:val="000000"/>
          <w:szCs w:val="22"/>
        </w:rPr>
        <w:t>, demandez conseil à votre médecin avant de prendre ce médicament.</w:t>
      </w:r>
    </w:p>
    <w:p w14:paraId="7D95F675" w14:textId="77777777" w:rsidR="007D642D" w:rsidRPr="008A5F3B" w:rsidRDefault="007D642D" w:rsidP="007F23EE">
      <w:pPr>
        <w:numPr>
          <w:ilvl w:val="0"/>
          <w:numId w:val="17"/>
        </w:numPr>
        <w:tabs>
          <w:tab w:val="clear" w:pos="0"/>
        </w:tabs>
        <w:suppressAutoHyphens/>
        <w:ind w:left="567" w:hanging="567"/>
        <w:rPr>
          <w:rFonts w:ascii="Times New Roman" w:hAnsi="Times New Roman"/>
          <w:color w:val="000000"/>
          <w:szCs w:val="22"/>
        </w:rPr>
      </w:pPr>
      <w:r w:rsidRPr="008A5F3B">
        <w:rPr>
          <w:rFonts w:ascii="Times New Roman" w:hAnsi="Times New Roman"/>
          <w:color w:val="000000"/>
          <w:szCs w:val="22"/>
        </w:rPr>
        <w:t>Glivec ne doit pas être utilisé</w:t>
      </w:r>
      <w:r w:rsidRPr="008A5F3B">
        <w:rPr>
          <w:color w:val="000000"/>
          <w:szCs w:val="22"/>
        </w:rPr>
        <w:t xml:space="preserve"> </w:t>
      </w:r>
      <w:r w:rsidRPr="008A5F3B">
        <w:rPr>
          <w:rFonts w:ascii="Times New Roman" w:hAnsi="Times New Roman"/>
          <w:color w:val="000000"/>
          <w:szCs w:val="22"/>
        </w:rPr>
        <w:t>au cours de la grossesse à moins d’une nécessité absolue car il pourrait nuire à votre bébé. Votre médecin discutera avec vous des risques possibles de prendre Glivec au cours de la grossesse.</w:t>
      </w:r>
    </w:p>
    <w:p w14:paraId="7D1CDD90" w14:textId="4043333F" w:rsidR="007D642D" w:rsidRPr="008A5F3B" w:rsidRDefault="007D642D" w:rsidP="007F23EE">
      <w:pPr>
        <w:numPr>
          <w:ilvl w:val="0"/>
          <w:numId w:val="17"/>
        </w:numPr>
        <w:tabs>
          <w:tab w:val="clear" w:pos="0"/>
        </w:tabs>
        <w:suppressAutoHyphens/>
        <w:ind w:left="567" w:hanging="567"/>
        <w:rPr>
          <w:rFonts w:ascii="Times New Roman" w:hAnsi="Times New Roman"/>
          <w:color w:val="000000"/>
          <w:szCs w:val="22"/>
        </w:rPr>
      </w:pPr>
      <w:r w:rsidRPr="008A5F3B">
        <w:rPr>
          <w:rFonts w:ascii="Times New Roman" w:hAnsi="Times New Roman"/>
          <w:color w:val="000000"/>
          <w:szCs w:val="22"/>
        </w:rPr>
        <w:t>Chez les femmes pouvant être enceintes, une contraception efficace doit être conseillée</w:t>
      </w:r>
      <w:r w:rsidR="000414F8" w:rsidRPr="008A5F3B">
        <w:rPr>
          <w:rFonts w:ascii="Times New Roman" w:hAnsi="Times New Roman"/>
          <w:color w:val="000000"/>
          <w:szCs w:val="22"/>
        </w:rPr>
        <w:t xml:space="preserve"> pendant le traitement et pendant les 15 jours suivant l’arrêt du traitement</w:t>
      </w:r>
      <w:r w:rsidRPr="008A5F3B">
        <w:rPr>
          <w:rFonts w:ascii="Times New Roman" w:hAnsi="Times New Roman"/>
          <w:color w:val="000000"/>
          <w:szCs w:val="22"/>
        </w:rPr>
        <w:t>.</w:t>
      </w:r>
    </w:p>
    <w:p w14:paraId="576CCF47" w14:textId="77777777" w:rsidR="007D642D" w:rsidRPr="008A5F3B" w:rsidRDefault="007D642D" w:rsidP="007F23EE">
      <w:pPr>
        <w:numPr>
          <w:ilvl w:val="0"/>
          <w:numId w:val="17"/>
        </w:numPr>
        <w:tabs>
          <w:tab w:val="clear" w:pos="0"/>
        </w:tabs>
        <w:suppressAutoHyphens/>
        <w:ind w:left="567" w:hanging="567"/>
        <w:rPr>
          <w:rFonts w:ascii="Times New Roman" w:hAnsi="Times New Roman"/>
          <w:color w:val="000000"/>
          <w:szCs w:val="22"/>
        </w:rPr>
      </w:pPr>
      <w:r w:rsidRPr="008A5F3B">
        <w:rPr>
          <w:rFonts w:ascii="Times New Roman" w:hAnsi="Times New Roman"/>
          <w:color w:val="000000"/>
          <w:szCs w:val="22"/>
        </w:rPr>
        <w:t>N’allaitez pas au cours du traitement par Glivec</w:t>
      </w:r>
      <w:r w:rsidR="000414F8" w:rsidRPr="008A5F3B">
        <w:rPr>
          <w:rFonts w:ascii="Times New Roman" w:hAnsi="Times New Roman"/>
          <w:color w:val="000000"/>
          <w:szCs w:val="22"/>
        </w:rPr>
        <w:t xml:space="preserve"> et pendant les 15 jours suivant l’arrêt du traitement, car cela pourrait être nocif pour votre bébé</w:t>
      </w:r>
      <w:r w:rsidRPr="008A5F3B">
        <w:rPr>
          <w:rFonts w:ascii="Times New Roman" w:hAnsi="Times New Roman"/>
          <w:color w:val="000000"/>
          <w:szCs w:val="22"/>
        </w:rPr>
        <w:t>.</w:t>
      </w:r>
    </w:p>
    <w:p w14:paraId="0458BB47" w14:textId="77777777" w:rsidR="007D642D" w:rsidRPr="008A5F3B" w:rsidRDefault="007D642D" w:rsidP="007F23EE">
      <w:pPr>
        <w:numPr>
          <w:ilvl w:val="0"/>
          <w:numId w:val="17"/>
        </w:numPr>
        <w:tabs>
          <w:tab w:val="clear" w:pos="0"/>
        </w:tabs>
        <w:suppressAutoHyphens/>
        <w:ind w:left="567" w:hanging="567"/>
        <w:rPr>
          <w:rFonts w:ascii="Times New Roman" w:hAnsi="Times New Roman"/>
          <w:color w:val="000000"/>
          <w:szCs w:val="22"/>
        </w:rPr>
      </w:pPr>
      <w:r w:rsidRPr="008A5F3B">
        <w:rPr>
          <w:rFonts w:ascii="Times New Roman" w:hAnsi="Times New Roman"/>
          <w:color w:val="000000"/>
          <w:szCs w:val="22"/>
        </w:rPr>
        <w:t>Il est conseillé aux patients qui s'inquièteraient de leur fécondité lors de la prise de Glivec de consulter leur médecin.</w:t>
      </w:r>
    </w:p>
    <w:p w14:paraId="5B153628" w14:textId="77777777" w:rsidR="007D642D" w:rsidRPr="008A5F3B" w:rsidRDefault="007D642D" w:rsidP="007F23EE">
      <w:pPr>
        <w:pStyle w:val="EndnoteText"/>
        <w:tabs>
          <w:tab w:val="clear" w:pos="567"/>
        </w:tabs>
        <w:suppressAutoHyphens/>
        <w:rPr>
          <w:color w:val="000000"/>
          <w:szCs w:val="22"/>
          <w:lang w:val="fr-FR"/>
        </w:rPr>
      </w:pPr>
    </w:p>
    <w:p w14:paraId="57CB928B" w14:textId="77777777" w:rsidR="007D642D" w:rsidRPr="008A5F3B" w:rsidRDefault="007D642D" w:rsidP="007F23EE">
      <w:pPr>
        <w:keepNext/>
        <w:suppressAutoHyphens/>
        <w:rPr>
          <w:rFonts w:ascii="Times New Roman" w:hAnsi="Times New Roman"/>
          <w:b/>
          <w:color w:val="000000"/>
          <w:szCs w:val="22"/>
        </w:rPr>
      </w:pPr>
      <w:r w:rsidRPr="008A5F3B">
        <w:rPr>
          <w:rFonts w:ascii="Times New Roman" w:hAnsi="Times New Roman"/>
          <w:b/>
          <w:color w:val="000000"/>
          <w:szCs w:val="22"/>
        </w:rPr>
        <w:t>Conduite de véhicules et utilisation de machines</w:t>
      </w:r>
    </w:p>
    <w:p w14:paraId="37C1BB8F" w14:textId="77777777" w:rsidR="007D642D" w:rsidRPr="008A5F3B" w:rsidRDefault="007D642D" w:rsidP="007F23EE">
      <w:pPr>
        <w:suppressAutoHyphens/>
        <w:rPr>
          <w:rFonts w:ascii="Times New Roman" w:hAnsi="Times New Roman"/>
          <w:color w:val="000000"/>
        </w:rPr>
      </w:pPr>
      <w:r w:rsidRPr="008A5F3B">
        <w:rPr>
          <w:rFonts w:ascii="Times New Roman" w:hAnsi="Times New Roman"/>
          <w:color w:val="000000"/>
          <w:szCs w:val="22"/>
        </w:rPr>
        <w:t xml:space="preserve">Vous pouvez avoir des vertiges, des étourdissements ou des troubles de la vision lorsque vous prenez ce traitement. Si cela se produit, </w:t>
      </w:r>
      <w:r w:rsidRPr="008A5F3B">
        <w:rPr>
          <w:rFonts w:ascii="Times New Roman" w:hAnsi="Times New Roman"/>
          <w:color w:val="000000"/>
        </w:rPr>
        <w:t>ne conduisez pas ou n’utilisez pas de machines jusqu’à ce que vous vous sentiez de nouveau bien.</w:t>
      </w:r>
    </w:p>
    <w:p w14:paraId="1E45275B" w14:textId="77777777" w:rsidR="007D642D" w:rsidRPr="008A5F3B" w:rsidRDefault="007D642D" w:rsidP="007F23EE">
      <w:pPr>
        <w:pStyle w:val="paragraphSIF"/>
        <w:tabs>
          <w:tab w:val="clear" w:pos="-720"/>
        </w:tabs>
        <w:suppressAutoHyphens/>
        <w:jc w:val="left"/>
        <w:rPr>
          <w:color w:val="000000"/>
          <w:szCs w:val="22"/>
          <w:lang w:val="fr-FR"/>
        </w:rPr>
      </w:pPr>
    </w:p>
    <w:p w14:paraId="5E038FB2" w14:textId="77777777" w:rsidR="007D642D" w:rsidRPr="008A5F3B" w:rsidRDefault="007D642D" w:rsidP="007F23EE">
      <w:pPr>
        <w:suppressAutoHyphens/>
        <w:ind w:left="567" w:hanging="567"/>
        <w:rPr>
          <w:rFonts w:ascii="Times New Roman" w:hAnsi="Times New Roman"/>
          <w:color w:val="000000"/>
          <w:szCs w:val="22"/>
        </w:rPr>
      </w:pPr>
    </w:p>
    <w:p w14:paraId="49AC7E00" w14:textId="77777777" w:rsidR="007D642D" w:rsidRPr="008A5F3B" w:rsidRDefault="007D642D" w:rsidP="007F23EE">
      <w:pPr>
        <w:keepNext/>
        <w:suppressAutoHyphens/>
        <w:ind w:left="567" w:hanging="567"/>
        <w:rPr>
          <w:rFonts w:ascii="Times New Roman" w:hAnsi="Times New Roman"/>
          <w:b/>
          <w:color w:val="000000"/>
          <w:szCs w:val="22"/>
        </w:rPr>
      </w:pPr>
      <w:r w:rsidRPr="008A5F3B">
        <w:rPr>
          <w:rFonts w:ascii="Times New Roman" w:hAnsi="Times New Roman"/>
          <w:b/>
          <w:color w:val="000000"/>
          <w:szCs w:val="22"/>
        </w:rPr>
        <w:t>3.</w:t>
      </w:r>
      <w:r w:rsidRPr="008A5F3B">
        <w:rPr>
          <w:rFonts w:ascii="Times New Roman" w:hAnsi="Times New Roman"/>
          <w:b/>
          <w:color w:val="000000"/>
          <w:szCs w:val="22"/>
        </w:rPr>
        <w:tab/>
        <w:t>Comment prendre Glivec</w:t>
      </w:r>
    </w:p>
    <w:p w14:paraId="796A93C6" w14:textId="77777777" w:rsidR="007D642D" w:rsidRPr="008A5F3B" w:rsidRDefault="007D642D" w:rsidP="007F23EE">
      <w:pPr>
        <w:keepNext/>
        <w:suppressAutoHyphens/>
        <w:rPr>
          <w:rFonts w:ascii="Times New Roman" w:hAnsi="Times New Roman"/>
          <w:color w:val="000000"/>
          <w:szCs w:val="22"/>
        </w:rPr>
      </w:pPr>
    </w:p>
    <w:p w14:paraId="08B4019A" w14:textId="77777777" w:rsidR="007D642D" w:rsidRPr="008A5F3B" w:rsidRDefault="007D642D" w:rsidP="007F23EE">
      <w:pPr>
        <w:suppressAutoHyphens/>
        <w:rPr>
          <w:rFonts w:ascii="Times New Roman" w:hAnsi="Times New Roman"/>
          <w:color w:val="000000"/>
          <w:szCs w:val="22"/>
        </w:rPr>
      </w:pPr>
      <w:r w:rsidRPr="008A5F3B">
        <w:rPr>
          <w:rFonts w:ascii="Times New Roman" w:hAnsi="Times New Roman"/>
          <w:color w:val="000000"/>
          <w:szCs w:val="22"/>
        </w:rPr>
        <w:t>Votre médecin vous a prescrit Glivec car vous souffrez d’une maladie grave. Glivec peut vous aider à lutter contre cette maladie.</w:t>
      </w:r>
    </w:p>
    <w:p w14:paraId="7CAE2F5B" w14:textId="77777777" w:rsidR="007D642D" w:rsidRPr="008A5F3B" w:rsidRDefault="007D642D" w:rsidP="007F23EE">
      <w:pPr>
        <w:suppressAutoHyphens/>
        <w:rPr>
          <w:rFonts w:ascii="Times New Roman" w:hAnsi="Times New Roman"/>
          <w:color w:val="000000"/>
          <w:szCs w:val="22"/>
        </w:rPr>
      </w:pPr>
    </w:p>
    <w:p w14:paraId="415BC206" w14:textId="77777777" w:rsidR="007D642D" w:rsidRPr="008A5F3B" w:rsidRDefault="007D642D" w:rsidP="007F23EE">
      <w:pPr>
        <w:suppressAutoHyphens/>
        <w:rPr>
          <w:rFonts w:ascii="Times New Roman" w:hAnsi="Times New Roman"/>
          <w:color w:val="000000"/>
          <w:szCs w:val="22"/>
        </w:rPr>
      </w:pPr>
      <w:r w:rsidRPr="008A5F3B">
        <w:rPr>
          <w:rFonts w:ascii="Times New Roman" w:hAnsi="Times New Roman"/>
          <w:color w:val="000000"/>
          <w:szCs w:val="22"/>
        </w:rPr>
        <w:t>Toutefois, veillez à toujours prendre ce médicament en suivant exactement les indications de votre médecin ou pharmacien. Il est important de le faire aussi longtemps que votre médecin ou votre pharmacien vous le dit. Vérifiez auprès de votre médecin ou pharmacien en cas de doute.</w:t>
      </w:r>
    </w:p>
    <w:p w14:paraId="782F45B4" w14:textId="77777777" w:rsidR="007D642D" w:rsidRPr="008A5F3B" w:rsidRDefault="007D642D" w:rsidP="007F23EE">
      <w:pPr>
        <w:rPr>
          <w:rFonts w:ascii="Times New Roman" w:hAnsi="Times New Roman"/>
          <w:color w:val="000000"/>
          <w:szCs w:val="22"/>
        </w:rPr>
      </w:pPr>
    </w:p>
    <w:p w14:paraId="48920F50" w14:textId="77777777" w:rsidR="007D642D" w:rsidRPr="008A5F3B" w:rsidRDefault="007D642D" w:rsidP="007F23EE">
      <w:pPr>
        <w:suppressAutoHyphens/>
        <w:rPr>
          <w:rFonts w:ascii="Times New Roman" w:hAnsi="Times New Roman"/>
          <w:color w:val="000000"/>
          <w:szCs w:val="22"/>
        </w:rPr>
      </w:pPr>
      <w:r w:rsidRPr="008A5F3B">
        <w:rPr>
          <w:rFonts w:ascii="Times New Roman" w:hAnsi="Times New Roman"/>
          <w:color w:val="000000"/>
          <w:szCs w:val="22"/>
        </w:rPr>
        <w:t>Vous ne devez pas arrêter de prendre Glivec à moins que votre médecin vous l’ait dit. Si vous ne pouvez prendre ce médicament alors que votre médecin vous l’a prescrit ou vous pensez que vous n’en avez plus besoin, contactez immédiatement votre médecin.</w:t>
      </w:r>
    </w:p>
    <w:p w14:paraId="266252E5" w14:textId="77777777" w:rsidR="007D642D" w:rsidRPr="008A5F3B" w:rsidRDefault="007D642D" w:rsidP="007F23EE">
      <w:pPr>
        <w:rPr>
          <w:rFonts w:ascii="Times New Roman" w:hAnsi="Times New Roman"/>
          <w:color w:val="000000"/>
          <w:szCs w:val="22"/>
        </w:rPr>
      </w:pPr>
    </w:p>
    <w:p w14:paraId="2512E513" w14:textId="77777777" w:rsidR="007D642D" w:rsidRPr="008A5F3B" w:rsidRDefault="007D642D" w:rsidP="007F23EE">
      <w:pPr>
        <w:keepNext/>
        <w:rPr>
          <w:rFonts w:ascii="Times New Roman" w:hAnsi="Times New Roman"/>
          <w:b/>
          <w:color w:val="000000"/>
          <w:szCs w:val="22"/>
        </w:rPr>
      </w:pPr>
      <w:r w:rsidRPr="008A5F3B">
        <w:rPr>
          <w:rFonts w:ascii="Times New Roman" w:hAnsi="Times New Roman"/>
          <w:b/>
          <w:color w:val="000000"/>
          <w:szCs w:val="22"/>
        </w:rPr>
        <w:t>Quelle dose de Glivec prendre ?</w:t>
      </w:r>
    </w:p>
    <w:p w14:paraId="60EAC11F" w14:textId="77777777" w:rsidR="007D642D" w:rsidRPr="008A5F3B" w:rsidRDefault="007D642D" w:rsidP="007F23EE">
      <w:pPr>
        <w:keepNext/>
        <w:rPr>
          <w:rFonts w:ascii="Times New Roman" w:hAnsi="Times New Roman"/>
          <w:bCs/>
          <w:color w:val="000000"/>
          <w:szCs w:val="22"/>
        </w:rPr>
      </w:pPr>
    </w:p>
    <w:p w14:paraId="28FFBD72" w14:textId="77777777" w:rsidR="007D642D" w:rsidRPr="008A5F3B" w:rsidRDefault="007D642D" w:rsidP="007F23EE">
      <w:pPr>
        <w:keepNext/>
        <w:rPr>
          <w:rFonts w:ascii="Times New Roman" w:hAnsi="Times New Roman"/>
          <w:b/>
          <w:bCs/>
          <w:color w:val="000000"/>
          <w:szCs w:val="22"/>
        </w:rPr>
      </w:pPr>
      <w:r w:rsidRPr="008A5F3B">
        <w:rPr>
          <w:rFonts w:ascii="Times New Roman" w:hAnsi="Times New Roman"/>
          <w:b/>
          <w:bCs/>
          <w:color w:val="000000"/>
          <w:szCs w:val="22"/>
        </w:rPr>
        <w:t>Utilisation chez les adultes</w:t>
      </w:r>
    </w:p>
    <w:p w14:paraId="76138990" w14:textId="77777777" w:rsidR="007D642D" w:rsidRPr="008A5F3B" w:rsidRDefault="007D642D" w:rsidP="007F23EE">
      <w:pPr>
        <w:pStyle w:val="paragraphSIF"/>
        <w:tabs>
          <w:tab w:val="clear" w:pos="-720"/>
        </w:tabs>
        <w:suppressAutoHyphens/>
        <w:jc w:val="left"/>
        <w:rPr>
          <w:color w:val="000000"/>
          <w:szCs w:val="22"/>
          <w:lang w:val="fr-FR"/>
        </w:rPr>
      </w:pPr>
      <w:r w:rsidRPr="008A5F3B">
        <w:rPr>
          <w:color w:val="000000"/>
          <w:szCs w:val="22"/>
          <w:lang w:val="fr-FR"/>
        </w:rPr>
        <w:t>Votre médecin vous dira exactement combien de comprimés vous devrez prendre.</w:t>
      </w:r>
    </w:p>
    <w:p w14:paraId="669160A2" w14:textId="77777777" w:rsidR="007D642D" w:rsidRPr="008A5F3B" w:rsidRDefault="007D642D" w:rsidP="007F23EE">
      <w:pPr>
        <w:pStyle w:val="paragraphSIF"/>
        <w:tabs>
          <w:tab w:val="clear" w:pos="-720"/>
        </w:tabs>
        <w:suppressAutoHyphens/>
        <w:jc w:val="left"/>
        <w:rPr>
          <w:color w:val="000000"/>
          <w:szCs w:val="22"/>
          <w:lang w:val="fr-FR"/>
        </w:rPr>
      </w:pPr>
    </w:p>
    <w:p w14:paraId="7235027C" w14:textId="77777777" w:rsidR="007D642D" w:rsidRPr="008A5F3B" w:rsidRDefault="007D642D" w:rsidP="007F23EE">
      <w:pPr>
        <w:pStyle w:val="paragraphSIF"/>
        <w:keepNext/>
        <w:numPr>
          <w:ilvl w:val="0"/>
          <w:numId w:val="27"/>
        </w:numPr>
        <w:tabs>
          <w:tab w:val="clear" w:pos="-720"/>
          <w:tab w:val="clear" w:pos="678"/>
        </w:tabs>
        <w:suppressAutoHyphens/>
        <w:ind w:left="567" w:hanging="567"/>
        <w:jc w:val="left"/>
        <w:rPr>
          <w:b/>
          <w:color w:val="000000"/>
          <w:szCs w:val="22"/>
          <w:lang w:val="fr-FR"/>
        </w:rPr>
      </w:pPr>
      <w:r w:rsidRPr="008A5F3B">
        <w:rPr>
          <w:b/>
          <w:color w:val="000000"/>
          <w:szCs w:val="22"/>
          <w:lang w:val="fr-FR"/>
        </w:rPr>
        <w:t>Si vous êtes traité(e) pour une LMC :</w:t>
      </w:r>
    </w:p>
    <w:p w14:paraId="76AD54DE" w14:textId="3114522D" w:rsidR="007D642D" w:rsidRPr="008A5F3B" w:rsidRDefault="007D642D" w:rsidP="007F23EE">
      <w:pPr>
        <w:pStyle w:val="paragraphSIF"/>
        <w:tabs>
          <w:tab w:val="clear" w:pos="-720"/>
        </w:tabs>
        <w:suppressAutoHyphens/>
        <w:ind w:left="567"/>
        <w:jc w:val="left"/>
        <w:rPr>
          <w:color w:val="000000"/>
          <w:szCs w:val="22"/>
          <w:lang w:val="fr-FR"/>
        </w:rPr>
      </w:pPr>
      <w:r w:rsidRPr="008A5F3B">
        <w:rPr>
          <w:color w:val="000000"/>
          <w:szCs w:val="22"/>
          <w:lang w:val="fr-FR"/>
        </w:rPr>
        <w:t xml:space="preserve">En fonction de votre état la dose usuelle pour débuter est soit </w:t>
      </w:r>
      <w:r w:rsidRPr="008A5F3B">
        <w:rPr>
          <w:b/>
          <w:bCs/>
          <w:color w:val="000000"/>
          <w:szCs w:val="22"/>
          <w:lang w:val="fr-FR"/>
        </w:rPr>
        <w:t>400 mg</w:t>
      </w:r>
      <w:r w:rsidRPr="008A5F3B">
        <w:rPr>
          <w:color w:val="000000"/>
          <w:szCs w:val="22"/>
          <w:lang w:val="fr-FR"/>
        </w:rPr>
        <w:t xml:space="preserve"> soit </w:t>
      </w:r>
      <w:r w:rsidRPr="008A5F3B">
        <w:rPr>
          <w:b/>
          <w:bCs/>
          <w:color w:val="000000"/>
          <w:szCs w:val="22"/>
          <w:lang w:val="fr-FR"/>
        </w:rPr>
        <w:t>600 </w:t>
      </w:r>
      <w:r w:rsidRPr="008A5F3B">
        <w:rPr>
          <w:b/>
          <w:bCs/>
          <w:color w:val="000000"/>
          <w:lang w:val="fr-FR"/>
        </w:rPr>
        <w:t>mg</w:t>
      </w:r>
      <w:r w:rsidR="00E155EF" w:rsidRPr="008A5F3B">
        <w:rPr>
          <w:color w:val="000000"/>
          <w:szCs w:val="22"/>
          <w:lang w:val="fr-FR"/>
        </w:rPr>
        <w:t xml:space="preserve"> à prendre </w:t>
      </w:r>
      <w:r w:rsidR="00E155EF" w:rsidRPr="008A5F3B">
        <w:rPr>
          <w:b/>
          <w:bCs/>
          <w:color w:val="000000"/>
          <w:szCs w:val="22"/>
          <w:lang w:val="fr-FR"/>
        </w:rPr>
        <w:t>une fois</w:t>
      </w:r>
      <w:r w:rsidR="00E155EF" w:rsidRPr="008A5F3B">
        <w:rPr>
          <w:color w:val="000000"/>
          <w:szCs w:val="22"/>
          <w:lang w:val="fr-FR"/>
        </w:rPr>
        <w:t xml:space="preserve"> par jour.</w:t>
      </w:r>
    </w:p>
    <w:p w14:paraId="3324FAC9" w14:textId="77777777" w:rsidR="007D642D" w:rsidRPr="008A5F3B" w:rsidRDefault="007D642D" w:rsidP="007F23EE">
      <w:pPr>
        <w:pStyle w:val="paragraphSIF"/>
        <w:tabs>
          <w:tab w:val="clear" w:pos="-720"/>
        </w:tabs>
        <w:suppressAutoHyphens/>
        <w:jc w:val="left"/>
        <w:rPr>
          <w:color w:val="000000"/>
          <w:szCs w:val="22"/>
          <w:lang w:val="fr-FR"/>
        </w:rPr>
      </w:pPr>
    </w:p>
    <w:p w14:paraId="2CB5C4CA" w14:textId="77777777" w:rsidR="007D642D" w:rsidRPr="008A5F3B" w:rsidRDefault="007D642D" w:rsidP="007F23EE">
      <w:pPr>
        <w:pStyle w:val="paragraphSIF"/>
        <w:keepNext/>
        <w:numPr>
          <w:ilvl w:val="0"/>
          <w:numId w:val="28"/>
        </w:numPr>
        <w:tabs>
          <w:tab w:val="clear" w:pos="-720"/>
          <w:tab w:val="clear" w:pos="678"/>
        </w:tabs>
        <w:suppressAutoHyphens/>
        <w:ind w:left="567" w:hanging="567"/>
        <w:jc w:val="left"/>
        <w:rPr>
          <w:color w:val="000000"/>
          <w:szCs w:val="22"/>
          <w:lang w:val="fr-FR"/>
        </w:rPr>
      </w:pPr>
      <w:r w:rsidRPr="008A5F3B">
        <w:rPr>
          <w:b/>
          <w:color w:val="000000"/>
          <w:szCs w:val="22"/>
          <w:lang w:val="fr-FR"/>
        </w:rPr>
        <w:t>Si vous êtes traité(e) pour un GIST </w:t>
      </w:r>
      <w:r w:rsidRPr="008A5F3B">
        <w:rPr>
          <w:b/>
          <w:bCs/>
          <w:color w:val="000000"/>
          <w:szCs w:val="22"/>
          <w:lang w:val="fr-FR"/>
        </w:rPr>
        <w:t>:</w:t>
      </w:r>
    </w:p>
    <w:p w14:paraId="544B5611" w14:textId="2996DD17" w:rsidR="007D642D" w:rsidRPr="008A5F3B" w:rsidRDefault="007D642D" w:rsidP="007F23EE">
      <w:pPr>
        <w:pStyle w:val="paragraphSIF"/>
        <w:tabs>
          <w:tab w:val="clear" w:pos="-720"/>
        </w:tabs>
        <w:suppressAutoHyphens/>
        <w:ind w:left="567"/>
        <w:jc w:val="left"/>
        <w:rPr>
          <w:color w:val="000000"/>
          <w:szCs w:val="22"/>
          <w:lang w:val="fr-FR"/>
        </w:rPr>
      </w:pPr>
      <w:r w:rsidRPr="008A5F3B">
        <w:rPr>
          <w:color w:val="000000"/>
          <w:szCs w:val="22"/>
          <w:lang w:val="fr-FR"/>
        </w:rPr>
        <w:t xml:space="preserve">La dose initiale est de 400 mg </w:t>
      </w:r>
      <w:r w:rsidR="006B246A" w:rsidRPr="008A5F3B">
        <w:rPr>
          <w:color w:val="000000"/>
          <w:szCs w:val="22"/>
          <w:lang w:val="fr-FR"/>
        </w:rPr>
        <w:t>à</w:t>
      </w:r>
      <w:r w:rsidRPr="008A5F3B">
        <w:rPr>
          <w:color w:val="000000"/>
          <w:szCs w:val="22"/>
          <w:lang w:val="fr-FR"/>
        </w:rPr>
        <w:t xml:space="preserve"> prendre </w:t>
      </w:r>
      <w:r w:rsidRPr="008A5F3B">
        <w:rPr>
          <w:b/>
          <w:color w:val="000000"/>
          <w:szCs w:val="22"/>
          <w:lang w:val="fr-FR"/>
        </w:rPr>
        <w:t>une fois</w:t>
      </w:r>
      <w:r w:rsidRPr="008A5F3B">
        <w:rPr>
          <w:color w:val="000000"/>
          <w:szCs w:val="22"/>
          <w:lang w:val="fr-FR"/>
        </w:rPr>
        <w:t xml:space="preserve"> par jour.</w:t>
      </w:r>
    </w:p>
    <w:p w14:paraId="6931BE76" w14:textId="77777777" w:rsidR="007D642D" w:rsidRPr="008A5F3B" w:rsidRDefault="007D642D" w:rsidP="007F23EE">
      <w:pPr>
        <w:pStyle w:val="paragraphSIF"/>
        <w:tabs>
          <w:tab w:val="clear" w:pos="-720"/>
        </w:tabs>
        <w:suppressAutoHyphens/>
        <w:jc w:val="left"/>
        <w:rPr>
          <w:color w:val="000000"/>
          <w:szCs w:val="22"/>
          <w:lang w:val="fr-FR"/>
        </w:rPr>
      </w:pPr>
    </w:p>
    <w:p w14:paraId="3464B179" w14:textId="4F25DB33" w:rsidR="007D642D" w:rsidRPr="008A5F3B" w:rsidRDefault="007D642D" w:rsidP="007F23EE">
      <w:pPr>
        <w:pStyle w:val="paragraphSIF"/>
        <w:tabs>
          <w:tab w:val="clear" w:pos="-720"/>
        </w:tabs>
        <w:suppressAutoHyphens/>
        <w:jc w:val="left"/>
        <w:rPr>
          <w:color w:val="000000"/>
          <w:szCs w:val="22"/>
          <w:lang w:val="fr-FR"/>
        </w:rPr>
      </w:pPr>
      <w:r w:rsidRPr="008A5F3B">
        <w:rPr>
          <w:color w:val="000000"/>
          <w:szCs w:val="22"/>
          <w:lang w:val="fr-FR"/>
        </w:rPr>
        <w:t xml:space="preserve">Pour les LMC et les GIST, votre médecin peut prescrire une dose plus élevée ou plus faible en fonction de votre réponse au traitement. Si votre dose est de 800 mg par jour, vous devrez prendre </w:t>
      </w:r>
      <w:r w:rsidR="00E155EF" w:rsidRPr="008A5F3B">
        <w:rPr>
          <w:color w:val="000000"/>
          <w:szCs w:val="22"/>
          <w:lang w:val="fr-FR"/>
        </w:rPr>
        <w:t>400 mg</w:t>
      </w:r>
      <w:r w:rsidRPr="008A5F3B">
        <w:rPr>
          <w:color w:val="000000"/>
          <w:szCs w:val="22"/>
          <w:lang w:val="fr-FR"/>
        </w:rPr>
        <w:t xml:space="preserve"> le matin et </w:t>
      </w:r>
      <w:r w:rsidR="00E155EF" w:rsidRPr="008A5F3B">
        <w:rPr>
          <w:color w:val="000000"/>
          <w:szCs w:val="22"/>
          <w:lang w:val="fr-FR"/>
        </w:rPr>
        <w:t>400 mg</w:t>
      </w:r>
      <w:r w:rsidRPr="008A5F3B">
        <w:rPr>
          <w:color w:val="000000"/>
          <w:szCs w:val="22"/>
          <w:lang w:val="fr-FR"/>
        </w:rPr>
        <w:t xml:space="preserve"> le soir.</w:t>
      </w:r>
    </w:p>
    <w:p w14:paraId="15F94B6C" w14:textId="77777777" w:rsidR="007D642D" w:rsidRPr="008A5F3B" w:rsidRDefault="007D642D" w:rsidP="007F23EE">
      <w:pPr>
        <w:rPr>
          <w:rFonts w:ascii="Times New Roman" w:hAnsi="Times New Roman"/>
          <w:color w:val="000000"/>
          <w:szCs w:val="22"/>
        </w:rPr>
      </w:pPr>
    </w:p>
    <w:p w14:paraId="17CF2742" w14:textId="77777777" w:rsidR="007D642D" w:rsidRPr="008A5F3B" w:rsidRDefault="007D642D" w:rsidP="007F23EE">
      <w:pPr>
        <w:pStyle w:val="paragraphSIF"/>
        <w:keepNext/>
        <w:numPr>
          <w:ilvl w:val="0"/>
          <w:numId w:val="29"/>
        </w:numPr>
        <w:tabs>
          <w:tab w:val="clear" w:pos="-720"/>
          <w:tab w:val="clear" w:pos="720"/>
        </w:tabs>
        <w:suppressAutoHyphens/>
        <w:ind w:left="567" w:hanging="567"/>
        <w:jc w:val="left"/>
        <w:rPr>
          <w:b/>
          <w:color w:val="000000"/>
          <w:szCs w:val="22"/>
          <w:lang w:val="fr-FR"/>
        </w:rPr>
      </w:pPr>
      <w:r w:rsidRPr="008A5F3B">
        <w:rPr>
          <w:b/>
          <w:color w:val="000000"/>
          <w:szCs w:val="22"/>
          <w:lang w:val="fr-FR"/>
        </w:rPr>
        <w:t>Si vous êtes traité(e) pour une LAL Ph-positive :</w:t>
      </w:r>
    </w:p>
    <w:p w14:paraId="0121CB39" w14:textId="0DD4ED07" w:rsidR="007D642D" w:rsidRPr="008A5F3B" w:rsidRDefault="007D642D" w:rsidP="007F23EE">
      <w:pPr>
        <w:pStyle w:val="paragraphSIF"/>
        <w:tabs>
          <w:tab w:val="clear" w:pos="-720"/>
        </w:tabs>
        <w:suppressAutoHyphens/>
        <w:ind w:left="567"/>
        <w:jc w:val="left"/>
        <w:rPr>
          <w:color w:val="000000"/>
          <w:szCs w:val="22"/>
          <w:lang w:val="fr-FR"/>
        </w:rPr>
      </w:pPr>
      <w:r w:rsidRPr="008A5F3B">
        <w:rPr>
          <w:color w:val="000000"/>
          <w:szCs w:val="22"/>
          <w:lang w:val="fr-FR"/>
        </w:rPr>
        <w:t xml:space="preserve">La dose initiale est de 600 mg </w:t>
      </w:r>
      <w:r w:rsidR="006B246A" w:rsidRPr="008A5F3B">
        <w:rPr>
          <w:color w:val="000000"/>
          <w:szCs w:val="22"/>
          <w:lang w:val="fr-FR"/>
        </w:rPr>
        <w:t>à</w:t>
      </w:r>
      <w:r w:rsidRPr="008A5F3B">
        <w:rPr>
          <w:color w:val="000000"/>
          <w:szCs w:val="22"/>
          <w:lang w:val="fr-FR"/>
        </w:rPr>
        <w:t xml:space="preserve"> prendre </w:t>
      </w:r>
      <w:r w:rsidRPr="008A5F3B">
        <w:rPr>
          <w:b/>
          <w:color w:val="000000"/>
          <w:szCs w:val="22"/>
          <w:lang w:val="fr-FR"/>
        </w:rPr>
        <w:t>une fois</w:t>
      </w:r>
      <w:r w:rsidRPr="008A5F3B">
        <w:rPr>
          <w:color w:val="000000"/>
          <w:szCs w:val="22"/>
          <w:lang w:val="fr-FR"/>
        </w:rPr>
        <w:t xml:space="preserve"> par jour.</w:t>
      </w:r>
    </w:p>
    <w:p w14:paraId="087DFEAF" w14:textId="77777777" w:rsidR="007D642D" w:rsidRPr="008A5F3B" w:rsidRDefault="007D642D" w:rsidP="007F23EE">
      <w:pPr>
        <w:pStyle w:val="paragraphSIF"/>
        <w:tabs>
          <w:tab w:val="clear" w:pos="-720"/>
        </w:tabs>
        <w:suppressAutoHyphens/>
        <w:jc w:val="left"/>
        <w:rPr>
          <w:color w:val="000000"/>
          <w:szCs w:val="22"/>
          <w:lang w:val="fr-FR"/>
        </w:rPr>
      </w:pPr>
    </w:p>
    <w:p w14:paraId="64A04329" w14:textId="77777777" w:rsidR="007D642D" w:rsidRPr="008A5F3B" w:rsidRDefault="007D642D" w:rsidP="007F23EE">
      <w:pPr>
        <w:pStyle w:val="paragraphSIF"/>
        <w:keepNext/>
        <w:numPr>
          <w:ilvl w:val="0"/>
          <w:numId w:val="29"/>
        </w:numPr>
        <w:tabs>
          <w:tab w:val="clear" w:pos="-720"/>
          <w:tab w:val="clear" w:pos="720"/>
        </w:tabs>
        <w:suppressAutoHyphens/>
        <w:ind w:left="567" w:hanging="567"/>
        <w:jc w:val="left"/>
        <w:rPr>
          <w:b/>
          <w:color w:val="000000"/>
          <w:szCs w:val="22"/>
          <w:lang w:val="fr-FR"/>
        </w:rPr>
      </w:pPr>
      <w:r w:rsidRPr="008A5F3B">
        <w:rPr>
          <w:b/>
          <w:color w:val="000000"/>
          <w:szCs w:val="22"/>
          <w:lang w:val="fr-FR"/>
        </w:rPr>
        <w:t xml:space="preserve">Si vous êtes traité(e) pour un </w:t>
      </w:r>
      <w:smartTag w:uri="urn:schemas-microsoft-com:office:smarttags" w:element="stockticker">
        <w:r w:rsidRPr="008A5F3B">
          <w:rPr>
            <w:b/>
            <w:color w:val="000000"/>
            <w:szCs w:val="22"/>
            <w:lang w:val="fr-FR"/>
          </w:rPr>
          <w:t>SMD</w:t>
        </w:r>
      </w:smartTag>
      <w:r w:rsidRPr="008A5F3B">
        <w:rPr>
          <w:b/>
          <w:color w:val="000000"/>
          <w:szCs w:val="22"/>
          <w:lang w:val="fr-FR"/>
        </w:rPr>
        <w:t>/</w:t>
      </w:r>
      <w:smartTag w:uri="urn:schemas-microsoft-com:office:smarttags" w:element="stockticker">
        <w:r w:rsidRPr="008A5F3B">
          <w:rPr>
            <w:b/>
            <w:color w:val="000000"/>
            <w:szCs w:val="22"/>
            <w:lang w:val="fr-FR"/>
          </w:rPr>
          <w:t>SMP</w:t>
        </w:r>
      </w:smartTag>
      <w:r w:rsidRPr="008A5F3B">
        <w:rPr>
          <w:b/>
          <w:color w:val="000000"/>
          <w:szCs w:val="22"/>
          <w:lang w:val="fr-FR"/>
        </w:rPr>
        <w:t> :</w:t>
      </w:r>
    </w:p>
    <w:p w14:paraId="733D5B17" w14:textId="5A4EF686" w:rsidR="007D642D" w:rsidRPr="008A5F3B" w:rsidRDefault="007D642D" w:rsidP="007F23EE">
      <w:pPr>
        <w:pStyle w:val="paragraphSIF"/>
        <w:tabs>
          <w:tab w:val="clear" w:pos="-720"/>
        </w:tabs>
        <w:suppressAutoHyphens/>
        <w:ind w:left="567"/>
        <w:jc w:val="left"/>
        <w:rPr>
          <w:color w:val="000000"/>
          <w:szCs w:val="22"/>
          <w:lang w:val="fr-FR"/>
        </w:rPr>
      </w:pPr>
      <w:r w:rsidRPr="008A5F3B">
        <w:rPr>
          <w:color w:val="000000"/>
          <w:szCs w:val="22"/>
          <w:lang w:val="fr-FR"/>
        </w:rPr>
        <w:t xml:space="preserve">La dose initiale est de 400 mg </w:t>
      </w:r>
      <w:r w:rsidR="006B246A" w:rsidRPr="008A5F3B">
        <w:rPr>
          <w:color w:val="000000"/>
          <w:szCs w:val="22"/>
          <w:lang w:val="fr-FR"/>
        </w:rPr>
        <w:t>à</w:t>
      </w:r>
      <w:r w:rsidRPr="008A5F3B">
        <w:rPr>
          <w:color w:val="000000"/>
          <w:szCs w:val="22"/>
          <w:lang w:val="fr-FR"/>
        </w:rPr>
        <w:t xml:space="preserve"> prendre </w:t>
      </w:r>
      <w:r w:rsidRPr="008A5F3B">
        <w:rPr>
          <w:b/>
          <w:color w:val="000000"/>
          <w:szCs w:val="22"/>
          <w:lang w:val="fr-FR"/>
        </w:rPr>
        <w:t>une fois</w:t>
      </w:r>
      <w:r w:rsidRPr="008A5F3B">
        <w:rPr>
          <w:color w:val="000000"/>
          <w:szCs w:val="22"/>
          <w:lang w:val="fr-FR"/>
        </w:rPr>
        <w:t xml:space="preserve"> par jour.</w:t>
      </w:r>
    </w:p>
    <w:p w14:paraId="13DC65C3" w14:textId="77777777" w:rsidR="007D642D" w:rsidRPr="008A5F3B" w:rsidRDefault="007D642D" w:rsidP="007F23EE">
      <w:pPr>
        <w:pStyle w:val="paragraphSIF"/>
        <w:tabs>
          <w:tab w:val="clear" w:pos="-720"/>
        </w:tabs>
        <w:suppressAutoHyphens/>
        <w:jc w:val="left"/>
        <w:rPr>
          <w:color w:val="000000"/>
          <w:szCs w:val="22"/>
          <w:lang w:val="fr-FR"/>
        </w:rPr>
      </w:pPr>
    </w:p>
    <w:p w14:paraId="0938AC9B" w14:textId="77777777" w:rsidR="007D642D" w:rsidRPr="008A5F3B" w:rsidRDefault="007D642D" w:rsidP="007F23EE">
      <w:pPr>
        <w:pStyle w:val="paragraphSIF"/>
        <w:keepNext/>
        <w:numPr>
          <w:ilvl w:val="0"/>
          <w:numId w:val="29"/>
        </w:numPr>
        <w:tabs>
          <w:tab w:val="clear" w:pos="-720"/>
          <w:tab w:val="clear" w:pos="720"/>
        </w:tabs>
        <w:suppressAutoHyphens/>
        <w:ind w:left="567" w:hanging="567"/>
        <w:jc w:val="left"/>
        <w:rPr>
          <w:color w:val="000000"/>
          <w:szCs w:val="22"/>
          <w:lang w:val="fr-FR"/>
        </w:rPr>
      </w:pPr>
      <w:r w:rsidRPr="008A5F3B">
        <w:rPr>
          <w:b/>
          <w:color w:val="000000"/>
          <w:szCs w:val="22"/>
          <w:lang w:val="fr-FR"/>
        </w:rPr>
        <w:t>Si vous êtes traité(e) pour un SHE/LCE</w:t>
      </w:r>
      <w:r w:rsidRPr="008A5F3B">
        <w:rPr>
          <w:color w:val="000000"/>
          <w:szCs w:val="22"/>
          <w:lang w:val="fr-FR"/>
        </w:rPr>
        <w:t> </w:t>
      </w:r>
      <w:r w:rsidRPr="008A5F3B">
        <w:rPr>
          <w:b/>
          <w:bCs/>
          <w:color w:val="000000"/>
          <w:szCs w:val="22"/>
          <w:lang w:val="fr-FR"/>
        </w:rPr>
        <w:t>:</w:t>
      </w:r>
    </w:p>
    <w:p w14:paraId="5E4263B7" w14:textId="041BC35B" w:rsidR="007D642D" w:rsidRPr="008A5F3B" w:rsidRDefault="007D642D" w:rsidP="007F23EE">
      <w:pPr>
        <w:pStyle w:val="paragraphSIF"/>
        <w:tabs>
          <w:tab w:val="clear" w:pos="-720"/>
        </w:tabs>
        <w:suppressAutoHyphens/>
        <w:ind w:left="567"/>
        <w:jc w:val="left"/>
        <w:rPr>
          <w:color w:val="000000"/>
          <w:szCs w:val="22"/>
          <w:lang w:val="fr-FR"/>
        </w:rPr>
      </w:pPr>
      <w:r w:rsidRPr="008A5F3B">
        <w:rPr>
          <w:color w:val="000000"/>
          <w:szCs w:val="22"/>
          <w:lang w:val="fr-FR"/>
        </w:rPr>
        <w:t xml:space="preserve">La dose initiale est de 100 mg </w:t>
      </w:r>
      <w:r w:rsidR="006B246A" w:rsidRPr="008A5F3B">
        <w:rPr>
          <w:color w:val="000000"/>
          <w:szCs w:val="22"/>
          <w:lang w:val="fr-FR"/>
        </w:rPr>
        <w:t>à</w:t>
      </w:r>
      <w:r w:rsidRPr="008A5F3B">
        <w:rPr>
          <w:color w:val="000000"/>
          <w:szCs w:val="22"/>
          <w:lang w:val="fr-FR"/>
        </w:rPr>
        <w:t xml:space="preserve"> prendre </w:t>
      </w:r>
      <w:r w:rsidRPr="008A5F3B">
        <w:rPr>
          <w:b/>
          <w:color w:val="000000"/>
          <w:szCs w:val="22"/>
          <w:lang w:val="fr-FR"/>
        </w:rPr>
        <w:t>une fois</w:t>
      </w:r>
      <w:r w:rsidRPr="008A5F3B">
        <w:rPr>
          <w:color w:val="000000"/>
          <w:szCs w:val="22"/>
          <w:lang w:val="fr-FR"/>
        </w:rPr>
        <w:t xml:space="preserve"> par jour. Votre médecin peut décider d’augmenter la dose initiale à 400 mg, </w:t>
      </w:r>
      <w:r w:rsidR="006B246A" w:rsidRPr="008A5F3B">
        <w:rPr>
          <w:color w:val="000000"/>
          <w:szCs w:val="22"/>
          <w:lang w:val="fr-FR"/>
        </w:rPr>
        <w:t>à</w:t>
      </w:r>
      <w:r w:rsidRPr="008A5F3B">
        <w:rPr>
          <w:color w:val="000000"/>
          <w:szCs w:val="22"/>
          <w:lang w:val="fr-FR"/>
        </w:rPr>
        <w:t xml:space="preserve"> prendre </w:t>
      </w:r>
      <w:r w:rsidRPr="008A5F3B">
        <w:rPr>
          <w:b/>
          <w:color w:val="000000"/>
          <w:szCs w:val="22"/>
          <w:lang w:val="fr-FR"/>
        </w:rPr>
        <w:t>une fois</w:t>
      </w:r>
      <w:r w:rsidRPr="008A5F3B">
        <w:rPr>
          <w:color w:val="000000"/>
          <w:szCs w:val="22"/>
          <w:lang w:val="fr-FR"/>
        </w:rPr>
        <w:t xml:space="preserve"> par jour, en fonction de votre réponse au traitement.</w:t>
      </w:r>
    </w:p>
    <w:p w14:paraId="33F8402B" w14:textId="77777777" w:rsidR="007D642D" w:rsidRPr="008A5F3B" w:rsidRDefault="007D642D" w:rsidP="007F23EE">
      <w:pPr>
        <w:pStyle w:val="paragraphSIF"/>
        <w:tabs>
          <w:tab w:val="clear" w:pos="-720"/>
        </w:tabs>
        <w:suppressAutoHyphens/>
        <w:jc w:val="left"/>
        <w:rPr>
          <w:color w:val="000000"/>
          <w:szCs w:val="22"/>
          <w:lang w:val="fr-FR"/>
        </w:rPr>
      </w:pPr>
    </w:p>
    <w:p w14:paraId="55C27F8C" w14:textId="77777777" w:rsidR="007D642D" w:rsidRPr="008A5F3B" w:rsidRDefault="007D642D" w:rsidP="007F23EE">
      <w:pPr>
        <w:pStyle w:val="paragraphSIF"/>
        <w:keepNext/>
        <w:numPr>
          <w:ilvl w:val="0"/>
          <w:numId w:val="29"/>
        </w:numPr>
        <w:tabs>
          <w:tab w:val="clear" w:pos="-720"/>
          <w:tab w:val="clear" w:pos="720"/>
        </w:tabs>
        <w:suppressAutoHyphens/>
        <w:ind w:left="567" w:hanging="567"/>
        <w:jc w:val="left"/>
        <w:rPr>
          <w:b/>
          <w:color w:val="000000"/>
          <w:lang w:val="fr-FR"/>
        </w:rPr>
      </w:pPr>
      <w:r w:rsidRPr="008A5F3B">
        <w:rPr>
          <w:b/>
          <w:color w:val="000000"/>
          <w:lang w:val="fr-FR"/>
        </w:rPr>
        <w:t>Si vous êtes traité(e) pour un DFSP :</w:t>
      </w:r>
    </w:p>
    <w:p w14:paraId="21A3F41B" w14:textId="6AD5DCBB" w:rsidR="007D642D" w:rsidRPr="008A5F3B" w:rsidRDefault="007D642D" w:rsidP="007F23EE">
      <w:pPr>
        <w:pStyle w:val="paragraphSIF"/>
        <w:tabs>
          <w:tab w:val="clear" w:pos="-720"/>
        </w:tabs>
        <w:suppressAutoHyphens/>
        <w:ind w:left="567"/>
        <w:jc w:val="left"/>
        <w:rPr>
          <w:color w:val="000000"/>
          <w:lang w:val="fr-FR"/>
        </w:rPr>
      </w:pPr>
      <w:r w:rsidRPr="008A5F3B">
        <w:rPr>
          <w:color w:val="000000"/>
          <w:lang w:val="fr-FR"/>
        </w:rPr>
        <w:t xml:space="preserve">La dose est de 800 mg par jour, soit prendre </w:t>
      </w:r>
      <w:r w:rsidR="00B103DB" w:rsidRPr="008A5F3B">
        <w:rPr>
          <w:color w:val="000000"/>
          <w:lang w:val="fr-FR"/>
        </w:rPr>
        <w:t>400 mg</w:t>
      </w:r>
      <w:r w:rsidRPr="008A5F3B">
        <w:rPr>
          <w:color w:val="000000"/>
          <w:szCs w:val="22"/>
          <w:lang w:val="fr-FR"/>
        </w:rPr>
        <w:t xml:space="preserve"> le matin et </w:t>
      </w:r>
      <w:r w:rsidR="00B103DB" w:rsidRPr="008A5F3B">
        <w:rPr>
          <w:color w:val="000000"/>
          <w:szCs w:val="22"/>
          <w:lang w:val="fr-FR"/>
        </w:rPr>
        <w:t>400 mg</w:t>
      </w:r>
      <w:r w:rsidRPr="008A5F3B">
        <w:rPr>
          <w:color w:val="000000"/>
          <w:szCs w:val="22"/>
          <w:lang w:val="fr-FR"/>
        </w:rPr>
        <w:t xml:space="preserve"> le soir.</w:t>
      </w:r>
    </w:p>
    <w:p w14:paraId="29D865E9" w14:textId="15B0DB1C" w:rsidR="007D642D" w:rsidRPr="008A5F3B" w:rsidRDefault="007D642D" w:rsidP="007F23EE">
      <w:pPr>
        <w:pStyle w:val="paragraphSIF"/>
        <w:rPr>
          <w:color w:val="000000"/>
          <w:lang w:val="fr-FR"/>
        </w:rPr>
      </w:pPr>
    </w:p>
    <w:p w14:paraId="1C126D78" w14:textId="0B3555DE" w:rsidR="00B103DB" w:rsidRPr="008A5F3B" w:rsidRDefault="00CC1F81" w:rsidP="007F23EE">
      <w:pPr>
        <w:pStyle w:val="NormalWeb"/>
        <w:spacing w:before="0" w:beforeAutospacing="0" w:after="0" w:afterAutospacing="0"/>
        <w:rPr>
          <w:color w:val="000000"/>
          <w:sz w:val="22"/>
          <w:szCs w:val="22"/>
          <w:lang w:val="fr-FR" w:eastAsia="fr-FR"/>
        </w:rPr>
      </w:pPr>
      <w:r w:rsidRPr="008A5F3B">
        <w:rPr>
          <w:color w:val="000000"/>
          <w:sz w:val="22"/>
          <w:szCs w:val="22"/>
          <w:lang w:val="fr-FR"/>
        </w:rPr>
        <w:t>Une</w:t>
      </w:r>
      <w:r w:rsidR="00B103DB" w:rsidRPr="008A5F3B">
        <w:rPr>
          <w:color w:val="000000"/>
          <w:sz w:val="22"/>
          <w:szCs w:val="22"/>
          <w:lang w:val="fr-FR"/>
        </w:rPr>
        <w:t xml:space="preserve"> dose de 400 mg peut être prise soit en 1 comprimé de 400 mg ou 4 comprimés de 100 mg.</w:t>
      </w:r>
    </w:p>
    <w:p w14:paraId="09FE5D5A" w14:textId="4D80E775" w:rsidR="00B103DB" w:rsidRDefault="00B103DB" w:rsidP="007F23EE">
      <w:pPr>
        <w:pStyle w:val="NormalWeb"/>
        <w:spacing w:before="0" w:beforeAutospacing="0" w:after="0" w:afterAutospacing="0"/>
        <w:rPr>
          <w:sz w:val="22"/>
          <w:szCs w:val="22"/>
          <w:lang w:val="fr-FR"/>
        </w:rPr>
      </w:pPr>
      <w:r w:rsidRPr="008A5F3B">
        <w:rPr>
          <w:color w:val="000000"/>
          <w:sz w:val="22"/>
          <w:szCs w:val="22"/>
          <w:lang w:val="fr-FR"/>
        </w:rPr>
        <w:t xml:space="preserve">Une dose de 600 mg </w:t>
      </w:r>
      <w:r w:rsidR="002961FE" w:rsidRPr="008A5F3B">
        <w:rPr>
          <w:color w:val="000000"/>
          <w:sz w:val="22"/>
          <w:szCs w:val="22"/>
          <w:lang w:val="fr-FR"/>
        </w:rPr>
        <w:t>peut être prise soit</w:t>
      </w:r>
      <w:r w:rsidRPr="008A5F3B">
        <w:rPr>
          <w:color w:val="000000"/>
          <w:sz w:val="22"/>
          <w:szCs w:val="22"/>
          <w:lang w:val="fr-FR"/>
        </w:rPr>
        <w:t xml:space="preserve"> </w:t>
      </w:r>
      <w:r w:rsidRPr="008A5F3B">
        <w:rPr>
          <w:sz w:val="22"/>
          <w:szCs w:val="22"/>
          <w:lang w:val="fr-FR"/>
        </w:rPr>
        <w:t>en 1 comprimé de 400 mg plus 2 comprimés de 100 mg</w:t>
      </w:r>
      <w:r w:rsidR="002961FE">
        <w:rPr>
          <w:sz w:val="22"/>
          <w:szCs w:val="22"/>
          <w:lang w:val="fr-FR"/>
        </w:rPr>
        <w:t xml:space="preserve"> soit en 1</w:t>
      </w:r>
      <w:r w:rsidR="000C5700">
        <w:rPr>
          <w:sz w:val="22"/>
          <w:szCs w:val="22"/>
          <w:lang w:val="fr-FR"/>
        </w:rPr>
        <w:t> </w:t>
      </w:r>
      <w:r w:rsidR="002961FE">
        <w:rPr>
          <w:sz w:val="22"/>
          <w:szCs w:val="22"/>
          <w:lang w:val="fr-FR"/>
        </w:rPr>
        <w:t>comprimé de 400</w:t>
      </w:r>
      <w:r w:rsidR="000C5700">
        <w:rPr>
          <w:sz w:val="22"/>
          <w:szCs w:val="22"/>
          <w:lang w:val="fr-FR"/>
        </w:rPr>
        <w:t> </w:t>
      </w:r>
      <w:r w:rsidR="002961FE">
        <w:rPr>
          <w:sz w:val="22"/>
          <w:szCs w:val="22"/>
          <w:lang w:val="fr-FR"/>
        </w:rPr>
        <w:t>mg plus la moitié de 1</w:t>
      </w:r>
      <w:r w:rsidR="000C5700">
        <w:rPr>
          <w:sz w:val="22"/>
          <w:szCs w:val="22"/>
          <w:lang w:val="fr-FR"/>
        </w:rPr>
        <w:t> </w:t>
      </w:r>
      <w:r w:rsidR="002961FE">
        <w:rPr>
          <w:sz w:val="22"/>
          <w:szCs w:val="22"/>
          <w:lang w:val="fr-FR"/>
        </w:rPr>
        <w:t>comprimé de 400</w:t>
      </w:r>
      <w:r w:rsidR="000C5700">
        <w:rPr>
          <w:sz w:val="22"/>
          <w:szCs w:val="22"/>
          <w:lang w:val="fr-FR"/>
        </w:rPr>
        <w:t> </w:t>
      </w:r>
      <w:r w:rsidR="002961FE">
        <w:rPr>
          <w:sz w:val="22"/>
          <w:szCs w:val="22"/>
          <w:lang w:val="fr-FR"/>
        </w:rPr>
        <w:t>mg</w:t>
      </w:r>
      <w:r w:rsidRPr="008A5F3B">
        <w:rPr>
          <w:sz w:val="22"/>
          <w:szCs w:val="22"/>
          <w:lang w:val="fr-FR"/>
        </w:rPr>
        <w:t>.</w:t>
      </w:r>
    </w:p>
    <w:p w14:paraId="02486680" w14:textId="19383902" w:rsidR="00181CB8" w:rsidRDefault="00181CB8" w:rsidP="007F23EE">
      <w:pPr>
        <w:pStyle w:val="NormalWeb"/>
        <w:spacing w:before="0" w:beforeAutospacing="0" w:after="0" w:afterAutospacing="0"/>
        <w:rPr>
          <w:sz w:val="22"/>
          <w:szCs w:val="22"/>
          <w:lang w:val="fr-FR"/>
        </w:rPr>
      </w:pPr>
    </w:p>
    <w:p w14:paraId="1CEFB6C7" w14:textId="59B4D76B" w:rsidR="00181CB8" w:rsidRPr="008A5F3B" w:rsidRDefault="00181CB8" w:rsidP="007F23EE">
      <w:pPr>
        <w:pStyle w:val="NormalWeb"/>
        <w:spacing w:before="0" w:beforeAutospacing="0" w:after="0" w:afterAutospacing="0"/>
        <w:rPr>
          <w:sz w:val="22"/>
          <w:szCs w:val="22"/>
          <w:lang w:val="fr-FR"/>
        </w:rPr>
      </w:pPr>
      <w:r>
        <w:rPr>
          <w:sz w:val="22"/>
          <w:szCs w:val="22"/>
          <w:lang w:val="fr-FR"/>
        </w:rPr>
        <w:t>Les comprimés peuvent être divisés en deux en le</w:t>
      </w:r>
      <w:r w:rsidR="00013AC7">
        <w:rPr>
          <w:sz w:val="22"/>
          <w:szCs w:val="22"/>
          <w:lang w:val="fr-FR"/>
        </w:rPr>
        <w:t>s</w:t>
      </w:r>
      <w:r>
        <w:rPr>
          <w:sz w:val="22"/>
          <w:szCs w:val="22"/>
          <w:lang w:val="fr-FR"/>
        </w:rPr>
        <w:t xml:space="preserve"> </w:t>
      </w:r>
      <w:r w:rsidR="00013AC7">
        <w:rPr>
          <w:sz w:val="22"/>
          <w:szCs w:val="22"/>
          <w:lang w:val="fr-FR"/>
        </w:rPr>
        <w:t>cassant</w:t>
      </w:r>
      <w:r>
        <w:rPr>
          <w:sz w:val="22"/>
          <w:szCs w:val="22"/>
          <w:lang w:val="fr-FR"/>
        </w:rPr>
        <w:t xml:space="preserve"> le long de la </w:t>
      </w:r>
      <w:r w:rsidRPr="00B14771">
        <w:rPr>
          <w:sz w:val="22"/>
          <w:szCs w:val="22"/>
          <w:lang w:val="fr-FR"/>
        </w:rPr>
        <w:t xml:space="preserve">barre de </w:t>
      </w:r>
      <w:r w:rsidR="00AD72D4" w:rsidRPr="00B14771">
        <w:rPr>
          <w:sz w:val="22"/>
          <w:szCs w:val="22"/>
          <w:lang w:val="fr-FR"/>
        </w:rPr>
        <w:t>sécabilité</w:t>
      </w:r>
      <w:r w:rsidRPr="00B14771">
        <w:rPr>
          <w:sz w:val="22"/>
          <w:szCs w:val="22"/>
          <w:lang w:val="fr-FR"/>
        </w:rPr>
        <w:t>.</w:t>
      </w:r>
    </w:p>
    <w:p w14:paraId="3CD2753F" w14:textId="77777777" w:rsidR="00B103DB" w:rsidRPr="008A5F3B" w:rsidRDefault="00B103DB" w:rsidP="007F23EE">
      <w:pPr>
        <w:pStyle w:val="paragraphSIF"/>
        <w:rPr>
          <w:color w:val="000000"/>
          <w:lang w:val="fr-FR"/>
        </w:rPr>
      </w:pPr>
    </w:p>
    <w:p w14:paraId="6DCA54AA" w14:textId="77777777" w:rsidR="007D642D" w:rsidRPr="008A5F3B" w:rsidRDefault="007D642D" w:rsidP="007F23EE">
      <w:pPr>
        <w:keepNext/>
        <w:tabs>
          <w:tab w:val="left" w:pos="0"/>
        </w:tabs>
        <w:suppressAutoHyphens/>
        <w:rPr>
          <w:rFonts w:ascii="Times New Roman" w:hAnsi="Times New Roman"/>
          <w:b/>
          <w:bCs/>
          <w:color w:val="000000"/>
          <w:szCs w:val="22"/>
        </w:rPr>
      </w:pPr>
      <w:r w:rsidRPr="008A5F3B">
        <w:rPr>
          <w:rFonts w:ascii="Times New Roman" w:hAnsi="Times New Roman"/>
          <w:b/>
          <w:bCs/>
          <w:color w:val="000000"/>
          <w:szCs w:val="22"/>
        </w:rPr>
        <w:t>Utilisation chez les enfants et les adolescents</w:t>
      </w:r>
    </w:p>
    <w:p w14:paraId="061EE05E" w14:textId="77777777" w:rsidR="007D642D" w:rsidRPr="008A5F3B" w:rsidRDefault="007D642D" w:rsidP="007F23EE">
      <w:pPr>
        <w:suppressAutoHyphens/>
        <w:rPr>
          <w:rFonts w:ascii="Times New Roman" w:hAnsi="Times New Roman"/>
          <w:color w:val="000000"/>
          <w:szCs w:val="22"/>
        </w:rPr>
      </w:pPr>
      <w:r w:rsidRPr="008A5F3B">
        <w:rPr>
          <w:rFonts w:ascii="Times New Roman" w:hAnsi="Times New Roman"/>
          <w:color w:val="000000"/>
          <w:szCs w:val="22"/>
        </w:rPr>
        <w:t>Votre médecin vous dira combien de Glivec donner à votre enfant. La dose de Glivec à avaler dépendra de l’état de votre enfant, de sa taille et de son poids. La dose quotidienne totale à avaler chez l’enfant ne doit pas dépasser 800 mg</w:t>
      </w:r>
      <w:r w:rsidR="00024AAF" w:rsidRPr="008A5F3B">
        <w:rPr>
          <w:rFonts w:ascii="Times New Roman" w:hAnsi="Times New Roman"/>
          <w:color w:val="000000"/>
          <w:szCs w:val="22"/>
        </w:rPr>
        <w:t xml:space="preserve"> dans </w:t>
      </w:r>
      <w:smartTag w:uri="urn:schemas-microsoft-com:office:smarttags" w:element="PersonName">
        <w:smartTagPr>
          <w:attr w:name="ProductID" w:val="la LMC"/>
        </w:smartTagPr>
        <w:r w:rsidR="00024AAF" w:rsidRPr="008A5F3B">
          <w:rPr>
            <w:rFonts w:ascii="Times New Roman" w:hAnsi="Times New Roman"/>
            <w:color w:val="000000"/>
            <w:szCs w:val="22"/>
          </w:rPr>
          <w:t>la LMC</w:t>
        </w:r>
      </w:smartTag>
      <w:r w:rsidR="00024AAF" w:rsidRPr="008A5F3B">
        <w:rPr>
          <w:rFonts w:ascii="Times New Roman" w:hAnsi="Times New Roman"/>
          <w:color w:val="000000"/>
          <w:szCs w:val="22"/>
        </w:rPr>
        <w:t xml:space="preserve"> et 600 mg dans </w:t>
      </w:r>
      <w:smartTag w:uri="urn:schemas-microsoft-com:office:smarttags" w:element="PersonName">
        <w:smartTagPr>
          <w:attr w:name="ProductID" w:val="la LAL Ph-positive."/>
        </w:smartTagPr>
        <w:r w:rsidR="00024AAF" w:rsidRPr="008A5F3B">
          <w:rPr>
            <w:rFonts w:ascii="Times New Roman" w:hAnsi="Times New Roman"/>
            <w:color w:val="000000"/>
            <w:szCs w:val="22"/>
          </w:rPr>
          <w:t>la LAL Ph-positive</w:t>
        </w:r>
        <w:r w:rsidRPr="008A5F3B">
          <w:rPr>
            <w:rFonts w:ascii="Times New Roman" w:hAnsi="Times New Roman"/>
            <w:color w:val="000000"/>
            <w:szCs w:val="22"/>
          </w:rPr>
          <w:t>.</w:t>
        </w:r>
      </w:smartTag>
      <w:r w:rsidRPr="008A5F3B">
        <w:rPr>
          <w:rFonts w:ascii="Times New Roman" w:hAnsi="Times New Roman"/>
          <w:color w:val="000000"/>
          <w:szCs w:val="22"/>
        </w:rPr>
        <w:t xml:space="preserve"> Le traitement peut être donné à votre enfant soit en une seule prise par jour ou bien la dose quotidienne peut être répartie en deux prises (la moitié le matin et l’autre moitié le soir).</w:t>
      </w:r>
    </w:p>
    <w:p w14:paraId="69922B1F" w14:textId="77777777" w:rsidR="007D642D" w:rsidRPr="008A5F3B" w:rsidRDefault="007D642D" w:rsidP="007F23EE">
      <w:pPr>
        <w:suppressAutoHyphens/>
        <w:rPr>
          <w:rFonts w:ascii="Times New Roman" w:hAnsi="Times New Roman"/>
          <w:color w:val="000000"/>
          <w:szCs w:val="22"/>
        </w:rPr>
      </w:pPr>
    </w:p>
    <w:p w14:paraId="278D2E36" w14:textId="77777777" w:rsidR="007D642D" w:rsidRPr="008A5F3B" w:rsidRDefault="007D642D" w:rsidP="007F23EE">
      <w:pPr>
        <w:keepNext/>
        <w:suppressAutoHyphens/>
        <w:rPr>
          <w:rFonts w:ascii="Times New Roman" w:hAnsi="Times New Roman"/>
          <w:b/>
          <w:color w:val="000000"/>
          <w:szCs w:val="22"/>
        </w:rPr>
      </w:pPr>
      <w:r w:rsidRPr="008A5F3B">
        <w:rPr>
          <w:rFonts w:ascii="Times New Roman" w:hAnsi="Times New Roman"/>
          <w:b/>
          <w:color w:val="000000"/>
          <w:szCs w:val="22"/>
        </w:rPr>
        <w:t>Quand et comment prendre Glivec ?</w:t>
      </w:r>
    </w:p>
    <w:p w14:paraId="6E32A14F" w14:textId="77777777" w:rsidR="007D642D" w:rsidRPr="008A5F3B" w:rsidRDefault="007D642D" w:rsidP="007F23EE">
      <w:pPr>
        <w:keepNext/>
        <w:numPr>
          <w:ilvl w:val="0"/>
          <w:numId w:val="29"/>
        </w:numPr>
        <w:tabs>
          <w:tab w:val="clear" w:pos="720"/>
        </w:tabs>
        <w:suppressAutoHyphens/>
        <w:ind w:left="567" w:hanging="567"/>
        <w:rPr>
          <w:rFonts w:ascii="Times New Roman" w:hAnsi="Times New Roman"/>
          <w:color w:val="000000"/>
          <w:szCs w:val="22"/>
        </w:rPr>
      </w:pPr>
      <w:r w:rsidRPr="008A5F3B">
        <w:rPr>
          <w:rFonts w:ascii="Times New Roman" w:hAnsi="Times New Roman"/>
          <w:b/>
          <w:color w:val="000000"/>
          <w:szCs w:val="22"/>
        </w:rPr>
        <w:t xml:space="preserve">Prenez Glivec au cours d’un repas </w:t>
      </w:r>
      <w:r w:rsidRPr="008A5F3B">
        <w:rPr>
          <w:rFonts w:ascii="Times New Roman" w:hAnsi="Times New Roman"/>
          <w:color w:val="000000"/>
          <w:szCs w:val="22"/>
        </w:rPr>
        <w:t>cela vous aidera à protéger votre estomac des problèmes avec Glivec.</w:t>
      </w:r>
    </w:p>
    <w:p w14:paraId="27634FC8" w14:textId="77777777" w:rsidR="007D642D" w:rsidRPr="008A5F3B" w:rsidRDefault="007D642D" w:rsidP="007F23EE">
      <w:pPr>
        <w:numPr>
          <w:ilvl w:val="0"/>
          <w:numId w:val="29"/>
        </w:numPr>
        <w:tabs>
          <w:tab w:val="clear" w:pos="720"/>
        </w:tabs>
        <w:suppressAutoHyphens/>
        <w:ind w:left="567" w:hanging="567"/>
        <w:rPr>
          <w:rFonts w:ascii="Times New Roman" w:hAnsi="Times New Roman"/>
          <w:b/>
          <w:color w:val="000000"/>
          <w:szCs w:val="22"/>
        </w:rPr>
      </w:pPr>
      <w:r w:rsidRPr="008A5F3B">
        <w:rPr>
          <w:rFonts w:ascii="Times New Roman" w:hAnsi="Times New Roman"/>
          <w:b/>
          <w:color w:val="000000"/>
          <w:szCs w:val="22"/>
        </w:rPr>
        <w:t>Avalez les comprimés entiers avec un grand verre d’eau.</w:t>
      </w:r>
    </w:p>
    <w:p w14:paraId="27F87DB4" w14:textId="77777777" w:rsidR="007D642D" w:rsidRPr="008A5F3B" w:rsidRDefault="007D642D" w:rsidP="007F23EE">
      <w:pPr>
        <w:suppressAutoHyphens/>
        <w:rPr>
          <w:rFonts w:ascii="Times New Roman" w:hAnsi="Times New Roman"/>
          <w:color w:val="000000"/>
          <w:szCs w:val="22"/>
        </w:rPr>
      </w:pPr>
    </w:p>
    <w:p w14:paraId="02FB3843" w14:textId="77777777" w:rsidR="007D642D" w:rsidRPr="008A5F3B" w:rsidRDefault="007D642D" w:rsidP="007F23EE">
      <w:pPr>
        <w:keepNext/>
        <w:suppressAutoHyphens/>
        <w:rPr>
          <w:rFonts w:ascii="Times New Roman" w:hAnsi="Times New Roman"/>
          <w:color w:val="000000"/>
          <w:szCs w:val="22"/>
        </w:rPr>
      </w:pPr>
      <w:r w:rsidRPr="008A5F3B">
        <w:rPr>
          <w:rFonts w:ascii="Times New Roman" w:hAnsi="Times New Roman"/>
          <w:color w:val="000000"/>
          <w:szCs w:val="22"/>
        </w:rPr>
        <w:t>Si vous ne pouvez pas avaler les comprimés, vous pouvez les dissoudre dans un verre d’eau plate ou de jus de pomme :</w:t>
      </w:r>
    </w:p>
    <w:p w14:paraId="7AAA1BF5" w14:textId="1FA27827" w:rsidR="007D642D" w:rsidRPr="008A5F3B" w:rsidRDefault="007D642D" w:rsidP="007F23EE">
      <w:pPr>
        <w:numPr>
          <w:ilvl w:val="0"/>
          <w:numId w:val="8"/>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Prenez environ 50 m</w:t>
      </w:r>
      <w:ins w:id="717" w:author="Author">
        <w:r w:rsidR="000C3CCF">
          <w:rPr>
            <w:rFonts w:ascii="Times New Roman" w:hAnsi="Times New Roman"/>
            <w:color w:val="000000"/>
            <w:szCs w:val="22"/>
          </w:rPr>
          <w:t>L</w:t>
        </w:r>
      </w:ins>
      <w:del w:id="718" w:author="Author">
        <w:r w:rsidRPr="008A5F3B" w:rsidDel="000C3CCF">
          <w:rPr>
            <w:rFonts w:ascii="Times New Roman" w:hAnsi="Times New Roman"/>
            <w:color w:val="000000"/>
            <w:szCs w:val="22"/>
          </w:rPr>
          <w:delText>l</w:delText>
        </w:r>
      </w:del>
      <w:r w:rsidRPr="008A5F3B">
        <w:rPr>
          <w:rFonts w:ascii="Times New Roman" w:hAnsi="Times New Roman"/>
          <w:color w:val="000000"/>
          <w:szCs w:val="22"/>
        </w:rPr>
        <w:t xml:space="preserve"> pour chaque comprimé de 100 mg</w:t>
      </w:r>
      <w:r w:rsidR="00B103DB" w:rsidRPr="008A5F3B">
        <w:rPr>
          <w:rFonts w:ascii="Times New Roman" w:hAnsi="Times New Roman"/>
          <w:color w:val="000000"/>
          <w:szCs w:val="22"/>
        </w:rPr>
        <w:t xml:space="preserve"> ou 200 m</w:t>
      </w:r>
      <w:ins w:id="719" w:author="Author">
        <w:r w:rsidR="000C3CCF">
          <w:rPr>
            <w:rFonts w:ascii="Times New Roman" w:hAnsi="Times New Roman"/>
            <w:color w:val="000000"/>
            <w:szCs w:val="22"/>
          </w:rPr>
          <w:t>L</w:t>
        </w:r>
      </w:ins>
      <w:del w:id="720" w:author="Author">
        <w:r w:rsidR="00B103DB" w:rsidRPr="008A5F3B" w:rsidDel="000C3CCF">
          <w:rPr>
            <w:rFonts w:ascii="Times New Roman" w:hAnsi="Times New Roman"/>
            <w:color w:val="000000"/>
            <w:szCs w:val="22"/>
          </w:rPr>
          <w:delText>l</w:delText>
        </w:r>
      </w:del>
      <w:r w:rsidR="00B103DB" w:rsidRPr="008A5F3B">
        <w:rPr>
          <w:rFonts w:ascii="Times New Roman" w:hAnsi="Times New Roman"/>
          <w:color w:val="000000"/>
          <w:szCs w:val="22"/>
        </w:rPr>
        <w:t xml:space="preserve"> pour chaque comprimé de 400 mg</w:t>
      </w:r>
      <w:r w:rsidRPr="008A5F3B">
        <w:rPr>
          <w:rFonts w:ascii="Times New Roman" w:hAnsi="Times New Roman"/>
          <w:color w:val="000000"/>
          <w:szCs w:val="22"/>
        </w:rPr>
        <w:t>.</w:t>
      </w:r>
    </w:p>
    <w:p w14:paraId="6AFF79FE" w14:textId="77777777" w:rsidR="007D642D" w:rsidRPr="008A5F3B" w:rsidRDefault="007D642D" w:rsidP="007F23EE">
      <w:pPr>
        <w:numPr>
          <w:ilvl w:val="0"/>
          <w:numId w:val="8"/>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Remuez avec une cuillère jusqu’à dissolution complète des comprimés.</w:t>
      </w:r>
    </w:p>
    <w:p w14:paraId="65F7FD15" w14:textId="77777777" w:rsidR="007D642D" w:rsidRPr="008A5F3B" w:rsidRDefault="007D642D" w:rsidP="007F23EE">
      <w:pPr>
        <w:numPr>
          <w:ilvl w:val="0"/>
          <w:numId w:val="8"/>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Lorsque les comprimés sont complètement dissous, buvez tout de suite la totalité du contenu du verre. Des traces des comprimés dissous peuvent rester déposées dans le verre.</w:t>
      </w:r>
    </w:p>
    <w:p w14:paraId="75B4F98C" w14:textId="77777777" w:rsidR="007D642D" w:rsidRPr="008A5F3B" w:rsidRDefault="007D642D" w:rsidP="007F23EE">
      <w:pPr>
        <w:suppressAutoHyphens/>
        <w:rPr>
          <w:rFonts w:ascii="Times New Roman" w:hAnsi="Times New Roman"/>
          <w:color w:val="000000"/>
          <w:szCs w:val="22"/>
        </w:rPr>
      </w:pPr>
    </w:p>
    <w:p w14:paraId="3AD677C8" w14:textId="77777777" w:rsidR="007D642D" w:rsidRPr="008A5F3B" w:rsidRDefault="007D642D" w:rsidP="007F23EE">
      <w:pPr>
        <w:keepNext/>
        <w:suppressAutoHyphens/>
        <w:rPr>
          <w:rFonts w:ascii="Times New Roman" w:hAnsi="Times New Roman"/>
          <w:b/>
          <w:color w:val="000000"/>
          <w:szCs w:val="22"/>
        </w:rPr>
      </w:pPr>
      <w:r w:rsidRPr="008A5F3B">
        <w:rPr>
          <w:rFonts w:ascii="Times New Roman" w:hAnsi="Times New Roman"/>
          <w:b/>
          <w:color w:val="000000"/>
          <w:szCs w:val="22"/>
        </w:rPr>
        <w:t>Combien de temps prendre Glivec ?</w:t>
      </w:r>
    </w:p>
    <w:p w14:paraId="50BDFA50" w14:textId="77777777" w:rsidR="007D642D" w:rsidRPr="008A5F3B" w:rsidRDefault="007D642D" w:rsidP="007F23EE">
      <w:pPr>
        <w:suppressAutoHyphens/>
        <w:rPr>
          <w:rFonts w:ascii="Times New Roman" w:hAnsi="Times New Roman"/>
          <w:color w:val="000000"/>
          <w:szCs w:val="22"/>
        </w:rPr>
      </w:pPr>
      <w:r w:rsidRPr="008A5F3B">
        <w:rPr>
          <w:rFonts w:ascii="Times New Roman" w:hAnsi="Times New Roman"/>
          <w:color w:val="000000"/>
          <w:szCs w:val="22"/>
        </w:rPr>
        <w:t>Continuez à prendre Glivec tous les jours aussi longtemps que votre médecin vous le dira</w:t>
      </w:r>
      <w:r w:rsidRPr="008A5F3B">
        <w:rPr>
          <w:rFonts w:ascii="Times New Roman" w:hAnsi="Times New Roman"/>
          <w:b/>
          <w:color w:val="000000"/>
          <w:szCs w:val="22"/>
        </w:rPr>
        <w:t>.</w:t>
      </w:r>
    </w:p>
    <w:p w14:paraId="2338B3EB" w14:textId="77777777" w:rsidR="007D642D" w:rsidRPr="008A5F3B" w:rsidRDefault="007D642D" w:rsidP="007F23EE">
      <w:pPr>
        <w:pStyle w:val="EndnoteText"/>
        <w:tabs>
          <w:tab w:val="clear" w:pos="567"/>
        </w:tabs>
        <w:suppressAutoHyphens/>
        <w:rPr>
          <w:color w:val="000000"/>
          <w:szCs w:val="22"/>
          <w:lang w:val="fr-FR"/>
        </w:rPr>
      </w:pPr>
    </w:p>
    <w:p w14:paraId="515B0494" w14:textId="77777777" w:rsidR="007D642D" w:rsidRPr="008A5F3B" w:rsidRDefault="007D642D" w:rsidP="007F23EE">
      <w:pPr>
        <w:keepNext/>
        <w:suppressAutoHyphens/>
        <w:rPr>
          <w:rFonts w:ascii="Times New Roman" w:hAnsi="Times New Roman"/>
          <w:b/>
          <w:color w:val="000000"/>
          <w:szCs w:val="22"/>
        </w:rPr>
      </w:pPr>
      <w:r w:rsidRPr="008A5F3B">
        <w:rPr>
          <w:rFonts w:ascii="Times New Roman" w:hAnsi="Times New Roman"/>
          <w:b/>
          <w:color w:val="000000"/>
          <w:szCs w:val="22"/>
        </w:rPr>
        <w:t>Si vous avez pris plus de Glivec que vous n’auriez dû</w:t>
      </w:r>
    </w:p>
    <w:p w14:paraId="2BCB832D" w14:textId="77777777" w:rsidR="007D642D" w:rsidRPr="008A5F3B" w:rsidRDefault="007D642D" w:rsidP="007F23EE">
      <w:pPr>
        <w:suppressAutoHyphens/>
        <w:rPr>
          <w:rFonts w:ascii="Times New Roman" w:hAnsi="Times New Roman"/>
          <w:color w:val="000000"/>
          <w:szCs w:val="22"/>
        </w:rPr>
      </w:pPr>
      <w:r w:rsidRPr="008A5F3B">
        <w:rPr>
          <w:rFonts w:ascii="Times New Roman" w:hAnsi="Times New Roman"/>
          <w:color w:val="000000"/>
          <w:szCs w:val="22"/>
        </w:rPr>
        <w:t xml:space="preserve">Si vous avez pris accidentellement trop de comprimés, informez-en </w:t>
      </w:r>
      <w:r w:rsidRPr="008A5F3B">
        <w:rPr>
          <w:rFonts w:ascii="Times New Roman" w:hAnsi="Times New Roman"/>
          <w:b/>
          <w:color w:val="000000"/>
          <w:szCs w:val="22"/>
        </w:rPr>
        <w:t>immédiatement</w:t>
      </w:r>
      <w:r w:rsidRPr="008A5F3B">
        <w:rPr>
          <w:rFonts w:ascii="Times New Roman" w:hAnsi="Times New Roman"/>
          <w:color w:val="000000"/>
          <w:szCs w:val="22"/>
        </w:rPr>
        <w:t xml:space="preserve"> votre médecin. Vous pourriez nécessiter une surveillance médicale. Emportez avec vous la boîte de votre traitement.</w:t>
      </w:r>
    </w:p>
    <w:p w14:paraId="39740DEB" w14:textId="77777777" w:rsidR="007D642D" w:rsidRPr="008A5F3B" w:rsidRDefault="007D642D" w:rsidP="007F23EE">
      <w:pPr>
        <w:suppressAutoHyphens/>
        <w:rPr>
          <w:rFonts w:ascii="Times New Roman" w:hAnsi="Times New Roman"/>
          <w:color w:val="000000"/>
          <w:szCs w:val="22"/>
        </w:rPr>
      </w:pPr>
    </w:p>
    <w:p w14:paraId="3446CF88" w14:textId="77777777" w:rsidR="007D642D" w:rsidRPr="008A5F3B" w:rsidRDefault="007D642D" w:rsidP="007F23EE">
      <w:pPr>
        <w:keepNext/>
        <w:suppressAutoHyphens/>
        <w:rPr>
          <w:rFonts w:ascii="Times New Roman" w:hAnsi="Times New Roman"/>
          <w:b/>
          <w:color w:val="000000"/>
          <w:szCs w:val="22"/>
        </w:rPr>
      </w:pPr>
      <w:r w:rsidRPr="008A5F3B">
        <w:rPr>
          <w:rFonts w:ascii="Times New Roman" w:hAnsi="Times New Roman"/>
          <w:b/>
          <w:color w:val="000000"/>
          <w:szCs w:val="22"/>
        </w:rPr>
        <w:t>Si vous oubliez de prendre Glivec</w:t>
      </w:r>
    </w:p>
    <w:p w14:paraId="1B94621C" w14:textId="77777777" w:rsidR="007D642D" w:rsidRPr="008A5F3B" w:rsidRDefault="007D642D" w:rsidP="007F23EE">
      <w:pPr>
        <w:keepNext/>
        <w:keepLines/>
        <w:numPr>
          <w:ilvl w:val="0"/>
          <w:numId w:val="30"/>
        </w:numPr>
        <w:tabs>
          <w:tab w:val="clear" w:pos="720"/>
        </w:tabs>
        <w:suppressAutoHyphens/>
        <w:ind w:left="567" w:hanging="567"/>
        <w:rPr>
          <w:rFonts w:ascii="Times New Roman" w:hAnsi="Times New Roman"/>
          <w:color w:val="000000"/>
          <w:szCs w:val="22"/>
        </w:rPr>
      </w:pPr>
      <w:r w:rsidRPr="008A5F3B">
        <w:rPr>
          <w:rFonts w:ascii="Times New Roman" w:hAnsi="Times New Roman"/>
          <w:color w:val="000000"/>
          <w:szCs w:val="22"/>
        </w:rPr>
        <w:t>Si vous oubliez de prendre une dose, prenez-la dès que vous vous en apercevez. Toutefois s’il est presque temps de prendre la dose suivante, passez la dose oubliée.</w:t>
      </w:r>
    </w:p>
    <w:p w14:paraId="26848D83" w14:textId="77777777" w:rsidR="007D642D" w:rsidRPr="008A5F3B" w:rsidRDefault="007D642D" w:rsidP="007F23EE">
      <w:pPr>
        <w:numPr>
          <w:ilvl w:val="0"/>
          <w:numId w:val="30"/>
        </w:numPr>
        <w:tabs>
          <w:tab w:val="clear" w:pos="720"/>
        </w:tabs>
        <w:suppressAutoHyphens/>
        <w:ind w:left="567" w:hanging="567"/>
        <w:rPr>
          <w:rFonts w:ascii="Times New Roman" w:hAnsi="Times New Roman"/>
          <w:color w:val="000000"/>
          <w:szCs w:val="22"/>
        </w:rPr>
      </w:pPr>
      <w:r w:rsidRPr="008A5F3B">
        <w:rPr>
          <w:rFonts w:ascii="Times New Roman" w:hAnsi="Times New Roman"/>
          <w:color w:val="000000"/>
          <w:szCs w:val="22"/>
        </w:rPr>
        <w:t>Continuez votre traitement selon la posologie habituelle.</w:t>
      </w:r>
    </w:p>
    <w:p w14:paraId="46359D0D" w14:textId="7BC7C694" w:rsidR="007D642D" w:rsidRPr="008A5F3B" w:rsidRDefault="007D642D" w:rsidP="007F23EE">
      <w:pPr>
        <w:numPr>
          <w:ilvl w:val="0"/>
          <w:numId w:val="30"/>
        </w:numPr>
        <w:tabs>
          <w:tab w:val="clear" w:pos="720"/>
        </w:tabs>
        <w:suppressAutoHyphens/>
        <w:ind w:left="567" w:hanging="567"/>
        <w:rPr>
          <w:rFonts w:ascii="Times New Roman" w:hAnsi="Times New Roman"/>
          <w:color w:val="000000"/>
          <w:szCs w:val="22"/>
        </w:rPr>
      </w:pPr>
      <w:r w:rsidRPr="008A5F3B">
        <w:rPr>
          <w:rFonts w:ascii="Times New Roman" w:hAnsi="Times New Roman"/>
          <w:color w:val="000000"/>
          <w:szCs w:val="22"/>
        </w:rPr>
        <w:t>Ne prenez pas de dose double pour compenser la dose que vous avez oublié</w:t>
      </w:r>
      <w:ins w:id="721" w:author="Author">
        <w:r w:rsidR="00865861">
          <w:rPr>
            <w:rFonts w:ascii="Times New Roman" w:hAnsi="Times New Roman"/>
            <w:color w:val="000000"/>
            <w:szCs w:val="22"/>
          </w:rPr>
          <w:t>e</w:t>
        </w:r>
      </w:ins>
      <w:r w:rsidRPr="008A5F3B">
        <w:rPr>
          <w:rFonts w:ascii="Times New Roman" w:hAnsi="Times New Roman"/>
          <w:color w:val="000000"/>
          <w:szCs w:val="22"/>
        </w:rPr>
        <w:t xml:space="preserve"> de prendre.</w:t>
      </w:r>
    </w:p>
    <w:p w14:paraId="11D6D9FC" w14:textId="77777777" w:rsidR="007D642D" w:rsidRPr="008A5F3B" w:rsidRDefault="007D642D" w:rsidP="007F23EE">
      <w:pPr>
        <w:suppressAutoHyphens/>
        <w:rPr>
          <w:rFonts w:ascii="Times New Roman" w:hAnsi="Times New Roman"/>
          <w:color w:val="000000"/>
          <w:szCs w:val="22"/>
        </w:rPr>
      </w:pPr>
    </w:p>
    <w:p w14:paraId="7A755F5A" w14:textId="77777777" w:rsidR="007D642D" w:rsidRPr="008A5F3B" w:rsidRDefault="007D642D" w:rsidP="007F23EE">
      <w:pPr>
        <w:suppressAutoHyphens/>
        <w:rPr>
          <w:rFonts w:ascii="Times New Roman" w:hAnsi="Times New Roman"/>
          <w:color w:val="000000"/>
          <w:szCs w:val="22"/>
        </w:rPr>
      </w:pPr>
      <w:r w:rsidRPr="008A5F3B">
        <w:rPr>
          <w:rFonts w:ascii="Times New Roman" w:hAnsi="Times New Roman"/>
          <w:color w:val="000000"/>
          <w:szCs w:val="22"/>
        </w:rPr>
        <w:t>Si vous avez d’autres questions sur l’utilisation de ce médicament, demandez plus d’informations à votre médecin, à votre pharmacien ou à votre infirmier/ère.</w:t>
      </w:r>
    </w:p>
    <w:p w14:paraId="03D7F27D" w14:textId="77777777" w:rsidR="007D642D" w:rsidRPr="008A5F3B" w:rsidRDefault="007D642D" w:rsidP="007F23EE">
      <w:pPr>
        <w:suppressAutoHyphens/>
        <w:rPr>
          <w:rFonts w:ascii="Times New Roman" w:hAnsi="Times New Roman"/>
          <w:color w:val="000000"/>
          <w:szCs w:val="22"/>
        </w:rPr>
      </w:pPr>
    </w:p>
    <w:p w14:paraId="0E7E6361" w14:textId="77777777" w:rsidR="007D642D" w:rsidRPr="008A5F3B" w:rsidRDefault="007D642D" w:rsidP="007F23EE">
      <w:pPr>
        <w:suppressAutoHyphens/>
        <w:rPr>
          <w:rFonts w:ascii="Times New Roman" w:hAnsi="Times New Roman"/>
          <w:color w:val="000000"/>
          <w:szCs w:val="22"/>
        </w:rPr>
      </w:pPr>
    </w:p>
    <w:p w14:paraId="21B73C09" w14:textId="77777777" w:rsidR="00EF4CB3" w:rsidRPr="008A5F3B" w:rsidRDefault="00EF4CB3" w:rsidP="007F23EE">
      <w:pPr>
        <w:keepNext/>
        <w:suppressAutoHyphens/>
        <w:ind w:left="567" w:hanging="567"/>
        <w:rPr>
          <w:rFonts w:ascii="Times New Roman" w:hAnsi="Times New Roman"/>
          <w:color w:val="000000"/>
          <w:szCs w:val="22"/>
        </w:rPr>
      </w:pPr>
      <w:r w:rsidRPr="008A5F3B">
        <w:rPr>
          <w:rFonts w:ascii="Times New Roman" w:hAnsi="Times New Roman"/>
          <w:b/>
          <w:color w:val="000000"/>
          <w:szCs w:val="22"/>
        </w:rPr>
        <w:t>4.</w:t>
      </w:r>
      <w:r w:rsidRPr="008A5F3B">
        <w:rPr>
          <w:rFonts w:ascii="Times New Roman" w:hAnsi="Times New Roman"/>
          <w:b/>
          <w:color w:val="000000"/>
          <w:szCs w:val="22"/>
        </w:rPr>
        <w:tab/>
        <w:t>Quels sont les effets indésirables éventuels</w:t>
      </w:r>
      <w:r w:rsidR="006365F2" w:rsidRPr="008A5F3B">
        <w:rPr>
          <w:rFonts w:ascii="Times New Roman" w:hAnsi="Times New Roman"/>
          <w:b/>
          <w:color w:val="000000"/>
          <w:szCs w:val="22"/>
        </w:rPr>
        <w:t> ?</w:t>
      </w:r>
    </w:p>
    <w:p w14:paraId="0D86D6CD" w14:textId="77777777" w:rsidR="00EF4CB3" w:rsidRPr="008A5F3B" w:rsidRDefault="00EF4CB3" w:rsidP="007F23EE">
      <w:pPr>
        <w:pStyle w:val="BodyText2"/>
        <w:keepNext/>
        <w:rPr>
          <w:color w:val="000000"/>
          <w:szCs w:val="22"/>
        </w:rPr>
      </w:pPr>
    </w:p>
    <w:p w14:paraId="08EB2C6D" w14:textId="77777777" w:rsidR="00EF4CB3" w:rsidRPr="008A5F3B" w:rsidRDefault="00EF4CB3" w:rsidP="007F23EE">
      <w:pPr>
        <w:pStyle w:val="BodyText2"/>
        <w:keepNext/>
        <w:ind w:left="0" w:firstLine="0"/>
        <w:rPr>
          <w:color w:val="000000"/>
          <w:szCs w:val="22"/>
        </w:rPr>
      </w:pPr>
      <w:r w:rsidRPr="008A5F3B">
        <w:rPr>
          <w:color w:val="000000"/>
          <w:szCs w:val="22"/>
        </w:rPr>
        <w:t>Comme tous les médicaments, ce médicament peut provoquer des effets indésirables, mais ils ne surviennent pas systématiquement chez tout le monde. Ils sont habituellement légers à modérés.</w:t>
      </w:r>
    </w:p>
    <w:p w14:paraId="4113FCAF" w14:textId="77777777" w:rsidR="00EF4CB3" w:rsidRPr="008A5F3B" w:rsidRDefault="00EF4CB3" w:rsidP="007F23EE">
      <w:pPr>
        <w:autoSpaceDE w:val="0"/>
        <w:autoSpaceDN w:val="0"/>
        <w:adjustRightInd w:val="0"/>
        <w:rPr>
          <w:rFonts w:ascii="Times New Roman" w:hAnsi="Times New Roman"/>
          <w:color w:val="000000"/>
          <w:szCs w:val="22"/>
          <w:lang w:bidi="x-none"/>
        </w:rPr>
      </w:pPr>
    </w:p>
    <w:p w14:paraId="36D18A0F" w14:textId="77777777" w:rsidR="00EF4CB3" w:rsidRPr="008A5F3B" w:rsidRDefault="00EF4CB3" w:rsidP="007F23EE">
      <w:pPr>
        <w:keepNext/>
        <w:autoSpaceDE w:val="0"/>
        <w:autoSpaceDN w:val="0"/>
        <w:adjustRightInd w:val="0"/>
        <w:rPr>
          <w:rFonts w:ascii="Times New Roman" w:hAnsi="Times New Roman"/>
          <w:color w:val="000000"/>
          <w:szCs w:val="22"/>
          <w:lang w:bidi="x-none"/>
        </w:rPr>
      </w:pPr>
      <w:r w:rsidRPr="008A5F3B">
        <w:rPr>
          <w:rFonts w:ascii="Times New Roman" w:hAnsi="Times New Roman"/>
          <w:b/>
          <w:color w:val="000000"/>
          <w:szCs w:val="22"/>
          <w:lang w:bidi="x-none"/>
        </w:rPr>
        <w:t>Certains effets peuvent être graves. Prévenez immédiatement votre médecin si vous présentez l’un des effets suivants :</w:t>
      </w:r>
    </w:p>
    <w:p w14:paraId="1FAA3C0A" w14:textId="77777777" w:rsidR="00EF4CB3" w:rsidRPr="008A5F3B" w:rsidRDefault="00EF4CB3" w:rsidP="007F23EE">
      <w:pPr>
        <w:pStyle w:val="BodyText3"/>
        <w:keepNext/>
        <w:rPr>
          <w:b w:val="0"/>
          <w:bCs/>
          <w:color w:val="000000"/>
          <w:szCs w:val="22"/>
        </w:rPr>
      </w:pPr>
    </w:p>
    <w:p w14:paraId="60CE1642" w14:textId="77777777" w:rsidR="00EF4CB3" w:rsidRPr="008A5F3B" w:rsidRDefault="00EF4CB3" w:rsidP="007F23EE">
      <w:pPr>
        <w:pStyle w:val="BodyText3"/>
        <w:keepNext/>
        <w:rPr>
          <w:b w:val="0"/>
          <w:color w:val="000000"/>
          <w:szCs w:val="22"/>
        </w:rPr>
      </w:pPr>
      <w:r w:rsidRPr="008A5F3B">
        <w:rPr>
          <w:color w:val="000000"/>
          <w:szCs w:val="22"/>
        </w:rPr>
        <w:t xml:space="preserve">Très fréquents </w:t>
      </w:r>
      <w:r w:rsidRPr="008A5F3B">
        <w:rPr>
          <w:b w:val="0"/>
          <w:color w:val="000000"/>
          <w:szCs w:val="22"/>
        </w:rPr>
        <w:t>(pouvant affecter plus d’1 personne sur 10)</w:t>
      </w:r>
      <w:r w:rsidRPr="008A5F3B">
        <w:rPr>
          <w:szCs w:val="22"/>
        </w:rPr>
        <w:t xml:space="preserve"> </w:t>
      </w:r>
      <w:r w:rsidRPr="008A5F3B">
        <w:rPr>
          <w:color w:val="000000"/>
          <w:szCs w:val="22"/>
        </w:rPr>
        <w:t xml:space="preserve">ou fréquents </w:t>
      </w:r>
      <w:r w:rsidRPr="008A5F3B">
        <w:rPr>
          <w:b w:val="0"/>
          <w:color w:val="000000"/>
          <w:szCs w:val="22"/>
        </w:rPr>
        <w:t>(pouvant affecter jusqu’à 1 personne sur 10) :</w:t>
      </w:r>
    </w:p>
    <w:p w14:paraId="5D38DEE1" w14:textId="77777777" w:rsidR="00EF4CB3" w:rsidRPr="008A5F3B"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Prise rapide de poids</w:t>
      </w:r>
      <w:r w:rsidRPr="008A5F3B">
        <w:rPr>
          <w:rFonts w:ascii="Times New Roman" w:hAnsi="Times New Roman"/>
          <w:b/>
          <w:color w:val="000000"/>
          <w:szCs w:val="22"/>
        </w:rPr>
        <w:t>.</w:t>
      </w:r>
      <w:r w:rsidRPr="008A5F3B">
        <w:rPr>
          <w:rFonts w:ascii="Times New Roman" w:hAnsi="Times New Roman"/>
          <w:color w:val="000000"/>
          <w:szCs w:val="22"/>
        </w:rPr>
        <w:t xml:space="preserve"> Glivec peut faire que votre corps va retenir plus d’eau (rétention hydrique sévère).</w:t>
      </w:r>
    </w:p>
    <w:p w14:paraId="69CB5612" w14:textId="77777777" w:rsidR="00EF4CB3" w:rsidRPr="008A5F3B"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Signes d’infection tels que fièvre, frissons intenses, maux de gorge ou ulcérations de la bouche. Glivec peut réduire le nombre de globules blancs sanguins, aussi vous pouvez être plus sensible aux infections.</w:t>
      </w:r>
    </w:p>
    <w:p w14:paraId="38B1E5CD" w14:textId="77777777" w:rsidR="00EF4CB3" w:rsidRPr="008A5F3B"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Saignements ou bleus sans raison évidente (lorsque vous ne vous êtes pas fait mal vous-même).</w:t>
      </w:r>
    </w:p>
    <w:p w14:paraId="1BC9CD94" w14:textId="77777777" w:rsidR="00EF4CB3" w:rsidRPr="008A5F3B" w:rsidRDefault="00EF4CB3" w:rsidP="007F23EE">
      <w:pPr>
        <w:suppressAutoHyphens/>
        <w:rPr>
          <w:rFonts w:ascii="Times New Roman" w:hAnsi="Times New Roman"/>
          <w:color w:val="000000"/>
          <w:szCs w:val="22"/>
        </w:rPr>
      </w:pPr>
    </w:p>
    <w:p w14:paraId="27E07405" w14:textId="57C5D86E" w:rsidR="00EF4CB3" w:rsidRPr="008A5F3B" w:rsidRDefault="00EF4CB3" w:rsidP="007F23EE">
      <w:pPr>
        <w:pStyle w:val="BodyText3"/>
        <w:keepNext/>
        <w:rPr>
          <w:b w:val="0"/>
          <w:color w:val="000000"/>
          <w:szCs w:val="22"/>
        </w:rPr>
      </w:pPr>
      <w:r w:rsidRPr="008A5F3B">
        <w:rPr>
          <w:color w:val="000000"/>
          <w:szCs w:val="22"/>
        </w:rPr>
        <w:t xml:space="preserve">Peu fréquents </w:t>
      </w:r>
      <w:r w:rsidRPr="008A5F3B">
        <w:rPr>
          <w:b w:val="0"/>
          <w:color w:val="000000"/>
          <w:szCs w:val="22"/>
        </w:rPr>
        <w:t xml:space="preserve">(pouvant affecter jusqu’à 1 personne sur 100) </w:t>
      </w:r>
      <w:r w:rsidRPr="008A5F3B">
        <w:rPr>
          <w:color w:val="000000"/>
          <w:szCs w:val="22"/>
        </w:rPr>
        <w:t xml:space="preserve">ou rares </w:t>
      </w:r>
      <w:r w:rsidRPr="008A5F3B">
        <w:rPr>
          <w:b w:val="0"/>
          <w:color w:val="000000"/>
          <w:szCs w:val="22"/>
        </w:rPr>
        <w:t>(pouvant affecter jusqu’à 1 personne sur 1</w:t>
      </w:r>
      <w:ins w:id="722" w:author="Author">
        <w:r w:rsidR="00DB22E2">
          <w:rPr>
            <w:b w:val="0"/>
            <w:color w:val="000000"/>
            <w:szCs w:val="22"/>
          </w:rPr>
          <w:t> </w:t>
        </w:r>
      </w:ins>
      <w:r w:rsidRPr="008A5F3B">
        <w:rPr>
          <w:b w:val="0"/>
          <w:color w:val="000000"/>
          <w:szCs w:val="22"/>
        </w:rPr>
        <w:t>000) :</w:t>
      </w:r>
    </w:p>
    <w:p w14:paraId="68CFA1B4" w14:textId="77777777" w:rsidR="00EF4CB3" w:rsidRPr="008A5F3B"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Douleur thoracique ou troubles irréguliers du rythme cardiaque (signes de problèmes cardiaques).</w:t>
      </w:r>
    </w:p>
    <w:p w14:paraId="007B77F2" w14:textId="77777777" w:rsidR="00EF4CB3" w:rsidRPr="008A5F3B"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Toux, difficultés ou douleurs respiratoires (signes de problèmes pulmonaires).</w:t>
      </w:r>
    </w:p>
    <w:p w14:paraId="1BB53491" w14:textId="77777777" w:rsidR="00EF4CB3" w:rsidRPr="008A5F3B"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Sensations d’étourdissements, sensations vertigineuses ou un évanouissement (signes d’une baisse de la pression artérielle).</w:t>
      </w:r>
    </w:p>
    <w:p w14:paraId="11AE5441" w14:textId="6D57A9CA" w:rsidR="00EF4CB3" w:rsidRPr="008A5F3B"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Mal au cœur (nausées) avec perte de l’appétit, coloration foncée des urines, jaunissement des yeux (signes de probl</w:t>
      </w:r>
      <w:r w:rsidR="00A2334D">
        <w:rPr>
          <w:rFonts w:ascii="Times New Roman" w:hAnsi="Times New Roman"/>
          <w:color w:val="000000"/>
          <w:szCs w:val="22"/>
        </w:rPr>
        <w:t>è</w:t>
      </w:r>
      <w:r w:rsidRPr="008A5F3B">
        <w:rPr>
          <w:rFonts w:ascii="Times New Roman" w:hAnsi="Times New Roman"/>
          <w:color w:val="000000"/>
          <w:szCs w:val="22"/>
        </w:rPr>
        <w:t>mes hépatiques).</w:t>
      </w:r>
    </w:p>
    <w:p w14:paraId="67E2FBB8" w14:textId="77777777" w:rsidR="00EF4CB3" w:rsidRPr="008A5F3B"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Eruption, rougissement de la peau avec des cloques sur la peau, les lèvres, la bouche ou les yeux, la peau qui pèle, fièvre, survenue de taches rouges ou pourpres, démangeaisons, sensations de brûlures, éruption pustuleuse (signes de problèmes cutanés).</w:t>
      </w:r>
    </w:p>
    <w:p w14:paraId="09DFA996" w14:textId="77777777" w:rsidR="00EF4CB3" w:rsidRPr="008A5F3B"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Douleur abdominale sévère, sang dans les vomissements, les selles ou les urines, ou selles noires (signes de problèmes gastro-intestinaux).</w:t>
      </w:r>
    </w:p>
    <w:p w14:paraId="6479924B" w14:textId="77777777" w:rsidR="00EF4CB3" w:rsidRPr="008A5F3B"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Réduction importante du volume urinaire, sensations de soif (signes de problèmes rénaux).</w:t>
      </w:r>
    </w:p>
    <w:p w14:paraId="26EE26EE" w14:textId="77777777" w:rsidR="00EF4CB3" w:rsidRPr="008A5F3B"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Mal au cœur (nausée) avec diarrhée et vomissements, douleurs abdominales ou fièvre (signes de problèmes intestinaux).</w:t>
      </w:r>
    </w:p>
    <w:p w14:paraId="19585094" w14:textId="77777777" w:rsidR="00EF4CB3" w:rsidRPr="008A5F3B"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Maux de tête sévères, faiblesse ou paralysie des membres ou de la face, difficultés pour parler, perte de conscience soudaine (signes de problèmes du système nerveux tels qu’un saignement ou un gonflement au niveau du crâne ou du cerveau).</w:t>
      </w:r>
    </w:p>
    <w:p w14:paraId="6C18089E" w14:textId="77777777" w:rsidR="00EF4CB3" w:rsidRPr="008A5F3B"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Pâleur, sensation de fatigue, essoufflements, urines foncées (signes de faibles taux des cellules rouges du sang).</w:t>
      </w:r>
    </w:p>
    <w:p w14:paraId="710F80D8" w14:textId="77777777" w:rsidR="00EF4CB3" w:rsidRPr="008A5F3B"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Douleur au niveau des yeux ou détérioration de la vue, saignement dans les yeux.</w:t>
      </w:r>
    </w:p>
    <w:p w14:paraId="7ACECA96" w14:textId="0B7ED32D" w:rsidR="00EF4CB3"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 xml:space="preserve">Douleurs </w:t>
      </w:r>
      <w:r w:rsidR="00E02109">
        <w:rPr>
          <w:rFonts w:ascii="Times New Roman" w:hAnsi="Times New Roman"/>
          <w:color w:val="000000"/>
          <w:szCs w:val="22"/>
        </w:rPr>
        <w:t>au niveau des os ou des articulations (signes d’ostéonécrose)</w:t>
      </w:r>
      <w:r w:rsidR="004111EF">
        <w:rPr>
          <w:rFonts w:ascii="Times New Roman" w:hAnsi="Times New Roman"/>
          <w:color w:val="000000"/>
          <w:szCs w:val="22"/>
        </w:rPr>
        <w:t>.</w:t>
      </w:r>
    </w:p>
    <w:p w14:paraId="29B078CB" w14:textId="0DA89070" w:rsidR="00E02109" w:rsidRPr="00E02109" w:rsidRDefault="00E02109" w:rsidP="007F23EE">
      <w:pPr>
        <w:numPr>
          <w:ilvl w:val="0"/>
          <w:numId w:val="6"/>
        </w:numPr>
        <w:tabs>
          <w:tab w:val="clear" w:pos="360"/>
        </w:tabs>
        <w:suppressAutoHyphens/>
        <w:ind w:left="567" w:hanging="567"/>
        <w:rPr>
          <w:rFonts w:ascii="Times New Roman" w:hAnsi="Times New Roman"/>
          <w:color w:val="000000"/>
          <w:szCs w:val="22"/>
        </w:rPr>
      </w:pPr>
      <w:r>
        <w:rPr>
          <w:rFonts w:ascii="Times New Roman" w:hAnsi="Times New Roman"/>
          <w:color w:val="000000"/>
          <w:szCs w:val="22"/>
        </w:rPr>
        <w:t>Cloques sur la peau ou les muqueuses (signes de pemphigus)</w:t>
      </w:r>
      <w:r w:rsidR="004111EF">
        <w:rPr>
          <w:rFonts w:ascii="Times New Roman" w:hAnsi="Times New Roman"/>
          <w:color w:val="000000"/>
          <w:szCs w:val="22"/>
        </w:rPr>
        <w:t>.</w:t>
      </w:r>
    </w:p>
    <w:p w14:paraId="6A3EE0E3" w14:textId="77777777" w:rsidR="00EF4CB3" w:rsidRPr="008A5F3B"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Doigts des pieds et des mains froids ou engourdis (signes du syndrome de Raynaud).</w:t>
      </w:r>
    </w:p>
    <w:p w14:paraId="0946632C" w14:textId="77777777" w:rsidR="00EF4CB3" w:rsidRPr="008A5F3B"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Gonflement soudain et rougeur de la peau (signes d’une infection de la peau appelée cellulite).</w:t>
      </w:r>
    </w:p>
    <w:p w14:paraId="6C574861" w14:textId="77777777" w:rsidR="00EF4CB3" w:rsidRPr="008A5F3B"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Difficulté à entendre.</w:t>
      </w:r>
    </w:p>
    <w:p w14:paraId="6B809052" w14:textId="77777777" w:rsidR="00EF4CB3" w:rsidRPr="008A5F3B" w:rsidRDefault="00EF4CB3" w:rsidP="007F23EE">
      <w:pPr>
        <w:keepLines/>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Faiblesse musculaire et spasmes musculaires avec un rythme cardiaque irrégulier (signes d’une variation de la quantité de potassium dans le sang).</w:t>
      </w:r>
    </w:p>
    <w:p w14:paraId="3E2D86F6" w14:textId="77777777" w:rsidR="00EF4CB3" w:rsidRPr="008A5F3B"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Contusion (bleus).</w:t>
      </w:r>
    </w:p>
    <w:p w14:paraId="739F57DE" w14:textId="77777777" w:rsidR="00EF4CB3" w:rsidRPr="008A5F3B"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Douleurs d’estomac, avec mal au cœur (nausée).</w:t>
      </w:r>
    </w:p>
    <w:p w14:paraId="42FACAF2" w14:textId="77777777" w:rsidR="00EF4CB3" w:rsidRPr="008A5F3B"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Crampes musculaires avec fièvre, urines rouge-brun, douleur ou faiblesse de vos muscles (signes de problèmes musculaires).</w:t>
      </w:r>
    </w:p>
    <w:p w14:paraId="2A4883F3" w14:textId="77777777" w:rsidR="00EF4CB3" w:rsidRPr="008A5F3B"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lastRenderedPageBreak/>
        <w:t>Douleurs pelviennes quelquefois accompagnées de nausées et de vomissements, avec des saignements vaginaux inattendus, des sensations de vertiges ou d’évanouissement en raison d’une pression artérielle basse (signes de problèmes des ovaires ou de l’utérus).</w:t>
      </w:r>
    </w:p>
    <w:p w14:paraId="3AFAD98B" w14:textId="3BCC8C45" w:rsidR="00EF4CB3" w:rsidRPr="008A5F3B" w:rsidRDefault="00EF4CB3"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Nausées, essou</w:t>
      </w:r>
      <w:r w:rsidR="00A2334D">
        <w:rPr>
          <w:rFonts w:ascii="Times New Roman" w:hAnsi="Times New Roman"/>
          <w:color w:val="000000"/>
          <w:szCs w:val="22"/>
        </w:rPr>
        <w:t>f</w:t>
      </w:r>
      <w:r w:rsidRPr="008A5F3B">
        <w:rPr>
          <w:rFonts w:ascii="Times New Roman" w:hAnsi="Times New Roman"/>
          <w:color w:val="000000"/>
          <w:szCs w:val="22"/>
        </w:rPr>
        <w:t>flement, pouls irrégulier, urine trouble, fatigue et/ou douleurs articulaires associées à des anomalies des résultats des tests de laboratoire (par exemple</w:t>
      </w:r>
      <w:r w:rsidR="00813A7A">
        <w:rPr>
          <w:rFonts w:ascii="Times New Roman" w:hAnsi="Times New Roman"/>
          <w:color w:val="000000"/>
          <w:szCs w:val="22"/>
        </w:rPr>
        <w:t> </w:t>
      </w:r>
      <w:r w:rsidRPr="008A5F3B">
        <w:rPr>
          <w:rFonts w:ascii="Times New Roman" w:hAnsi="Times New Roman"/>
          <w:color w:val="000000"/>
          <w:szCs w:val="22"/>
        </w:rPr>
        <w:t>: hyperkaliémie, hyperur</w:t>
      </w:r>
      <w:r w:rsidR="00A2334D">
        <w:rPr>
          <w:rFonts w:ascii="Times New Roman" w:hAnsi="Times New Roman"/>
          <w:color w:val="000000"/>
          <w:szCs w:val="22"/>
        </w:rPr>
        <w:t>ic</w:t>
      </w:r>
      <w:r w:rsidRPr="008A5F3B">
        <w:rPr>
          <w:rFonts w:ascii="Times New Roman" w:hAnsi="Times New Roman"/>
          <w:color w:val="000000"/>
          <w:szCs w:val="22"/>
        </w:rPr>
        <w:t xml:space="preserve">émie, </w:t>
      </w:r>
      <w:r w:rsidR="00727164" w:rsidRPr="008A5F3B">
        <w:rPr>
          <w:rFonts w:ascii="Times New Roman" w:hAnsi="Times New Roman"/>
          <w:color w:val="000000"/>
          <w:szCs w:val="22"/>
        </w:rPr>
        <w:t xml:space="preserve">hypercalcémie </w:t>
      </w:r>
      <w:r w:rsidRPr="008A5F3B">
        <w:rPr>
          <w:rFonts w:ascii="Times New Roman" w:hAnsi="Times New Roman"/>
          <w:color w:val="000000"/>
          <w:szCs w:val="22"/>
        </w:rPr>
        <w:t xml:space="preserve">et </w:t>
      </w:r>
      <w:r w:rsidR="00727164" w:rsidRPr="008A5F3B">
        <w:rPr>
          <w:rFonts w:ascii="Times New Roman" w:hAnsi="Times New Roman"/>
          <w:color w:val="000000"/>
          <w:szCs w:val="22"/>
        </w:rPr>
        <w:t>hypophosphorémie</w:t>
      </w:r>
      <w:r w:rsidRPr="008A5F3B">
        <w:rPr>
          <w:rFonts w:ascii="Times New Roman" w:hAnsi="Times New Roman"/>
          <w:color w:val="000000"/>
          <w:szCs w:val="22"/>
        </w:rPr>
        <w:t>).</w:t>
      </w:r>
    </w:p>
    <w:p w14:paraId="44788249" w14:textId="77777777" w:rsidR="00114267" w:rsidRPr="008A5F3B" w:rsidRDefault="00114267" w:rsidP="007F23EE">
      <w:pPr>
        <w:numPr>
          <w:ilvl w:val="0"/>
          <w:numId w:val="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Caillots de sang dans les petits vaisseaux sanguins (microangiopathie thrombotique).</w:t>
      </w:r>
    </w:p>
    <w:p w14:paraId="5E2B0DB9" w14:textId="77777777" w:rsidR="00024AAF" w:rsidRPr="008A5F3B" w:rsidRDefault="00024AAF" w:rsidP="007F23EE">
      <w:pPr>
        <w:suppressAutoHyphens/>
        <w:rPr>
          <w:rFonts w:ascii="Times New Roman" w:hAnsi="Times New Roman"/>
          <w:color w:val="000000"/>
          <w:szCs w:val="22"/>
        </w:rPr>
      </w:pPr>
    </w:p>
    <w:p w14:paraId="34BA5EEE" w14:textId="77777777" w:rsidR="00024AAF" w:rsidRPr="008A5F3B" w:rsidRDefault="00024AAF" w:rsidP="007F23EE">
      <w:pPr>
        <w:keepNext/>
        <w:suppressAutoHyphens/>
        <w:rPr>
          <w:rFonts w:ascii="Times New Roman" w:hAnsi="Times New Roman"/>
          <w:color w:val="000000"/>
          <w:szCs w:val="22"/>
        </w:rPr>
      </w:pPr>
      <w:r w:rsidRPr="008A5F3B">
        <w:rPr>
          <w:rFonts w:ascii="Times New Roman" w:hAnsi="Times New Roman"/>
          <w:b/>
          <w:color w:val="000000"/>
          <w:szCs w:val="22"/>
        </w:rPr>
        <w:t>Indéterminée </w:t>
      </w:r>
      <w:r w:rsidR="00727164" w:rsidRPr="008A5F3B">
        <w:rPr>
          <w:rFonts w:ascii="Times New Roman" w:hAnsi="Times New Roman"/>
          <w:color w:val="000000"/>
          <w:szCs w:val="22"/>
        </w:rPr>
        <w:t>(la fréquence ne peut être estimée sur la base des données disponibles)</w:t>
      </w:r>
      <w:r w:rsidR="0041068A" w:rsidRPr="008A5F3B">
        <w:rPr>
          <w:rFonts w:ascii="Times New Roman" w:hAnsi="Times New Roman"/>
          <w:color w:val="000000"/>
          <w:szCs w:val="22"/>
        </w:rPr>
        <w:t> </w:t>
      </w:r>
      <w:r w:rsidRPr="008A5F3B">
        <w:rPr>
          <w:rFonts w:ascii="Times New Roman" w:hAnsi="Times New Roman"/>
          <w:color w:val="000000"/>
          <w:szCs w:val="22"/>
        </w:rPr>
        <w:t>:</w:t>
      </w:r>
    </w:p>
    <w:p w14:paraId="6CD89970" w14:textId="5DFD5536" w:rsidR="00024AAF" w:rsidRPr="008A5F3B" w:rsidRDefault="0093616B" w:rsidP="007F23EE">
      <w:pPr>
        <w:numPr>
          <w:ilvl w:val="0"/>
          <w:numId w:val="36"/>
        </w:numPr>
        <w:suppressAutoHyphens/>
        <w:ind w:left="567" w:hanging="567"/>
        <w:rPr>
          <w:rFonts w:ascii="Times New Roman" w:hAnsi="Times New Roman"/>
          <w:color w:val="000000"/>
          <w:szCs w:val="22"/>
        </w:rPr>
      </w:pPr>
      <w:r w:rsidRPr="008A5F3B">
        <w:rPr>
          <w:rFonts w:ascii="Times New Roman" w:hAnsi="Times New Roman"/>
          <w:color w:val="000000"/>
          <w:szCs w:val="22"/>
        </w:rPr>
        <w:t>Association</w:t>
      </w:r>
      <w:r w:rsidR="00024AAF" w:rsidRPr="008A5F3B">
        <w:rPr>
          <w:rFonts w:ascii="Times New Roman" w:hAnsi="Times New Roman"/>
          <w:color w:val="000000"/>
          <w:szCs w:val="22"/>
        </w:rPr>
        <w:t xml:space="preserve"> d’une éruption cutanée sévère et généralisée, de nausées, de fièvre, d’un taux élevé de certains globules blancs</w:t>
      </w:r>
      <w:r w:rsidRPr="008A5F3B">
        <w:rPr>
          <w:rFonts w:ascii="Times New Roman" w:hAnsi="Times New Roman"/>
          <w:color w:val="000000"/>
          <w:szCs w:val="22"/>
        </w:rPr>
        <w:t xml:space="preserve"> dans le sang (éosinophiles)</w:t>
      </w:r>
      <w:r w:rsidR="00024AAF" w:rsidRPr="008A5F3B">
        <w:rPr>
          <w:rFonts w:ascii="Times New Roman" w:hAnsi="Times New Roman"/>
          <w:color w:val="000000"/>
          <w:szCs w:val="22"/>
        </w:rPr>
        <w:t xml:space="preserve"> ou d’une coloration jaune de la peau ou des yeux (signes d’une jaunisse) avec essouf</w:t>
      </w:r>
      <w:r w:rsidR="00A2334D">
        <w:rPr>
          <w:rFonts w:ascii="Times New Roman" w:hAnsi="Times New Roman"/>
          <w:color w:val="000000"/>
          <w:szCs w:val="22"/>
        </w:rPr>
        <w:t>f</w:t>
      </w:r>
      <w:r w:rsidR="00024AAF" w:rsidRPr="008A5F3B">
        <w:rPr>
          <w:rFonts w:ascii="Times New Roman" w:hAnsi="Times New Roman"/>
          <w:color w:val="000000"/>
          <w:szCs w:val="22"/>
        </w:rPr>
        <w:t xml:space="preserve">lement, douleur ou gêne dans la poitrine, diminution importante du débit urinaire et sensation de soif, </w:t>
      </w:r>
      <w:proofErr w:type="spellStart"/>
      <w:r w:rsidR="00024AAF" w:rsidRPr="008A5F3B">
        <w:rPr>
          <w:rFonts w:ascii="Times New Roman" w:hAnsi="Times New Roman"/>
          <w:color w:val="000000"/>
          <w:szCs w:val="22"/>
        </w:rPr>
        <w:t>etc</w:t>
      </w:r>
      <w:proofErr w:type="spellEnd"/>
      <w:r w:rsidR="00024AAF" w:rsidRPr="008A5F3B">
        <w:rPr>
          <w:rFonts w:ascii="Times New Roman" w:hAnsi="Times New Roman"/>
          <w:color w:val="000000"/>
          <w:szCs w:val="22"/>
        </w:rPr>
        <w:t xml:space="preserve"> (signes d’une réaction allergique liée au traitement</w:t>
      </w:r>
      <w:r w:rsidR="007F56F8">
        <w:rPr>
          <w:rFonts w:ascii="Times New Roman" w:hAnsi="Times New Roman"/>
          <w:color w:val="000000"/>
          <w:szCs w:val="22"/>
        </w:rPr>
        <w:t> </w:t>
      </w:r>
      <w:r w:rsidRPr="008A5F3B">
        <w:rPr>
          <w:rFonts w:ascii="Times New Roman" w:hAnsi="Times New Roman"/>
          <w:color w:val="000000"/>
          <w:szCs w:val="22"/>
        </w:rPr>
        <w:t>: syndrome DRESS</w:t>
      </w:r>
      <w:r w:rsidR="00024AAF" w:rsidRPr="008A5F3B">
        <w:rPr>
          <w:rFonts w:ascii="Times New Roman" w:hAnsi="Times New Roman"/>
          <w:color w:val="000000"/>
          <w:szCs w:val="22"/>
        </w:rPr>
        <w:t>).</w:t>
      </w:r>
    </w:p>
    <w:p w14:paraId="4C835ABE" w14:textId="77777777" w:rsidR="009C051F" w:rsidRPr="008A5F3B" w:rsidRDefault="009C051F" w:rsidP="007F23EE">
      <w:pPr>
        <w:numPr>
          <w:ilvl w:val="0"/>
          <w:numId w:val="36"/>
        </w:numPr>
        <w:suppressAutoHyphens/>
        <w:ind w:left="567" w:hanging="567"/>
        <w:rPr>
          <w:rFonts w:ascii="Times New Roman" w:hAnsi="Times New Roman"/>
          <w:color w:val="000000"/>
          <w:szCs w:val="22"/>
        </w:rPr>
      </w:pPr>
      <w:r w:rsidRPr="008A5F3B">
        <w:rPr>
          <w:rFonts w:ascii="Times New Roman" w:hAnsi="Times New Roman"/>
          <w:color w:val="000000"/>
          <w:szCs w:val="22"/>
        </w:rPr>
        <w:t>Insuffisance rénale chronique</w:t>
      </w:r>
      <w:r w:rsidR="00B56C05" w:rsidRPr="008A5F3B">
        <w:rPr>
          <w:rFonts w:ascii="Times New Roman" w:hAnsi="Times New Roman"/>
          <w:color w:val="000000"/>
          <w:szCs w:val="22"/>
        </w:rPr>
        <w:t>.</w:t>
      </w:r>
    </w:p>
    <w:p w14:paraId="663D0B01" w14:textId="77777777" w:rsidR="008914A0" w:rsidRPr="008A5F3B" w:rsidRDefault="008914A0" w:rsidP="007F23EE">
      <w:pPr>
        <w:numPr>
          <w:ilvl w:val="0"/>
          <w:numId w:val="36"/>
        </w:numPr>
        <w:spacing w:line="260" w:lineRule="exact"/>
        <w:ind w:left="567" w:hanging="567"/>
        <w:rPr>
          <w:rFonts w:ascii="Times New Roman" w:hAnsi="Times New Roman"/>
          <w:szCs w:val="22"/>
        </w:rPr>
      </w:pPr>
      <w:r w:rsidRPr="008A5F3B">
        <w:rPr>
          <w:rFonts w:ascii="Times New Roman" w:hAnsi="Times New Roman"/>
        </w:rPr>
        <w:t>Réapparition (réactivation) de l’hépatite B si vous avez déjà eu une hépatite B dans le passé (infection hépatique).</w:t>
      </w:r>
    </w:p>
    <w:p w14:paraId="4EDC195A" w14:textId="77777777" w:rsidR="00024AAF" w:rsidRPr="008A5F3B" w:rsidRDefault="00024AAF" w:rsidP="007F23EE">
      <w:pPr>
        <w:suppressAutoHyphens/>
        <w:rPr>
          <w:rFonts w:ascii="Times New Roman" w:hAnsi="Times New Roman"/>
          <w:color w:val="000000"/>
          <w:szCs w:val="22"/>
        </w:rPr>
      </w:pPr>
    </w:p>
    <w:p w14:paraId="6CC5726D" w14:textId="1B78178D" w:rsidR="00EF4CB3" w:rsidRPr="008A5F3B" w:rsidRDefault="00EF4CB3" w:rsidP="007F23EE">
      <w:pPr>
        <w:suppressAutoHyphens/>
        <w:rPr>
          <w:rFonts w:ascii="Times New Roman" w:hAnsi="Times New Roman"/>
          <w:b/>
          <w:color w:val="000000"/>
          <w:szCs w:val="22"/>
        </w:rPr>
      </w:pPr>
      <w:r w:rsidRPr="008A5F3B">
        <w:rPr>
          <w:rFonts w:ascii="Times New Roman" w:hAnsi="Times New Roman"/>
          <w:color w:val="000000"/>
          <w:szCs w:val="22"/>
        </w:rPr>
        <w:t>Si vous présentez l’un des effets d</w:t>
      </w:r>
      <w:r w:rsidR="00A2334D">
        <w:rPr>
          <w:rFonts w:ascii="Times New Roman" w:hAnsi="Times New Roman"/>
          <w:color w:val="000000"/>
          <w:szCs w:val="22"/>
        </w:rPr>
        <w:t>é</w:t>
      </w:r>
      <w:r w:rsidRPr="008A5F3B">
        <w:rPr>
          <w:rFonts w:ascii="Times New Roman" w:hAnsi="Times New Roman"/>
          <w:color w:val="000000"/>
          <w:szCs w:val="22"/>
        </w:rPr>
        <w:t xml:space="preserve">crits ci-dessus, </w:t>
      </w:r>
      <w:r w:rsidRPr="008A5F3B">
        <w:rPr>
          <w:rFonts w:ascii="Times New Roman" w:hAnsi="Times New Roman"/>
          <w:b/>
          <w:color w:val="000000"/>
          <w:szCs w:val="22"/>
        </w:rPr>
        <w:t>parlez-en immédiatement à votre médecin.</w:t>
      </w:r>
    </w:p>
    <w:p w14:paraId="6DC3AC8A" w14:textId="77777777" w:rsidR="00EF4CB3" w:rsidRPr="008A5F3B" w:rsidRDefault="00EF4CB3" w:rsidP="007F23EE">
      <w:pPr>
        <w:suppressAutoHyphens/>
        <w:rPr>
          <w:rFonts w:ascii="Times New Roman" w:hAnsi="Times New Roman"/>
          <w:bCs/>
          <w:color w:val="000000"/>
          <w:szCs w:val="22"/>
        </w:rPr>
      </w:pPr>
    </w:p>
    <w:p w14:paraId="06BF2E89" w14:textId="77777777" w:rsidR="00EF4CB3" w:rsidRPr="008A5F3B" w:rsidRDefault="00EF4CB3" w:rsidP="007F23EE">
      <w:pPr>
        <w:keepNext/>
        <w:suppressAutoHyphens/>
        <w:rPr>
          <w:rFonts w:ascii="Times New Roman" w:hAnsi="Times New Roman"/>
          <w:b/>
          <w:color w:val="000000"/>
          <w:szCs w:val="22"/>
        </w:rPr>
      </w:pPr>
      <w:r w:rsidRPr="008A5F3B">
        <w:rPr>
          <w:rFonts w:ascii="Times New Roman" w:hAnsi="Times New Roman"/>
          <w:b/>
          <w:color w:val="000000"/>
          <w:szCs w:val="22"/>
        </w:rPr>
        <w:t>D’autres effets indésirables peuvent comprendre :</w:t>
      </w:r>
    </w:p>
    <w:p w14:paraId="6F68EFBE" w14:textId="77777777" w:rsidR="00EF4CB3" w:rsidRPr="008A5F3B" w:rsidRDefault="00EF4CB3" w:rsidP="007F23EE">
      <w:pPr>
        <w:keepNext/>
        <w:suppressAutoHyphens/>
        <w:rPr>
          <w:rFonts w:ascii="Times New Roman" w:hAnsi="Times New Roman"/>
          <w:bCs/>
          <w:color w:val="000000"/>
          <w:szCs w:val="22"/>
        </w:rPr>
      </w:pPr>
    </w:p>
    <w:p w14:paraId="27C25226" w14:textId="77777777" w:rsidR="00EF4CB3" w:rsidRPr="008A5F3B" w:rsidRDefault="00EF4CB3" w:rsidP="007F23EE">
      <w:pPr>
        <w:keepNext/>
        <w:suppressAutoHyphens/>
        <w:rPr>
          <w:rFonts w:ascii="Times New Roman" w:hAnsi="Times New Roman"/>
          <w:i/>
          <w:color w:val="000000"/>
          <w:szCs w:val="22"/>
        </w:rPr>
      </w:pPr>
      <w:r w:rsidRPr="008A5F3B">
        <w:rPr>
          <w:rFonts w:ascii="Times New Roman" w:hAnsi="Times New Roman"/>
          <w:b/>
          <w:color w:val="000000"/>
          <w:szCs w:val="22"/>
        </w:rPr>
        <w:t>Très fréquents</w:t>
      </w:r>
      <w:r w:rsidRPr="008A5F3B">
        <w:rPr>
          <w:rFonts w:ascii="Times New Roman" w:hAnsi="Times New Roman"/>
          <w:color w:val="000000"/>
          <w:szCs w:val="22"/>
        </w:rPr>
        <w:t xml:space="preserve"> (pouvant affecter plus d’1 personne sur 10) :</w:t>
      </w:r>
    </w:p>
    <w:p w14:paraId="64D634AC" w14:textId="77777777" w:rsidR="00EF4CB3" w:rsidRPr="008A5F3B" w:rsidRDefault="00EF4CB3" w:rsidP="007F23EE">
      <w:pPr>
        <w:numPr>
          <w:ilvl w:val="0"/>
          <w:numId w:val="26"/>
        </w:numPr>
        <w:tabs>
          <w:tab w:val="clear" w:pos="360"/>
        </w:tabs>
        <w:suppressAutoHyphens/>
        <w:ind w:left="567" w:hanging="567"/>
        <w:rPr>
          <w:rFonts w:ascii="Times New Roman" w:hAnsi="Times New Roman"/>
          <w:color w:val="000000"/>
          <w:szCs w:val="22"/>
        </w:rPr>
      </w:pPr>
      <w:r w:rsidRPr="008A5F3B">
        <w:rPr>
          <w:rFonts w:ascii="Times New Roman" w:hAnsi="Times New Roman"/>
          <w:color w:val="000000"/>
          <w:szCs w:val="22"/>
        </w:rPr>
        <w:t>Maux de tête ou sensation de fatigue.</w:t>
      </w:r>
    </w:p>
    <w:p w14:paraId="08AFA585" w14:textId="77777777" w:rsidR="00EF4CB3" w:rsidRPr="008A5F3B" w:rsidRDefault="00EF4CB3" w:rsidP="007F23EE">
      <w:pPr>
        <w:numPr>
          <w:ilvl w:val="0"/>
          <w:numId w:val="23"/>
        </w:numPr>
        <w:tabs>
          <w:tab w:val="clear" w:pos="360"/>
          <w:tab w:val="num" w:pos="567"/>
        </w:tabs>
        <w:suppressAutoHyphens/>
        <w:ind w:left="567" w:hanging="567"/>
        <w:rPr>
          <w:rFonts w:ascii="Times New Roman" w:hAnsi="Times New Roman"/>
          <w:color w:val="000000"/>
          <w:szCs w:val="22"/>
        </w:rPr>
      </w:pPr>
      <w:r w:rsidRPr="008A5F3B">
        <w:rPr>
          <w:rFonts w:ascii="Times New Roman" w:hAnsi="Times New Roman"/>
          <w:color w:val="000000"/>
          <w:szCs w:val="22"/>
        </w:rPr>
        <w:t>Mal au cœur (nausées), envie de vomir (vomissements), diarrhée ou indigestion.</w:t>
      </w:r>
    </w:p>
    <w:p w14:paraId="556D9C88" w14:textId="77777777" w:rsidR="00EF4CB3" w:rsidRPr="008A5F3B" w:rsidRDefault="00EF4CB3" w:rsidP="007F23EE">
      <w:pPr>
        <w:numPr>
          <w:ilvl w:val="0"/>
          <w:numId w:val="23"/>
        </w:numPr>
        <w:tabs>
          <w:tab w:val="clear" w:pos="360"/>
          <w:tab w:val="num" w:pos="567"/>
        </w:tabs>
        <w:suppressAutoHyphens/>
        <w:ind w:left="567" w:hanging="567"/>
        <w:rPr>
          <w:rFonts w:ascii="Times New Roman" w:hAnsi="Times New Roman"/>
          <w:color w:val="000000"/>
          <w:szCs w:val="22"/>
        </w:rPr>
      </w:pPr>
      <w:r w:rsidRPr="008A5F3B">
        <w:rPr>
          <w:rFonts w:ascii="Times New Roman" w:hAnsi="Times New Roman"/>
          <w:color w:val="000000"/>
          <w:szCs w:val="22"/>
        </w:rPr>
        <w:t>Eruption.</w:t>
      </w:r>
    </w:p>
    <w:p w14:paraId="691AF69A" w14:textId="77777777" w:rsidR="00EF4CB3" w:rsidRPr="008A5F3B" w:rsidRDefault="00EF4CB3" w:rsidP="007F23EE">
      <w:pPr>
        <w:numPr>
          <w:ilvl w:val="0"/>
          <w:numId w:val="23"/>
        </w:numPr>
        <w:tabs>
          <w:tab w:val="clear" w:pos="360"/>
          <w:tab w:val="num" w:pos="567"/>
        </w:tabs>
        <w:suppressAutoHyphens/>
        <w:ind w:left="567" w:hanging="567"/>
        <w:rPr>
          <w:rFonts w:ascii="Times New Roman" w:hAnsi="Times New Roman"/>
          <w:color w:val="000000"/>
          <w:szCs w:val="22"/>
        </w:rPr>
      </w:pPr>
      <w:r w:rsidRPr="008A5F3B">
        <w:rPr>
          <w:rFonts w:ascii="Times New Roman" w:hAnsi="Times New Roman"/>
          <w:color w:val="000000"/>
          <w:szCs w:val="22"/>
        </w:rPr>
        <w:t>Crampes musculaires ou articulaires, douleurs osseuses ou musculaires</w:t>
      </w:r>
      <w:r w:rsidR="002D19F2" w:rsidRPr="008A5F3B">
        <w:rPr>
          <w:rFonts w:ascii="Times New Roman" w:hAnsi="Times New Roman"/>
          <w:color w:val="000000"/>
          <w:szCs w:val="22"/>
        </w:rPr>
        <w:t>,</w:t>
      </w:r>
      <w:r w:rsidR="00DC7916" w:rsidRPr="008A5F3B">
        <w:rPr>
          <w:rFonts w:ascii="Times New Roman" w:hAnsi="Times New Roman"/>
          <w:color w:val="000000"/>
          <w:szCs w:val="22"/>
        </w:rPr>
        <w:t xml:space="preserve"> pendant le traitement par Glivec ou après l’arrêt du traitement.</w:t>
      </w:r>
    </w:p>
    <w:p w14:paraId="4A73730C" w14:textId="77777777" w:rsidR="00EF4CB3" w:rsidRPr="008A5F3B" w:rsidRDefault="00EF4CB3" w:rsidP="007F23EE">
      <w:pPr>
        <w:numPr>
          <w:ilvl w:val="0"/>
          <w:numId w:val="23"/>
        </w:numPr>
        <w:tabs>
          <w:tab w:val="clear" w:pos="360"/>
          <w:tab w:val="num" w:pos="567"/>
        </w:tabs>
        <w:suppressAutoHyphens/>
        <w:ind w:left="567" w:hanging="567"/>
        <w:rPr>
          <w:rFonts w:ascii="Times New Roman" w:hAnsi="Times New Roman"/>
          <w:color w:val="000000"/>
          <w:szCs w:val="22"/>
        </w:rPr>
      </w:pPr>
      <w:r w:rsidRPr="008A5F3B">
        <w:rPr>
          <w:rFonts w:ascii="Times New Roman" w:hAnsi="Times New Roman"/>
          <w:color w:val="000000"/>
          <w:szCs w:val="22"/>
        </w:rPr>
        <w:t>Œdèmes tels que gonflement des chevilles ou gonflement des yeux.</w:t>
      </w:r>
    </w:p>
    <w:p w14:paraId="4A116BED" w14:textId="77777777" w:rsidR="00EF4CB3" w:rsidRPr="008A5F3B" w:rsidRDefault="00EF4CB3" w:rsidP="007F23EE">
      <w:pPr>
        <w:keepNext/>
        <w:numPr>
          <w:ilvl w:val="0"/>
          <w:numId w:val="23"/>
        </w:numPr>
        <w:tabs>
          <w:tab w:val="clear" w:pos="360"/>
          <w:tab w:val="num" w:pos="567"/>
        </w:tabs>
        <w:suppressAutoHyphens/>
        <w:ind w:left="567" w:hanging="567"/>
        <w:rPr>
          <w:rFonts w:ascii="Times New Roman" w:hAnsi="Times New Roman"/>
          <w:color w:val="000000"/>
          <w:szCs w:val="22"/>
        </w:rPr>
      </w:pPr>
      <w:r w:rsidRPr="008A5F3B">
        <w:rPr>
          <w:rFonts w:ascii="Times New Roman" w:hAnsi="Times New Roman"/>
          <w:color w:val="000000"/>
          <w:szCs w:val="22"/>
        </w:rPr>
        <w:t>Prise de poids.</w:t>
      </w:r>
    </w:p>
    <w:p w14:paraId="19663167" w14:textId="77777777" w:rsidR="00EF4CB3" w:rsidRPr="008A5F3B" w:rsidRDefault="00EF4CB3" w:rsidP="007F23EE">
      <w:pPr>
        <w:suppressAutoHyphens/>
        <w:rPr>
          <w:rFonts w:ascii="Times New Roman" w:hAnsi="Times New Roman"/>
          <w:color w:val="000000"/>
          <w:szCs w:val="22"/>
        </w:rPr>
      </w:pPr>
      <w:r w:rsidRPr="008A5F3B">
        <w:rPr>
          <w:rFonts w:ascii="Times New Roman" w:hAnsi="Times New Roman"/>
          <w:color w:val="000000"/>
          <w:szCs w:val="22"/>
        </w:rPr>
        <w:t xml:space="preserve">Si l’un de ces effets vous affecte sévèrement, </w:t>
      </w:r>
      <w:r w:rsidRPr="008A5F3B">
        <w:rPr>
          <w:rFonts w:ascii="Times New Roman" w:hAnsi="Times New Roman"/>
          <w:b/>
          <w:color w:val="000000"/>
          <w:szCs w:val="22"/>
        </w:rPr>
        <w:t>informez votre médecin</w:t>
      </w:r>
      <w:r w:rsidRPr="008A5F3B">
        <w:rPr>
          <w:rFonts w:ascii="Times New Roman" w:hAnsi="Times New Roman"/>
          <w:color w:val="000000"/>
          <w:szCs w:val="22"/>
        </w:rPr>
        <w:t>.</w:t>
      </w:r>
    </w:p>
    <w:p w14:paraId="0081E8C8" w14:textId="77777777" w:rsidR="00EF4CB3" w:rsidRPr="008A5F3B" w:rsidRDefault="00EF4CB3" w:rsidP="007F23EE">
      <w:pPr>
        <w:suppressAutoHyphens/>
        <w:rPr>
          <w:rFonts w:ascii="Times New Roman" w:hAnsi="Times New Roman"/>
          <w:color w:val="000000"/>
          <w:szCs w:val="22"/>
        </w:rPr>
      </w:pPr>
    </w:p>
    <w:p w14:paraId="12CBE227" w14:textId="77777777" w:rsidR="00EF4CB3" w:rsidRPr="008A5F3B" w:rsidRDefault="00EF4CB3" w:rsidP="007F23EE">
      <w:pPr>
        <w:keepNext/>
        <w:suppressAutoHyphens/>
        <w:rPr>
          <w:rFonts w:ascii="Times New Roman" w:hAnsi="Times New Roman"/>
          <w:i/>
          <w:color w:val="000000"/>
          <w:szCs w:val="22"/>
        </w:rPr>
      </w:pPr>
      <w:r w:rsidRPr="008A5F3B">
        <w:rPr>
          <w:rFonts w:ascii="Times New Roman" w:hAnsi="Times New Roman"/>
          <w:b/>
          <w:color w:val="000000"/>
          <w:szCs w:val="22"/>
        </w:rPr>
        <w:t>Fréquents</w:t>
      </w:r>
      <w:r w:rsidRPr="008A5F3B">
        <w:rPr>
          <w:rFonts w:ascii="Times New Roman" w:hAnsi="Times New Roman"/>
          <w:color w:val="000000"/>
          <w:szCs w:val="22"/>
        </w:rPr>
        <w:t xml:space="preserve"> (pouvant affecter jusqu’à 1 personne sur 10) :</w:t>
      </w:r>
    </w:p>
    <w:p w14:paraId="32AFAD10" w14:textId="77777777" w:rsidR="00EF4CB3" w:rsidRPr="008A5F3B" w:rsidRDefault="00EF4CB3" w:rsidP="007F23EE">
      <w:pPr>
        <w:numPr>
          <w:ilvl w:val="0"/>
          <w:numId w:val="24"/>
        </w:numPr>
        <w:tabs>
          <w:tab w:val="clear" w:pos="678"/>
          <w:tab w:val="num" w:pos="567"/>
        </w:tabs>
        <w:suppressAutoHyphens/>
        <w:ind w:left="567" w:hanging="567"/>
        <w:rPr>
          <w:rFonts w:ascii="Times New Roman" w:hAnsi="Times New Roman"/>
          <w:color w:val="000000"/>
          <w:szCs w:val="22"/>
        </w:rPr>
      </w:pPr>
      <w:r w:rsidRPr="008A5F3B">
        <w:rPr>
          <w:rFonts w:ascii="Times New Roman" w:hAnsi="Times New Roman"/>
          <w:color w:val="000000"/>
          <w:szCs w:val="22"/>
        </w:rPr>
        <w:t>Anorexie, perte de poids ou trouble du goût.</w:t>
      </w:r>
    </w:p>
    <w:p w14:paraId="188F1B50" w14:textId="77777777" w:rsidR="00EF4CB3" w:rsidRPr="008A5F3B" w:rsidRDefault="00EF4CB3" w:rsidP="007F23EE">
      <w:pPr>
        <w:numPr>
          <w:ilvl w:val="0"/>
          <w:numId w:val="24"/>
        </w:numPr>
        <w:tabs>
          <w:tab w:val="clear" w:pos="678"/>
          <w:tab w:val="num" w:pos="567"/>
        </w:tabs>
        <w:suppressAutoHyphens/>
        <w:ind w:left="567" w:hanging="567"/>
        <w:rPr>
          <w:rFonts w:ascii="Times New Roman" w:hAnsi="Times New Roman"/>
          <w:color w:val="000000"/>
          <w:szCs w:val="22"/>
        </w:rPr>
      </w:pPr>
      <w:r w:rsidRPr="008A5F3B">
        <w:rPr>
          <w:rFonts w:ascii="Times New Roman" w:hAnsi="Times New Roman"/>
          <w:color w:val="000000"/>
          <w:szCs w:val="22"/>
        </w:rPr>
        <w:t>Sensations vertigineuses ou faiblesse.</w:t>
      </w:r>
    </w:p>
    <w:p w14:paraId="45179BC0" w14:textId="77777777" w:rsidR="00EF4CB3" w:rsidRPr="008A5F3B" w:rsidRDefault="00EF4CB3" w:rsidP="007F23EE">
      <w:pPr>
        <w:numPr>
          <w:ilvl w:val="0"/>
          <w:numId w:val="24"/>
        </w:numPr>
        <w:tabs>
          <w:tab w:val="clear" w:pos="678"/>
          <w:tab w:val="num" w:pos="567"/>
        </w:tabs>
        <w:suppressAutoHyphens/>
        <w:ind w:left="567" w:hanging="567"/>
        <w:rPr>
          <w:rFonts w:ascii="Times New Roman" w:hAnsi="Times New Roman"/>
          <w:color w:val="000000"/>
          <w:szCs w:val="22"/>
        </w:rPr>
      </w:pPr>
      <w:r w:rsidRPr="008A5F3B">
        <w:rPr>
          <w:rFonts w:ascii="Times New Roman" w:hAnsi="Times New Roman"/>
          <w:color w:val="000000"/>
          <w:szCs w:val="22"/>
        </w:rPr>
        <w:t>Difficulté d’endormissement (insomnie).</w:t>
      </w:r>
    </w:p>
    <w:p w14:paraId="35BEE21D" w14:textId="692C4A85" w:rsidR="00EF4CB3" w:rsidRPr="008A5F3B" w:rsidRDefault="00EF4CB3" w:rsidP="007F23EE">
      <w:pPr>
        <w:numPr>
          <w:ilvl w:val="0"/>
          <w:numId w:val="24"/>
        </w:numPr>
        <w:tabs>
          <w:tab w:val="clear" w:pos="678"/>
          <w:tab w:val="num" w:pos="567"/>
        </w:tabs>
        <w:suppressAutoHyphens/>
        <w:ind w:left="567" w:hanging="567"/>
        <w:rPr>
          <w:rFonts w:ascii="Times New Roman" w:hAnsi="Times New Roman"/>
          <w:color w:val="000000"/>
          <w:szCs w:val="22"/>
        </w:rPr>
      </w:pPr>
      <w:r w:rsidRPr="008A5F3B">
        <w:rPr>
          <w:rFonts w:ascii="Times New Roman" w:hAnsi="Times New Roman"/>
          <w:color w:val="000000"/>
          <w:szCs w:val="22"/>
        </w:rPr>
        <w:t>Décharge dans l’</w:t>
      </w:r>
      <w:r w:rsidR="00A2334D" w:rsidRPr="008A5F3B">
        <w:rPr>
          <w:rFonts w:ascii="Times New Roman" w:hAnsi="Times New Roman"/>
          <w:color w:val="000000"/>
          <w:szCs w:val="22"/>
        </w:rPr>
        <w:t>œil</w:t>
      </w:r>
      <w:r w:rsidRPr="008A5F3B">
        <w:rPr>
          <w:rFonts w:ascii="Times New Roman" w:hAnsi="Times New Roman"/>
          <w:color w:val="000000"/>
          <w:szCs w:val="22"/>
        </w:rPr>
        <w:t xml:space="preserve"> avec démangeaisons, rougeur ou gonflement (conjonctivite), yeux larmoyants ou vision trouble.</w:t>
      </w:r>
    </w:p>
    <w:p w14:paraId="76F54E18" w14:textId="77777777" w:rsidR="00EF4CB3" w:rsidRPr="008A5F3B" w:rsidRDefault="00EF4CB3" w:rsidP="007F23EE">
      <w:pPr>
        <w:numPr>
          <w:ilvl w:val="0"/>
          <w:numId w:val="24"/>
        </w:numPr>
        <w:tabs>
          <w:tab w:val="clear" w:pos="678"/>
          <w:tab w:val="num" w:pos="567"/>
        </w:tabs>
        <w:suppressAutoHyphens/>
        <w:ind w:left="567" w:hanging="567"/>
        <w:rPr>
          <w:rFonts w:ascii="Times New Roman" w:hAnsi="Times New Roman"/>
          <w:color w:val="000000"/>
          <w:szCs w:val="22"/>
        </w:rPr>
      </w:pPr>
      <w:r w:rsidRPr="008A5F3B">
        <w:rPr>
          <w:rFonts w:ascii="Times New Roman" w:hAnsi="Times New Roman"/>
          <w:color w:val="000000"/>
          <w:szCs w:val="22"/>
        </w:rPr>
        <w:t>Saignement du nez.</w:t>
      </w:r>
    </w:p>
    <w:p w14:paraId="3BC1ED93" w14:textId="77777777" w:rsidR="00EF4CB3" w:rsidRPr="008A5F3B" w:rsidRDefault="00EF4CB3" w:rsidP="007F23EE">
      <w:pPr>
        <w:numPr>
          <w:ilvl w:val="0"/>
          <w:numId w:val="24"/>
        </w:numPr>
        <w:tabs>
          <w:tab w:val="clear" w:pos="678"/>
          <w:tab w:val="num" w:pos="567"/>
        </w:tabs>
        <w:suppressAutoHyphens/>
        <w:ind w:left="567" w:hanging="567"/>
        <w:rPr>
          <w:rFonts w:ascii="Times New Roman" w:hAnsi="Times New Roman"/>
          <w:color w:val="000000"/>
          <w:szCs w:val="22"/>
        </w:rPr>
      </w:pPr>
      <w:r w:rsidRPr="008A5F3B">
        <w:rPr>
          <w:rFonts w:ascii="Times New Roman" w:hAnsi="Times New Roman"/>
          <w:color w:val="000000"/>
          <w:szCs w:val="22"/>
        </w:rPr>
        <w:t>Douleur ou gonflement de l’abdomen, flatulence, brûlures d’estomac ou constipation.</w:t>
      </w:r>
    </w:p>
    <w:p w14:paraId="19C3E7D0" w14:textId="77777777" w:rsidR="00EF4CB3" w:rsidRPr="008A5F3B" w:rsidRDefault="00EF4CB3" w:rsidP="007F23EE">
      <w:pPr>
        <w:numPr>
          <w:ilvl w:val="0"/>
          <w:numId w:val="24"/>
        </w:numPr>
        <w:tabs>
          <w:tab w:val="clear" w:pos="678"/>
          <w:tab w:val="num" w:pos="567"/>
        </w:tabs>
        <w:suppressAutoHyphens/>
        <w:ind w:left="567" w:hanging="567"/>
        <w:rPr>
          <w:rFonts w:ascii="Times New Roman" w:hAnsi="Times New Roman"/>
          <w:color w:val="000000"/>
          <w:szCs w:val="22"/>
        </w:rPr>
      </w:pPr>
      <w:r w:rsidRPr="008A5F3B">
        <w:rPr>
          <w:rFonts w:ascii="Times New Roman" w:hAnsi="Times New Roman"/>
          <w:color w:val="000000"/>
          <w:szCs w:val="22"/>
        </w:rPr>
        <w:t>Démangeaisons.</w:t>
      </w:r>
    </w:p>
    <w:p w14:paraId="0BA0CE03" w14:textId="77777777" w:rsidR="00EF4CB3" w:rsidRPr="008A5F3B" w:rsidRDefault="00EF4CB3" w:rsidP="007F23EE">
      <w:pPr>
        <w:numPr>
          <w:ilvl w:val="0"/>
          <w:numId w:val="24"/>
        </w:numPr>
        <w:tabs>
          <w:tab w:val="clear" w:pos="678"/>
          <w:tab w:val="num" w:pos="567"/>
        </w:tabs>
        <w:suppressAutoHyphens/>
        <w:ind w:left="567" w:hanging="567"/>
        <w:rPr>
          <w:rFonts w:ascii="Times New Roman" w:hAnsi="Times New Roman"/>
          <w:color w:val="000000"/>
          <w:szCs w:val="22"/>
        </w:rPr>
      </w:pPr>
      <w:r w:rsidRPr="008A5F3B">
        <w:rPr>
          <w:rFonts w:ascii="Times New Roman" w:hAnsi="Times New Roman"/>
          <w:color w:val="000000"/>
          <w:szCs w:val="22"/>
        </w:rPr>
        <w:t>Perte inhabituelle ou raréfaction des cheveux.</w:t>
      </w:r>
    </w:p>
    <w:p w14:paraId="330C0C74" w14:textId="77777777" w:rsidR="00EF4CB3" w:rsidRPr="008A5F3B" w:rsidRDefault="00EF4CB3" w:rsidP="007F23EE">
      <w:pPr>
        <w:numPr>
          <w:ilvl w:val="0"/>
          <w:numId w:val="24"/>
        </w:numPr>
        <w:tabs>
          <w:tab w:val="clear" w:pos="678"/>
          <w:tab w:val="num" w:pos="567"/>
        </w:tabs>
        <w:suppressAutoHyphens/>
        <w:ind w:left="567" w:hanging="567"/>
        <w:rPr>
          <w:rFonts w:ascii="Times New Roman" w:hAnsi="Times New Roman"/>
          <w:color w:val="000000"/>
          <w:szCs w:val="22"/>
        </w:rPr>
      </w:pPr>
      <w:r w:rsidRPr="008A5F3B">
        <w:rPr>
          <w:rFonts w:ascii="Times New Roman" w:hAnsi="Times New Roman"/>
          <w:color w:val="000000"/>
          <w:szCs w:val="22"/>
        </w:rPr>
        <w:t>Engourdissement des mains ou des pieds.</w:t>
      </w:r>
    </w:p>
    <w:p w14:paraId="70467CEE" w14:textId="77777777" w:rsidR="00EF4CB3" w:rsidRPr="008A5F3B" w:rsidRDefault="00EF4CB3" w:rsidP="007F23EE">
      <w:pPr>
        <w:numPr>
          <w:ilvl w:val="0"/>
          <w:numId w:val="24"/>
        </w:numPr>
        <w:tabs>
          <w:tab w:val="clear" w:pos="678"/>
          <w:tab w:val="num" w:pos="567"/>
        </w:tabs>
        <w:suppressAutoHyphens/>
        <w:ind w:left="567" w:hanging="567"/>
        <w:rPr>
          <w:rFonts w:ascii="Times New Roman" w:hAnsi="Times New Roman"/>
          <w:color w:val="000000"/>
          <w:szCs w:val="22"/>
        </w:rPr>
      </w:pPr>
      <w:r w:rsidRPr="008A5F3B">
        <w:rPr>
          <w:rFonts w:ascii="Times New Roman" w:hAnsi="Times New Roman"/>
          <w:color w:val="000000"/>
          <w:szCs w:val="22"/>
        </w:rPr>
        <w:t>Aphtes.</w:t>
      </w:r>
    </w:p>
    <w:p w14:paraId="5B33988A" w14:textId="77777777" w:rsidR="00EF4CB3" w:rsidRPr="008A5F3B" w:rsidRDefault="00EF4CB3" w:rsidP="007F23EE">
      <w:pPr>
        <w:numPr>
          <w:ilvl w:val="0"/>
          <w:numId w:val="24"/>
        </w:numPr>
        <w:tabs>
          <w:tab w:val="clear" w:pos="678"/>
          <w:tab w:val="num" w:pos="567"/>
        </w:tabs>
        <w:suppressAutoHyphens/>
        <w:ind w:left="567" w:hanging="567"/>
        <w:rPr>
          <w:rFonts w:ascii="Times New Roman" w:hAnsi="Times New Roman"/>
          <w:color w:val="000000"/>
          <w:szCs w:val="22"/>
        </w:rPr>
      </w:pPr>
      <w:r w:rsidRPr="008A5F3B">
        <w:rPr>
          <w:rFonts w:ascii="Times New Roman" w:hAnsi="Times New Roman"/>
          <w:color w:val="000000"/>
          <w:szCs w:val="22"/>
        </w:rPr>
        <w:t>Gonflement des articulations et douleurs articulaires.</w:t>
      </w:r>
    </w:p>
    <w:p w14:paraId="656FDD7E" w14:textId="77777777" w:rsidR="00EF4CB3" w:rsidRPr="008A5F3B" w:rsidRDefault="00EF4CB3" w:rsidP="007F23EE">
      <w:pPr>
        <w:numPr>
          <w:ilvl w:val="0"/>
          <w:numId w:val="24"/>
        </w:numPr>
        <w:tabs>
          <w:tab w:val="clear" w:pos="678"/>
          <w:tab w:val="num" w:pos="567"/>
        </w:tabs>
        <w:suppressAutoHyphens/>
        <w:ind w:left="567" w:hanging="567"/>
        <w:rPr>
          <w:rFonts w:ascii="Times New Roman" w:hAnsi="Times New Roman"/>
          <w:color w:val="000000"/>
          <w:szCs w:val="22"/>
        </w:rPr>
      </w:pPr>
      <w:r w:rsidRPr="008A5F3B">
        <w:rPr>
          <w:rFonts w:ascii="Times New Roman" w:hAnsi="Times New Roman"/>
          <w:color w:val="000000"/>
          <w:szCs w:val="22"/>
        </w:rPr>
        <w:t>Bouche sèche, peau sèche ou œil sec.</w:t>
      </w:r>
    </w:p>
    <w:p w14:paraId="0F91122E" w14:textId="77777777" w:rsidR="00EF4CB3" w:rsidRPr="008A5F3B" w:rsidRDefault="00EF4CB3" w:rsidP="007F23EE">
      <w:pPr>
        <w:numPr>
          <w:ilvl w:val="0"/>
          <w:numId w:val="24"/>
        </w:numPr>
        <w:tabs>
          <w:tab w:val="clear" w:pos="678"/>
          <w:tab w:val="num" w:pos="567"/>
        </w:tabs>
        <w:suppressAutoHyphens/>
        <w:ind w:left="567" w:hanging="567"/>
        <w:rPr>
          <w:rFonts w:ascii="Times New Roman" w:hAnsi="Times New Roman"/>
          <w:color w:val="000000"/>
          <w:szCs w:val="22"/>
        </w:rPr>
      </w:pPr>
      <w:r w:rsidRPr="008A5F3B">
        <w:rPr>
          <w:rFonts w:ascii="Times New Roman" w:hAnsi="Times New Roman"/>
          <w:color w:val="000000"/>
          <w:szCs w:val="22"/>
        </w:rPr>
        <w:t>Diminution ou augmentation de la sensibilité cutanée.</w:t>
      </w:r>
    </w:p>
    <w:p w14:paraId="4B73154C" w14:textId="77777777" w:rsidR="00EF4CB3" w:rsidRPr="008A5F3B" w:rsidRDefault="00EF4CB3" w:rsidP="007F23EE">
      <w:pPr>
        <w:keepNext/>
        <w:numPr>
          <w:ilvl w:val="0"/>
          <w:numId w:val="24"/>
        </w:numPr>
        <w:tabs>
          <w:tab w:val="clear" w:pos="678"/>
          <w:tab w:val="num" w:pos="567"/>
        </w:tabs>
        <w:suppressAutoHyphens/>
        <w:ind w:left="567" w:hanging="567"/>
        <w:rPr>
          <w:rFonts w:ascii="Times New Roman" w:hAnsi="Times New Roman"/>
          <w:color w:val="000000"/>
          <w:szCs w:val="22"/>
        </w:rPr>
      </w:pPr>
      <w:r w:rsidRPr="008A5F3B">
        <w:rPr>
          <w:rFonts w:ascii="Times New Roman" w:hAnsi="Times New Roman"/>
          <w:color w:val="000000"/>
          <w:szCs w:val="22"/>
        </w:rPr>
        <w:t>Bouffées de chaleur, frissons ou sueurs nocturnes.</w:t>
      </w:r>
    </w:p>
    <w:p w14:paraId="1904F35B" w14:textId="29E8E9CC" w:rsidR="00EF4CB3" w:rsidRDefault="00EF4CB3" w:rsidP="007F23EE">
      <w:pPr>
        <w:pStyle w:val="EndnoteText"/>
        <w:tabs>
          <w:tab w:val="clear" w:pos="567"/>
        </w:tabs>
        <w:suppressAutoHyphens/>
        <w:rPr>
          <w:b/>
          <w:color w:val="000000"/>
          <w:szCs w:val="22"/>
          <w:lang w:val="fr-FR"/>
        </w:rPr>
      </w:pPr>
      <w:r w:rsidRPr="008A5F3B">
        <w:rPr>
          <w:color w:val="000000"/>
          <w:szCs w:val="22"/>
          <w:lang w:val="fr-FR"/>
        </w:rPr>
        <w:t xml:space="preserve">Si l’un de ces effets vous affecte sévèrement, </w:t>
      </w:r>
      <w:r w:rsidRPr="008A5F3B">
        <w:rPr>
          <w:b/>
          <w:color w:val="000000"/>
          <w:szCs w:val="22"/>
          <w:lang w:val="fr-FR"/>
        </w:rPr>
        <w:t>informez votre médecin.</w:t>
      </w:r>
    </w:p>
    <w:p w14:paraId="675E1298" w14:textId="1EFC491B" w:rsidR="00E02109" w:rsidRPr="00457395" w:rsidRDefault="00E02109" w:rsidP="007F23EE">
      <w:pPr>
        <w:pStyle w:val="EndnoteText"/>
        <w:tabs>
          <w:tab w:val="clear" w:pos="567"/>
        </w:tabs>
        <w:suppressAutoHyphens/>
        <w:rPr>
          <w:bCs/>
          <w:color w:val="000000"/>
          <w:szCs w:val="22"/>
          <w:lang w:val="fr-FR"/>
        </w:rPr>
      </w:pPr>
    </w:p>
    <w:p w14:paraId="295EE860" w14:textId="7266FC9D" w:rsidR="00BE10FE" w:rsidRPr="00D81FC0" w:rsidRDefault="00BE10FE" w:rsidP="007F23EE">
      <w:pPr>
        <w:pStyle w:val="EndnoteText"/>
        <w:keepNext/>
        <w:tabs>
          <w:tab w:val="clear" w:pos="567"/>
        </w:tabs>
        <w:suppressAutoHyphens/>
        <w:rPr>
          <w:b/>
          <w:color w:val="000000"/>
          <w:szCs w:val="22"/>
          <w:lang w:val="fr-FR"/>
        </w:rPr>
      </w:pPr>
      <w:r w:rsidRPr="00D81FC0">
        <w:rPr>
          <w:b/>
          <w:bCs/>
          <w:color w:val="000000"/>
          <w:szCs w:val="22"/>
          <w:lang w:val="fr-FR"/>
        </w:rPr>
        <w:lastRenderedPageBreak/>
        <w:t>Peu fréquents</w:t>
      </w:r>
      <w:r w:rsidRPr="00D81FC0">
        <w:rPr>
          <w:color w:val="000000"/>
          <w:szCs w:val="22"/>
          <w:lang w:val="fr-FR"/>
        </w:rPr>
        <w:t xml:space="preserve"> </w:t>
      </w:r>
      <w:r w:rsidRPr="00D81FC0">
        <w:rPr>
          <w:bCs/>
          <w:color w:val="000000"/>
          <w:szCs w:val="22"/>
          <w:lang w:val="fr-FR"/>
        </w:rPr>
        <w:t>(pouvant affecter jusqu’à 1 personne sur 100) :</w:t>
      </w:r>
    </w:p>
    <w:p w14:paraId="38C98CF9" w14:textId="77777777" w:rsidR="00AF1BED" w:rsidRPr="0093328C" w:rsidRDefault="00AF1BED" w:rsidP="007F23EE">
      <w:pPr>
        <w:pStyle w:val="Text"/>
        <w:keepNext/>
        <w:keepLines/>
        <w:numPr>
          <w:ilvl w:val="0"/>
          <w:numId w:val="24"/>
        </w:numPr>
        <w:tabs>
          <w:tab w:val="clear" w:pos="678"/>
        </w:tabs>
        <w:spacing w:before="0"/>
        <w:ind w:left="567" w:hanging="567"/>
        <w:jc w:val="left"/>
        <w:rPr>
          <w:color w:val="000000"/>
          <w:sz w:val="22"/>
          <w:szCs w:val="22"/>
          <w:lang w:val="fr-FR"/>
        </w:rPr>
      </w:pPr>
      <w:r w:rsidRPr="0093328C">
        <w:rPr>
          <w:sz w:val="22"/>
          <w:szCs w:val="22"/>
          <w:lang w:val="fr-FR"/>
        </w:rPr>
        <w:t>Nodules rouges et douloureux sur la peau, douleurs cutanées, rougeurs cutanées (inflammation du tissu adipeux sous la peau).</w:t>
      </w:r>
    </w:p>
    <w:p w14:paraId="390572CF" w14:textId="77777777" w:rsidR="00BE10FE" w:rsidRPr="00457395" w:rsidRDefault="00BE10FE" w:rsidP="007F23EE">
      <w:pPr>
        <w:numPr>
          <w:ilvl w:val="0"/>
          <w:numId w:val="24"/>
        </w:numPr>
        <w:tabs>
          <w:tab w:val="clear" w:pos="678"/>
        </w:tabs>
        <w:suppressAutoHyphens/>
        <w:ind w:left="567" w:hanging="567"/>
        <w:rPr>
          <w:rFonts w:ascii="Times New Roman" w:hAnsi="Times New Roman"/>
          <w:bCs/>
          <w:color w:val="000000"/>
          <w:szCs w:val="22"/>
        </w:rPr>
      </w:pPr>
      <w:r w:rsidRPr="00D81FC0">
        <w:rPr>
          <w:rFonts w:ascii="Times New Roman" w:hAnsi="Times New Roman"/>
          <w:color w:val="000000"/>
          <w:szCs w:val="22"/>
        </w:rPr>
        <w:t>Toux, écoulement nasal ou nez bouché, sensation de lourdeur ou de douleur en appuyant sur la zone au-dessus des yeux ou sur les côtés du nez, congestion nasale, éternuements, mal de gorge, avec ou sans maux de tête (signes d’infection des voies respiratoires hautes).</w:t>
      </w:r>
    </w:p>
    <w:p w14:paraId="21123110" w14:textId="77777777" w:rsidR="00BE10FE" w:rsidRPr="00457395" w:rsidRDefault="00BE10FE" w:rsidP="007F23EE">
      <w:pPr>
        <w:numPr>
          <w:ilvl w:val="0"/>
          <w:numId w:val="24"/>
        </w:numPr>
        <w:tabs>
          <w:tab w:val="clear" w:pos="678"/>
        </w:tabs>
        <w:suppressAutoHyphens/>
        <w:ind w:left="567" w:hanging="567"/>
        <w:rPr>
          <w:rFonts w:ascii="Times New Roman" w:hAnsi="Times New Roman"/>
          <w:bCs/>
          <w:color w:val="000000"/>
          <w:szCs w:val="22"/>
        </w:rPr>
      </w:pPr>
      <w:r w:rsidRPr="00D81FC0">
        <w:rPr>
          <w:rFonts w:ascii="Times New Roman" w:hAnsi="Times New Roman"/>
          <w:color w:val="000000"/>
          <w:szCs w:val="22"/>
        </w:rPr>
        <w:t>Maux de tête sévères ressentis comme une douleur lancina</w:t>
      </w:r>
      <w:r>
        <w:rPr>
          <w:rFonts w:ascii="Times New Roman" w:hAnsi="Times New Roman"/>
          <w:color w:val="000000"/>
          <w:szCs w:val="22"/>
        </w:rPr>
        <w:t>n</w:t>
      </w:r>
      <w:r w:rsidRPr="00D81FC0">
        <w:rPr>
          <w:rFonts w:ascii="Times New Roman" w:hAnsi="Times New Roman"/>
          <w:color w:val="000000"/>
          <w:szCs w:val="22"/>
        </w:rPr>
        <w:t>te ou une sensation de pulsation, généralement d’un côté de la tête et souvent accompagnés de nausées, de vomissements et d’une sensibilité à la lumière ou au brui</w:t>
      </w:r>
      <w:r>
        <w:rPr>
          <w:rFonts w:ascii="Times New Roman" w:hAnsi="Times New Roman"/>
          <w:color w:val="000000"/>
          <w:szCs w:val="22"/>
        </w:rPr>
        <w:t>t</w:t>
      </w:r>
      <w:r w:rsidRPr="00D81FC0">
        <w:rPr>
          <w:rFonts w:ascii="Times New Roman" w:hAnsi="Times New Roman"/>
          <w:color w:val="000000"/>
          <w:szCs w:val="22"/>
        </w:rPr>
        <w:t xml:space="preserve"> (signes de migraine).</w:t>
      </w:r>
    </w:p>
    <w:p w14:paraId="51F0FFB0" w14:textId="77777777" w:rsidR="00BE10FE" w:rsidRPr="00457395" w:rsidRDefault="00BE10FE" w:rsidP="007F23EE">
      <w:pPr>
        <w:numPr>
          <w:ilvl w:val="0"/>
          <w:numId w:val="24"/>
        </w:numPr>
        <w:tabs>
          <w:tab w:val="clear" w:pos="678"/>
        </w:tabs>
        <w:suppressAutoHyphens/>
        <w:ind w:left="567" w:hanging="567"/>
        <w:rPr>
          <w:rFonts w:ascii="Times New Roman" w:hAnsi="Times New Roman"/>
          <w:bCs/>
          <w:color w:val="000000"/>
          <w:szCs w:val="22"/>
          <w:lang w:val="en-US"/>
        </w:rPr>
      </w:pPr>
      <w:r w:rsidRPr="002B1C52">
        <w:rPr>
          <w:rFonts w:ascii="Times New Roman" w:hAnsi="Times New Roman"/>
          <w:color w:val="000000"/>
          <w:szCs w:val="22"/>
        </w:rPr>
        <w:t>Symptômes</w:t>
      </w:r>
      <w:r w:rsidRPr="00D81FC0">
        <w:rPr>
          <w:rFonts w:ascii="Times New Roman" w:hAnsi="Times New Roman"/>
          <w:color w:val="000000"/>
          <w:szCs w:val="22"/>
          <w:lang w:val="en-US"/>
        </w:rPr>
        <w:t xml:space="preserve"> pseudo-</w:t>
      </w:r>
      <w:proofErr w:type="spellStart"/>
      <w:r w:rsidRPr="00D81FC0">
        <w:rPr>
          <w:rFonts w:ascii="Times New Roman" w:hAnsi="Times New Roman"/>
          <w:color w:val="000000"/>
          <w:szCs w:val="22"/>
          <w:lang w:val="en-US"/>
        </w:rPr>
        <w:t>grippaux</w:t>
      </w:r>
      <w:proofErr w:type="spellEnd"/>
      <w:r w:rsidRPr="00D81FC0">
        <w:rPr>
          <w:rFonts w:ascii="Times New Roman" w:hAnsi="Times New Roman"/>
          <w:color w:val="000000"/>
          <w:szCs w:val="22"/>
          <w:lang w:val="en-US"/>
        </w:rPr>
        <w:t xml:space="preserve"> (grippe).</w:t>
      </w:r>
    </w:p>
    <w:p w14:paraId="258DEAB7" w14:textId="2174CAF9" w:rsidR="00BE10FE" w:rsidRPr="00457395" w:rsidRDefault="00BE10FE" w:rsidP="007F23EE">
      <w:pPr>
        <w:numPr>
          <w:ilvl w:val="0"/>
          <w:numId w:val="24"/>
        </w:numPr>
        <w:tabs>
          <w:tab w:val="clear" w:pos="678"/>
        </w:tabs>
        <w:suppressAutoHyphens/>
        <w:ind w:left="567" w:hanging="567"/>
        <w:rPr>
          <w:rFonts w:ascii="Times New Roman" w:hAnsi="Times New Roman"/>
          <w:bCs/>
          <w:color w:val="000000"/>
          <w:szCs w:val="22"/>
        </w:rPr>
      </w:pPr>
      <w:r w:rsidRPr="00D81FC0">
        <w:rPr>
          <w:rFonts w:ascii="Times New Roman" w:hAnsi="Times New Roman"/>
          <w:color w:val="000000"/>
          <w:szCs w:val="22"/>
        </w:rPr>
        <w:t xml:space="preserve">Douleur ou sensation de </w:t>
      </w:r>
      <w:r w:rsidRPr="002B1C52">
        <w:rPr>
          <w:rFonts w:ascii="Times New Roman" w:hAnsi="Times New Roman"/>
          <w:color w:val="000000"/>
          <w:szCs w:val="22"/>
        </w:rPr>
        <w:t xml:space="preserve">brûlure </w:t>
      </w:r>
      <w:r w:rsidR="009C5C79" w:rsidRPr="009C5C79">
        <w:rPr>
          <w:rFonts w:ascii="Times New Roman" w:hAnsi="Times New Roman"/>
          <w:color w:val="000000"/>
          <w:szCs w:val="22"/>
        </w:rPr>
        <w:t>en urinant</w:t>
      </w:r>
      <w:r w:rsidRPr="00D81FC0">
        <w:rPr>
          <w:rFonts w:ascii="Times New Roman" w:hAnsi="Times New Roman"/>
          <w:color w:val="000000"/>
          <w:szCs w:val="22"/>
        </w:rPr>
        <w:t xml:space="preserve">, augmentation de la température corporelle, douleur dans l’aine ou dans la région pelvienne, urine de couleur </w:t>
      </w:r>
      <w:r>
        <w:rPr>
          <w:rFonts w:ascii="Times New Roman" w:hAnsi="Times New Roman"/>
          <w:color w:val="000000"/>
          <w:szCs w:val="22"/>
        </w:rPr>
        <w:t>rouge ou brune</w:t>
      </w:r>
      <w:r w:rsidRPr="00D81FC0">
        <w:rPr>
          <w:rFonts w:ascii="Times New Roman" w:hAnsi="Times New Roman"/>
          <w:color w:val="000000"/>
          <w:szCs w:val="22"/>
        </w:rPr>
        <w:t xml:space="preserve"> ou </w:t>
      </w:r>
      <w:r>
        <w:rPr>
          <w:rFonts w:ascii="Times New Roman" w:hAnsi="Times New Roman"/>
          <w:color w:val="000000"/>
          <w:szCs w:val="22"/>
        </w:rPr>
        <w:t xml:space="preserve">urine </w:t>
      </w:r>
      <w:r w:rsidRPr="00D81FC0">
        <w:rPr>
          <w:rFonts w:ascii="Times New Roman" w:hAnsi="Times New Roman"/>
          <w:color w:val="000000"/>
          <w:szCs w:val="22"/>
        </w:rPr>
        <w:t>trouble (signe</w:t>
      </w:r>
      <w:r>
        <w:rPr>
          <w:rFonts w:ascii="Times New Roman" w:hAnsi="Times New Roman"/>
          <w:color w:val="000000"/>
          <w:szCs w:val="22"/>
        </w:rPr>
        <w:t>s</w:t>
      </w:r>
      <w:r w:rsidRPr="00D81FC0">
        <w:rPr>
          <w:rFonts w:ascii="Times New Roman" w:hAnsi="Times New Roman"/>
          <w:color w:val="000000"/>
          <w:szCs w:val="22"/>
        </w:rPr>
        <w:t xml:space="preserve"> d’infection des voies urinaires).</w:t>
      </w:r>
    </w:p>
    <w:p w14:paraId="507237E9" w14:textId="77777777" w:rsidR="00BE10FE" w:rsidRPr="00D81FC0" w:rsidRDefault="00BE10FE" w:rsidP="007F23EE">
      <w:pPr>
        <w:numPr>
          <w:ilvl w:val="0"/>
          <w:numId w:val="24"/>
        </w:numPr>
        <w:tabs>
          <w:tab w:val="clear" w:pos="678"/>
        </w:tabs>
        <w:suppressAutoHyphens/>
        <w:ind w:left="567" w:hanging="567"/>
        <w:rPr>
          <w:rFonts w:ascii="Times New Roman" w:hAnsi="Times New Roman"/>
          <w:b/>
          <w:color w:val="000000"/>
          <w:szCs w:val="22"/>
        </w:rPr>
      </w:pPr>
      <w:r w:rsidRPr="00D81FC0">
        <w:rPr>
          <w:rFonts w:ascii="Times New Roman" w:hAnsi="Times New Roman"/>
          <w:color w:val="000000"/>
          <w:szCs w:val="22"/>
        </w:rPr>
        <w:t>Douleur et gonflement au niveau des articulations (signes d’arthralgie).</w:t>
      </w:r>
    </w:p>
    <w:p w14:paraId="48D7BFC8" w14:textId="77777777" w:rsidR="00BE10FE" w:rsidRPr="00457395" w:rsidRDefault="00BE10FE" w:rsidP="007F23EE">
      <w:pPr>
        <w:numPr>
          <w:ilvl w:val="0"/>
          <w:numId w:val="24"/>
        </w:numPr>
        <w:tabs>
          <w:tab w:val="clear" w:pos="678"/>
        </w:tabs>
        <w:suppressAutoHyphens/>
        <w:ind w:left="567" w:hanging="567"/>
        <w:rPr>
          <w:rFonts w:ascii="Times New Roman" w:hAnsi="Times New Roman"/>
          <w:bCs/>
          <w:color w:val="000000"/>
          <w:szCs w:val="22"/>
        </w:rPr>
      </w:pPr>
      <w:r w:rsidRPr="00D81FC0">
        <w:rPr>
          <w:rFonts w:ascii="Times New Roman" w:hAnsi="Times New Roman"/>
          <w:color w:val="000000"/>
          <w:szCs w:val="22"/>
        </w:rPr>
        <w:t>Un sentiment constant de tristesse et de perte d’intérêt, qui vous empêche de réaliser vos activités normales (signes de dépression).</w:t>
      </w:r>
    </w:p>
    <w:p w14:paraId="17E54934" w14:textId="77777777" w:rsidR="00BE10FE" w:rsidRPr="00D81FC0" w:rsidRDefault="00BE10FE" w:rsidP="007F23EE">
      <w:pPr>
        <w:numPr>
          <w:ilvl w:val="0"/>
          <w:numId w:val="24"/>
        </w:numPr>
        <w:tabs>
          <w:tab w:val="clear" w:pos="678"/>
        </w:tabs>
        <w:suppressAutoHyphens/>
        <w:ind w:left="567" w:hanging="567"/>
        <w:rPr>
          <w:rFonts w:ascii="Times New Roman" w:hAnsi="Times New Roman"/>
          <w:bCs/>
          <w:color w:val="000000"/>
          <w:szCs w:val="22"/>
        </w:rPr>
      </w:pPr>
      <w:r w:rsidRPr="00D81FC0">
        <w:rPr>
          <w:rFonts w:ascii="Times New Roman" w:hAnsi="Times New Roman"/>
          <w:bCs/>
          <w:color w:val="000000"/>
          <w:szCs w:val="22"/>
        </w:rPr>
        <w:t xml:space="preserve">Un sentiment d’appréhension et d’inquiétude accompagné de symptômes physiques </w:t>
      </w:r>
      <w:r w:rsidRPr="008F71A8">
        <w:rPr>
          <w:rFonts w:ascii="Times New Roman" w:hAnsi="Times New Roman"/>
          <w:bCs/>
          <w:color w:val="000000"/>
          <w:szCs w:val="22"/>
        </w:rPr>
        <w:t>tels que des palpitations,</w:t>
      </w:r>
      <w:r w:rsidRPr="00D81FC0">
        <w:rPr>
          <w:rFonts w:ascii="Times New Roman" w:hAnsi="Times New Roman"/>
          <w:bCs/>
          <w:color w:val="000000"/>
          <w:szCs w:val="22"/>
        </w:rPr>
        <w:t xml:space="preserve"> des sueurs, des tremblements, une bouche sèche (signes d’anxiété).</w:t>
      </w:r>
    </w:p>
    <w:p w14:paraId="523618CC" w14:textId="77777777" w:rsidR="00BE10FE" w:rsidRPr="00D81FC0" w:rsidRDefault="00BE10FE" w:rsidP="007F23EE">
      <w:pPr>
        <w:numPr>
          <w:ilvl w:val="0"/>
          <w:numId w:val="24"/>
        </w:numPr>
        <w:tabs>
          <w:tab w:val="clear" w:pos="678"/>
        </w:tabs>
        <w:suppressAutoHyphens/>
        <w:ind w:left="567" w:hanging="567"/>
        <w:rPr>
          <w:rFonts w:ascii="Times New Roman" w:hAnsi="Times New Roman"/>
          <w:bCs/>
          <w:color w:val="000000"/>
          <w:szCs w:val="22"/>
        </w:rPr>
      </w:pPr>
      <w:r w:rsidRPr="00D81FC0">
        <w:rPr>
          <w:rFonts w:ascii="Times New Roman" w:hAnsi="Times New Roman"/>
          <w:bCs/>
          <w:color w:val="000000"/>
          <w:szCs w:val="22"/>
        </w:rPr>
        <w:t>Somnolence, endormissement, sommeil excessi</w:t>
      </w:r>
      <w:r>
        <w:rPr>
          <w:rFonts w:ascii="Times New Roman" w:hAnsi="Times New Roman"/>
          <w:bCs/>
          <w:color w:val="000000"/>
          <w:szCs w:val="22"/>
        </w:rPr>
        <w:t>f</w:t>
      </w:r>
      <w:r w:rsidRPr="00D81FC0">
        <w:rPr>
          <w:rFonts w:ascii="Times New Roman" w:hAnsi="Times New Roman"/>
          <w:bCs/>
          <w:color w:val="000000"/>
          <w:szCs w:val="22"/>
        </w:rPr>
        <w:t>.</w:t>
      </w:r>
    </w:p>
    <w:p w14:paraId="006219D6" w14:textId="77777777" w:rsidR="00BE10FE" w:rsidRPr="00D81FC0" w:rsidRDefault="00BE10FE" w:rsidP="007F23EE">
      <w:pPr>
        <w:numPr>
          <w:ilvl w:val="0"/>
          <w:numId w:val="24"/>
        </w:numPr>
        <w:tabs>
          <w:tab w:val="clear" w:pos="678"/>
        </w:tabs>
        <w:suppressAutoHyphens/>
        <w:ind w:left="567" w:hanging="567"/>
        <w:rPr>
          <w:rFonts w:ascii="Times New Roman" w:hAnsi="Times New Roman"/>
          <w:bCs/>
          <w:color w:val="000000"/>
          <w:szCs w:val="22"/>
        </w:rPr>
      </w:pPr>
      <w:r w:rsidRPr="00D81FC0">
        <w:rPr>
          <w:rFonts w:ascii="Times New Roman" w:hAnsi="Times New Roman"/>
          <w:bCs/>
          <w:color w:val="000000"/>
          <w:szCs w:val="22"/>
        </w:rPr>
        <w:t>Mouvements tremblants (tremblement).</w:t>
      </w:r>
    </w:p>
    <w:p w14:paraId="4E85E468" w14:textId="77777777" w:rsidR="00BE10FE" w:rsidRPr="00D81FC0" w:rsidRDefault="00BE10FE" w:rsidP="007F23EE">
      <w:pPr>
        <w:numPr>
          <w:ilvl w:val="0"/>
          <w:numId w:val="24"/>
        </w:numPr>
        <w:tabs>
          <w:tab w:val="clear" w:pos="678"/>
        </w:tabs>
        <w:suppressAutoHyphens/>
        <w:ind w:left="567" w:hanging="567"/>
        <w:rPr>
          <w:rFonts w:ascii="Times New Roman" w:hAnsi="Times New Roman"/>
          <w:bCs/>
          <w:color w:val="000000"/>
          <w:szCs w:val="22"/>
        </w:rPr>
      </w:pPr>
      <w:r w:rsidRPr="00D81FC0">
        <w:rPr>
          <w:rFonts w:ascii="Times New Roman" w:hAnsi="Times New Roman"/>
          <w:bCs/>
          <w:color w:val="000000"/>
          <w:szCs w:val="22"/>
        </w:rPr>
        <w:t>Troubles de la mémoire.</w:t>
      </w:r>
    </w:p>
    <w:p w14:paraId="0198566F" w14:textId="77777777" w:rsidR="00BE10FE" w:rsidRPr="00D81FC0" w:rsidRDefault="00BE10FE" w:rsidP="007F23EE">
      <w:pPr>
        <w:numPr>
          <w:ilvl w:val="0"/>
          <w:numId w:val="24"/>
        </w:numPr>
        <w:tabs>
          <w:tab w:val="clear" w:pos="678"/>
        </w:tabs>
        <w:suppressAutoHyphens/>
        <w:ind w:left="567" w:hanging="567"/>
        <w:rPr>
          <w:rFonts w:ascii="Times New Roman" w:hAnsi="Times New Roman"/>
          <w:bCs/>
          <w:color w:val="000000"/>
          <w:szCs w:val="22"/>
        </w:rPr>
      </w:pPr>
      <w:r w:rsidRPr="00D81FC0">
        <w:rPr>
          <w:rFonts w:ascii="Times New Roman" w:hAnsi="Times New Roman"/>
          <w:bCs/>
          <w:color w:val="000000"/>
          <w:szCs w:val="22"/>
        </w:rPr>
        <w:t>Besoin irrépressible de bouger les jambes (syndrome des jambes sans repos).</w:t>
      </w:r>
    </w:p>
    <w:p w14:paraId="4C388A5C" w14:textId="573D0586" w:rsidR="00BE10FE" w:rsidRPr="00D81FC0" w:rsidRDefault="009C5C79" w:rsidP="007F23EE">
      <w:pPr>
        <w:numPr>
          <w:ilvl w:val="0"/>
          <w:numId w:val="24"/>
        </w:numPr>
        <w:tabs>
          <w:tab w:val="clear" w:pos="678"/>
        </w:tabs>
        <w:suppressAutoHyphens/>
        <w:ind w:left="567" w:hanging="567"/>
        <w:rPr>
          <w:rFonts w:ascii="Times New Roman" w:hAnsi="Times New Roman"/>
          <w:bCs/>
          <w:color w:val="000000"/>
          <w:szCs w:val="22"/>
        </w:rPr>
      </w:pPr>
      <w:r w:rsidRPr="009C5C79">
        <w:rPr>
          <w:rFonts w:ascii="Times New Roman" w:hAnsi="Times New Roman"/>
          <w:bCs/>
          <w:color w:val="000000"/>
          <w:szCs w:val="22"/>
        </w:rPr>
        <w:t xml:space="preserve">Perception de bruits </w:t>
      </w:r>
      <w:r w:rsidR="00BE10FE" w:rsidRPr="00D81FC0">
        <w:rPr>
          <w:rFonts w:ascii="Times New Roman" w:hAnsi="Times New Roman"/>
          <w:bCs/>
          <w:color w:val="000000"/>
          <w:szCs w:val="22"/>
        </w:rPr>
        <w:t>(par exemple : sifflements, bourdonnements) dans les oreilles qui n’ont pas de source extérieur (acouphène).</w:t>
      </w:r>
    </w:p>
    <w:p w14:paraId="3020C171" w14:textId="77777777" w:rsidR="00BE10FE" w:rsidRPr="00D81FC0" w:rsidRDefault="00BE10FE" w:rsidP="007F23EE">
      <w:pPr>
        <w:numPr>
          <w:ilvl w:val="0"/>
          <w:numId w:val="24"/>
        </w:numPr>
        <w:tabs>
          <w:tab w:val="clear" w:pos="678"/>
        </w:tabs>
        <w:suppressAutoHyphens/>
        <w:ind w:left="567" w:hanging="567"/>
        <w:rPr>
          <w:rFonts w:ascii="Times New Roman" w:hAnsi="Times New Roman"/>
          <w:bCs/>
          <w:color w:val="000000"/>
          <w:szCs w:val="22"/>
        </w:rPr>
      </w:pPr>
      <w:r w:rsidRPr="00D81FC0">
        <w:rPr>
          <w:rFonts w:ascii="Times New Roman" w:hAnsi="Times New Roman"/>
          <w:bCs/>
          <w:color w:val="000000"/>
          <w:szCs w:val="22"/>
        </w:rPr>
        <w:t>Pression artérielle élevée (hypertension).</w:t>
      </w:r>
    </w:p>
    <w:p w14:paraId="73A9DF12" w14:textId="77777777" w:rsidR="00BE10FE" w:rsidRPr="00D81FC0" w:rsidRDefault="00BE10FE" w:rsidP="007F23EE">
      <w:pPr>
        <w:numPr>
          <w:ilvl w:val="0"/>
          <w:numId w:val="24"/>
        </w:numPr>
        <w:tabs>
          <w:tab w:val="clear" w:pos="678"/>
        </w:tabs>
        <w:suppressAutoHyphens/>
        <w:ind w:left="567" w:hanging="567"/>
        <w:rPr>
          <w:rFonts w:ascii="Times New Roman" w:hAnsi="Times New Roman"/>
          <w:bCs/>
          <w:color w:val="000000"/>
          <w:szCs w:val="22"/>
        </w:rPr>
      </w:pPr>
      <w:r w:rsidRPr="00D81FC0">
        <w:rPr>
          <w:rFonts w:ascii="Times New Roman" w:hAnsi="Times New Roman"/>
          <w:bCs/>
          <w:color w:val="000000"/>
          <w:szCs w:val="22"/>
        </w:rPr>
        <w:t>Eructation</w:t>
      </w:r>
      <w:r>
        <w:rPr>
          <w:rFonts w:ascii="Times New Roman" w:hAnsi="Times New Roman"/>
          <w:bCs/>
          <w:color w:val="000000"/>
          <w:szCs w:val="22"/>
        </w:rPr>
        <w:t>s</w:t>
      </w:r>
      <w:r w:rsidRPr="00D81FC0">
        <w:rPr>
          <w:rFonts w:ascii="Times New Roman" w:hAnsi="Times New Roman"/>
          <w:bCs/>
          <w:color w:val="000000"/>
          <w:szCs w:val="22"/>
        </w:rPr>
        <w:t>.</w:t>
      </w:r>
    </w:p>
    <w:p w14:paraId="56DF9944" w14:textId="77777777" w:rsidR="00BE10FE" w:rsidRPr="00D81FC0" w:rsidRDefault="00BE10FE" w:rsidP="007F23EE">
      <w:pPr>
        <w:numPr>
          <w:ilvl w:val="0"/>
          <w:numId w:val="24"/>
        </w:numPr>
        <w:tabs>
          <w:tab w:val="clear" w:pos="678"/>
        </w:tabs>
        <w:suppressAutoHyphens/>
        <w:ind w:left="567" w:hanging="567"/>
        <w:rPr>
          <w:rFonts w:ascii="Times New Roman" w:hAnsi="Times New Roman"/>
          <w:bCs/>
          <w:color w:val="000000"/>
          <w:szCs w:val="22"/>
        </w:rPr>
      </w:pPr>
      <w:r w:rsidRPr="00D81FC0">
        <w:rPr>
          <w:rFonts w:ascii="Times New Roman" w:hAnsi="Times New Roman"/>
          <w:bCs/>
          <w:color w:val="000000"/>
          <w:szCs w:val="22"/>
        </w:rPr>
        <w:t>Inflammation des lèvres.</w:t>
      </w:r>
    </w:p>
    <w:p w14:paraId="5B07BCEA" w14:textId="77777777" w:rsidR="00BE10FE" w:rsidRPr="00D81FC0" w:rsidRDefault="00BE10FE" w:rsidP="007F23EE">
      <w:pPr>
        <w:numPr>
          <w:ilvl w:val="0"/>
          <w:numId w:val="24"/>
        </w:numPr>
        <w:tabs>
          <w:tab w:val="clear" w:pos="678"/>
        </w:tabs>
        <w:suppressAutoHyphens/>
        <w:ind w:left="567" w:hanging="567"/>
        <w:rPr>
          <w:rFonts w:ascii="Times New Roman" w:hAnsi="Times New Roman"/>
          <w:bCs/>
          <w:color w:val="000000"/>
          <w:szCs w:val="22"/>
        </w:rPr>
      </w:pPr>
      <w:r w:rsidRPr="00D81FC0">
        <w:rPr>
          <w:rFonts w:ascii="Times New Roman" w:hAnsi="Times New Roman"/>
          <w:bCs/>
          <w:color w:val="000000"/>
          <w:szCs w:val="22"/>
        </w:rPr>
        <w:t>Difficulté à avaler.</w:t>
      </w:r>
    </w:p>
    <w:p w14:paraId="52E73679" w14:textId="77777777" w:rsidR="00BE10FE" w:rsidRPr="00D81FC0" w:rsidRDefault="00BE10FE" w:rsidP="007F23EE">
      <w:pPr>
        <w:numPr>
          <w:ilvl w:val="0"/>
          <w:numId w:val="24"/>
        </w:numPr>
        <w:tabs>
          <w:tab w:val="clear" w:pos="678"/>
        </w:tabs>
        <w:suppressAutoHyphens/>
        <w:ind w:left="567" w:hanging="567"/>
        <w:rPr>
          <w:rFonts w:ascii="Times New Roman" w:hAnsi="Times New Roman"/>
          <w:bCs/>
          <w:color w:val="000000"/>
          <w:szCs w:val="22"/>
        </w:rPr>
      </w:pPr>
      <w:r w:rsidRPr="00D81FC0">
        <w:rPr>
          <w:rFonts w:ascii="Times New Roman" w:hAnsi="Times New Roman"/>
          <w:bCs/>
          <w:color w:val="000000"/>
          <w:szCs w:val="22"/>
        </w:rPr>
        <w:t>Augmentation de la transpiration.</w:t>
      </w:r>
    </w:p>
    <w:p w14:paraId="0B219527" w14:textId="77777777" w:rsidR="00BE10FE" w:rsidRPr="00D81FC0" w:rsidRDefault="00BE10FE" w:rsidP="007F23EE">
      <w:pPr>
        <w:numPr>
          <w:ilvl w:val="0"/>
          <w:numId w:val="24"/>
        </w:numPr>
        <w:tabs>
          <w:tab w:val="clear" w:pos="678"/>
        </w:tabs>
        <w:suppressAutoHyphens/>
        <w:ind w:left="567" w:hanging="567"/>
        <w:rPr>
          <w:rFonts w:ascii="Times New Roman" w:hAnsi="Times New Roman"/>
          <w:bCs/>
          <w:color w:val="000000"/>
          <w:szCs w:val="22"/>
        </w:rPr>
      </w:pPr>
      <w:r w:rsidRPr="00D81FC0">
        <w:rPr>
          <w:rFonts w:ascii="Times New Roman" w:hAnsi="Times New Roman"/>
          <w:bCs/>
          <w:color w:val="000000"/>
          <w:szCs w:val="22"/>
        </w:rPr>
        <w:t>Décoloration de la peau.</w:t>
      </w:r>
    </w:p>
    <w:p w14:paraId="2263C0CD" w14:textId="77777777" w:rsidR="00BE10FE" w:rsidRPr="00D81FC0" w:rsidRDefault="00BE10FE" w:rsidP="007F23EE">
      <w:pPr>
        <w:numPr>
          <w:ilvl w:val="0"/>
          <w:numId w:val="24"/>
        </w:numPr>
        <w:tabs>
          <w:tab w:val="clear" w:pos="678"/>
        </w:tabs>
        <w:suppressAutoHyphens/>
        <w:ind w:left="567" w:hanging="567"/>
        <w:rPr>
          <w:rFonts w:ascii="Times New Roman" w:hAnsi="Times New Roman"/>
          <w:bCs/>
          <w:color w:val="000000"/>
          <w:szCs w:val="22"/>
        </w:rPr>
      </w:pPr>
      <w:r w:rsidRPr="00D81FC0">
        <w:rPr>
          <w:rFonts w:ascii="Times New Roman" w:hAnsi="Times New Roman"/>
          <w:bCs/>
          <w:color w:val="000000"/>
          <w:szCs w:val="22"/>
        </w:rPr>
        <w:t>Ongles cassants.</w:t>
      </w:r>
    </w:p>
    <w:p w14:paraId="67E844D3" w14:textId="77777777" w:rsidR="00BE10FE" w:rsidRPr="00D81FC0" w:rsidRDefault="00BE10FE" w:rsidP="007F23EE">
      <w:pPr>
        <w:numPr>
          <w:ilvl w:val="0"/>
          <w:numId w:val="24"/>
        </w:numPr>
        <w:tabs>
          <w:tab w:val="clear" w:pos="678"/>
        </w:tabs>
        <w:suppressAutoHyphens/>
        <w:ind w:left="567" w:hanging="567"/>
        <w:rPr>
          <w:rFonts w:ascii="Times New Roman" w:hAnsi="Times New Roman"/>
          <w:bCs/>
          <w:i/>
          <w:iCs/>
          <w:color w:val="000000"/>
          <w:szCs w:val="22"/>
        </w:rPr>
      </w:pPr>
      <w:r w:rsidRPr="00D81FC0">
        <w:rPr>
          <w:rFonts w:ascii="Times New Roman" w:hAnsi="Times New Roman"/>
          <w:bCs/>
          <w:color w:val="000000"/>
          <w:szCs w:val="22"/>
        </w:rPr>
        <w:t>Boutons rouges ou</w:t>
      </w:r>
      <w:r>
        <w:rPr>
          <w:rFonts w:ascii="Times New Roman" w:hAnsi="Times New Roman"/>
          <w:bCs/>
          <w:color w:val="000000"/>
          <w:szCs w:val="22"/>
        </w:rPr>
        <w:t xml:space="preserve"> blancs</w:t>
      </w:r>
      <w:r w:rsidRPr="00D81FC0">
        <w:rPr>
          <w:rFonts w:ascii="Times New Roman" w:hAnsi="Times New Roman"/>
          <w:bCs/>
          <w:color w:val="000000"/>
          <w:szCs w:val="22"/>
        </w:rPr>
        <w:t xml:space="preserve"> autour de</w:t>
      </w:r>
      <w:r>
        <w:rPr>
          <w:rFonts w:ascii="Times New Roman" w:hAnsi="Times New Roman"/>
          <w:bCs/>
          <w:color w:val="000000"/>
          <w:szCs w:val="22"/>
        </w:rPr>
        <w:t xml:space="preserve"> la</w:t>
      </w:r>
      <w:r w:rsidRPr="00D81FC0">
        <w:rPr>
          <w:rFonts w:ascii="Times New Roman" w:hAnsi="Times New Roman"/>
          <w:bCs/>
          <w:color w:val="000000"/>
          <w:szCs w:val="22"/>
        </w:rPr>
        <w:t xml:space="preserve"> racine de</w:t>
      </w:r>
      <w:r>
        <w:rPr>
          <w:rFonts w:ascii="Times New Roman" w:hAnsi="Times New Roman"/>
          <w:bCs/>
          <w:color w:val="000000"/>
          <w:szCs w:val="22"/>
        </w:rPr>
        <w:t>s</w:t>
      </w:r>
      <w:r w:rsidRPr="00D81FC0">
        <w:rPr>
          <w:rFonts w:ascii="Times New Roman" w:hAnsi="Times New Roman"/>
          <w:bCs/>
          <w:color w:val="000000"/>
          <w:szCs w:val="22"/>
        </w:rPr>
        <w:t xml:space="preserve"> cheveux, éventuellement </w:t>
      </w:r>
      <w:r>
        <w:rPr>
          <w:rFonts w:ascii="Times New Roman" w:hAnsi="Times New Roman"/>
          <w:bCs/>
          <w:color w:val="000000"/>
          <w:szCs w:val="22"/>
        </w:rPr>
        <w:t>douloureux</w:t>
      </w:r>
      <w:r w:rsidRPr="00D81FC0">
        <w:rPr>
          <w:rFonts w:ascii="Times New Roman" w:hAnsi="Times New Roman"/>
          <w:bCs/>
          <w:color w:val="000000"/>
          <w:szCs w:val="22"/>
        </w:rPr>
        <w:t>, démangeaison ou sensation de brûlure (signes d’une inflammation des follicules pileux, également appelée folliculite).</w:t>
      </w:r>
    </w:p>
    <w:p w14:paraId="54A53003" w14:textId="77777777" w:rsidR="00BE10FE" w:rsidRPr="00D81FC0" w:rsidRDefault="00BE10FE" w:rsidP="007F23EE">
      <w:pPr>
        <w:numPr>
          <w:ilvl w:val="0"/>
          <w:numId w:val="24"/>
        </w:numPr>
        <w:tabs>
          <w:tab w:val="clear" w:pos="678"/>
        </w:tabs>
        <w:suppressAutoHyphens/>
        <w:ind w:left="567" w:hanging="567"/>
        <w:rPr>
          <w:rFonts w:ascii="Times New Roman" w:hAnsi="Times New Roman"/>
          <w:bCs/>
          <w:i/>
          <w:iCs/>
          <w:color w:val="000000"/>
          <w:szCs w:val="22"/>
        </w:rPr>
      </w:pPr>
      <w:r w:rsidRPr="00D81FC0">
        <w:rPr>
          <w:rFonts w:ascii="Times New Roman" w:hAnsi="Times New Roman"/>
          <w:bCs/>
          <w:color w:val="000000"/>
          <w:szCs w:val="22"/>
        </w:rPr>
        <w:t>Eruption cutanée avec desquamation ou pelage (dermatite exfoliative).</w:t>
      </w:r>
    </w:p>
    <w:p w14:paraId="602FC95E" w14:textId="77777777" w:rsidR="00BE10FE" w:rsidRPr="002222CC" w:rsidRDefault="00BE10FE" w:rsidP="007F23EE">
      <w:pPr>
        <w:numPr>
          <w:ilvl w:val="0"/>
          <w:numId w:val="24"/>
        </w:numPr>
        <w:tabs>
          <w:tab w:val="clear" w:pos="678"/>
        </w:tabs>
        <w:suppressAutoHyphens/>
        <w:ind w:left="567" w:hanging="567"/>
        <w:rPr>
          <w:rFonts w:ascii="Times New Roman" w:hAnsi="Times New Roman"/>
          <w:bCs/>
          <w:i/>
          <w:iCs/>
          <w:color w:val="000000"/>
          <w:szCs w:val="22"/>
        </w:rPr>
      </w:pPr>
      <w:r>
        <w:rPr>
          <w:rFonts w:ascii="Times New Roman" w:hAnsi="Times New Roman"/>
          <w:color w:val="000000"/>
          <w:szCs w:val="22"/>
        </w:rPr>
        <w:t>Grossissement</w:t>
      </w:r>
      <w:r w:rsidRPr="00D81FC0">
        <w:rPr>
          <w:rFonts w:ascii="Times New Roman" w:hAnsi="Times New Roman"/>
          <w:color w:val="000000"/>
          <w:szCs w:val="22"/>
        </w:rPr>
        <w:t xml:space="preserve"> des seins (peut survenir chez l</w:t>
      </w:r>
      <w:r>
        <w:rPr>
          <w:rFonts w:ascii="Times New Roman" w:hAnsi="Times New Roman"/>
          <w:color w:val="000000"/>
          <w:szCs w:val="22"/>
        </w:rPr>
        <w:t xml:space="preserve">es </w:t>
      </w:r>
      <w:r w:rsidRPr="00D81FC0">
        <w:rPr>
          <w:rFonts w:ascii="Times New Roman" w:hAnsi="Times New Roman"/>
          <w:color w:val="000000"/>
          <w:szCs w:val="22"/>
        </w:rPr>
        <w:t>homme</w:t>
      </w:r>
      <w:r>
        <w:rPr>
          <w:rFonts w:ascii="Times New Roman" w:hAnsi="Times New Roman"/>
          <w:color w:val="000000"/>
          <w:szCs w:val="22"/>
        </w:rPr>
        <w:t>s</w:t>
      </w:r>
      <w:r w:rsidRPr="00D81FC0">
        <w:rPr>
          <w:rFonts w:ascii="Times New Roman" w:hAnsi="Times New Roman"/>
          <w:color w:val="000000"/>
          <w:szCs w:val="22"/>
        </w:rPr>
        <w:t xml:space="preserve"> ou l</w:t>
      </w:r>
      <w:r>
        <w:rPr>
          <w:rFonts w:ascii="Times New Roman" w:hAnsi="Times New Roman"/>
          <w:color w:val="000000"/>
          <w:szCs w:val="22"/>
        </w:rPr>
        <w:t>es</w:t>
      </w:r>
      <w:r w:rsidRPr="00D81FC0">
        <w:rPr>
          <w:rFonts w:ascii="Times New Roman" w:hAnsi="Times New Roman"/>
          <w:color w:val="000000"/>
          <w:szCs w:val="22"/>
        </w:rPr>
        <w:t xml:space="preserve"> femme</w:t>
      </w:r>
      <w:r>
        <w:rPr>
          <w:rFonts w:ascii="Times New Roman" w:hAnsi="Times New Roman"/>
          <w:color w:val="000000"/>
          <w:szCs w:val="22"/>
        </w:rPr>
        <w:t>s</w:t>
      </w:r>
      <w:r w:rsidRPr="00D81FC0">
        <w:rPr>
          <w:rFonts w:ascii="Times New Roman" w:hAnsi="Times New Roman"/>
          <w:color w:val="000000"/>
          <w:szCs w:val="22"/>
        </w:rPr>
        <w:t>)</w:t>
      </w:r>
      <w:r>
        <w:rPr>
          <w:rFonts w:ascii="Times New Roman" w:hAnsi="Times New Roman"/>
          <w:color w:val="000000"/>
          <w:szCs w:val="22"/>
        </w:rPr>
        <w:t>.</w:t>
      </w:r>
    </w:p>
    <w:p w14:paraId="51F1A974" w14:textId="77777777" w:rsidR="009C5C79" w:rsidRPr="009C5C79" w:rsidRDefault="009C5C79" w:rsidP="007F23EE">
      <w:pPr>
        <w:numPr>
          <w:ilvl w:val="0"/>
          <w:numId w:val="24"/>
        </w:numPr>
        <w:tabs>
          <w:tab w:val="clear" w:pos="678"/>
        </w:tabs>
        <w:suppressAutoHyphens/>
        <w:ind w:left="567" w:hanging="567"/>
        <w:rPr>
          <w:rFonts w:ascii="Times New Roman" w:hAnsi="Times New Roman"/>
          <w:bCs/>
          <w:i/>
          <w:iCs/>
          <w:color w:val="000000"/>
          <w:szCs w:val="22"/>
        </w:rPr>
      </w:pPr>
      <w:r w:rsidRPr="009C5C79">
        <w:rPr>
          <w:rFonts w:ascii="Times New Roman" w:hAnsi="Times New Roman"/>
          <w:bCs/>
          <w:color w:val="000000"/>
          <w:szCs w:val="22"/>
        </w:rPr>
        <w:t>Douleur diffuse et/ou sensation de lourdeur dans les testicules ou le bas-ventre, douleur en urinant, au cours des rapports sexuels ou pendant l’éjaculation, sang dans les urines (signes d’œdème des testicules).</w:t>
      </w:r>
    </w:p>
    <w:p w14:paraId="37064398" w14:textId="77777777" w:rsidR="00BE10FE" w:rsidRPr="0049611C" w:rsidRDefault="00BE10FE" w:rsidP="007F23EE">
      <w:pPr>
        <w:numPr>
          <w:ilvl w:val="0"/>
          <w:numId w:val="24"/>
        </w:numPr>
        <w:tabs>
          <w:tab w:val="clear" w:pos="678"/>
        </w:tabs>
        <w:suppressAutoHyphens/>
        <w:ind w:left="567" w:hanging="567"/>
        <w:rPr>
          <w:rFonts w:ascii="Times New Roman" w:hAnsi="Times New Roman"/>
          <w:bCs/>
          <w:i/>
          <w:iCs/>
          <w:color w:val="000000"/>
          <w:szCs w:val="22"/>
        </w:rPr>
      </w:pPr>
      <w:r>
        <w:rPr>
          <w:rFonts w:ascii="Times New Roman" w:hAnsi="Times New Roman"/>
          <w:bCs/>
          <w:color w:val="000000"/>
          <w:szCs w:val="22"/>
        </w:rPr>
        <w:t>Incapacité d’obtenir ou de maintenir une érection (dysfonction érectile).</w:t>
      </w:r>
    </w:p>
    <w:p w14:paraId="065BDDE9" w14:textId="77777777" w:rsidR="00BE10FE" w:rsidRPr="0049611C" w:rsidRDefault="00BE10FE" w:rsidP="007F23EE">
      <w:pPr>
        <w:numPr>
          <w:ilvl w:val="0"/>
          <w:numId w:val="24"/>
        </w:numPr>
        <w:tabs>
          <w:tab w:val="clear" w:pos="678"/>
        </w:tabs>
        <w:suppressAutoHyphens/>
        <w:ind w:left="567" w:hanging="567"/>
        <w:rPr>
          <w:rFonts w:ascii="Times New Roman" w:hAnsi="Times New Roman"/>
          <w:bCs/>
          <w:i/>
          <w:iCs/>
          <w:color w:val="000000"/>
          <w:szCs w:val="22"/>
        </w:rPr>
      </w:pPr>
      <w:r>
        <w:rPr>
          <w:rFonts w:ascii="Times New Roman" w:hAnsi="Times New Roman"/>
          <w:bCs/>
          <w:color w:val="000000"/>
          <w:szCs w:val="22"/>
        </w:rPr>
        <w:t>Menstruations abondantes ou irrégulières.</w:t>
      </w:r>
    </w:p>
    <w:p w14:paraId="0D5CF642" w14:textId="77777777" w:rsidR="00BE10FE" w:rsidRPr="0049611C" w:rsidRDefault="00BE10FE" w:rsidP="007F23EE">
      <w:pPr>
        <w:numPr>
          <w:ilvl w:val="0"/>
          <w:numId w:val="24"/>
        </w:numPr>
        <w:tabs>
          <w:tab w:val="clear" w:pos="678"/>
        </w:tabs>
        <w:suppressAutoHyphens/>
        <w:ind w:left="567" w:hanging="567"/>
        <w:rPr>
          <w:rFonts w:ascii="Times New Roman" w:hAnsi="Times New Roman"/>
          <w:bCs/>
          <w:i/>
          <w:iCs/>
          <w:color w:val="000000"/>
          <w:szCs w:val="22"/>
        </w:rPr>
      </w:pPr>
      <w:r>
        <w:rPr>
          <w:rFonts w:ascii="Times New Roman" w:hAnsi="Times New Roman"/>
          <w:bCs/>
          <w:color w:val="000000"/>
          <w:szCs w:val="22"/>
        </w:rPr>
        <w:t>Difficulté à atteindre/maintenir l’excitation sexuelle.</w:t>
      </w:r>
    </w:p>
    <w:p w14:paraId="426007CF" w14:textId="77777777" w:rsidR="00BE10FE" w:rsidRPr="0049611C" w:rsidRDefault="00BE10FE" w:rsidP="007F23EE">
      <w:pPr>
        <w:numPr>
          <w:ilvl w:val="0"/>
          <w:numId w:val="24"/>
        </w:numPr>
        <w:tabs>
          <w:tab w:val="clear" w:pos="678"/>
        </w:tabs>
        <w:suppressAutoHyphens/>
        <w:ind w:left="567" w:hanging="567"/>
        <w:rPr>
          <w:rFonts w:ascii="Times New Roman" w:hAnsi="Times New Roman"/>
          <w:bCs/>
          <w:i/>
          <w:iCs/>
          <w:color w:val="000000"/>
          <w:szCs w:val="22"/>
        </w:rPr>
      </w:pPr>
      <w:r>
        <w:rPr>
          <w:rFonts w:ascii="Times New Roman" w:hAnsi="Times New Roman"/>
          <w:bCs/>
          <w:color w:val="000000"/>
          <w:szCs w:val="22"/>
        </w:rPr>
        <w:t>Diminution du désir sexuel.</w:t>
      </w:r>
    </w:p>
    <w:p w14:paraId="79187520" w14:textId="77777777" w:rsidR="00BE10FE" w:rsidRPr="00DA1249" w:rsidRDefault="00BE10FE" w:rsidP="007F23EE">
      <w:pPr>
        <w:numPr>
          <w:ilvl w:val="0"/>
          <w:numId w:val="24"/>
        </w:numPr>
        <w:tabs>
          <w:tab w:val="clear" w:pos="678"/>
        </w:tabs>
        <w:suppressAutoHyphens/>
        <w:ind w:left="567" w:hanging="567"/>
        <w:rPr>
          <w:rFonts w:ascii="Times New Roman" w:hAnsi="Times New Roman"/>
          <w:bCs/>
          <w:i/>
          <w:iCs/>
          <w:color w:val="000000"/>
          <w:szCs w:val="22"/>
        </w:rPr>
      </w:pPr>
      <w:r>
        <w:rPr>
          <w:rFonts w:ascii="Times New Roman" w:hAnsi="Times New Roman"/>
          <w:bCs/>
          <w:color w:val="000000"/>
          <w:szCs w:val="22"/>
        </w:rPr>
        <w:t>Douleur aux mamelons.</w:t>
      </w:r>
    </w:p>
    <w:p w14:paraId="3A52402A" w14:textId="77777777" w:rsidR="00BE10FE" w:rsidRPr="00DA1249" w:rsidRDefault="00BE10FE" w:rsidP="007F23EE">
      <w:pPr>
        <w:numPr>
          <w:ilvl w:val="0"/>
          <w:numId w:val="24"/>
        </w:numPr>
        <w:tabs>
          <w:tab w:val="clear" w:pos="678"/>
        </w:tabs>
        <w:suppressAutoHyphens/>
        <w:ind w:left="567" w:hanging="567"/>
        <w:rPr>
          <w:rFonts w:ascii="Times New Roman" w:hAnsi="Times New Roman"/>
          <w:bCs/>
          <w:i/>
          <w:iCs/>
          <w:color w:val="000000"/>
          <w:szCs w:val="22"/>
        </w:rPr>
      </w:pPr>
      <w:r>
        <w:rPr>
          <w:rFonts w:ascii="Times New Roman" w:hAnsi="Times New Roman"/>
          <w:bCs/>
          <w:color w:val="000000"/>
          <w:szCs w:val="22"/>
        </w:rPr>
        <w:t>Sensation générale de malaise.</w:t>
      </w:r>
    </w:p>
    <w:p w14:paraId="007468B3" w14:textId="77777777" w:rsidR="00BE10FE" w:rsidRPr="00DA1249" w:rsidRDefault="00BE10FE" w:rsidP="007F23EE">
      <w:pPr>
        <w:numPr>
          <w:ilvl w:val="0"/>
          <w:numId w:val="24"/>
        </w:numPr>
        <w:tabs>
          <w:tab w:val="clear" w:pos="678"/>
        </w:tabs>
        <w:suppressAutoHyphens/>
        <w:ind w:left="567" w:hanging="567"/>
        <w:rPr>
          <w:rFonts w:ascii="Times New Roman" w:hAnsi="Times New Roman"/>
          <w:bCs/>
          <w:i/>
          <w:iCs/>
          <w:color w:val="000000"/>
          <w:szCs w:val="22"/>
        </w:rPr>
      </w:pPr>
      <w:r>
        <w:rPr>
          <w:rFonts w:ascii="Times New Roman" w:hAnsi="Times New Roman"/>
          <w:bCs/>
          <w:color w:val="000000"/>
          <w:szCs w:val="22"/>
        </w:rPr>
        <w:t>Infection virale telle que le bouton de fièvre.</w:t>
      </w:r>
    </w:p>
    <w:p w14:paraId="0CE13B8D" w14:textId="77777777" w:rsidR="00BE10FE" w:rsidRPr="00DA1249" w:rsidRDefault="00BE10FE" w:rsidP="007F23EE">
      <w:pPr>
        <w:numPr>
          <w:ilvl w:val="0"/>
          <w:numId w:val="24"/>
        </w:numPr>
        <w:tabs>
          <w:tab w:val="clear" w:pos="678"/>
        </w:tabs>
        <w:suppressAutoHyphens/>
        <w:ind w:left="567" w:hanging="567"/>
        <w:rPr>
          <w:rFonts w:ascii="Times New Roman" w:hAnsi="Times New Roman"/>
          <w:bCs/>
          <w:i/>
          <w:iCs/>
          <w:color w:val="000000"/>
          <w:szCs w:val="22"/>
        </w:rPr>
      </w:pPr>
      <w:r>
        <w:rPr>
          <w:rFonts w:ascii="Times New Roman" w:hAnsi="Times New Roman"/>
          <w:bCs/>
          <w:color w:val="000000"/>
          <w:szCs w:val="22"/>
        </w:rPr>
        <w:t>Douleur dans le bas du dos résultant d’un trouble rénal.</w:t>
      </w:r>
    </w:p>
    <w:p w14:paraId="37B63D42" w14:textId="77777777" w:rsidR="00BE10FE" w:rsidRPr="00DA1249" w:rsidRDefault="00BE10FE" w:rsidP="007F23EE">
      <w:pPr>
        <w:numPr>
          <w:ilvl w:val="0"/>
          <w:numId w:val="24"/>
        </w:numPr>
        <w:tabs>
          <w:tab w:val="clear" w:pos="678"/>
        </w:tabs>
        <w:suppressAutoHyphens/>
        <w:ind w:left="567" w:hanging="567"/>
        <w:rPr>
          <w:rFonts w:ascii="Times New Roman" w:hAnsi="Times New Roman"/>
          <w:bCs/>
          <w:i/>
          <w:iCs/>
          <w:color w:val="000000"/>
          <w:szCs w:val="22"/>
        </w:rPr>
      </w:pPr>
      <w:r>
        <w:rPr>
          <w:rFonts w:ascii="Times New Roman" w:hAnsi="Times New Roman"/>
          <w:bCs/>
          <w:color w:val="000000"/>
          <w:szCs w:val="22"/>
        </w:rPr>
        <w:t>Augmentation de la fréquence des mictions.</w:t>
      </w:r>
    </w:p>
    <w:p w14:paraId="6558D252" w14:textId="77777777" w:rsidR="00BE10FE" w:rsidRPr="00DA1249" w:rsidRDefault="00BE10FE" w:rsidP="007F23EE">
      <w:pPr>
        <w:numPr>
          <w:ilvl w:val="0"/>
          <w:numId w:val="24"/>
        </w:numPr>
        <w:tabs>
          <w:tab w:val="clear" w:pos="678"/>
        </w:tabs>
        <w:suppressAutoHyphens/>
        <w:ind w:left="567" w:hanging="567"/>
        <w:rPr>
          <w:rFonts w:ascii="Times New Roman" w:hAnsi="Times New Roman"/>
          <w:bCs/>
          <w:i/>
          <w:iCs/>
          <w:color w:val="000000"/>
          <w:szCs w:val="22"/>
        </w:rPr>
      </w:pPr>
      <w:r>
        <w:rPr>
          <w:rFonts w:ascii="Times New Roman" w:hAnsi="Times New Roman"/>
          <w:bCs/>
          <w:color w:val="000000"/>
          <w:szCs w:val="22"/>
        </w:rPr>
        <w:t>Augmentation de l’appétit.</w:t>
      </w:r>
    </w:p>
    <w:p w14:paraId="1B8984EF" w14:textId="77777777" w:rsidR="00BE10FE" w:rsidRPr="00DA1249" w:rsidRDefault="00BE10FE" w:rsidP="007F23EE">
      <w:pPr>
        <w:numPr>
          <w:ilvl w:val="0"/>
          <w:numId w:val="24"/>
        </w:numPr>
        <w:tabs>
          <w:tab w:val="clear" w:pos="678"/>
        </w:tabs>
        <w:suppressAutoHyphens/>
        <w:ind w:left="567" w:hanging="567"/>
        <w:rPr>
          <w:rFonts w:ascii="Times New Roman" w:hAnsi="Times New Roman"/>
          <w:bCs/>
          <w:i/>
          <w:iCs/>
          <w:color w:val="000000"/>
          <w:szCs w:val="22"/>
        </w:rPr>
      </w:pPr>
      <w:r>
        <w:rPr>
          <w:rFonts w:ascii="Times New Roman" w:hAnsi="Times New Roman"/>
          <w:bCs/>
          <w:color w:val="000000"/>
          <w:szCs w:val="22"/>
        </w:rPr>
        <w:t>Douleur ou sensation de brûlure dans la partie supérieure de l’abdomen et/ou de la poitrine (brûlures d’estomac), nausées, vomissements, reflux acides, sensation de satiété et de ballonnement, selles de couleur noire (signes d’un ulcère d’estomac).</w:t>
      </w:r>
    </w:p>
    <w:p w14:paraId="05BD82F2" w14:textId="77777777" w:rsidR="00BE10FE" w:rsidRPr="00DA1249" w:rsidRDefault="00BE10FE" w:rsidP="007F23EE">
      <w:pPr>
        <w:numPr>
          <w:ilvl w:val="0"/>
          <w:numId w:val="24"/>
        </w:numPr>
        <w:tabs>
          <w:tab w:val="clear" w:pos="678"/>
        </w:tabs>
        <w:suppressAutoHyphens/>
        <w:ind w:left="567" w:hanging="567"/>
        <w:rPr>
          <w:rFonts w:ascii="Times New Roman" w:hAnsi="Times New Roman"/>
          <w:bCs/>
          <w:i/>
          <w:iCs/>
          <w:color w:val="000000"/>
          <w:szCs w:val="22"/>
        </w:rPr>
      </w:pPr>
      <w:r>
        <w:rPr>
          <w:rFonts w:ascii="Times New Roman" w:hAnsi="Times New Roman"/>
          <w:bCs/>
          <w:color w:val="000000"/>
          <w:szCs w:val="22"/>
        </w:rPr>
        <w:t>Raideur articulaire et musculaire.</w:t>
      </w:r>
    </w:p>
    <w:p w14:paraId="52552148" w14:textId="77777777" w:rsidR="00BE10FE" w:rsidRPr="00D81FC0" w:rsidRDefault="00BE10FE" w:rsidP="007F23EE">
      <w:pPr>
        <w:keepNext/>
        <w:numPr>
          <w:ilvl w:val="0"/>
          <w:numId w:val="24"/>
        </w:numPr>
        <w:tabs>
          <w:tab w:val="clear" w:pos="678"/>
        </w:tabs>
        <w:suppressAutoHyphens/>
        <w:ind w:left="567" w:hanging="567"/>
        <w:rPr>
          <w:rFonts w:ascii="Times New Roman" w:hAnsi="Times New Roman"/>
          <w:bCs/>
          <w:i/>
          <w:iCs/>
          <w:color w:val="000000"/>
          <w:szCs w:val="22"/>
        </w:rPr>
      </w:pPr>
      <w:r>
        <w:rPr>
          <w:rFonts w:ascii="Times New Roman" w:hAnsi="Times New Roman"/>
          <w:bCs/>
          <w:color w:val="000000"/>
          <w:szCs w:val="22"/>
        </w:rPr>
        <w:t>Résultats anormaux aux analyses de laboratoire.</w:t>
      </w:r>
    </w:p>
    <w:p w14:paraId="3D6B7AE7" w14:textId="77777777" w:rsidR="00AF1BED" w:rsidRPr="0093328C" w:rsidRDefault="00AF1BED" w:rsidP="007F23EE">
      <w:pPr>
        <w:pStyle w:val="EndnoteText"/>
        <w:tabs>
          <w:tab w:val="clear" w:pos="567"/>
        </w:tabs>
        <w:suppressAutoHyphens/>
        <w:rPr>
          <w:b/>
          <w:color w:val="000000"/>
          <w:szCs w:val="22"/>
          <w:lang w:val="fr-FR"/>
        </w:rPr>
      </w:pPr>
      <w:r w:rsidRPr="0093328C">
        <w:rPr>
          <w:color w:val="000000"/>
          <w:szCs w:val="22"/>
          <w:lang w:val="fr-FR"/>
        </w:rPr>
        <w:t xml:space="preserve">Si l’un de ces effets vous affecte sévèrement, </w:t>
      </w:r>
      <w:r w:rsidRPr="0093328C">
        <w:rPr>
          <w:b/>
          <w:bCs/>
          <w:color w:val="000000"/>
          <w:szCs w:val="22"/>
          <w:lang w:val="fr-FR"/>
        </w:rPr>
        <w:t>informez votre médecin.</w:t>
      </w:r>
    </w:p>
    <w:p w14:paraId="26EA96CF" w14:textId="77777777" w:rsidR="00BE10FE" w:rsidRPr="00457395" w:rsidRDefault="00BE10FE" w:rsidP="007F23EE">
      <w:pPr>
        <w:pStyle w:val="EndnoteText"/>
        <w:tabs>
          <w:tab w:val="clear" w:pos="567"/>
        </w:tabs>
        <w:suppressAutoHyphens/>
        <w:rPr>
          <w:bCs/>
          <w:color w:val="000000"/>
          <w:szCs w:val="22"/>
          <w:lang w:val="fr-FR"/>
        </w:rPr>
      </w:pPr>
    </w:p>
    <w:p w14:paraId="10A839E6" w14:textId="120421DC" w:rsidR="00BE10FE" w:rsidRDefault="00BE10FE" w:rsidP="007F23EE">
      <w:pPr>
        <w:pStyle w:val="EndnoteText"/>
        <w:tabs>
          <w:tab w:val="clear" w:pos="567"/>
        </w:tabs>
        <w:suppressAutoHyphens/>
        <w:rPr>
          <w:color w:val="000000"/>
          <w:szCs w:val="22"/>
          <w:lang w:val="fr-FR"/>
        </w:rPr>
      </w:pPr>
      <w:r w:rsidRPr="00D81FC0">
        <w:rPr>
          <w:b/>
          <w:bCs/>
          <w:color w:val="000000"/>
          <w:szCs w:val="22"/>
          <w:lang w:val="fr-FR"/>
        </w:rPr>
        <w:t>Rares</w:t>
      </w:r>
      <w:r w:rsidRPr="00D81FC0">
        <w:rPr>
          <w:color w:val="000000"/>
          <w:szCs w:val="22"/>
          <w:lang w:val="fr-FR"/>
        </w:rPr>
        <w:t xml:space="preserve"> (pouvant affecter jusqu’à 1 personne sur 1</w:t>
      </w:r>
      <w:ins w:id="723" w:author="Author">
        <w:r w:rsidR="00DB22E2">
          <w:rPr>
            <w:color w:val="000000"/>
            <w:szCs w:val="22"/>
            <w:lang w:val="fr-FR"/>
          </w:rPr>
          <w:t> </w:t>
        </w:r>
      </w:ins>
      <w:r w:rsidRPr="00D81FC0">
        <w:rPr>
          <w:color w:val="000000"/>
          <w:szCs w:val="22"/>
          <w:lang w:val="fr-FR"/>
        </w:rPr>
        <w:t>000) :</w:t>
      </w:r>
    </w:p>
    <w:p w14:paraId="20C1F6F6" w14:textId="77777777" w:rsidR="00BE10FE" w:rsidRPr="00D22EA9" w:rsidRDefault="00BE10FE" w:rsidP="007F23EE">
      <w:pPr>
        <w:numPr>
          <w:ilvl w:val="0"/>
          <w:numId w:val="24"/>
        </w:numPr>
        <w:tabs>
          <w:tab w:val="clear" w:pos="678"/>
        </w:tabs>
        <w:suppressAutoHyphens/>
        <w:ind w:left="567" w:hanging="567"/>
        <w:rPr>
          <w:rFonts w:ascii="Times New Roman" w:hAnsi="Times New Roman"/>
          <w:bCs/>
          <w:i/>
          <w:iCs/>
          <w:color w:val="000000"/>
          <w:szCs w:val="22"/>
        </w:rPr>
      </w:pPr>
      <w:r>
        <w:rPr>
          <w:rFonts w:ascii="Times New Roman" w:hAnsi="Times New Roman"/>
          <w:bCs/>
          <w:color w:val="000000"/>
          <w:szCs w:val="22"/>
        </w:rPr>
        <w:t>Confusion.</w:t>
      </w:r>
    </w:p>
    <w:p w14:paraId="319247C5" w14:textId="6665C6DD" w:rsidR="00D22EA9" w:rsidRPr="00D22EA9" w:rsidRDefault="00D22EA9" w:rsidP="007F23EE">
      <w:pPr>
        <w:numPr>
          <w:ilvl w:val="0"/>
          <w:numId w:val="24"/>
        </w:numPr>
        <w:tabs>
          <w:tab w:val="clear" w:pos="678"/>
        </w:tabs>
        <w:suppressAutoHyphens/>
        <w:ind w:left="567" w:hanging="567"/>
        <w:rPr>
          <w:rFonts w:ascii="Times New Roman" w:hAnsi="Times New Roman"/>
          <w:bCs/>
          <w:i/>
          <w:iCs/>
          <w:color w:val="000000"/>
          <w:szCs w:val="22"/>
        </w:rPr>
      </w:pPr>
      <w:r w:rsidRPr="00D22EA9">
        <w:rPr>
          <w:rFonts w:ascii="Times New Roman" w:hAnsi="Times New Roman"/>
          <w:bCs/>
          <w:color w:val="000000"/>
          <w:szCs w:val="22"/>
        </w:rPr>
        <w:t xml:space="preserve">Un épisode de spasme(s) </w:t>
      </w:r>
      <w:r w:rsidR="00725E78">
        <w:rPr>
          <w:rFonts w:ascii="Times New Roman" w:hAnsi="Times New Roman"/>
          <w:bCs/>
          <w:color w:val="000000"/>
          <w:szCs w:val="22"/>
        </w:rPr>
        <w:t>et</w:t>
      </w:r>
      <w:r w:rsidRPr="00D22EA9">
        <w:rPr>
          <w:rFonts w:ascii="Times New Roman" w:hAnsi="Times New Roman"/>
          <w:bCs/>
          <w:color w:val="000000"/>
          <w:szCs w:val="22"/>
        </w:rPr>
        <w:t xml:space="preserve"> de diminution de la conscience (convulsions)</w:t>
      </w:r>
      <w:r w:rsidR="005207E3">
        <w:rPr>
          <w:rFonts w:ascii="Times New Roman" w:hAnsi="Times New Roman"/>
          <w:bCs/>
          <w:color w:val="000000"/>
          <w:szCs w:val="22"/>
        </w:rPr>
        <w:t>.</w:t>
      </w:r>
    </w:p>
    <w:p w14:paraId="4C2BFD01" w14:textId="77777777" w:rsidR="00BE10FE" w:rsidRPr="00182929" w:rsidRDefault="00BE10FE" w:rsidP="007F23EE">
      <w:pPr>
        <w:numPr>
          <w:ilvl w:val="0"/>
          <w:numId w:val="24"/>
        </w:numPr>
        <w:tabs>
          <w:tab w:val="clear" w:pos="678"/>
        </w:tabs>
        <w:suppressAutoHyphens/>
        <w:ind w:left="567" w:hanging="567"/>
        <w:rPr>
          <w:rFonts w:ascii="Times New Roman" w:hAnsi="Times New Roman"/>
          <w:bCs/>
          <w:i/>
          <w:iCs/>
          <w:color w:val="000000"/>
          <w:szCs w:val="22"/>
        </w:rPr>
      </w:pPr>
      <w:r w:rsidRPr="00182929">
        <w:rPr>
          <w:rFonts w:ascii="Times New Roman" w:hAnsi="Times New Roman"/>
          <w:bCs/>
          <w:color w:val="000000"/>
          <w:szCs w:val="22"/>
        </w:rPr>
        <w:t>Décoloration des ongles.</w:t>
      </w:r>
    </w:p>
    <w:p w14:paraId="6DF8AF5D" w14:textId="77777777" w:rsidR="00EF4CB3" w:rsidRPr="008A5F3B" w:rsidRDefault="00EF4CB3" w:rsidP="007F23EE">
      <w:pPr>
        <w:pStyle w:val="EndnoteText"/>
        <w:tabs>
          <w:tab w:val="clear" w:pos="567"/>
        </w:tabs>
        <w:suppressAutoHyphens/>
        <w:rPr>
          <w:color w:val="000000"/>
          <w:szCs w:val="22"/>
          <w:lang w:val="fr-FR"/>
        </w:rPr>
      </w:pPr>
    </w:p>
    <w:p w14:paraId="786C83A9" w14:textId="77777777" w:rsidR="00EF4CB3" w:rsidRPr="008A5F3B" w:rsidRDefault="00EF4CB3" w:rsidP="007F23EE">
      <w:pPr>
        <w:keepNext/>
        <w:suppressAutoHyphens/>
        <w:rPr>
          <w:rFonts w:ascii="Times New Roman" w:hAnsi="Times New Roman"/>
          <w:color w:val="000000"/>
          <w:szCs w:val="22"/>
        </w:rPr>
      </w:pPr>
      <w:r w:rsidRPr="008A5F3B">
        <w:rPr>
          <w:rFonts w:ascii="Times New Roman" w:hAnsi="Times New Roman"/>
          <w:b/>
          <w:color w:val="000000"/>
          <w:szCs w:val="22"/>
        </w:rPr>
        <w:t>Indéterminée</w:t>
      </w:r>
      <w:r w:rsidRPr="008A5F3B">
        <w:rPr>
          <w:rFonts w:ascii="Times New Roman" w:hAnsi="Times New Roman"/>
          <w:color w:val="000000"/>
          <w:szCs w:val="22"/>
        </w:rPr>
        <w:t xml:space="preserve"> (la fréquence ne peut être estimée sur la base des données disponibles) :</w:t>
      </w:r>
    </w:p>
    <w:p w14:paraId="7603D46A" w14:textId="77777777" w:rsidR="00EF4CB3" w:rsidRPr="008A5F3B" w:rsidRDefault="00EF4CB3" w:rsidP="007F23EE">
      <w:pPr>
        <w:numPr>
          <w:ilvl w:val="0"/>
          <w:numId w:val="25"/>
        </w:numPr>
        <w:tabs>
          <w:tab w:val="clear" w:pos="678"/>
          <w:tab w:val="num" w:pos="567"/>
        </w:tabs>
        <w:suppressAutoHyphens/>
        <w:ind w:left="567" w:hanging="567"/>
        <w:rPr>
          <w:rFonts w:ascii="Times New Roman" w:hAnsi="Times New Roman"/>
          <w:i/>
          <w:color w:val="000000"/>
          <w:szCs w:val="22"/>
        </w:rPr>
      </w:pPr>
      <w:r w:rsidRPr="008A5F3B">
        <w:rPr>
          <w:rFonts w:ascii="Times New Roman" w:hAnsi="Times New Roman"/>
          <w:color w:val="000000"/>
          <w:szCs w:val="22"/>
        </w:rPr>
        <w:t>Rougissement et/ou gonflement de la paume des mains et de la plante des pieds qui peuvent être accompagnés de sensations de picotements et de brûlures douloureuses.</w:t>
      </w:r>
    </w:p>
    <w:p w14:paraId="0BF8E79D" w14:textId="77777777" w:rsidR="00E07259" w:rsidRPr="008A5F3B" w:rsidRDefault="00E07259" w:rsidP="007F23EE">
      <w:pPr>
        <w:numPr>
          <w:ilvl w:val="0"/>
          <w:numId w:val="25"/>
        </w:numPr>
        <w:tabs>
          <w:tab w:val="clear" w:pos="678"/>
          <w:tab w:val="num" w:pos="567"/>
        </w:tabs>
        <w:suppressAutoHyphens/>
        <w:ind w:left="567" w:hanging="567"/>
        <w:rPr>
          <w:rFonts w:ascii="Times New Roman" w:hAnsi="Times New Roman"/>
          <w:i/>
          <w:color w:val="000000"/>
          <w:szCs w:val="22"/>
        </w:rPr>
      </w:pPr>
      <w:r w:rsidRPr="008A5F3B">
        <w:rPr>
          <w:rFonts w:ascii="Times New Roman" w:hAnsi="Times New Roman"/>
          <w:color w:val="000000"/>
          <w:szCs w:val="22"/>
        </w:rPr>
        <w:t xml:space="preserve">Lésions </w:t>
      </w:r>
      <w:r w:rsidR="00632630" w:rsidRPr="008A5F3B">
        <w:rPr>
          <w:rFonts w:ascii="Times New Roman" w:hAnsi="Times New Roman"/>
          <w:color w:val="000000"/>
          <w:szCs w:val="22"/>
        </w:rPr>
        <w:t xml:space="preserve">cutanées </w:t>
      </w:r>
      <w:r w:rsidRPr="008A5F3B">
        <w:rPr>
          <w:rFonts w:ascii="Times New Roman" w:hAnsi="Times New Roman"/>
          <w:color w:val="000000"/>
          <w:szCs w:val="22"/>
        </w:rPr>
        <w:t>douloureuses et/ou bulleuses.</w:t>
      </w:r>
    </w:p>
    <w:p w14:paraId="66DA244F" w14:textId="77777777" w:rsidR="00EF4CB3" w:rsidRPr="008A5F3B" w:rsidRDefault="00EF4CB3" w:rsidP="007F23EE">
      <w:pPr>
        <w:keepNext/>
        <w:numPr>
          <w:ilvl w:val="0"/>
          <w:numId w:val="25"/>
        </w:numPr>
        <w:tabs>
          <w:tab w:val="clear" w:pos="678"/>
        </w:tabs>
        <w:suppressAutoHyphens/>
        <w:ind w:left="567" w:hanging="567"/>
        <w:rPr>
          <w:rFonts w:ascii="Times New Roman" w:hAnsi="Times New Roman"/>
          <w:i/>
          <w:color w:val="000000"/>
          <w:szCs w:val="22"/>
        </w:rPr>
      </w:pPr>
      <w:r w:rsidRPr="008A5F3B">
        <w:rPr>
          <w:rFonts w:ascii="Times New Roman" w:hAnsi="Times New Roman"/>
          <w:color w:val="000000"/>
          <w:szCs w:val="22"/>
        </w:rPr>
        <w:t>Retard de croissance chez l’enfant et l’adolescent.</w:t>
      </w:r>
    </w:p>
    <w:p w14:paraId="59AFE654" w14:textId="77777777" w:rsidR="00EF4CB3" w:rsidRPr="008A5F3B" w:rsidRDefault="00EF4CB3" w:rsidP="007F23EE">
      <w:pPr>
        <w:pStyle w:val="EndnoteText"/>
        <w:tabs>
          <w:tab w:val="clear" w:pos="567"/>
        </w:tabs>
        <w:suppressAutoHyphens/>
        <w:rPr>
          <w:color w:val="000000"/>
          <w:szCs w:val="22"/>
          <w:lang w:val="fr-FR"/>
        </w:rPr>
      </w:pPr>
      <w:r w:rsidRPr="008A5F3B">
        <w:rPr>
          <w:color w:val="000000"/>
          <w:szCs w:val="22"/>
          <w:lang w:val="fr-FR"/>
        </w:rPr>
        <w:t xml:space="preserve">Si l’un de ces effets vous affecte sévèrement, </w:t>
      </w:r>
      <w:r w:rsidRPr="008A5F3B">
        <w:rPr>
          <w:b/>
          <w:color w:val="000000"/>
          <w:szCs w:val="22"/>
          <w:lang w:val="fr-FR"/>
        </w:rPr>
        <w:t>informez votre médecin.</w:t>
      </w:r>
    </w:p>
    <w:p w14:paraId="4C24197A" w14:textId="77777777" w:rsidR="00EF4CB3" w:rsidRPr="008A5F3B" w:rsidRDefault="00EF4CB3" w:rsidP="007F23EE">
      <w:pPr>
        <w:suppressAutoHyphens/>
        <w:rPr>
          <w:rFonts w:ascii="Times New Roman" w:hAnsi="Times New Roman"/>
          <w:i/>
          <w:color w:val="000000"/>
          <w:szCs w:val="22"/>
        </w:rPr>
      </w:pPr>
    </w:p>
    <w:p w14:paraId="1FF24BEB" w14:textId="77777777" w:rsidR="00EF4CB3" w:rsidRPr="008A5F3B" w:rsidRDefault="00EF4CB3" w:rsidP="007F23EE">
      <w:pPr>
        <w:keepNext/>
        <w:autoSpaceDE w:val="0"/>
        <w:autoSpaceDN w:val="0"/>
        <w:adjustRightInd w:val="0"/>
        <w:rPr>
          <w:rFonts w:ascii="Times New Roman" w:hAnsi="Times New Roman"/>
          <w:b/>
          <w:szCs w:val="22"/>
        </w:rPr>
      </w:pPr>
      <w:r w:rsidRPr="008A5F3B">
        <w:rPr>
          <w:rFonts w:ascii="Times New Roman" w:hAnsi="Times New Roman"/>
          <w:b/>
          <w:szCs w:val="22"/>
        </w:rPr>
        <w:t>Déclaration des effets secondaires</w:t>
      </w:r>
    </w:p>
    <w:p w14:paraId="2D572DBF" w14:textId="57941DB4" w:rsidR="00EF4CB3" w:rsidRPr="008A5F3B" w:rsidRDefault="00EF4CB3" w:rsidP="007F23EE">
      <w:pPr>
        <w:suppressAutoHyphens/>
        <w:rPr>
          <w:rFonts w:ascii="Times New Roman" w:hAnsi="Times New Roman"/>
          <w:color w:val="000000"/>
          <w:szCs w:val="22"/>
          <w:lang w:val="fr-BE"/>
        </w:rPr>
      </w:pPr>
      <w:r w:rsidRPr="008A5F3B">
        <w:rPr>
          <w:rFonts w:ascii="Times New Roman" w:hAnsi="Times New Roman"/>
          <w:color w:val="000000"/>
          <w:szCs w:val="22"/>
        </w:rPr>
        <w:t xml:space="preserve">Si vous ressentez un quelconque effet indésirable, parlez-en à votre médecin, votre pharmacien ou votre infirmier/ère. Cela s’applique aussi à tout effet indésirable qui ne serait pas mentionné dans cette notice. </w:t>
      </w:r>
      <w:r w:rsidRPr="008A5F3B">
        <w:rPr>
          <w:rFonts w:ascii="Times New Roman" w:hAnsi="Times New Roman"/>
          <w:szCs w:val="22"/>
        </w:rPr>
        <w:t xml:space="preserve">Vous pouvez également déclarer les effets indésirables directement </w:t>
      </w:r>
      <w:r w:rsidRPr="008A5F3B">
        <w:rPr>
          <w:rFonts w:ascii="Times New Roman" w:hAnsi="Times New Roman"/>
          <w:szCs w:val="22"/>
          <w:shd w:val="clear" w:color="auto" w:fill="D9D9D9" w:themeFill="background1" w:themeFillShade="D9"/>
        </w:rPr>
        <w:t xml:space="preserve">via le système national de déclaration décrit en </w:t>
      </w:r>
      <w:r>
        <w:fldChar w:fldCharType="begin"/>
      </w:r>
      <w:ins w:id="724" w:author="Author">
        <w:r w:rsidR="00450D73">
          <w:instrText>HYPERLINK "https://www.ema.europa.eu/documents/template-form/qrd-appendix-v-adverse-drug-reaction-reporting-details_en.docx"</w:instrText>
        </w:r>
      </w:ins>
      <w:del w:id="725" w:author="Author">
        <w:r w:rsidDel="00450D73">
          <w:delInstrText>HYPERLINK "http://www.ema.europa.eu/docs/en_GB/document_library/Template_or_form/2013/03/WC500139752.doc"</w:delInstrText>
        </w:r>
      </w:del>
      <w:r>
        <w:fldChar w:fldCharType="separate"/>
      </w:r>
      <w:r w:rsidRPr="008A5F3B">
        <w:rPr>
          <w:rStyle w:val="Hyperlink"/>
          <w:rFonts w:ascii="Times New Roman" w:hAnsi="Times New Roman"/>
          <w:szCs w:val="22"/>
          <w:shd w:val="clear" w:color="auto" w:fill="D9D9D9" w:themeFill="background1" w:themeFillShade="D9"/>
        </w:rPr>
        <w:t>Annexe V</w:t>
      </w:r>
      <w:r>
        <w:fldChar w:fldCharType="end"/>
      </w:r>
      <w:r w:rsidRPr="008A5F3B">
        <w:rPr>
          <w:rFonts w:ascii="Times New Roman" w:hAnsi="Times New Roman"/>
          <w:szCs w:val="22"/>
        </w:rPr>
        <w:t>.</w:t>
      </w:r>
      <w:r w:rsidRPr="008A5F3B">
        <w:rPr>
          <w:rFonts w:ascii="Times New Roman" w:hAnsi="Times New Roman"/>
          <w:szCs w:val="22"/>
          <w:lang w:val="fr-BE"/>
        </w:rPr>
        <w:t xml:space="preserve"> </w:t>
      </w:r>
      <w:r w:rsidRPr="008A5F3B">
        <w:rPr>
          <w:rFonts w:ascii="Times New Roman" w:hAnsi="Times New Roman"/>
          <w:szCs w:val="22"/>
        </w:rPr>
        <w:t>En signalant les effets indésirables, vous contribuez à fournir davantage d’informations sur la sécurité du médicament.</w:t>
      </w:r>
    </w:p>
    <w:p w14:paraId="0482B4C8" w14:textId="77777777" w:rsidR="00EF4CB3" w:rsidRPr="008A5F3B" w:rsidRDefault="00EF4CB3" w:rsidP="007F23EE">
      <w:pPr>
        <w:suppressAutoHyphens/>
        <w:rPr>
          <w:rFonts w:ascii="Times New Roman" w:hAnsi="Times New Roman"/>
          <w:color w:val="000000"/>
          <w:szCs w:val="22"/>
        </w:rPr>
      </w:pPr>
    </w:p>
    <w:p w14:paraId="255E1F92" w14:textId="77777777" w:rsidR="00EF4CB3" w:rsidRPr="008A5F3B" w:rsidRDefault="00EF4CB3" w:rsidP="007F23EE">
      <w:pPr>
        <w:suppressAutoHyphens/>
        <w:rPr>
          <w:rFonts w:ascii="Times New Roman" w:hAnsi="Times New Roman"/>
          <w:color w:val="000000"/>
          <w:szCs w:val="22"/>
        </w:rPr>
      </w:pPr>
    </w:p>
    <w:p w14:paraId="26EDDF62" w14:textId="77777777" w:rsidR="007D642D" w:rsidRPr="008A5F3B" w:rsidRDefault="007D642D" w:rsidP="007F23EE">
      <w:pPr>
        <w:pStyle w:val="BodyText3"/>
        <w:keepNext/>
        <w:rPr>
          <w:color w:val="000000"/>
          <w:szCs w:val="22"/>
        </w:rPr>
      </w:pPr>
      <w:r w:rsidRPr="008A5F3B">
        <w:rPr>
          <w:color w:val="000000"/>
          <w:szCs w:val="22"/>
        </w:rPr>
        <w:t>5.</w:t>
      </w:r>
      <w:r w:rsidRPr="008A5F3B">
        <w:rPr>
          <w:color w:val="000000"/>
          <w:szCs w:val="22"/>
        </w:rPr>
        <w:tab/>
        <w:t>Comment conserver Glivec</w:t>
      </w:r>
    </w:p>
    <w:p w14:paraId="0E9F870D" w14:textId="77777777" w:rsidR="007D642D" w:rsidRPr="008A5F3B" w:rsidRDefault="007D642D" w:rsidP="007F23EE">
      <w:pPr>
        <w:keepNext/>
        <w:suppressAutoHyphens/>
        <w:rPr>
          <w:rFonts w:ascii="Times New Roman" w:hAnsi="Times New Roman"/>
          <w:color w:val="000000"/>
          <w:szCs w:val="22"/>
        </w:rPr>
      </w:pPr>
    </w:p>
    <w:p w14:paraId="190CA609" w14:textId="77777777" w:rsidR="007D642D" w:rsidRPr="008A5F3B" w:rsidRDefault="007D642D" w:rsidP="007F23EE">
      <w:pPr>
        <w:numPr>
          <w:ilvl w:val="0"/>
          <w:numId w:val="14"/>
        </w:numPr>
        <w:tabs>
          <w:tab w:val="clear" w:pos="927"/>
        </w:tabs>
        <w:suppressAutoHyphens/>
        <w:ind w:left="567" w:hanging="567"/>
        <w:rPr>
          <w:rFonts w:ascii="Times New Roman" w:hAnsi="Times New Roman"/>
          <w:color w:val="000000"/>
          <w:szCs w:val="22"/>
        </w:rPr>
      </w:pPr>
      <w:r w:rsidRPr="008A5F3B">
        <w:rPr>
          <w:rFonts w:ascii="Times New Roman" w:hAnsi="Times New Roman"/>
          <w:color w:val="000000"/>
          <w:szCs w:val="22"/>
        </w:rPr>
        <w:t>Tenir ce médicament hors de la vue et de la portée des enfants.</w:t>
      </w:r>
    </w:p>
    <w:p w14:paraId="154A7679" w14:textId="0806E775" w:rsidR="007D642D" w:rsidRPr="008A5F3B" w:rsidRDefault="007D642D" w:rsidP="007F23EE">
      <w:pPr>
        <w:numPr>
          <w:ilvl w:val="0"/>
          <w:numId w:val="14"/>
        </w:numPr>
        <w:tabs>
          <w:tab w:val="clear" w:pos="927"/>
        </w:tabs>
        <w:suppressAutoHyphens/>
        <w:ind w:left="567" w:hanging="567"/>
        <w:rPr>
          <w:rFonts w:ascii="Times New Roman" w:hAnsi="Times New Roman"/>
          <w:color w:val="000000"/>
          <w:szCs w:val="22"/>
        </w:rPr>
      </w:pPr>
      <w:r w:rsidRPr="008A5F3B">
        <w:rPr>
          <w:rFonts w:ascii="Times New Roman" w:hAnsi="Times New Roman"/>
          <w:color w:val="000000"/>
          <w:szCs w:val="22"/>
        </w:rPr>
        <w:t>N</w:t>
      </w:r>
      <w:del w:id="726" w:author="Author">
        <w:r w:rsidRPr="008A5F3B" w:rsidDel="00813A7A">
          <w:rPr>
            <w:rFonts w:ascii="Times New Roman" w:hAnsi="Times New Roman"/>
            <w:color w:val="000000"/>
            <w:szCs w:val="22"/>
          </w:rPr>
          <w:delText>‘</w:delText>
        </w:r>
      </w:del>
      <w:ins w:id="727" w:author="Author">
        <w:r w:rsidR="00813A7A">
          <w:rPr>
            <w:rFonts w:ascii="Times New Roman" w:hAnsi="Times New Roman"/>
            <w:color w:val="000000"/>
            <w:szCs w:val="22"/>
          </w:rPr>
          <w:t>’</w:t>
        </w:r>
      </w:ins>
      <w:r w:rsidRPr="008A5F3B">
        <w:rPr>
          <w:rFonts w:ascii="Times New Roman" w:hAnsi="Times New Roman"/>
          <w:color w:val="000000"/>
          <w:szCs w:val="22"/>
        </w:rPr>
        <w:t>utilisez pas ce médicament après la date de péremption indiquée sur l’emballage</w:t>
      </w:r>
      <w:r w:rsidR="00505205" w:rsidRPr="008A5F3B">
        <w:rPr>
          <w:rFonts w:ascii="Times New Roman" w:hAnsi="Times New Roman"/>
          <w:color w:val="000000"/>
          <w:szCs w:val="22"/>
        </w:rPr>
        <w:t xml:space="preserve"> après EXP</w:t>
      </w:r>
      <w:r w:rsidRPr="008A5F3B">
        <w:rPr>
          <w:rFonts w:ascii="Times New Roman" w:hAnsi="Times New Roman"/>
          <w:color w:val="000000"/>
          <w:szCs w:val="22"/>
        </w:rPr>
        <w:t>.</w:t>
      </w:r>
    </w:p>
    <w:p w14:paraId="42E2071B" w14:textId="5E750603" w:rsidR="003B112A" w:rsidRPr="008A5F3B" w:rsidRDefault="003B112A" w:rsidP="007F23EE">
      <w:pPr>
        <w:numPr>
          <w:ilvl w:val="0"/>
          <w:numId w:val="14"/>
        </w:numPr>
        <w:tabs>
          <w:tab w:val="clear" w:pos="927"/>
        </w:tabs>
        <w:suppressAutoHyphens/>
        <w:ind w:left="567" w:hanging="567"/>
        <w:rPr>
          <w:rFonts w:ascii="Times New Roman" w:hAnsi="Times New Roman"/>
          <w:color w:val="000000"/>
          <w:szCs w:val="22"/>
        </w:rPr>
      </w:pPr>
      <w:r w:rsidRPr="008A5F3B">
        <w:rPr>
          <w:rFonts w:ascii="Times New Roman" w:hAnsi="Times New Roman"/>
          <w:color w:val="000000"/>
          <w:szCs w:val="22"/>
        </w:rPr>
        <w:t xml:space="preserve">Température de </w:t>
      </w:r>
      <w:ins w:id="728" w:author="Author">
        <w:r w:rsidR="00A94D0D" w:rsidRPr="00A94D0D">
          <w:rPr>
            <w:rFonts w:ascii="Times New Roman" w:hAnsi="Times New Roman"/>
            <w:color w:val="000000"/>
            <w:szCs w:val="22"/>
          </w:rPr>
          <w:t>conservation</w:t>
        </w:r>
      </w:ins>
      <w:del w:id="729" w:author="Author">
        <w:r w:rsidRPr="008A5F3B" w:rsidDel="00A94D0D">
          <w:rPr>
            <w:rFonts w:ascii="Times New Roman" w:hAnsi="Times New Roman"/>
            <w:color w:val="000000"/>
            <w:szCs w:val="22"/>
          </w:rPr>
          <w:delText>stockage</w:delText>
        </w:r>
      </w:del>
    </w:p>
    <w:p w14:paraId="19E92062" w14:textId="419758F8" w:rsidR="003B112A" w:rsidRPr="008A5F3B" w:rsidRDefault="003B112A" w:rsidP="007F23EE">
      <w:pPr>
        <w:pStyle w:val="Text"/>
        <w:numPr>
          <w:ilvl w:val="0"/>
          <w:numId w:val="14"/>
        </w:numPr>
        <w:tabs>
          <w:tab w:val="clear" w:pos="927"/>
        </w:tabs>
        <w:spacing w:before="0"/>
        <w:ind w:left="990" w:hanging="423"/>
        <w:jc w:val="left"/>
        <w:rPr>
          <w:color w:val="000000"/>
          <w:sz w:val="22"/>
          <w:szCs w:val="22"/>
          <w:lang w:val="fr-FR"/>
        </w:rPr>
      </w:pPr>
      <w:r w:rsidRPr="008A5F3B">
        <w:rPr>
          <w:color w:val="000000"/>
          <w:sz w:val="22"/>
          <w:szCs w:val="22"/>
          <w:lang w:val="fr-FR"/>
        </w:rPr>
        <w:t>Glivec 100</w:t>
      </w:r>
      <w:r w:rsidRPr="008A5F3B">
        <w:rPr>
          <w:color w:val="000000"/>
          <w:szCs w:val="22"/>
          <w:lang w:val="fr-FR"/>
        </w:rPr>
        <w:t> </w:t>
      </w:r>
      <w:r w:rsidRPr="008A5F3B">
        <w:rPr>
          <w:color w:val="000000"/>
          <w:sz w:val="22"/>
          <w:szCs w:val="22"/>
          <w:lang w:val="fr-FR"/>
        </w:rPr>
        <w:t>mg comprimés pelliculés</w:t>
      </w:r>
      <w:r w:rsidR="007F56F8">
        <w:rPr>
          <w:color w:val="000000"/>
          <w:sz w:val="22"/>
          <w:szCs w:val="22"/>
          <w:lang w:val="fr-FR"/>
        </w:rPr>
        <w:t> </w:t>
      </w:r>
      <w:r w:rsidRPr="008A5F3B">
        <w:rPr>
          <w:color w:val="000000"/>
          <w:sz w:val="22"/>
          <w:szCs w:val="22"/>
          <w:lang w:val="fr-FR"/>
        </w:rPr>
        <w:t>: A conserver à une température ne dépassant pas 30</w:t>
      </w:r>
      <w:ins w:id="730" w:author="Author">
        <w:r w:rsidR="00DB22E2">
          <w:rPr>
            <w:color w:val="000000"/>
            <w:sz w:val="22"/>
            <w:szCs w:val="22"/>
            <w:lang w:val="fr-FR"/>
          </w:rPr>
          <w:t> </w:t>
        </w:r>
      </w:ins>
      <w:r w:rsidRPr="008A5F3B">
        <w:rPr>
          <w:color w:val="000000"/>
          <w:sz w:val="22"/>
          <w:szCs w:val="22"/>
          <w:lang w:val="fr-FR"/>
        </w:rPr>
        <w:t>°C</w:t>
      </w:r>
      <w:r w:rsidR="008A5F3B" w:rsidRPr="008A5F3B">
        <w:rPr>
          <w:color w:val="000000"/>
          <w:sz w:val="22"/>
          <w:szCs w:val="22"/>
          <w:lang w:val="fr-FR"/>
        </w:rPr>
        <w:t>.</w:t>
      </w:r>
    </w:p>
    <w:p w14:paraId="4FC7EF59" w14:textId="16692202" w:rsidR="003B112A" w:rsidRPr="008A5F3B" w:rsidRDefault="003B112A" w:rsidP="007F23EE">
      <w:pPr>
        <w:pStyle w:val="Text"/>
        <w:numPr>
          <w:ilvl w:val="0"/>
          <w:numId w:val="14"/>
        </w:numPr>
        <w:tabs>
          <w:tab w:val="clear" w:pos="927"/>
        </w:tabs>
        <w:spacing w:before="0"/>
        <w:ind w:left="990" w:hanging="423"/>
        <w:jc w:val="left"/>
        <w:rPr>
          <w:color w:val="000000"/>
          <w:sz w:val="22"/>
          <w:szCs w:val="22"/>
          <w:lang w:val="fr-FR"/>
        </w:rPr>
      </w:pPr>
      <w:r w:rsidRPr="008A5F3B">
        <w:rPr>
          <w:color w:val="000000"/>
          <w:sz w:val="22"/>
          <w:szCs w:val="22"/>
          <w:lang w:val="fr-FR"/>
        </w:rPr>
        <w:t>Glivec 400</w:t>
      </w:r>
      <w:r w:rsidRPr="008A5F3B">
        <w:rPr>
          <w:color w:val="000000"/>
          <w:szCs w:val="22"/>
          <w:lang w:val="fr-FR"/>
        </w:rPr>
        <w:t> </w:t>
      </w:r>
      <w:r w:rsidRPr="008A5F3B">
        <w:rPr>
          <w:color w:val="000000"/>
          <w:sz w:val="22"/>
          <w:szCs w:val="22"/>
          <w:lang w:val="fr-FR"/>
        </w:rPr>
        <w:t>mg comprimés pelliculés</w:t>
      </w:r>
      <w:r w:rsidR="007F56F8">
        <w:rPr>
          <w:color w:val="000000"/>
          <w:sz w:val="22"/>
          <w:szCs w:val="22"/>
          <w:lang w:val="fr-FR"/>
        </w:rPr>
        <w:t> </w:t>
      </w:r>
      <w:r w:rsidRPr="008A5F3B">
        <w:rPr>
          <w:color w:val="000000"/>
          <w:sz w:val="22"/>
          <w:szCs w:val="22"/>
          <w:lang w:val="fr-FR"/>
        </w:rPr>
        <w:t>: A conserver à une température ne dépassant pas 25</w:t>
      </w:r>
      <w:ins w:id="731" w:author="Author">
        <w:r w:rsidR="00DB22E2">
          <w:rPr>
            <w:color w:val="000000"/>
            <w:sz w:val="22"/>
            <w:szCs w:val="22"/>
            <w:lang w:val="fr-FR"/>
          </w:rPr>
          <w:t> </w:t>
        </w:r>
      </w:ins>
      <w:r w:rsidRPr="008A5F3B">
        <w:rPr>
          <w:color w:val="000000"/>
          <w:sz w:val="22"/>
          <w:szCs w:val="22"/>
          <w:lang w:val="fr-FR"/>
        </w:rPr>
        <w:t>°C.</w:t>
      </w:r>
    </w:p>
    <w:p w14:paraId="437ADB62" w14:textId="4FF2459F" w:rsidR="007D642D" w:rsidRPr="008A5F3B" w:rsidRDefault="007D642D" w:rsidP="007F23EE">
      <w:pPr>
        <w:numPr>
          <w:ilvl w:val="0"/>
          <w:numId w:val="14"/>
        </w:numPr>
        <w:tabs>
          <w:tab w:val="clear" w:pos="927"/>
        </w:tabs>
        <w:suppressAutoHyphens/>
        <w:ind w:left="567" w:hanging="567"/>
        <w:rPr>
          <w:rFonts w:ascii="Times New Roman" w:hAnsi="Times New Roman"/>
          <w:color w:val="000000"/>
          <w:szCs w:val="22"/>
        </w:rPr>
      </w:pPr>
      <w:r w:rsidRPr="008A5F3B">
        <w:rPr>
          <w:rFonts w:ascii="Times New Roman" w:hAnsi="Times New Roman"/>
          <w:color w:val="000000"/>
          <w:szCs w:val="22"/>
        </w:rPr>
        <w:t>A conserver dans l’emballage extérieur d</w:t>
      </w:r>
      <w:r w:rsidR="00813A7A">
        <w:rPr>
          <w:rFonts w:ascii="Times New Roman" w:hAnsi="Times New Roman"/>
          <w:color w:val="000000"/>
          <w:szCs w:val="22"/>
        </w:rPr>
        <w:t>’</w:t>
      </w:r>
      <w:r w:rsidRPr="008A5F3B">
        <w:rPr>
          <w:rFonts w:ascii="Times New Roman" w:hAnsi="Times New Roman"/>
          <w:color w:val="000000"/>
          <w:szCs w:val="22"/>
        </w:rPr>
        <w:t>origine à l’abri de l’humidité.</w:t>
      </w:r>
    </w:p>
    <w:p w14:paraId="5B3F245A" w14:textId="77777777" w:rsidR="007D642D" w:rsidRPr="008A5F3B" w:rsidRDefault="007D642D" w:rsidP="007F23EE">
      <w:pPr>
        <w:numPr>
          <w:ilvl w:val="0"/>
          <w:numId w:val="14"/>
        </w:numPr>
        <w:tabs>
          <w:tab w:val="clear" w:pos="927"/>
        </w:tabs>
        <w:suppressAutoHyphens/>
        <w:ind w:left="567" w:hanging="567"/>
        <w:rPr>
          <w:rFonts w:ascii="Times New Roman" w:hAnsi="Times New Roman"/>
          <w:color w:val="000000"/>
          <w:szCs w:val="22"/>
        </w:rPr>
      </w:pPr>
      <w:r w:rsidRPr="008A5F3B">
        <w:rPr>
          <w:rFonts w:ascii="Times New Roman" w:hAnsi="Times New Roman"/>
          <w:color w:val="000000"/>
          <w:szCs w:val="22"/>
        </w:rPr>
        <w:t>Ne pas utiliser tout étui qui présenterait des signes de détérioration ou qui aurait déjà été ouvert.</w:t>
      </w:r>
    </w:p>
    <w:p w14:paraId="20628429" w14:textId="77777777" w:rsidR="00587E16" w:rsidRPr="008A5F3B" w:rsidRDefault="00587E16" w:rsidP="007F23EE">
      <w:pPr>
        <w:numPr>
          <w:ilvl w:val="0"/>
          <w:numId w:val="14"/>
        </w:numPr>
        <w:tabs>
          <w:tab w:val="clear" w:pos="927"/>
        </w:tabs>
        <w:suppressAutoHyphens/>
        <w:ind w:left="567" w:hanging="567"/>
        <w:rPr>
          <w:rFonts w:ascii="Times New Roman" w:hAnsi="Times New Roman"/>
          <w:color w:val="000000"/>
          <w:szCs w:val="22"/>
        </w:rPr>
      </w:pPr>
      <w:r w:rsidRPr="008A5F3B">
        <w:rPr>
          <w:rFonts w:ascii="Times New Roman" w:hAnsi="Times New Roman"/>
          <w:color w:val="000000"/>
          <w:szCs w:val="22"/>
        </w:rPr>
        <w:t>Ne jetez aucun médicament au tout-à-l’égout ou avec les ordures ménagères. Demandez à votre pharmacien d’éliminer les médicaments que vous n’utilisez plus. Ces mesures contribueront à protéger l’environnement.</w:t>
      </w:r>
    </w:p>
    <w:p w14:paraId="7E74EF35" w14:textId="77777777" w:rsidR="007D642D" w:rsidRPr="008A5F3B" w:rsidRDefault="007D642D" w:rsidP="007F23EE">
      <w:pPr>
        <w:suppressAutoHyphens/>
        <w:rPr>
          <w:rFonts w:ascii="Times New Roman" w:hAnsi="Times New Roman"/>
          <w:color w:val="000000"/>
          <w:szCs w:val="22"/>
        </w:rPr>
      </w:pPr>
    </w:p>
    <w:p w14:paraId="6709CE0C" w14:textId="77777777" w:rsidR="007D642D" w:rsidRPr="008A5F3B" w:rsidRDefault="007D642D" w:rsidP="007F23EE">
      <w:pPr>
        <w:suppressAutoHyphens/>
        <w:rPr>
          <w:rFonts w:ascii="Times New Roman" w:hAnsi="Times New Roman"/>
          <w:color w:val="000000"/>
          <w:szCs w:val="22"/>
        </w:rPr>
      </w:pPr>
    </w:p>
    <w:p w14:paraId="7E327DB2" w14:textId="77777777" w:rsidR="007D642D" w:rsidRPr="008A5F3B" w:rsidRDefault="007D642D" w:rsidP="007F23EE">
      <w:pPr>
        <w:keepNext/>
        <w:suppressAutoHyphens/>
        <w:rPr>
          <w:rFonts w:ascii="Times New Roman" w:hAnsi="Times New Roman"/>
          <w:b/>
          <w:color w:val="000000"/>
          <w:szCs w:val="22"/>
        </w:rPr>
      </w:pPr>
      <w:r w:rsidRPr="008A5F3B">
        <w:rPr>
          <w:rFonts w:ascii="Times New Roman" w:hAnsi="Times New Roman"/>
          <w:b/>
          <w:color w:val="000000"/>
          <w:szCs w:val="22"/>
        </w:rPr>
        <w:t>6.</w:t>
      </w:r>
      <w:r w:rsidRPr="008A5F3B">
        <w:rPr>
          <w:rFonts w:ascii="Times New Roman" w:hAnsi="Times New Roman"/>
          <w:b/>
          <w:color w:val="000000"/>
          <w:szCs w:val="22"/>
        </w:rPr>
        <w:tab/>
        <w:t>Contenu de l’emballage et autres informations</w:t>
      </w:r>
    </w:p>
    <w:p w14:paraId="720CFF9C" w14:textId="77777777" w:rsidR="007D642D" w:rsidRPr="008A5F3B" w:rsidRDefault="007D642D" w:rsidP="007F23EE">
      <w:pPr>
        <w:keepNext/>
        <w:suppressAutoHyphens/>
        <w:rPr>
          <w:rFonts w:ascii="Times New Roman" w:hAnsi="Times New Roman"/>
          <w:color w:val="000000"/>
          <w:szCs w:val="22"/>
        </w:rPr>
      </w:pPr>
    </w:p>
    <w:p w14:paraId="77B6FDE0" w14:textId="77777777" w:rsidR="007D642D" w:rsidRPr="008A5F3B" w:rsidRDefault="007D642D" w:rsidP="007F23EE">
      <w:pPr>
        <w:pStyle w:val="BodyText"/>
        <w:keepNext/>
        <w:jc w:val="left"/>
        <w:rPr>
          <w:b/>
          <w:noProof w:val="0"/>
          <w:color w:val="000000"/>
          <w:szCs w:val="22"/>
          <w:lang w:eastAsia="fr-FR"/>
        </w:rPr>
      </w:pPr>
      <w:r w:rsidRPr="008A5F3B">
        <w:rPr>
          <w:b/>
          <w:noProof w:val="0"/>
          <w:color w:val="000000"/>
          <w:szCs w:val="22"/>
          <w:lang w:eastAsia="fr-FR"/>
        </w:rPr>
        <w:t>Ce que contient Glivec</w:t>
      </w:r>
    </w:p>
    <w:p w14:paraId="4D0C2EE3" w14:textId="77777777" w:rsidR="00B103DB" w:rsidRPr="008A5F3B" w:rsidRDefault="007D642D" w:rsidP="007F23EE">
      <w:pPr>
        <w:numPr>
          <w:ilvl w:val="0"/>
          <w:numId w:val="1"/>
        </w:numPr>
        <w:suppressAutoHyphens/>
        <w:ind w:left="567" w:hanging="567"/>
        <w:rPr>
          <w:rFonts w:ascii="Times New Roman" w:hAnsi="Times New Roman"/>
          <w:color w:val="000000"/>
          <w:szCs w:val="22"/>
        </w:rPr>
      </w:pPr>
      <w:r w:rsidRPr="008A5F3B">
        <w:rPr>
          <w:rFonts w:ascii="Times New Roman" w:hAnsi="Times New Roman"/>
          <w:color w:val="000000"/>
        </w:rPr>
        <w:t xml:space="preserve">La substance active est le </w:t>
      </w:r>
      <w:proofErr w:type="spellStart"/>
      <w:r w:rsidRPr="008A5F3B">
        <w:rPr>
          <w:rFonts w:ascii="Times New Roman" w:hAnsi="Times New Roman"/>
          <w:color w:val="000000"/>
        </w:rPr>
        <w:t>mésilate</w:t>
      </w:r>
      <w:proofErr w:type="spellEnd"/>
      <w:r w:rsidRPr="008A5F3B">
        <w:rPr>
          <w:rFonts w:ascii="Times New Roman" w:hAnsi="Times New Roman"/>
          <w:color w:val="000000"/>
        </w:rPr>
        <w:t xml:space="preserve"> d’imatinib.</w:t>
      </w:r>
      <w:del w:id="732" w:author="Author">
        <w:r w:rsidRPr="008A5F3B" w:rsidDel="00813A7A">
          <w:rPr>
            <w:rFonts w:ascii="Times New Roman" w:hAnsi="Times New Roman"/>
            <w:color w:val="000000"/>
          </w:rPr>
          <w:delText xml:space="preserve"> </w:delText>
        </w:r>
      </w:del>
    </w:p>
    <w:p w14:paraId="42368478" w14:textId="7A3EC2EE" w:rsidR="007D642D" w:rsidRPr="008A5F3B" w:rsidRDefault="007D642D" w:rsidP="007F23EE">
      <w:pPr>
        <w:numPr>
          <w:ilvl w:val="0"/>
          <w:numId w:val="1"/>
        </w:numPr>
        <w:suppressAutoHyphens/>
        <w:ind w:left="1134" w:hanging="567"/>
        <w:rPr>
          <w:rFonts w:ascii="Times New Roman" w:hAnsi="Times New Roman"/>
          <w:color w:val="000000"/>
          <w:szCs w:val="22"/>
        </w:rPr>
      </w:pPr>
      <w:r w:rsidRPr="008A5F3B">
        <w:rPr>
          <w:rFonts w:ascii="Times New Roman" w:hAnsi="Times New Roman"/>
          <w:color w:val="000000"/>
        </w:rPr>
        <w:t xml:space="preserve">Chaque comprimé </w:t>
      </w:r>
      <w:r w:rsidR="00B103DB" w:rsidRPr="008A5F3B">
        <w:rPr>
          <w:rFonts w:ascii="Times New Roman" w:hAnsi="Times New Roman"/>
          <w:color w:val="000000"/>
        </w:rPr>
        <w:t xml:space="preserve">de 100 mg </w:t>
      </w:r>
      <w:r w:rsidRPr="008A5F3B">
        <w:rPr>
          <w:rFonts w:ascii="Times New Roman" w:hAnsi="Times New Roman"/>
          <w:color w:val="000000"/>
        </w:rPr>
        <w:t xml:space="preserve">de Glivec contient 100 mg d’imatinib (sous forme de </w:t>
      </w:r>
      <w:proofErr w:type="spellStart"/>
      <w:r w:rsidRPr="008A5F3B">
        <w:rPr>
          <w:rFonts w:ascii="Times New Roman" w:hAnsi="Times New Roman"/>
          <w:color w:val="000000"/>
        </w:rPr>
        <w:t>mésilate</w:t>
      </w:r>
      <w:proofErr w:type="spellEnd"/>
      <w:r w:rsidRPr="008A5F3B">
        <w:rPr>
          <w:rFonts w:ascii="Times New Roman" w:hAnsi="Times New Roman"/>
          <w:color w:val="000000"/>
        </w:rPr>
        <w:t>).</w:t>
      </w:r>
    </w:p>
    <w:p w14:paraId="54C922F0" w14:textId="3B329BC2" w:rsidR="00B103DB" w:rsidRPr="008A5F3B" w:rsidRDefault="00B103DB" w:rsidP="007F23EE">
      <w:pPr>
        <w:numPr>
          <w:ilvl w:val="0"/>
          <w:numId w:val="1"/>
        </w:numPr>
        <w:suppressAutoHyphens/>
        <w:ind w:left="1134" w:hanging="567"/>
        <w:rPr>
          <w:rFonts w:ascii="Times New Roman" w:hAnsi="Times New Roman"/>
          <w:color w:val="000000"/>
          <w:szCs w:val="22"/>
        </w:rPr>
      </w:pPr>
      <w:r w:rsidRPr="008A5F3B">
        <w:rPr>
          <w:rFonts w:ascii="Times New Roman" w:hAnsi="Times New Roman"/>
          <w:color w:val="000000"/>
        </w:rPr>
        <w:t xml:space="preserve">Chaque comprimé de 400 mg de Glivec contient 400 mg d’imatinib (sous forme de </w:t>
      </w:r>
      <w:proofErr w:type="spellStart"/>
      <w:r w:rsidRPr="008A5F3B">
        <w:rPr>
          <w:rFonts w:ascii="Times New Roman" w:hAnsi="Times New Roman"/>
          <w:color w:val="000000"/>
        </w:rPr>
        <w:t>mésilate</w:t>
      </w:r>
      <w:proofErr w:type="spellEnd"/>
      <w:r w:rsidRPr="008A5F3B">
        <w:rPr>
          <w:rFonts w:ascii="Times New Roman" w:hAnsi="Times New Roman"/>
          <w:color w:val="000000"/>
        </w:rPr>
        <w:t>).</w:t>
      </w:r>
    </w:p>
    <w:p w14:paraId="4084C071" w14:textId="77777777" w:rsidR="007D642D" w:rsidRPr="008A5F3B" w:rsidRDefault="007D642D" w:rsidP="007F23EE">
      <w:pPr>
        <w:numPr>
          <w:ilvl w:val="0"/>
          <w:numId w:val="3"/>
        </w:numPr>
        <w:ind w:left="567" w:hanging="567"/>
        <w:rPr>
          <w:rFonts w:ascii="Times New Roman" w:hAnsi="Times New Roman"/>
          <w:color w:val="000000"/>
          <w:szCs w:val="22"/>
        </w:rPr>
      </w:pPr>
      <w:r w:rsidRPr="008A5F3B">
        <w:rPr>
          <w:rFonts w:ascii="Times New Roman" w:hAnsi="Times New Roman"/>
          <w:color w:val="000000"/>
          <w:szCs w:val="22"/>
        </w:rPr>
        <w:t xml:space="preserve">Les autres composants sont : cellulose microcristalline, </w:t>
      </w:r>
      <w:proofErr w:type="spellStart"/>
      <w:r w:rsidRPr="008A5F3B">
        <w:rPr>
          <w:rFonts w:ascii="Times New Roman" w:hAnsi="Times New Roman"/>
          <w:color w:val="000000"/>
          <w:szCs w:val="22"/>
        </w:rPr>
        <w:t>crospovidone</w:t>
      </w:r>
      <w:proofErr w:type="spellEnd"/>
      <w:r w:rsidRPr="008A5F3B">
        <w:rPr>
          <w:rFonts w:ascii="Times New Roman" w:hAnsi="Times New Roman"/>
          <w:color w:val="000000"/>
          <w:szCs w:val="22"/>
        </w:rPr>
        <w:t xml:space="preserve">, </w:t>
      </w:r>
      <w:proofErr w:type="spellStart"/>
      <w:r w:rsidRPr="008A5F3B">
        <w:rPr>
          <w:rFonts w:ascii="Times New Roman" w:hAnsi="Times New Roman"/>
          <w:color w:val="000000"/>
          <w:szCs w:val="22"/>
        </w:rPr>
        <w:t>hypromellose</w:t>
      </w:r>
      <w:proofErr w:type="spellEnd"/>
      <w:r w:rsidRPr="008A5F3B">
        <w:rPr>
          <w:rFonts w:ascii="Times New Roman" w:hAnsi="Times New Roman"/>
          <w:color w:val="000000"/>
          <w:szCs w:val="22"/>
        </w:rPr>
        <w:t>, stéarate de magnésium, silice colloïdale anhydre.</w:t>
      </w:r>
    </w:p>
    <w:p w14:paraId="3FD78884" w14:textId="77777777" w:rsidR="007D642D" w:rsidRPr="008A5F3B" w:rsidRDefault="007D642D" w:rsidP="007F23EE">
      <w:pPr>
        <w:numPr>
          <w:ilvl w:val="0"/>
          <w:numId w:val="3"/>
        </w:numPr>
        <w:ind w:left="567" w:hanging="567"/>
        <w:rPr>
          <w:rFonts w:ascii="Times New Roman" w:hAnsi="Times New Roman"/>
          <w:color w:val="000000"/>
          <w:szCs w:val="22"/>
        </w:rPr>
      </w:pPr>
      <w:r w:rsidRPr="008A5F3B">
        <w:rPr>
          <w:rFonts w:ascii="Times New Roman" w:hAnsi="Times New Roman"/>
          <w:color w:val="000000"/>
          <w:szCs w:val="22"/>
        </w:rPr>
        <w:t>Le pelliculage du comprimé est composé de l’oxyde de fer rouge (E172), de l’oxyde de fer jaune (E172), du macrogol, du talc et de l’</w:t>
      </w:r>
      <w:proofErr w:type="spellStart"/>
      <w:r w:rsidRPr="008A5F3B">
        <w:rPr>
          <w:rFonts w:ascii="Times New Roman" w:hAnsi="Times New Roman"/>
          <w:color w:val="000000"/>
          <w:szCs w:val="22"/>
        </w:rPr>
        <w:t>hypromellose</w:t>
      </w:r>
      <w:proofErr w:type="spellEnd"/>
      <w:r w:rsidRPr="008A5F3B">
        <w:rPr>
          <w:rFonts w:ascii="Times New Roman" w:hAnsi="Times New Roman"/>
          <w:color w:val="000000"/>
          <w:szCs w:val="22"/>
        </w:rPr>
        <w:t>.</w:t>
      </w:r>
    </w:p>
    <w:p w14:paraId="4A9D0525" w14:textId="77777777" w:rsidR="007D642D" w:rsidRPr="008A5F3B" w:rsidRDefault="007D642D" w:rsidP="007F23EE">
      <w:pPr>
        <w:rPr>
          <w:rFonts w:ascii="Times New Roman" w:hAnsi="Times New Roman"/>
          <w:color w:val="000000"/>
          <w:szCs w:val="22"/>
        </w:rPr>
      </w:pPr>
    </w:p>
    <w:p w14:paraId="04DB4A71" w14:textId="4BCB7F8E" w:rsidR="007D642D" w:rsidRPr="008A5F3B" w:rsidRDefault="0072101A" w:rsidP="007F23EE">
      <w:pPr>
        <w:keepNext/>
        <w:rPr>
          <w:rFonts w:ascii="Times New Roman" w:hAnsi="Times New Roman"/>
          <w:b/>
          <w:color w:val="000000"/>
          <w:szCs w:val="22"/>
        </w:rPr>
      </w:pPr>
      <w:r w:rsidRPr="008A5F3B">
        <w:rPr>
          <w:rFonts w:ascii="Times New Roman" w:hAnsi="Times New Roman"/>
          <w:b/>
          <w:color w:val="000000"/>
          <w:szCs w:val="22"/>
        </w:rPr>
        <w:t>Comment se présente</w:t>
      </w:r>
      <w:r w:rsidR="007D642D" w:rsidRPr="008A5F3B">
        <w:rPr>
          <w:rFonts w:ascii="Times New Roman" w:hAnsi="Times New Roman"/>
          <w:b/>
          <w:color w:val="000000"/>
          <w:szCs w:val="22"/>
        </w:rPr>
        <w:t xml:space="preserve"> Glivec et contenu de l’emballage extérieur</w:t>
      </w:r>
    </w:p>
    <w:p w14:paraId="6BC37709" w14:textId="199C38C6" w:rsidR="007D642D" w:rsidRPr="00B14771" w:rsidRDefault="007D642D" w:rsidP="007F23EE">
      <w:pPr>
        <w:rPr>
          <w:rFonts w:ascii="Times New Roman" w:hAnsi="Times New Roman"/>
          <w:color w:val="000000"/>
          <w:szCs w:val="22"/>
        </w:rPr>
      </w:pPr>
      <w:r w:rsidRPr="008A5F3B">
        <w:rPr>
          <w:rFonts w:ascii="Times New Roman" w:hAnsi="Times New Roman"/>
          <w:color w:val="000000"/>
          <w:szCs w:val="22"/>
        </w:rPr>
        <w:t>Glivec 100 mg comprimés pelliculés sont des comprimés jaune très foncé à brun orangé, ronds. Ils ont l’inscription « </w:t>
      </w:r>
      <w:smartTag w:uri="urn:schemas-microsoft-com:office:smarttags" w:element="stockticker">
        <w:r w:rsidRPr="008A5F3B">
          <w:rPr>
            <w:rFonts w:ascii="Times New Roman" w:hAnsi="Times New Roman"/>
            <w:color w:val="000000"/>
            <w:szCs w:val="22"/>
          </w:rPr>
          <w:t>NVR</w:t>
        </w:r>
      </w:smartTag>
      <w:r w:rsidRPr="008A5F3B">
        <w:rPr>
          <w:rFonts w:ascii="Times New Roman" w:hAnsi="Times New Roman"/>
          <w:color w:val="000000"/>
          <w:szCs w:val="22"/>
        </w:rPr>
        <w:t> » sur une face et « SA </w:t>
      </w:r>
      <w:r w:rsidRPr="00B14771">
        <w:rPr>
          <w:rFonts w:ascii="Times New Roman" w:hAnsi="Times New Roman"/>
          <w:color w:val="000000"/>
          <w:szCs w:val="22"/>
        </w:rPr>
        <w:t xml:space="preserve">» sur l’autre (face avec barre de </w:t>
      </w:r>
      <w:r w:rsidR="00D85814" w:rsidRPr="00B14771">
        <w:rPr>
          <w:rFonts w:ascii="Times New Roman" w:hAnsi="Times New Roman"/>
          <w:color w:val="000000"/>
          <w:szCs w:val="22"/>
        </w:rPr>
        <w:t>sécabilité</w:t>
      </w:r>
      <w:r w:rsidRPr="00B14771">
        <w:rPr>
          <w:rFonts w:ascii="Times New Roman" w:hAnsi="Times New Roman"/>
          <w:color w:val="000000"/>
          <w:szCs w:val="22"/>
        </w:rPr>
        <w:t>).</w:t>
      </w:r>
    </w:p>
    <w:p w14:paraId="33884D2D" w14:textId="6868B2C5" w:rsidR="00B103DB" w:rsidRPr="00B14771" w:rsidRDefault="00B103DB" w:rsidP="007F23EE">
      <w:pPr>
        <w:rPr>
          <w:rFonts w:ascii="Times New Roman" w:hAnsi="Times New Roman"/>
          <w:color w:val="000000"/>
          <w:szCs w:val="22"/>
        </w:rPr>
      </w:pPr>
      <w:r w:rsidRPr="00B14771">
        <w:rPr>
          <w:rFonts w:ascii="Times New Roman" w:hAnsi="Times New Roman"/>
          <w:color w:val="000000"/>
          <w:szCs w:val="22"/>
        </w:rPr>
        <w:t>Glivec 400 mg comprimés pelliculés sont des comprimés jaune très foncé à brun orangé ovales. Ils ont l’inscription « </w:t>
      </w:r>
      <w:r w:rsidR="003975F2" w:rsidRPr="00B14771">
        <w:rPr>
          <w:rFonts w:ascii="Times New Roman" w:hAnsi="Times New Roman"/>
          <w:color w:val="000000"/>
          <w:szCs w:val="22"/>
        </w:rPr>
        <w:t>400</w:t>
      </w:r>
      <w:r w:rsidRPr="00B14771">
        <w:rPr>
          <w:rFonts w:ascii="Times New Roman" w:hAnsi="Times New Roman"/>
          <w:color w:val="000000"/>
          <w:szCs w:val="22"/>
        </w:rPr>
        <w:t> » sur une face</w:t>
      </w:r>
      <w:r w:rsidR="003975F2" w:rsidRPr="00B14771">
        <w:rPr>
          <w:rFonts w:ascii="Times New Roman" w:hAnsi="Times New Roman"/>
          <w:color w:val="000000"/>
          <w:szCs w:val="22"/>
        </w:rPr>
        <w:t xml:space="preserve"> et une </w:t>
      </w:r>
      <w:r w:rsidR="005C143D" w:rsidRPr="00B14771">
        <w:rPr>
          <w:rFonts w:ascii="Times New Roman" w:hAnsi="Times New Roman"/>
          <w:color w:val="000000"/>
          <w:szCs w:val="22"/>
        </w:rPr>
        <w:t xml:space="preserve">barre de </w:t>
      </w:r>
      <w:r w:rsidR="00AD72D4" w:rsidRPr="00B14771">
        <w:rPr>
          <w:rFonts w:ascii="Times New Roman" w:hAnsi="Times New Roman"/>
          <w:color w:val="000000"/>
          <w:szCs w:val="22"/>
        </w:rPr>
        <w:t>sécabilité</w:t>
      </w:r>
      <w:r w:rsidR="003975F2" w:rsidRPr="00B14771">
        <w:rPr>
          <w:rFonts w:ascii="Times New Roman" w:hAnsi="Times New Roman"/>
          <w:color w:val="000000"/>
          <w:szCs w:val="22"/>
        </w:rPr>
        <w:t xml:space="preserve"> sur l’autre face avec « SL » gravé de chaque côté de la barre</w:t>
      </w:r>
      <w:r w:rsidRPr="00B14771">
        <w:rPr>
          <w:rFonts w:ascii="Times New Roman" w:hAnsi="Times New Roman"/>
          <w:color w:val="000000"/>
          <w:szCs w:val="22"/>
        </w:rPr>
        <w:t>.</w:t>
      </w:r>
    </w:p>
    <w:p w14:paraId="0CCA902C" w14:textId="77777777" w:rsidR="00B103DB" w:rsidRPr="00B14771" w:rsidRDefault="00B103DB" w:rsidP="007F23EE">
      <w:pPr>
        <w:rPr>
          <w:rFonts w:ascii="Times New Roman" w:hAnsi="Times New Roman"/>
          <w:color w:val="000000"/>
          <w:szCs w:val="22"/>
        </w:rPr>
      </w:pPr>
    </w:p>
    <w:p w14:paraId="05C69B52" w14:textId="2981DB5C" w:rsidR="00510F33" w:rsidRPr="00B14771" w:rsidRDefault="00E82F66" w:rsidP="007F23EE">
      <w:pPr>
        <w:rPr>
          <w:rFonts w:ascii="Times New Roman" w:hAnsi="Times New Roman"/>
          <w:color w:val="000000"/>
          <w:szCs w:val="22"/>
        </w:rPr>
      </w:pPr>
      <w:r w:rsidRPr="00B14771">
        <w:rPr>
          <w:rFonts w:ascii="Times New Roman" w:hAnsi="Times New Roman"/>
          <w:color w:val="000000"/>
          <w:szCs w:val="22"/>
        </w:rPr>
        <w:t>Glivec 100 mg</w:t>
      </w:r>
      <w:r w:rsidR="00510F33" w:rsidRPr="00B14771">
        <w:rPr>
          <w:rFonts w:ascii="Times New Roman" w:hAnsi="Times New Roman"/>
          <w:color w:val="000000"/>
          <w:szCs w:val="22"/>
        </w:rPr>
        <w:t xml:space="preserve"> comprimés pelliculés</w:t>
      </w:r>
      <w:r w:rsidR="007D642D" w:rsidRPr="00B14771">
        <w:rPr>
          <w:rFonts w:ascii="Times New Roman" w:hAnsi="Times New Roman"/>
          <w:color w:val="000000"/>
          <w:szCs w:val="22"/>
        </w:rPr>
        <w:t xml:space="preserve"> sont fournis dans des boîtes contenant 20, 60, 120 ou 180 comprimés</w:t>
      </w:r>
      <w:r w:rsidR="00510F33" w:rsidRPr="00B14771">
        <w:rPr>
          <w:rFonts w:ascii="Times New Roman" w:hAnsi="Times New Roman"/>
          <w:color w:val="000000"/>
          <w:szCs w:val="22"/>
        </w:rPr>
        <w:t>.</w:t>
      </w:r>
    </w:p>
    <w:p w14:paraId="6AE3566B" w14:textId="77777777" w:rsidR="00BA169E" w:rsidRPr="008A5F3B" w:rsidRDefault="00510F33" w:rsidP="007F23EE">
      <w:pPr>
        <w:rPr>
          <w:rFonts w:ascii="Times New Roman" w:hAnsi="Times New Roman"/>
          <w:color w:val="000000"/>
          <w:szCs w:val="22"/>
        </w:rPr>
      </w:pPr>
      <w:r w:rsidRPr="00B14771">
        <w:rPr>
          <w:rFonts w:ascii="Times New Roman" w:hAnsi="Times New Roman"/>
          <w:color w:val="000000"/>
          <w:szCs w:val="22"/>
        </w:rPr>
        <w:t>Glivec 400 mg comprimés pelliculés sont fournis dans des boîtes</w:t>
      </w:r>
      <w:r w:rsidRPr="008A5F3B">
        <w:rPr>
          <w:rFonts w:ascii="Times New Roman" w:hAnsi="Times New Roman"/>
          <w:color w:val="000000"/>
          <w:szCs w:val="22"/>
        </w:rPr>
        <w:t xml:space="preserve"> contenant 10, 30 ou 90 comprimés.</w:t>
      </w:r>
    </w:p>
    <w:p w14:paraId="4565D1B3" w14:textId="65627AAE" w:rsidR="007D642D" w:rsidRPr="008A5F3B" w:rsidRDefault="00510F33" w:rsidP="007F23EE">
      <w:pPr>
        <w:rPr>
          <w:rFonts w:ascii="Times New Roman" w:hAnsi="Times New Roman"/>
          <w:color w:val="000000"/>
          <w:szCs w:val="22"/>
        </w:rPr>
      </w:pPr>
      <w:r w:rsidRPr="008A5F3B">
        <w:rPr>
          <w:rFonts w:ascii="Times New Roman" w:hAnsi="Times New Roman"/>
          <w:color w:val="000000"/>
        </w:rPr>
        <w:t>T</w:t>
      </w:r>
      <w:r w:rsidR="007D642D" w:rsidRPr="008A5F3B">
        <w:rPr>
          <w:rFonts w:ascii="Times New Roman" w:hAnsi="Times New Roman"/>
          <w:color w:val="000000"/>
        </w:rPr>
        <w:t>outes les tailles de boîtes peuvent ne pas être disponibles dans votre pays</w:t>
      </w:r>
      <w:r w:rsidR="007D642D" w:rsidRPr="008A5F3B">
        <w:rPr>
          <w:rFonts w:ascii="Times New Roman" w:hAnsi="Times New Roman"/>
          <w:color w:val="000000"/>
          <w:szCs w:val="22"/>
        </w:rPr>
        <w:t>.</w:t>
      </w:r>
    </w:p>
    <w:p w14:paraId="6E2AA57A" w14:textId="77777777" w:rsidR="007D642D" w:rsidRPr="008A5F3B" w:rsidRDefault="007D642D" w:rsidP="007F23EE">
      <w:pPr>
        <w:rPr>
          <w:rFonts w:ascii="Times New Roman" w:hAnsi="Times New Roman"/>
          <w:color w:val="000000"/>
          <w:szCs w:val="22"/>
        </w:rPr>
      </w:pPr>
    </w:p>
    <w:p w14:paraId="751B3746" w14:textId="58E93CDB" w:rsidR="007D642D" w:rsidRPr="008A5F3B" w:rsidRDefault="007D642D" w:rsidP="007F23EE">
      <w:pPr>
        <w:keepNext/>
        <w:rPr>
          <w:rFonts w:ascii="Times New Roman" w:hAnsi="Times New Roman"/>
          <w:b/>
          <w:color w:val="000000"/>
          <w:szCs w:val="22"/>
        </w:rPr>
      </w:pPr>
      <w:r w:rsidRPr="008A5F3B">
        <w:rPr>
          <w:rFonts w:ascii="Times New Roman" w:hAnsi="Times New Roman"/>
          <w:b/>
          <w:color w:val="000000"/>
          <w:szCs w:val="22"/>
        </w:rPr>
        <w:t>Titulaire de l’</w:t>
      </w:r>
      <w:r w:rsidR="006673A6" w:rsidRPr="008A5F3B">
        <w:rPr>
          <w:rFonts w:ascii="Times New Roman" w:hAnsi="Times New Roman"/>
          <w:b/>
          <w:color w:val="000000"/>
          <w:szCs w:val="22"/>
        </w:rPr>
        <w:t>A</w:t>
      </w:r>
      <w:r w:rsidRPr="008A5F3B">
        <w:rPr>
          <w:rFonts w:ascii="Times New Roman" w:hAnsi="Times New Roman"/>
          <w:b/>
          <w:color w:val="000000"/>
          <w:szCs w:val="22"/>
        </w:rPr>
        <w:t>utorisation de mise sur le marché</w:t>
      </w:r>
    </w:p>
    <w:p w14:paraId="30245F4F" w14:textId="77777777" w:rsidR="007D642D" w:rsidRPr="008A5F3B" w:rsidRDefault="007D642D" w:rsidP="007F23EE">
      <w:pPr>
        <w:keepNext/>
        <w:rPr>
          <w:rFonts w:ascii="Times New Roman" w:hAnsi="Times New Roman"/>
          <w:color w:val="000000"/>
          <w:szCs w:val="22"/>
          <w:lang w:val="en-US"/>
        </w:rPr>
      </w:pPr>
      <w:r w:rsidRPr="008A5F3B">
        <w:rPr>
          <w:rFonts w:ascii="Times New Roman" w:hAnsi="Times New Roman"/>
          <w:color w:val="000000"/>
          <w:szCs w:val="22"/>
          <w:lang w:val="en-US"/>
        </w:rPr>
        <w:t xml:space="preserve">Novartis </w:t>
      </w:r>
      <w:proofErr w:type="spellStart"/>
      <w:r w:rsidRPr="008A5F3B">
        <w:rPr>
          <w:rFonts w:ascii="Times New Roman" w:hAnsi="Times New Roman"/>
          <w:color w:val="000000"/>
          <w:szCs w:val="22"/>
          <w:lang w:val="en-US"/>
        </w:rPr>
        <w:t>Europharm</w:t>
      </w:r>
      <w:proofErr w:type="spellEnd"/>
      <w:r w:rsidRPr="008A5F3B">
        <w:rPr>
          <w:rFonts w:ascii="Times New Roman" w:hAnsi="Times New Roman"/>
          <w:color w:val="000000"/>
          <w:szCs w:val="22"/>
          <w:lang w:val="en-US"/>
        </w:rPr>
        <w:t xml:space="preserve"> Limited</w:t>
      </w:r>
    </w:p>
    <w:p w14:paraId="7E691C4F" w14:textId="77777777" w:rsidR="000666D1" w:rsidRPr="008A5F3B" w:rsidRDefault="000666D1" w:rsidP="007F23EE">
      <w:pPr>
        <w:keepNext/>
        <w:rPr>
          <w:rFonts w:ascii="Times New Roman" w:hAnsi="Times New Roman"/>
          <w:color w:val="000000"/>
          <w:lang w:val="en-US"/>
        </w:rPr>
      </w:pPr>
      <w:r w:rsidRPr="008A5F3B">
        <w:rPr>
          <w:rFonts w:ascii="Times New Roman" w:hAnsi="Times New Roman"/>
          <w:color w:val="000000"/>
          <w:lang w:val="en-US"/>
        </w:rPr>
        <w:t>Vista Building</w:t>
      </w:r>
    </w:p>
    <w:p w14:paraId="216FEEE6" w14:textId="77777777" w:rsidR="000666D1" w:rsidRPr="008A5F3B" w:rsidRDefault="000666D1" w:rsidP="007F23EE">
      <w:pPr>
        <w:keepNext/>
        <w:rPr>
          <w:rFonts w:ascii="Times New Roman" w:hAnsi="Times New Roman"/>
          <w:color w:val="000000"/>
          <w:lang w:val="en-US"/>
        </w:rPr>
      </w:pPr>
      <w:r w:rsidRPr="008A5F3B">
        <w:rPr>
          <w:rFonts w:ascii="Times New Roman" w:hAnsi="Times New Roman"/>
          <w:color w:val="000000"/>
          <w:lang w:val="en-US"/>
        </w:rPr>
        <w:t>Elm Park, Merrion Road</w:t>
      </w:r>
    </w:p>
    <w:p w14:paraId="5E2CAC1E" w14:textId="77777777" w:rsidR="000666D1" w:rsidRPr="00503B83" w:rsidRDefault="000666D1" w:rsidP="007F23EE">
      <w:pPr>
        <w:keepNext/>
        <w:rPr>
          <w:rFonts w:ascii="Times New Roman" w:hAnsi="Times New Roman"/>
          <w:color w:val="000000"/>
          <w:lang w:val="en-US"/>
        </w:rPr>
      </w:pPr>
      <w:r w:rsidRPr="00503B83">
        <w:rPr>
          <w:rFonts w:ascii="Times New Roman" w:hAnsi="Times New Roman"/>
          <w:color w:val="000000"/>
          <w:lang w:val="en-US"/>
        </w:rPr>
        <w:t>Dublin 4</w:t>
      </w:r>
    </w:p>
    <w:p w14:paraId="72D3EE6F" w14:textId="77777777" w:rsidR="007D642D" w:rsidRPr="00503B83" w:rsidRDefault="000666D1" w:rsidP="007F23EE">
      <w:pPr>
        <w:rPr>
          <w:rFonts w:ascii="Times New Roman" w:hAnsi="Times New Roman"/>
          <w:color w:val="000000"/>
          <w:szCs w:val="22"/>
          <w:lang w:val="en-US"/>
        </w:rPr>
      </w:pPr>
      <w:proofErr w:type="spellStart"/>
      <w:r w:rsidRPr="00503B83">
        <w:rPr>
          <w:rFonts w:ascii="Times New Roman" w:hAnsi="Times New Roman"/>
          <w:lang w:val="en-US"/>
        </w:rPr>
        <w:t>Irlande</w:t>
      </w:r>
      <w:proofErr w:type="spellEnd"/>
    </w:p>
    <w:p w14:paraId="476F1BF9" w14:textId="77777777" w:rsidR="007D642D" w:rsidRPr="00503B83" w:rsidRDefault="007D642D" w:rsidP="007F23EE">
      <w:pPr>
        <w:rPr>
          <w:rFonts w:ascii="Times New Roman" w:hAnsi="Times New Roman"/>
          <w:color w:val="000000"/>
          <w:szCs w:val="22"/>
          <w:lang w:val="en-US"/>
        </w:rPr>
      </w:pPr>
    </w:p>
    <w:p w14:paraId="0C90FED8" w14:textId="77777777" w:rsidR="007D642D" w:rsidRPr="00503B83" w:rsidRDefault="007D642D" w:rsidP="007F23EE">
      <w:pPr>
        <w:keepNext/>
        <w:rPr>
          <w:rFonts w:ascii="Times New Roman" w:hAnsi="Times New Roman"/>
          <w:b/>
          <w:color w:val="000000"/>
          <w:szCs w:val="22"/>
          <w:lang w:val="en-US"/>
        </w:rPr>
      </w:pPr>
      <w:r w:rsidRPr="00503B83">
        <w:rPr>
          <w:rFonts w:ascii="Times New Roman" w:hAnsi="Times New Roman"/>
          <w:b/>
          <w:color w:val="000000"/>
          <w:szCs w:val="22"/>
          <w:lang w:val="en-US"/>
        </w:rPr>
        <w:t>Fabricant</w:t>
      </w:r>
    </w:p>
    <w:p w14:paraId="370F2B86" w14:textId="77777777" w:rsidR="009C68FF" w:rsidRPr="009C68FF" w:rsidRDefault="009C68FF" w:rsidP="007F23EE">
      <w:pPr>
        <w:keepNext/>
        <w:tabs>
          <w:tab w:val="left" w:pos="7513"/>
        </w:tabs>
        <w:rPr>
          <w:rFonts w:ascii="Times New Roman" w:hAnsi="Times New Roman"/>
          <w:szCs w:val="22"/>
          <w:lang w:val="en-US"/>
        </w:rPr>
      </w:pPr>
      <w:r w:rsidRPr="009C68FF">
        <w:rPr>
          <w:rFonts w:ascii="Times New Roman" w:hAnsi="Times New Roman"/>
          <w:szCs w:val="22"/>
          <w:lang w:val="en-US"/>
        </w:rPr>
        <w:t>Novartis Pharmaceutical Manufacturing LLC</w:t>
      </w:r>
    </w:p>
    <w:p w14:paraId="5C057C35" w14:textId="77777777" w:rsidR="009C68FF" w:rsidRPr="009C68FF" w:rsidRDefault="009C68FF" w:rsidP="007F23EE">
      <w:pPr>
        <w:keepNext/>
        <w:tabs>
          <w:tab w:val="left" w:pos="7513"/>
        </w:tabs>
        <w:rPr>
          <w:rFonts w:ascii="Times New Roman" w:hAnsi="Times New Roman"/>
          <w:szCs w:val="22"/>
          <w:lang w:val="en-US"/>
        </w:rPr>
      </w:pPr>
      <w:proofErr w:type="spellStart"/>
      <w:r w:rsidRPr="009C68FF">
        <w:rPr>
          <w:rFonts w:ascii="Times New Roman" w:hAnsi="Times New Roman"/>
          <w:szCs w:val="22"/>
          <w:lang w:val="en-US"/>
        </w:rPr>
        <w:t>Verovskova</w:t>
      </w:r>
      <w:proofErr w:type="spellEnd"/>
      <w:r w:rsidRPr="009C68FF">
        <w:rPr>
          <w:rFonts w:ascii="Times New Roman" w:hAnsi="Times New Roman"/>
          <w:szCs w:val="22"/>
          <w:lang w:val="en-US"/>
        </w:rPr>
        <w:t xml:space="preserve"> </w:t>
      </w:r>
      <w:proofErr w:type="spellStart"/>
      <w:r w:rsidRPr="009C68FF">
        <w:rPr>
          <w:rFonts w:ascii="Times New Roman" w:hAnsi="Times New Roman"/>
          <w:szCs w:val="22"/>
          <w:lang w:val="en-US"/>
        </w:rPr>
        <w:t>Ulica</w:t>
      </w:r>
      <w:proofErr w:type="spellEnd"/>
      <w:r w:rsidRPr="009C68FF">
        <w:rPr>
          <w:rFonts w:ascii="Times New Roman" w:hAnsi="Times New Roman"/>
          <w:szCs w:val="22"/>
          <w:lang w:val="en-US"/>
        </w:rPr>
        <w:t xml:space="preserve"> 57</w:t>
      </w:r>
    </w:p>
    <w:p w14:paraId="597AF6DC" w14:textId="77777777" w:rsidR="009C68FF" w:rsidRPr="009C68FF" w:rsidRDefault="009C68FF" w:rsidP="007F23EE">
      <w:pPr>
        <w:keepNext/>
        <w:tabs>
          <w:tab w:val="left" w:pos="7513"/>
        </w:tabs>
        <w:rPr>
          <w:rFonts w:ascii="Times New Roman" w:hAnsi="Times New Roman"/>
          <w:szCs w:val="22"/>
          <w:lang w:val="en-US"/>
        </w:rPr>
      </w:pPr>
      <w:r w:rsidRPr="009C68FF">
        <w:rPr>
          <w:rFonts w:ascii="Times New Roman" w:hAnsi="Times New Roman"/>
          <w:szCs w:val="22"/>
          <w:lang w:val="en-US"/>
        </w:rPr>
        <w:t>Ljubljana, 1000</w:t>
      </w:r>
    </w:p>
    <w:p w14:paraId="35C587E2" w14:textId="77777777" w:rsidR="009C68FF" w:rsidRPr="00503B83" w:rsidRDefault="009C68FF" w:rsidP="007F23EE">
      <w:pPr>
        <w:tabs>
          <w:tab w:val="left" w:pos="7513"/>
        </w:tabs>
        <w:rPr>
          <w:rFonts w:ascii="Times New Roman" w:hAnsi="Times New Roman"/>
          <w:szCs w:val="22"/>
          <w:lang w:val="en-US"/>
        </w:rPr>
      </w:pPr>
      <w:proofErr w:type="spellStart"/>
      <w:r w:rsidRPr="00503B83">
        <w:rPr>
          <w:rFonts w:ascii="Times New Roman" w:hAnsi="Times New Roman"/>
          <w:szCs w:val="22"/>
          <w:lang w:val="en-US"/>
        </w:rPr>
        <w:t>Slovénie</w:t>
      </w:r>
      <w:proofErr w:type="spellEnd"/>
    </w:p>
    <w:p w14:paraId="5F9B885B" w14:textId="77777777" w:rsidR="009C68FF" w:rsidRPr="009C68FF" w:rsidRDefault="009C68FF" w:rsidP="007F23EE">
      <w:pPr>
        <w:ind w:right="-2"/>
        <w:rPr>
          <w:rFonts w:ascii="Times New Roman" w:hAnsi="Times New Roman"/>
          <w:color w:val="000000"/>
          <w:szCs w:val="22"/>
          <w:lang w:val="en-US"/>
        </w:rPr>
      </w:pPr>
    </w:p>
    <w:p w14:paraId="318D60B6" w14:textId="77777777" w:rsidR="00D447C7" w:rsidRPr="00503B83" w:rsidRDefault="00D447C7" w:rsidP="007F23EE">
      <w:pPr>
        <w:keepNext/>
        <w:tabs>
          <w:tab w:val="left" w:pos="7513"/>
        </w:tabs>
        <w:rPr>
          <w:rFonts w:ascii="Times New Roman" w:hAnsi="Times New Roman"/>
          <w:szCs w:val="22"/>
          <w:shd w:val="pct15" w:color="auto" w:fill="auto"/>
          <w:lang w:val="en-US"/>
        </w:rPr>
      </w:pPr>
      <w:r w:rsidRPr="00503B83">
        <w:rPr>
          <w:rFonts w:ascii="Times New Roman" w:hAnsi="Times New Roman"/>
          <w:szCs w:val="22"/>
          <w:shd w:val="pct15" w:color="auto" w:fill="auto"/>
          <w:lang w:val="en-US"/>
        </w:rPr>
        <w:t xml:space="preserve">Lek </w:t>
      </w:r>
      <w:proofErr w:type="spellStart"/>
      <w:r w:rsidRPr="00503B83">
        <w:rPr>
          <w:rFonts w:ascii="Times New Roman" w:hAnsi="Times New Roman"/>
          <w:szCs w:val="22"/>
          <w:shd w:val="pct15" w:color="auto" w:fill="auto"/>
          <w:lang w:val="en-US"/>
        </w:rPr>
        <w:t>d.d</w:t>
      </w:r>
      <w:proofErr w:type="spellEnd"/>
      <w:r w:rsidRPr="00503B83">
        <w:rPr>
          <w:rFonts w:ascii="Times New Roman" w:hAnsi="Times New Roman"/>
          <w:szCs w:val="22"/>
          <w:shd w:val="pct15" w:color="auto" w:fill="auto"/>
          <w:lang w:val="en-US"/>
        </w:rPr>
        <w:t>, PE PROIZVODNJA LENDAVA</w:t>
      </w:r>
    </w:p>
    <w:p w14:paraId="17C40175" w14:textId="77777777" w:rsidR="00D447C7" w:rsidRPr="00D70B74" w:rsidRDefault="00D447C7" w:rsidP="007F23EE">
      <w:pPr>
        <w:keepNext/>
        <w:tabs>
          <w:tab w:val="left" w:pos="7513"/>
        </w:tabs>
        <w:rPr>
          <w:rFonts w:ascii="Times New Roman" w:hAnsi="Times New Roman"/>
          <w:szCs w:val="22"/>
          <w:shd w:val="pct15" w:color="auto" w:fill="auto"/>
        </w:rPr>
      </w:pPr>
      <w:proofErr w:type="spellStart"/>
      <w:r w:rsidRPr="00D70B74">
        <w:rPr>
          <w:rFonts w:ascii="Times New Roman" w:hAnsi="Times New Roman"/>
          <w:szCs w:val="22"/>
          <w:shd w:val="pct15" w:color="auto" w:fill="auto"/>
        </w:rPr>
        <w:t>Trimlini</w:t>
      </w:r>
      <w:proofErr w:type="spellEnd"/>
      <w:r w:rsidRPr="00D70B74">
        <w:rPr>
          <w:rFonts w:ascii="Times New Roman" w:hAnsi="Times New Roman"/>
          <w:szCs w:val="22"/>
          <w:shd w:val="pct15" w:color="auto" w:fill="auto"/>
        </w:rPr>
        <w:t xml:space="preserve"> 2D</w:t>
      </w:r>
    </w:p>
    <w:p w14:paraId="5578A917" w14:textId="77777777" w:rsidR="00D447C7" w:rsidRPr="00D70B74" w:rsidRDefault="00D447C7" w:rsidP="007F23EE">
      <w:pPr>
        <w:keepNext/>
        <w:tabs>
          <w:tab w:val="left" w:pos="7513"/>
        </w:tabs>
        <w:rPr>
          <w:rFonts w:ascii="Times New Roman" w:hAnsi="Times New Roman"/>
          <w:szCs w:val="22"/>
          <w:shd w:val="pct15" w:color="auto" w:fill="auto"/>
        </w:rPr>
      </w:pPr>
      <w:proofErr w:type="spellStart"/>
      <w:r w:rsidRPr="00D70B74">
        <w:rPr>
          <w:rFonts w:ascii="Times New Roman" w:hAnsi="Times New Roman"/>
          <w:szCs w:val="22"/>
          <w:shd w:val="pct15" w:color="auto" w:fill="auto"/>
        </w:rPr>
        <w:t>Lendava</w:t>
      </w:r>
      <w:proofErr w:type="spellEnd"/>
      <w:r w:rsidRPr="00D70B74">
        <w:rPr>
          <w:rFonts w:ascii="Times New Roman" w:hAnsi="Times New Roman"/>
          <w:szCs w:val="22"/>
          <w:shd w:val="pct15" w:color="auto" w:fill="auto"/>
        </w:rPr>
        <w:t>, 9220</w:t>
      </w:r>
    </w:p>
    <w:p w14:paraId="10FBAB0E" w14:textId="77777777" w:rsidR="00D447C7" w:rsidRPr="00D70B74" w:rsidRDefault="00D447C7" w:rsidP="007F23EE">
      <w:pPr>
        <w:tabs>
          <w:tab w:val="left" w:pos="7513"/>
        </w:tabs>
        <w:rPr>
          <w:rFonts w:ascii="Times New Roman" w:hAnsi="Times New Roman"/>
          <w:szCs w:val="22"/>
          <w:shd w:val="pct15" w:color="auto" w:fill="auto"/>
        </w:rPr>
      </w:pPr>
      <w:r w:rsidRPr="00D70B74">
        <w:rPr>
          <w:rFonts w:ascii="Times New Roman" w:hAnsi="Times New Roman"/>
          <w:szCs w:val="22"/>
          <w:shd w:val="pct15" w:color="auto" w:fill="auto"/>
        </w:rPr>
        <w:t>Slovénie</w:t>
      </w:r>
    </w:p>
    <w:p w14:paraId="21DDE771" w14:textId="77777777" w:rsidR="00D447C7" w:rsidRPr="008A5F3B" w:rsidRDefault="00D447C7" w:rsidP="007F23EE">
      <w:pPr>
        <w:tabs>
          <w:tab w:val="left" w:pos="7513"/>
        </w:tabs>
        <w:rPr>
          <w:rFonts w:ascii="Times New Roman" w:hAnsi="Times New Roman"/>
          <w:szCs w:val="22"/>
        </w:rPr>
      </w:pPr>
    </w:p>
    <w:p w14:paraId="4811A02D" w14:textId="77777777" w:rsidR="00FA7035" w:rsidRPr="00F46B3D" w:rsidRDefault="00FA7035" w:rsidP="007F23EE">
      <w:pPr>
        <w:keepNext/>
        <w:tabs>
          <w:tab w:val="left" w:pos="7513"/>
        </w:tabs>
        <w:rPr>
          <w:rFonts w:ascii="Times New Roman" w:hAnsi="Times New Roman"/>
          <w:szCs w:val="22"/>
          <w:shd w:val="pct15" w:color="auto" w:fill="auto"/>
          <w:lang w:val="it-IT"/>
        </w:rPr>
      </w:pPr>
      <w:r w:rsidRPr="00F46B3D">
        <w:rPr>
          <w:rFonts w:ascii="Times New Roman" w:hAnsi="Times New Roman"/>
          <w:szCs w:val="22"/>
          <w:shd w:val="pct15" w:color="auto" w:fill="auto"/>
          <w:lang w:val="it-IT"/>
        </w:rPr>
        <w:t>Novartis Farmacéutica, S.A.</w:t>
      </w:r>
    </w:p>
    <w:p w14:paraId="673AB004" w14:textId="77777777" w:rsidR="00FA7035" w:rsidRPr="00F46B3D" w:rsidRDefault="00FA7035" w:rsidP="007F23EE">
      <w:pPr>
        <w:keepNext/>
        <w:tabs>
          <w:tab w:val="left" w:pos="7513"/>
        </w:tabs>
        <w:rPr>
          <w:rFonts w:ascii="Times New Roman" w:hAnsi="Times New Roman"/>
          <w:szCs w:val="22"/>
          <w:shd w:val="pct15" w:color="auto" w:fill="auto"/>
          <w:lang w:val="it-IT"/>
        </w:rPr>
      </w:pPr>
      <w:r w:rsidRPr="00F46B3D">
        <w:rPr>
          <w:rFonts w:ascii="Times New Roman" w:hAnsi="Times New Roman"/>
          <w:szCs w:val="22"/>
          <w:shd w:val="pct15" w:color="auto" w:fill="auto"/>
          <w:lang w:val="it-IT"/>
        </w:rPr>
        <w:t>Gran Via de les Corts Catalanes, 764</w:t>
      </w:r>
    </w:p>
    <w:p w14:paraId="517F8935" w14:textId="77777777" w:rsidR="00FA7035" w:rsidRPr="00F46B3D" w:rsidRDefault="00FA7035" w:rsidP="007F23EE">
      <w:pPr>
        <w:keepNext/>
        <w:tabs>
          <w:tab w:val="left" w:pos="7513"/>
        </w:tabs>
        <w:rPr>
          <w:rFonts w:ascii="Times New Roman" w:hAnsi="Times New Roman"/>
          <w:szCs w:val="22"/>
          <w:shd w:val="pct15" w:color="auto" w:fill="auto"/>
          <w:lang w:val="it-IT"/>
        </w:rPr>
      </w:pPr>
      <w:r w:rsidRPr="00F46B3D">
        <w:rPr>
          <w:rFonts w:ascii="Times New Roman" w:hAnsi="Times New Roman"/>
          <w:szCs w:val="22"/>
          <w:shd w:val="pct15" w:color="auto" w:fill="auto"/>
          <w:lang w:val="it-IT"/>
        </w:rPr>
        <w:t>08013 Barcelon</w:t>
      </w:r>
      <w:r>
        <w:rPr>
          <w:rFonts w:ascii="Times New Roman" w:hAnsi="Times New Roman"/>
          <w:szCs w:val="22"/>
          <w:shd w:val="pct15" w:color="auto" w:fill="auto"/>
          <w:lang w:val="it-IT"/>
        </w:rPr>
        <w:t>e</w:t>
      </w:r>
    </w:p>
    <w:p w14:paraId="5DBA49F7" w14:textId="5DA73497" w:rsidR="007D642D" w:rsidRPr="008A5F3B" w:rsidRDefault="00FA7035" w:rsidP="007F23EE">
      <w:pPr>
        <w:rPr>
          <w:rFonts w:ascii="Times New Roman" w:hAnsi="Times New Roman"/>
          <w:szCs w:val="22"/>
          <w:shd w:val="pct15" w:color="auto" w:fill="auto"/>
        </w:rPr>
      </w:pPr>
      <w:r w:rsidRPr="00F46B3D">
        <w:rPr>
          <w:rFonts w:ascii="Times New Roman" w:hAnsi="Times New Roman"/>
          <w:szCs w:val="22"/>
          <w:shd w:val="pct15" w:color="auto" w:fill="auto"/>
          <w:lang w:val="it-IT"/>
        </w:rPr>
        <w:t>Espagne</w:t>
      </w:r>
    </w:p>
    <w:p w14:paraId="4EB46976" w14:textId="77777777" w:rsidR="007D642D" w:rsidRDefault="007D642D" w:rsidP="007F23EE">
      <w:pPr>
        <w:pStyle w:val="BodyText"/>
        <w:jc w:val="left"/>
        <w:rPr>
          <w:noProof w:val="0"/>
          <w:szCs w:val="22"/>
          <w:lang w:eastAsia="fr-FR"/>
        </w:rPr>
      </w:pPr>
    </w:p>
    <w:p w14:paraId="6DCC110E" w14:textId="77777777" w:rsidR="00FE1098" w:rsidRPr="00503B83" w:rsidRDefault="00FE1098" w:rsidP="007F23EE">
      <w:pPr>
        <w:keepNext/>
        <w:rPr>
          <w:rFonts w:ascii="Times New Roman" w:eastAsia="Aptos" w:hAnsi="Times New Roman"/>
          <w:szCs w:val="22"/>
          <w:shd w:val="pct15" w:color="auto" w:fill="auto"/>
          <w:lang w:eastAsia="de-CH"/>
        </w:rPr>
      </w:pPr>
      <w:r w:rsidRPr="00503B83">
        <w:rPr>
          <w:rFonts w:ascii="Times New Roman" w:eastAsia="Aptos" w:hAnsi="Times New Roman"/>
          <w:szCs w:val="22"/>
          <w:shd w:val="pct15" w:color="auto" w:fill="auto"/>
          <w:lang w:eastAsia="de-CH"/>
        </w:rPr>
        <w:t xml:space="preserve">Novartis Pharma </w:t>
      </w:r>
      <w:proofErr w:type="spellStart"/>
      <w:r w:rsidRPr="00503B83">
        <w:rPr>
          <w:rFonts w:ascii="Times New Roman" w:eastAsia="Aptos" w:hAnsi="Times New Roman"/>
          <w:szCs w:val="22"/>
          <w:shd w:val="pct15" w:color="auto" w:fill="auto"/>
          <w:lang w:eastAsia="de-CH"/>
        </w:rPr>
        <w:t>GmbH</w:t>
      </w:r>
      <w:proofErr w:type="spellEnd"/>
    </w:p>
    <w:p w14:paraId="48B73701" w14:textId="77777777" w:rsidR="00FE1098" w:rsidRPr="00503B83" w:rsidRDefault="00FE1098" w:rsidP="007F23EE">
      <w:pPr>
        <w:keepNext/>
        <w:rPr>
          <w:rFonts w:ascii="Times New Roman" w:eastAsia="Aptos" w:hAnsi="Times New Roman"/>
          <w:szCs w:val="22"/>
          <w:shd w:val="pct15" w:color="auto" w:fill="auto"/>
          <w:lang w:eastAsia="de-CH"/>
        </w:rPr>
      </w:pPr>
      <w:r w:rsidRPr="00503B83">
        <w:rPr>
          <w:rFonts w:ascii="Times New Roman" w:eastAsia="Aptos" w:hAnsi="Times New Roman"/>
          <w:szCs w:val="22"/>
          <w:shd w:val="pct15" w:color="auto" w:fill="auto"/>
          <w:lang w:eastAsia="de-CH"/>
        </w:rPr>
        <w:t>Sophie-Germain-Strasse 10</w:t>
      </w:r>
    </w:p>
    <w:p w14:paraId="37C5F103" w14:textId="77777777" w:rsidR="00FE1098" w:rsidRPr="00503B83" w:rsidRDefault="00FE1098" w:rsidP="007F23EE">
      <w:pPr>
        <w:keepNext/>
        <w:rPr>
          <w:rFonts w:ascii="Times New Roman" w:eastAsia="Aptos" w:hAnsi="Times New Roman"/>
          <w:szCs w:val="22"/>
          <w:shd w:val="pct15" w:color="auto" w:fill="auto"/>
          <w:lang w:eastAsia="de-CH"/>
        </w:rPr>
      </w:pPr>
      <w:r w:rsidRPr="00503B83">
        <w:rPr>
          <w:rFonts w:ascii="Times New Roman" w:eastAsia="Aptos" w:hAnsi="Times New Roman"/>
          <w:szCs w:val="22"/>
          <w:shd w:val="pct15" w:color="auto" w:fill="auto"/>
          <w:lang w:eastAsia="de-CH"/>
        </w:rPr>
        <w:t>90443 Nuremberg</w:t>
      </w:r>
    </w:p>
    <w:p w14:paraId="31F7D7AC" w14:textId="3FBBDD27" w:rsidR="00FE1098" w:rsidRDefault="00FE1098" w:rsidP="007F23EE">
      <w:pPr>
        <w:pStyle w:val="BodyText"/>
        <w:jc w:val="left"/>
        <w:rPr>
          <w:szCs w:val="22"/>
          <w:shd w:val="pct15" w:color="auto" w:fill="auto"/>
          <w:lang w:val="de-CH"/>
        </w:rPr>
      </w:pPr>
      <w:r w:rsidRPr="000E3ADA">
        <w:rPr>
          <w:szCs w:val="22"/>
          <w:shd w:val="pct15" w:color="auto" w:fill="auto"/>
          <w:lang w:val="de-CH"/>
        </w:rPr>
        <w:t>Allemagne</w:t>
      </w:r>
    </w:p>
    <w:p w14:paraId="49CCE746" w14:textId="77777777" w:rsidR="00FE1098" w:rsidRPr="008A5F3B" w:rsidRDefault="00FE1098" w:rsidP="007F23EE">
      <w:pPr>
        <w:pStyle w:val="BodyText"/>
        <w:jc w:val="left"/>
        <w:rPr>
          <w:noProof w:val="0"/>
          <w:szCs w:val="22"/>
          <w:lang w:eastAsia="fr-FR"/>
        </w:rPr>
      </w:pPr>
    </w:p>
    <w:p w14:paraId="7A3EC0CF" w14:textId="06D08856" w:rsidR="007D642D" w:rsidRPr="008A5F3B" w:rsidRDefault="007D642D" w:rsidP="007F23EE">
      <w:pPr>
        <w:pStyle w:val="BodyText"/>
        <w:keepNext/>
        <w:jc w:val="left"/>
        <w:rPr>
          <w:noProof w:val="0"/>
          <w:color w:val="000000"/>
          <w:szCs w:val="22"/>
          <w:lang w:eastAsia="fr-FR"/>
        </w:rPr>
      </w:pPr>
      <w:r w:rsidRPr="008A5F3B">
        <w:rPr>
          <w:noProof w:val="0"/>
          <w:color w:val="000000"/>
          <w:szCs w:val="22"/>
          <w:lang w:eastAsia="fr-FR"/>
        </w:rPr>
        <w:t>Pour toute information complémentaire concernant ce médicament, veuillez prendre contact avec le représentant local du titulaire de l’autorisation de mise sur le marché</w:t>
      </w:r>
      <w:r w:rsidR="0072101A" w:rsidRPr="008A5F3B">
        <w:rPr>
          <w:noProof w:val="0"/>
          <w:color w:val="000000"/>
          <w:szCs w:val="22"/>
          <w:lang w:eastAsia="fr-FR"/>
        </w:rPr>
        <w:t> :</w:t>
      </w:r>
    </w:p>
    <w:p w14:paraId="5477C972" w14:textId="77777777" w:rsidR="005057D2" w:rsidRPr="008A5F3B" w:rsidRDefault="005057D2" w:rsidP="007F23EE">
      <w:pPr>
        <w:keepNext/>
        <w:ind w:right="-449"/>
        <w:rPr>
          <w:rFonts w:ascii="Times New Roman" w:hAnsi="Times New Roman"/>
          <w:color w:val="000000"/>
          <w:szCs w:val="22"/>
        </w:rPr>
      </w:pPr>
    </w:p>
    <w:tbl>
      <w:tblPr>
        <w:tblW w:w="9300" w:type="dxa"/>
        <w:tblLayout w:type="fixed"/>
        <w:tblLook w:val="0000" w:firstRow="0" w:lastRow="0" w:firstColumn="0" w:lastColumn="0" w:noHBand="0" w:noVBand="0"/>
      </w:tblPr>
      <w:tblGrid>
        <w:gridCol w:w="4650"/>
        <w:gridCol w:w="4650"/>
      </w:tblGrid>
      <w:tr w:rsidR="005057D2" w:rsidRPr="008A5F3B" w14:paraId="2A35E771" w14:textId="77777777" w:rsidTr="000666D1">
        <w:trPr>
          <w:cantSplit/>
        </w:trPr>
        <w:tc>
          <w:tcPr>
            <w:tcW w:w="4650" w:type="dxa"/>
          </w:tcPr>
          <w:p w14:paraId="12780B2F" w14:textId="77777777" w:rsidR="005057D2" w:rsidRPr="008A5F3B" w:rsidRDefault="005057D2" w:rsidP="007F23EE">
            <w:pPr>
              <w:rPr>
                <w:rFonts w:ascii="Times New Roman" w:hAnsi="Times New Roman"/>
                <w:b/>
                <w:color w:val="000000"/>
                <w:szCs w:val="22"/>
              </w:rPr>
            </w:pPr>
            <w:proofErr w:type="spellStart"/>
            <w:r w:rsidRPr="008A5F3B">
              <w:rPr>
                <w:rFonts w:ascii="Times New Roman" w:hAnsi="Times New Roman"/>
                <w:b/>
                <w:color w:val="000000"/>
                <w:szCs w:val="22"/>
              </w:rPr>
              <w:t>België</w:t>
            </w:r>
            <w:proofErr w:type="spellEnd"/>
            <w:r w:rsidRPr="008A5F3B">
              <w:rPr>
                <w:rFonts w:ascii="Times New Roman" w:hAnsi="Times New Roman"/>
                <w:b/>
                <w:color w:val="000000"/>
                <w:szCs w:val="22"/>
              </w:rPr>
              <w:t>/Belgique/</w:t>
            </w:r>
            <w:proofErr w:type="spellStart"/>
            <w:r w:rsidRPr="008A5F3B">
              <w:rPr>
                <w:rFonts w:ascii="Times New Roman" w:hAnsi="Times New Roman"/>
                <w:b/>
                <w:color w:val="000000"/>
                <w:szCs w:val="22"/>
              </w:rPr>
              <w:t>Belgien</w:t>
            </w:r>
            <w:proofErr w:type="spellEnd"/>
          </w:p>
          <w:p w14:paraId="2251CBB7" w14:textId="77777777" w:rsidR="005057D2" w:rsidRPr="008A5F3B" w:rsidRDefault="005057D2" w:rsidP="007F23EE">
            <w:pPr>
              <w:rPr>
                <w:rFonts w:ascii="Times New Roman" w:hAnsi="Times New Roman"/>
                <w:color w:val="000000"/>
                <w:szCs w:val="22"/>
              </w:rPr>
            </w:pPr>
            <w:r w:rsidRPr="008A5F3B">
              <w:rPr>
                <w:rFonts w:ascii="Times New Roman" w:hAnsi="Times New Roman"/>
                <w:color w:val="000000"/>
                <w:szCs w:val="22"/>
              </w:rPr>
              <w:t>Novartis Pharma N.V.</w:t>
            </w:r>
          </w:p>
          <w:p w14:paraId="3700E374" w14:textId="77777777" w:rsidR="005057D2" w:rsidRPr="008A5F3B" w:rsidRDefault="005057D2" w:rsidP="007F23EE">
            <w:pPr>
              <w:rPr>
                <w:rFonts w:ascii="Times New Roman" w:hAnsi="Times New Roman"/>
                <w:color w:val="000000"/>
                <w:szCs w:val="22"/>
              </w:rPr>
            </w:pPr>
            <w:r w:rsidRPr="008A5F3B">
              <w:rPr>
                <w:rFonts w:ascii="Times New Roman" w:hAnsi="Times New Roman"/>
                <w:color w:val="000000"/>
                <w:szCs w:val="22"/>
              </w:rPr>
              <w:t>Tél/</w:t>
            </w:r>
            <w:proofErr w:type="gramStart"/>
            <w:r w:rsidRPr="008A5F3B">
              <w:rPr>
                <w:rFonts w:ascii="Times New Roman" w:hAnsi="Times New Roman"/>
                <w:color w:val="000000"/>
                <w:szCs w:val="22"/>
              </w:rPr>
              <w:t>Tel:</w:t>
            </w:r>
            <w:proofErr w:type="gramEnd"/>
            <w:r w:rsidRPr="008A5F3B">
              <w:rPr>
                <w:rFonts w:ascii="Times New Roman" w:hAnsi="Times New Roman"/>
                <w:color w:val="000000"/>
                <w:szCs w:val="22"/>
              </w:rPr>
              <w:t xml:space="preserve"> +32 2 246 16 11</w:t>
            </w:r>
          </w:p>
          <w:p w14:paraId="3822A6EB" w14:textId="77777777" w:rsidR="005057D2" w:rsidRPr="008A5F3B" w:rsidRDefault="005057D2" w:rsidP="007F23EE">
            <w:pPr>
              <w:rPr>
                <w:rFonts w:ascii="Times New Roman" w:hAnsi="Times New Roman"/>
                <w:b/>
                <w:color w:val="000000"/>
                <w:szCs w:val="22"/>
              </w:rPr>
            </w:pPr>
          </w:p>
        </w:tc>
        <w:tc>
          <w:tcPr>
            <w:tcW w:w="4650" w:type="dxa"/>
          </w:tcPr>
          <w:p w14:paraId="246A4DAE" w14:textId="77777777" w:rsidR="005057D2" w:rsidRPr="008A5F3B" w:rsidRDefault="005057D2" w:rsidP="007F23EE">
            <w:pPr>
              <w:rPr>
                <w:rFonts w:ascii="Times New Roman" w:hAnsi="Times New Roman"/>
                <w:b/>
                <w:color w:val="000000"/>
                <w:szCs w:val="22"/>
                <w:lang w:val="es-ES"/>
              </w:rPr>
            </w:pPr>
            <w:proofErr w:type="spellStart"/>
            <w:r w:rsidRPr="008A5F3B">
              <w:rPr>
                <w:rFonts w:ascii="Times New Roman" w:hAnsi="Times New Roman"/>
                <w:b/>
                <w:color w:val="000000"/>
                <w:szCs w:val="22"/>
                <w:lang w:val="es-ES"/>
              </w:rPr>
              <w:t>Lietuva</w:t>
            </w:r>
            <w:proofErr w:type="spellEnd"/>
          </w:p>
          <w:p w14:paraId="1D32CA8E" w14:textId="19030B01" w:rsidR="005057D2" w:rsidRPr="008A5F3B" w:rsidRDefault="00226601" w:rsidP="007F23EE">
            <w:pPr>
              <w:rPr>
                <w:rFonts w:ascii="Times New Roman" w:hAnsi="Times New Roman"/>
                <w:color w:val="000000"/>
                <w:szCs w:val="22"/>
                <w:lang w:val="es-ES"/>
              </w:rPr>
            </w:pPr>
            <w:r w:rsidRPr="008A5F3B">
              <w:rPr>
                <w:rFonts w:ascii="Times New Roman" w:hAnsi="Times New Roman"/>
                <w:color w:val="000000"/>
                <w:szCs w:val="22"/>
                <w:lang w:val="es-ES"/>
              </w:rPr>
              <w:t xml:space="preserve">SIA Novartis </w:t>
            </w:r>
            <w:proofErr w:type="spellStart"/>
            <w:r w:rsidRPr="008A5F3B">
              <w:rPr>
                <w:rFonts w:ascii="Times New Roman" w:hAnsi="Times New Roman"/>
                <w:color w:val="000000"/>
                <w:szCs w:val="22"/>
                <w:lang w:val="es-ES"/>
              </w:rPr>
              <w:t>Baltics</w:t>
            </w:r>
            <w:proofErr w:type="spellEnd"/>
            <w:r w:rsidRPr="008A5F3B">
              <w:rPr>
                <w:rFonts w:ascii="Times New Roman" w:hAnsi="Times New Roman"/>
                <w:color w:val="000000"/>
                <w:szCs w:val="22"/>
                <w:lang w:val="es-ES"/>
              </w:rPr>
              <w:t xml:space="preserve"> </w:t>
            </w:r>
            <w:proofErr w:type="spellStart"/>
            <w:r w:rsidRPr="008A5F3B">
              <w:rPr>
                <w:rFonts w:ascii="Times New Roman" w:hAnsi="Times New Roman"/>
                <w:color w:val="000000"/>
                <w:szCs w:val="22"/>
                <w:lang w:val="es-ES"/>
              </w:rPr>
              <w:t>Lietuvos</w:t>
            </w:r>
            <w:proofErr w:type="spellEnd"/>
            <w:r w:rsidRPr="008A5F3B">
              <w:rPr>
                <w:rFonts w:ascii="Times New Roman" w:hAnsi="Times New Roman"/>
                <w:color w:val="000000"/>
                <w:szCs w:val="22"/>
                <w:lang w:val="es-ES"/>
              </w:rPr>
              <w:t xml:space="preserve"> </w:t>
            </w:r>
            <w:proofErr w:type="spellStart"/>
            <w:r w:rsidRPr="008A5F3B">
              <w:rPr>
                <w:rFonts w:ascii="Times New Roman" w:hAnsi="Times New Roman"/>
                <w:color w:val="000000"/>
                <w:szCs w:val="22"/>
                <w:lang w:val="es-ES"/>
              </w:rPr>
              <w:t>filialas</w:t>
            </w:r>
            <w:proofErr w:type="spellEnd"/>
          </w:p>
          <w:p w14:paraId="409161DB" w14:textId="77777777" w:rsidR="005057D2" w:rsidRPr="008A5F3B" w:rsidRDefault="005057D2" w:rsidP="007F23EE">
            <w:pPr>
              <w:rPr>
                <w:rFonts w:ascii="Times New Roman" w:hAnsi="Times New Roman"/>
                <w:color w:val="000000"/>
                <w:szCs w:val="22"/>
                <w:lang w:val="es-ES"/>
              </w:rPr>
            </w:pPr>
            <w:r w:rsidRPr="008A5F3B">
              <w:rPr>
                <w:rFonts w:ascii="Times New Roman" w:hAnsi="Times New Roman"/>
                <w:color w:val="000000"/>
                <w:szCs w:val="22"/>
                <w:lang w:val="es-ES"/>
              </w:rPr>
              <w:t>Tel: +370 5 269 16 50</w:t>
            </w:r>
          </w:p>
          <w:p w14:paraId="2463F836" w14:textId="77777777" w:rsidR="005057D2" w:rsidRPr="008A5F3B" w:rsidRDefault="005057D2" w:rsidP="007F23EE">
            <w:pPr>
              <w:rPr>
                <w:rFonts w:ascii="Times New Roman" w:hAnsi="Times New Roman"/>
                <w:color w:val="000000"/>
                <w:szCs w:val="22"/>
                <w:lang w:val="es-ES"/>
              </w:rPr>
            </w:pPr>
          </w:p>
        </w:tc>
      </w:tr>
      <w:tr w:rsidR="005057D2" w:rsidRPr="008A5F3B" w14:paraId="5379DB53" w14:textId="77777777" w:rsidTr="000666D1">
        <w:trPr>
          <w:cantSplit/>
        </w:trPr>
        <w:tc>
          <w:tcPr>
            <w:tcW w:w="4650" w:type="dxa"/>
          </w:tcPr>
          <w:p w14:paraId="70FC99E3" w14:textId="77777777" w:rsidR="005057D2" w:rsidRPr="008A5F3B" w:rsidRDefault="005057D2" w:rsidP="007F23EE">
            <w:pPr>
              <w:rPr>
                <w:rFonts w:ascii="Times New Roman" w:hAnsi="Times New Roman"/>
                <w:b/>
                <w:noProof/>
                <w:color w:val="000000"/>
                <w:szCs w:val="22"/>
                <w:lang w:val="es-ES"/>
              </w:rPr>
            </w:pPr>
            <w:r w:rsidRPr="008A5F3B">
              <w:rPr>
                <w:rFonts w:ascii="Times New Roman" w:hAnsi="Times New Roman"/>
                <w:b/>
                <w:noProof/>
                <w:color w:val="000000"/>
                <w:szCs w:val="22"/>
              </w:rPr>
              <w:t>България</w:t>
            </w:r>
          </w:p>
          <w:p w14:paraId="25A89061" w14:textId="77777777" w:rsidR="005057D2" w:rsidRPr="008A5F3B" w:rsidRDefault="005057D2" w:rsidP="007F23EE">
            <w:pPr>
              <w:rPr>
                <w:rFonts w:ascii="Times New Roman" w:hAnsi="Times New Roman"/>
                <w:noProof/>
                <w:color w:val="000000"/>
                <w:szCs w:val="22"/>
                <w:lang w:val="es-ES"/>
              </w:rPr>
            </w:pPr>
            <w:r w:rsidRPr="008A5F3B">
              <w:rPr>
                <w:rFonts w:ascii="Times New Roman" w:hAnsi="Times New Roman"/>
                <w:noProof/>
                <w:color w:val="000000"/>
                <w:szCs w:val="22"/>
                <w:lang w:val="es-ES"/>
              </w:rPr>
              <w:t xml:space="preserve">Novartis </w:t>
            </w:r>
            <w:r w:rsidR="00E07259" w:rsidRPr="008A5F3B">
              <w:rPr>
                <w:rFonts w:ascii="Times New Roman" w:hAnsi="Times New Roman"/>
                <w:noProof/>
                <w:color w:val="000000"/>
                <w:szCs w:val="22"/>
                <w:lang w:val="es-ES"/>
              </w:rPr>
              <w:t>Bulgaria EOOD</w:t>
            </w:r>
          </w:p>
          <w:p w14:paraId="4EB796E7" w14:textId="77777777" w:rsidR="005057D2" w:rsidRPr="008A5F3B" w:rsidRDefault="005057D2" w:rsidP="007F23EE">
            <w:pPr>
              <w:rPr>
                <w:rFonts w:ascii="Times New Roman" w:hAnsi="Times New Roman"/>
                <w:noProof/>
                <w:color w:val="000000"/>
                <w:szCs w:val="22"/>
                <w:lang w:val="es-ES"/>
              </w:rPr>
            </w:pPr>
            <w:r w:rsidRPr="008A5F3B">
              <w:rPr>
                <w:rFonts w:ascii="Times New Roman" w:hAnsi="Times New Roman"/>
                <w:noProof/>
                <w:color w:val="000000"/>
                <w:szCs w:val="22"/>
              </w:rPr>
              <w:t>Тел</w:t>
            </w:r>
            <w:r w:rsidRPr="008A5F3B">
              <w:rPr>
                <w:rFonts w:ascii="Times New Roman" w:hAnsi="Times New Roman"/>
                <w:noProof/>
                <w:color w:val="000000"/>
                <w:szCs w:val="22"/>
                <w:lang w:val="es-ES"/>
              </w:rPr>
              <w:t>.: +359 2 489 98 28</w:t>
            </w:r>
          </w:p>
          <w:p w14:paraId="74250890" w14:textId="77777777" w:rsidR="005057D2" w:rsidRPr="008A5F3B" w:rsidRDefault="005057D2" w:rsidP="007F23EE">
            <w:pPr>
              <w:rPr>
                <w:rFonts w:ascii="Times New Roman" w:hAnsi="Times New Roman"/>
                <w:b/>
                <w:color w:val="000000"/>
                <w:szCs w:val="22"/>
                <w:lang w:val="pt-BR"/>
              </w:rPr>
            </w:pPr>
          </w:p>
        </w:tc>
        <w:tc>
          <w:tcPr>
            <w:tcW w:w="4650" w:type="dxa"/>
          </w:tcPr>
          <w:p w14:paraId="4BC664B0" w14:textId="77777777" w:rsidR="005057D2" w:rsidRPr="008A5F3B" w:rsidRDefault="005057D2" w:rsidP="007F23EE">
            <w:pPr>
              <w:rPr>
                <w:rFonts w:ascii="Times New Roman" w:hAnsi="Times New Roman"/>
                <w:b/>
                <w:color w:val="000000"/>
                <w:szCs w:val="22"/>
                <w:lang w:val="de-CH"/>
              </w:rPr>
            </w:pPr>
            <w:r w:rsidRPr="008A5F3B">
              <w:rPr>
                <w:rFonts w:ascii="Times New Roman" w:hAnsi="Times New Roman"/>
                <w:b/>
                <w:color w:val="000000"/>
                <w:szCs w:val="22"/>
                <w:lang w:val="de-CH"/>
              </w:rPr>
              <w:t>Luxembourg/Luxemburg</w:t>
            </w:r>
          </w:p>
          <w:p w14:paraId="15118ED4" w14:textId="77777777" w:rsidR="005057D2" w:rsidRPr="008A5F3B" w:rsidRDefault="005057D2" w:rsidP="007F23EE">
            <w:pPr>
              <w:rPr>
                <w:rFonts w:ascii="Times New Roman" w:hAnsi="Times New Roman"/>
                <w:color w:val="000000"/>
                <w:szCs w:val="22"/>
                <w:lang w:val="de-CH"/>
              </w:rPr>
            </w:pPr>
            <w:r w:rsidRPr="008A5F3B">
              <w:rPr>
                <w:rFonts w:ascii="Times New Roman" w:hAnsi="Times New Roman"/>
                <w:color w:val="000000"/>
                <w:szCs w:val="22"/>
                <w:lang w:val="de-CH"/>
              </w:rPr>
              <w:t>Novartis Pharma N.V.</w:t>
            </w:r>
          </w:p>
          <w:p w14:paraId="5DA11B27" w14:textId="77777777" w:rsidR="005057D2" w:rsidRPr="008A5F3B" w:rsidRDefault="005057D2" w:rsidP="007F23EE">
            <w:pPr>
              <w:rPr>
                <w:rFonts w:ascii="Times New Roman" w:hAnsi="Times New Roman"/>
                <w:color w:val="000000"/>
                <w:szCs w:val="22"/>
                <w:lang w:val="de-CH"/>
              </w:rPr>
            </w:pPr>
            <w:r w:rsidRPr="008A5F3B">
              <w:rPr>
                <w:rFonts w:ascii="Times New Roman" w:hAnsi="Times New Roman"/>
                <w:color w:val="000000"/>
                <w:szCs w:val="22"/>
                <w:lang w:val="de-CH"/>
              </w:rPr>
              <w:t>Tél/Tel: +32 2 246 16 11</w:t>
            </w:r>
          </w:p>
          <w:p w14:paraId="089B9398" w14:textId="77777777" w:rsidR="005057D2" w:rsidRPr="008A5F3B" w:rsidRDefault="005057D2" w:rsidP="007F23EE">
            <w:pPr>
              <w:rPr>
                <w:rFonts w:ascii="Times New Roman" w:hAnsi="Times New Roman"/>
                <w:color w:val="000000"/>
                <w:szCs w:val="22"/>
                <w:lang w:val="de-CH"/>
              </w:rPr>
            </w:pPr>
          </w:p>
        </w:tc>
      </w:tr>
      <w:tr w:rsidR="005057D2" w:rsidRPr="00B916E8" w14:paraId="38C238F6" w14:textId="77777777" w:rsidTr="000666D1">
        <w:trPr>
          <w:cantSplit/>
        </w:trPr>
        <w:tc>
          <w:tcPr>
            <w:tcW w:w="4650" w:type="dxa"/>
          </w:tcPr>
          <w:p w14:paraId="04DFE655" w14:textId="77777777" w:rsidR="005057D2" w:rsidRPr="008A5F3B" w:rsidRDefault="005057D2" w:rsidP="007F23EE">
            <w:pPr>
              <w:rPr>
                <w:rFonts w:ascii="Times New Roman" w:hAnsi="Times New Roman"/>
                <w:b/>
                <w:color w:val="000000"/>
                <w:szCs w:val="22"/>
                <w:lang w:val="pt-BR"/>
              </w:rPr>
            </w:pPr>
            <w:r w:rsidRPr="008A5F3B">
              <w:rPr>
                <w:rFonts w:ascii="Times New Roman" w:hAnsi="Times New Roman"/>
                <w:b/>
                <w:color w:val="000000"/>
                <w:szCs w:val="22"/>
                <w:lang w:val="pt-BR"/>
              </w:rPr>
              <w:t>Česká republika</w:t>
            </w:r>
          </w:p>
          <w:p w14:paraId="1C9402EE" w14:textId="77777777" w:rsidR="005057D2" w:rsidRPr="008A5F3B" w:rsidRDefault="005057D2" w:rsidP="007F23EE">
            <w:pPr>
              <w:rPr>
                <w:rFonts w:ascii="Times New Roman" w:hAnsi="Times New Roman"/>
                <w:color w:val="000000"/>
                <w:szCs w:val="22"/>
                <w:lang w:val="pt-BR"/>
              </w:rPr>
            </w:pPr>
            <w:r w:rsidRPr="008A5F3B">
              <w:rPr>
                <w:rFonts w:ascii="Times New Roman" w:hAnsi="Times New Roman"/>
                <w:color w:val="000000"/>
                <w:szCs w:val="22"/>
                <w:lang w:val="pt-BR"/>
              </w:rPr>
              <w:t>Novartis s.r.o.</w:t>
            </w:r>
          </w:p>
          <w:p w14:paraId="754112D7" w14:textId="77777777" w:rsidR="005057D2" w:rsidRPr="008A5F3B" w:rsidRDefault="005057D2" w:rsidP="007F23EE">
            <w:pPr>
              <w:rPr>
                <w:rFonts w:ascii="Times New Roman" w:hAnsi="Times New Roman"/>
                <w:color w:val="000000"/>
                <w:szCs w:val="22"/>
                <w:lang w:val="en-US"/>
              </w:rPr>
            </w:pPr>
            <w:r w:rsidRPr="008A5F3B">
              <w:rPr>
                <w:rFonts w:ascii="Times New Roman" w:hAnsi="Times New Roman"/>
                <w:color w:val="000000"/>
                <w:szCs w:val="22"/>
                <w:lang w:val="en-US"/>
              </w:rPr>
              <w:t>Tel: +420 225 775 111</w:t>
            </w:r>
          </w:p>
          <w:p w14:paraId="5C7CACA7" w14:textId="77777777" w:rsidR="005057D2" w:rsidRPr="008A5F3B" w:rsidRDefault="005057D2" w:rsidP="007F23EE">
            <w:pPr>
              <w:rPr>
                <w:rFonts w:ascii="Times New Roman" w:hAnsi="Times New Roman"/>
                <w:b/>
                <w:color w:val="000000"/>
                <w:szCs w:val="22"/>
                <w:lang w:val="en-US"/>
              </w:rPr>
            </w:pPr>
          </w:p>
        </w:tc>
        <w:tc>
          <w:tcPr>
            <w:tcW w:w="4650" w:type="dxa"/>
          </w:tcPr>
          <w:p w14:paraId="35F867E6" w14:textId="77777777" w:rsidR="005057D2" w:rsidRPr="008A5F3B" w:rsidRDefault="005057D2" w:rsidP="007F23EE">
            <w:pPr>
              <w:rPr>
                <w:rFonts w:ascii="Times New Roman" w:hAnsi="Times New Roman"/>
                <w:b/>
                <w:color w:val="000000"/>
                <w:szCs w:val="22"/>
                <w:lang w:val="nb-NO"/>
              </w:rPr>
            </w:pPr>
            <w:r w:rsidRPr="008A5F3B">
              <w:rPr>
                <w:rFonts w:ascii="Times New Roman" w:hAnsi="Times New Roman"/>
                <w:b/>
                <w:color w:val="000000"/>
                <w:szCs w:val="22"/>
                <w:lang w:val="nb-NO"/>
              </w:rPr>
              <w:t>Magyarország</w:t>
            </w:r>
          </w:p>
          <w:p w14:paraId="15B6A53E" w14:textId="77777777" w:rsidR="005057D2" w:rsidRPr="008A5F3B" w:rsidRDefault="005057D2" w:rsidP="007F23EE">
            <w:pPr>
              <w:rPr>
                <w:rFonts w:ascii="Times New Roman" w:hAnsi="Times New Roman"/>
                <w:color w:val="000000"/>
                <w:szCs w:val="22"/>
                <w:lang w:val="nb-NO"/>
              </w:rPr>
            </w:pPr>
            <w:r w:rsidRPr="008A5F3B">
              <w:rPr>
                <w:rFonts w:ascii="Times New Roman" w:hAnsi="Times New Roman"/>
                <w:color w:val="000000"/>
                <w:szCs w:val="22"/>
                <w:lang w:val="nb-NO"/>
              </w:rPr>
              <w:t>Novartis Hungária Kft.</w:t>
            </w:r>
          </w:p>
          <w:p w14:paraId="1AEE0854" w14:textId="77777777" w:rsidR="005057D2" w:rsidRPr="008A5F3B" w:rsidRDefault="005057D2" w:rsidP="007F23EE">
            <w:pPr>
              <w:rPr>
                <w:rFonts w:ascii="Times New Roman" w:hAnsi="Times New Roman"/>
                <w:color w:val="000000"/>
                <w:szCs w:val="22"/>
                <w:lang w:val="nb-NO"/>
              </w:rPr>
            </w:pPr>
            <w:r w:rsidRPr="008A5F3B">
              <w:rPr>
                <w:rFonts w:ascii="Times New Roman" w:hAnsi="Times New Roman"/>
                <w:color w:val="000000"/>
                <w:szCs w:val="22"/>
                <w:lang w:val="nb-NO"/>
              </w:rPr>
              <w:t>Tel.: +36 1 457 65 00</w:t>
            </w:r>
          </w:p>
        </w:tc>
      </w:tr>
      <w:tr w:rsidR="005057D2" w:rsidRPr="008A5F3B" w14:paraId="7768005D" w14:textId="77777777" w:rsidTr="000666D1">
        <w:trPr>
          <w:cantSplit/>
        </w:trPr>
        <w:tc>
          <w:tcPr>
            <w:tcW w:w="4650" w:type="dxa"/>
          </w:tcPr>
          <w:p w14:paraId="0E1002EC" w14:textId="77777777" w:rsidR="005057D2" w:rsidRPr="008A5F3B" w:rsidRDefault="005057D2" w:rsidP="007F23EE">
            <w:pPr>
              <w:rPr>
                <w:rFonts w:ascii="Times New Roman" w:hAnsi="Times New Roman"/>
                <w:b/>
                <w:color w:val="000000"/>
                <w:szCs w:val="22"/>
                <w:lang w:val="en-US"/>
              </w:rPr>
            </w:pPr>
            <w:r w:rsidRPr="008A5F3B">
              <w:rPr>
                <w:rFonts w:ascii="Times New Roman" w:hAnsi="Times New Roman"/>
                <w:b/>
                <w:color w:val="000000"/>
                <w:szCs w:val="22"/>
                <w:lang w:val="en-US"/>
              </w:rPr>
              <w:t>Danmark</w:t>
            </w:r>
          </w:p>
          <w:p w14:paraId="174CCB23" w14:textId="77777777" w:rsidR="005057D2" w:rsidRPr="008A5F3B" w:rsidRDefault="005057D2" w:rsidP="007F23EE">
            <w:pPr>
              <w:rPr>
                <w:rFonts w:ascii="Times New Roman" w:hAnsi="Times New Roman"/>
                <w:color w:val="000000"/>
                <w:szCs w:val="22"/>
                <w:lang w:val="en-US"/>
              </w:rPr>
            </w:pPr>
            <w:r w:rsidRPr="008A5F3B">
              <w:rPr>
                <w:rFonts w:ascii="Times New Roman" w:hAnsi="Times New Roman"/>
                <w:color w:val="000000"/>
                <w:szCs w:val="22"/>
                <w:lang w:val="en-US"/>
              </w:rPr>
              <w:t>Novartis Healthcare A/S</w:t>
            </w:r>
          </w:p>
          <w:p w14:paraId="7819C86A" w14:textId="6A85D78E" w:rsidR="005057D2" w:rsidRPr="008A5F3B" w:rsidRDefault="005057D2" w:rsidP="007F23EE">
            <w:pPr>
              <w:rPr>
                <w:rFonts w:ascii="Times New Roman" w:hAnsi="Times New Roman"/>
                <w:color w:val="000000"/>
                <w:szCs w:val="22"/>
                <w:lang w:val="en-US"/>
              </w:rPr>
            </w:pPr>
            <w:proofErr w:type="spellStart"/>
            <w:r w:rsidRPr="008A5F3B">
              <w:rPr>
                <w:rFonts w:ascii="Times New Roman" w:hAnsi="Times New Roman"/>
                <w:color w:val="000000"/>
                <w:szCs w:val="22"/>
                <w:lang w:val="en-US"/>
              </w:rPr>
              <w:t>Tlf</w:t>
            </w:r>
            <w:proofErr w:type="spellEnd"/>
            <w:ins w:id="733" w:author="Author">
              <w:r w:rsidR="00A94D0D">
                <w:rPr>
                  <w:rFonts w:ascii="Times New Roman" w:hAnsi="Times New Roman"/>
                  <w:color w:val="000000"/>
                  <w:szCs w:val="22"/>
                  <w:lang w:val="en-US"/>
                </w:rPr>
                <w:t>.</w:t>
              </w:r>
            </w:ins>
            <w:r w:rsidRPr="008A5F3B">
              <w:rPr>
                <w:rFonts w:ascii="Times New Roman" w:hAnsi="Times New Roman"/>
                <w:color w:val="000000"/>
                <w:szCs w:val="22"/>
                <w:lang w:val="en-US"/>
              </w:rPr>
              <w:t>: +45 39 16 84 00</w:t>
            </w:r>
          </w:p>
          <w:p w14:paraId="102A8E63" w14:textId="77777777" w:rsidR="005057D2" w:rsidRPr="008A5F3B" w:rsidRDefault="005057D2" w:rsidP="007F23EE">
            <w:pPr>
              <w:rPr>
                <w:rFonts w:ascii="Times New Roman" w:hAnsi="Times New Roman"/>
                <w:b/>
                <w:color w:val="000000"/>
                <w:szCs w:val="22"/>
                <w:lang w:val="en-US"/>
              </w:rPr>
            </w:pPr>
          </w:p>
        </w:tc>
        <w:tc>
          <w:tcPr>
            <w:tcW w:w="4650" w:type="dxa"/>
          </w:tcPr>
          <w:p w14:paraId="4BA51374" w14:textId="77777777" w:rsidR="005057D2" w:rsidRPr="008A5F3B" w:rsidRDefault="005057D2" w:rsidP="007F23EE">
            <w:pPr>
              <w:rPr>
                <w:rFonts w:ascii="Times New Roman" w:hAnsi="Times New Roman"/>
                <w:b/>
                <w:color w:val="000000"/>
                <w:szCs w:val="22"/>
                <w:lang w:val="pt-BR"/>
              </w:rPr>
            </w:pPr>
            <w:r w:rsidRPr="008A5F3B">
              <w:rPr>
                <w:rFonts w:ascii="Times New Roman" w:hAnsi="Times New Roman"/>
                <w:b/>
                <w:color w:val="000000"/>
                <w:szCs w:val="22"/>
                <w:lang w:val="pt-BR"/>
              </w:rPr>
              <w:t>Malta</w:t>
            </w:r>
          </w:p>
          <w:p w14:paraId="16E8186B" w14:textId="77777777" w:rsidR="005057D2" w:rsidRPr="008A5F3B" w:rsidRDefault="005057D2" w:rsidP="007F23EE">
            <w:pPr>
              <w:rPr>
                <w:rFonts w:ascii="Times New Roman" w:hAnsi="Times New Roman"/>
                <w:color w:val="000000"/>
                <w:szCs w:val="22"/>
                <w:lang w:val="pt-BR"/>
              </w:rPr>
            </w:pPr>
            <w:r w:rsidRPr="008A5F3B">
              <w:rPr>
                <w:rFonts w:ascii="Times New Roman" w:hAnsi="Times New Roman"/>
                <w:color w:val="000000"/>
                <w:szCs w:val="22"/>
                <w:lang w:val="pt-BR"/>
              </w:rPr>
              <w:t>Novartis Pharma Services Inc.</w:t>
            </w:r>
          </w:p>
          <w:p w14:paraId="60FD7B17" w14:textId="77777777" w:rsidR="005057D2" w:rsidRPr="008A5F3B" w:rsidRDefault="005057D2" w:rsidP="007F23EE">
            <w:pPr>
              <w:rPr>
                <w:rFonts w:ascii="Times New Roman" w:hAnsi="Times New Roman"/>
                <w:color w:val="000000"/>
                <w:szCs w:val="22"/>
              </w:rPr>
            </w:pPr>
            <w:proofErr w:type="gramStart"/>
            <w:r w:rsidRPr="008A5F3B">
              <w:rPr>
                <w:rFonts w:ascii="Times New Roman" w:hAnsi="Times New Roman"/>
                <w:color w:val="000000"/>
                <w:szCs w:val="22"/>
              </w:rPr>
              <w:t>Tel:</w:t>
            </w:r>
            <w:proofErr w:type="gramEnd"/>
            <w:r w:rsidRPr="008A5F3B">
              <w:rPr>
                <w:rFonts w:ascii="Times New Roman" w:hAnsi="Times New Roman"/>
                <w:color w:val="000000"/>
                <w:szCs w:val="22"/>
              </w:rPr>
              <w:t xml:space="preserve"> +356 2122 2872</w:t>
            </w:r>
          </w:p>
        </w:tc>
      </w:tr>
      <w:tr w:rsidR="005057D2" w:rsidRPr="0035690C" w14:paraId="7FE9B959" w14:textId="77777777" w:rsidTr="000666D1">
        <w:trPr>
          <w:cantSplit/>
        </w:trPr>
        <w:tc>
          <w:tcPr>
            <w:tcW w:w="4650" w:type="dxa"/>
          </w:tcPr>
          <w:p w14:paraId="6BE2D5E9" w14:textId="77777777" w:rsidR="005057D2" w:rsidRPr="008A5F3B" w:rsidRDefault="005057D2" w:rsidP="007F23EE">
            <w:pPr>
              <w:rPr>
                <w:rFonts w:ascii="Times New Roman" w:hAnsi="Times New Roman"/>
                <w:b/>
                <w:color w:val="000000"/>
                <w:szCs w:val="22"/>
                <w:lang w:val="de-CH"/>
              </w:rPr>
            </w:pPr>
            <w:r w:rsidRPr="008A5F3B">
              <w:rPr>
                <w:rFonts w:ascii="Times New Roman" w:hAnsi="Times New Roman"/>
                <w:b/>
                <w:color w:val="000000"/>
                <w:szCs w:val="22"/>
                <w:lang w:val="de-CH"/>
              </w:rPr>
              <w:t>Deutschland</w:t>
            </w:r>
          </w:p>
          <w:p w14:paraId="78353BA9" w14:textId="77777777" w:rsidR="005057D2" w:rsidRPr="008A5F3B" w:rsidRDefault="005057D2" w:rsidP="007F23EE">
            <w:pPr>
              <w:rPr>
                <w:rFonts w:ascii="Times New Roman" w:hAnsi="Times New Roman"/>
                <w:color w:val="000000"/>
                <w:szCs w:val="22"/>
                <w:lang w:val="de-CH"/>
              </w:rPr>
            </w:pPr>
            <w:r w:rsidRPr="008A5F3B">
              <w:rPr>
                <w:rFonts w:ascii="Times New Roman" w:hAnsi="Times New Roman"/>
                <w:color w:val="000000"/>
                <w:szCs w:val="22"/>
                <w:lang w:val="de-CH"/>
              </w:rPr>
              <w:t>Novartis Pharma GmbH</w:t>
            </w:r>
          </w:p>
          <w:p w14:paraId="2D3EB184" w14:textId="77777777" w:rsidR="005057D2" w:rsidRPr="008A5F3B" w:rsidRDefault="005057D2" w:rsidP="007F23EE">
            <w:pPr>
              <w:rPr>
                <w:rFonts w:ascii="Times New Roman" w:hAnsi="Times New Roman"/>
                <w:color w:val="000000"/>
                <w:szCs w:val="22"/>
                <w:lang w:val="de-CH"/>
              </w:rPr>
            </w:pPr>
            <w:r w:rsidRPr="008A5F3B">
              <w:rPr>
                <w:rFonts w:ascii="Times New Roman" w:hAnsi="Times New Roman"/>
                <w:color w:val="000000"/>
                <w:szCs w:val="22"/>
                <w:lang w:val="de-CH"/>
              </w:rPr>
              <w:t>Tel: +49 911 273 0</w:t>
            </w:r>
          </w:p>
          <w:p w14:paraId="592CD6D0" w14:textId="77777777" w:rsidR="005057D2" w:rsidRPr="008A5F3B" w:rsidRDefault="005057D2" w:rsidP="007F23EE">
            <w:pPr>
              <w:rPr>
                <w:rFonts w:ascii="Times New Roman" w:hAnsi="Times New Roman"/>
                <w:b/>
                <w:color w:val="000000"/>
                <w:szCs w:val="22"/>
                <w:lang w:val="de-CH"/>
              </w:rPr>
            </w:pPr>
          </w:p>
        </w:tc>
        <w:tc>
          <w:tcPr>
            <w:tcW w:w="4650" w:type="dxa"/>
          </w:tcPr>
          <w:p w14:paraId="2839DCCE" w14:textId="77777777" w:rsidR="005057D2" w:rsidRPr="008A5F3B" w:rsidRDefault="005057D2" w:rsidP="007F23EE">
            <w:pPr>
              <w:rPr>
                <w:rFonts w:ascii="Times New Roman" w:hAnsi="Times New Roman"/>
                <w:b/>
                <w:color w:val="000000"/>
                <w:szCs w:val="22"/>
                <w:lang w:val="de-CH"/>
              </w:rPr>
            </w:pPr>
            <w:r w:rsidRPr="008A5F3B">
              <w:rPr>
                <w:rFonts w:ascii="Times New Roman" w:hAnsi="Times New Roman"/>
                <w:b/>
                <w:color w:val="000000"/>
                <w:szCs w:val="22"/>
                <w:lang w:val="de-CH"/>
              </w:rPr>
              <w:t>Nederland</w:t>
            </w:r>
          </w:p>
          <w:p w14:paraId="4ED88C3F" w14:textId="77777777" w:rsidR="005057D2" w:rsidRPr="008A5F3B" w:rsidRDefault="005057D2" w:rsidP="007F23EE">
            <w:pPr>
              <w:rPr>
                <w:rFonts w:ascii="Times New Roman" w:hAnsi="Times New Roman"/>
                <w:color w:val="000000"/>
                <w:szCs w:val="22"/>
                <w:lang w:val="de-CH"/>
              </w:rPr>
            </w:pPr>
            <w:r w:rsidRPr="008A5F3B">
              <w:rPr>
                <w:rFonts w:ascii="Times New Roman" w:hAnsi="Times New Roman"/>
                <w:color w:val="000000"/>
                <w:szCs w:val="22"/>
                <w:lang w:val="de-CH"/>
              </w:rPr>
              <w:t>Novartis Pharma B.V.</w:t>
            </w:r>
          </w:p>
          <w:p w14:paraId="64893CAE" w14:textId="624C6B33" w:rsidR="005057D2" w:rsidRPr="00122E4D" w:rsidRDefault="005057D2" w:rsidP="007F23EE">
            <w:pPr>
              <w:rPr>
                <w:rFonts w:ascii="Times New Roman" w:hAnsi="Times New Roman"/>
                <w:color w:val="000000"/>
                <w:szCs w:val="22"/>
                <w:lang w:val="de-DE"/>
              </w:rPr>
            </w:pPr>
            <w:r w:rsidRPr="00122E4D">
              <w:rPr>
                <w:rFonts w:ascii="Times New Roman" w:hAnsi="Times New Roman"/>
                <w:color w:val="000000"/>
                <w:szCs w:val="22"/>
                <w:lang w:val="de-DE"/>
              </w:rPr>
              <w:t xml:space="preserve">Tel: +31 </w:t>
            </w:r>
            <w:r w:rsidR="00BC75EA" w:rsidRPr="00122E4D">
              <w:rPr>
                <w:rFonts w:ascii="Times New Roman" w:hAnsi="Times New Roman"/>
                <w:color w:val="000000"/>
                <w:szCs w:val="22"/>
                <w:lang w:val="de-DE"/>
              </w:rPr>
              <w:t>88 04 52</w:t>
            </w:r>
            <w:r w:rsidRPr="00122E4D">
              <w:rPr>
                <w:rFonts w:ascii="Times New Roman" w:hAnsi="Times New Roman"/>
                <w:color w:val="000000"/>
                <w:szCs w:val="22"/>
                <w:lang w:val="de-DE"/>
              </w:rPr>
              <w:t xml:space="preserve"> </w:t>
            </w:r>
            <w:del w:id="734" w:author="Author">
              <w:r w:rsidR="00B83C4B" w:rsidRPr="00122E4D" w:rsidDel="00A94D0D">
                <w:rPr>
                  <w:rFonts w:ascii="Times New Roman" w:hAnsi="Times New Roman"/>
                  <w:color w:val="000000"/>
                  <w:szCs w:val="22"/>
                  <w:lang w:val="de-DE"/>
                </w:rPr>
                <w:delText>555</w:delText>
              </w:r>
            </w:del>
            <w:ins w:id="735" w:author="Author">
              <w:r w:rsidR="00A94D0D">
                <w:rPr>
                  <w:rFonts w:ascii="Times New Roman" w:hAnsi="Times New Roman"/>
                  <w:color w:val="000000"/>
                  <w:szCs w:val="22"/>
                  <w:lang w:val="de-DE"/>
                </w:rPr>
                <w:t>111</w:t>
              </w:r>
            </w:ins>
          </w:p>
        </w:tc>
      </w:tr>
      <w:tr w:rsidR="005057D2" w:rsidRPr="00B916E8" w14:paraId="544D3519" w14:textId="77777777" w:rsidTr="000666D1">
        <w:trPr>
          <w:cantSplit/>
        </w:trPr>
        <w:tc>
          <w:tcPr>
            <w:tcW w:w="4650" w:type="dxa"/>
          </w:tcPr>
          <w:p w14:paraId="447878E1" w14:textId="77777777" w:rsidR="005057D2" w:rsidRPr="008A5F3B" w:rsidRDefault="005057D2" w:rsidP="007F23EE">
            <w:pPr>
              <w:rPr>
                <w:rFonts w:ascii="Times New Roman" w:hAnsi="Times New Roman"/>
                <w:b/>
                <w:color w:val="000000"/>
                <w:szCs w:val="22"/>
                <w:lang w:val="it-IT"/>
              </w:rPr>
            </w:pPr>
            <w:r w:rsidRPr="008A5F3B">
              <w:rPr>
                <w:rFonts w:ascii="Times New Roman" w:hAnsi="Times New Roman"/>
                <w:b/>
                <w:color w:val="000000"/>
                <w:szCs w:val="22"/>
                <w:lang w:val="it-IT"/>
              </w:rPr>
              <w:lastRenderedPageBreak/>
              <w:t>Eesti</w:t>
            </w:r>
          </w:p>
          <w:p w14:paraId="5CC218CB" w14:textId="77777777" w:rsidR="005057D2" w:rsidRPr="008A5F3B" w:rsidRDefault="00226601" w:rsidP="007F23EE">
            <w:pPr>
              <w:rPr>
                <w:rFonts w:ascii="Times New Roman" w:hAnsi="Times New Roman"/>
                <w:color w:val="000000"/>
                <w:szCs w:val="22"/>
                <w:lang w:val="it-IT"/>
              </w:rPr>
            </w:pPr>
            <w:r w:rsidRPr="008A5F3B">
              <w:rPr>
                <w:rFonts w:ascii="Times New Roman" w:hAnsi="Times New Roman"/>
                <w:color w:val="000000"/>
                <w:szCs w:val="22"/>
                <w:lang w:val="it-IT"/>
              </w:rPr>
              <w:t>SIA Novartis Baltics Eesti filiaal</w:t>
            </w:r>
          </w:p>
          <w:p w14:paraId="1D3E0169" w14:textId="77777777" w:rsidR="005057D2" w:rsidRPr="008A5F3B" w:rsidRDefault="005057D2" w:rsidP="007F23EE">
            <w:pPr>
              <w:rPr>
                <w:rFonts w:ascii="Times New Roman" w:hAnsi="Times New Roman"/>
                <w:color w:val="000000"/>
                <w:szCs w:val="22"/>
                <w:lang w:val="it-IT"/>
              </w:rPr>
            </w:pPr>
            <w:r w:rsidRPr="008A5F3B">
              <w:rPr>
                <w:rFonts w:ascii="Times New Roman" w:hAnsi="Times New Roman"/>
                <w:color w:val="000000"/>
                <w:szCs w:val="22"/>
                <w:lang w:val="it-IT"/>
              </w:rPr>
              <w:t>Tel: +372 66 30 810</w:t>
            </w:r>
          </w:p>
          <w:p w14:paraId="6EC8CE91" w14:textId="77777777" w:rsidR="005057D2" w:rsidRPr="008A5F3B" w:rsidRDefault="005057D2" w:rsidP="007F23EE">
            <w:pPr>
              <w:rPr>
                <w:rFonts w:ascii="Times New Roman" w:hAnsi="Times New Roman"/>
                <w:b/>
                <w:color w:val="000000"/>
                <w:szCs w:val="22"/>
                <w:lang w:val="it-IT"/>
              </w:rPr>
            </w:pPr>
          </w:p>
        </w:tc>
        <w:tc>
          <w:tcPr>
            <w:tcW w:w="4650" w:type="dxa"/>
          </w:tcPr>
          <w:p w14:paraId="28A97E13" w14:textId="77777777" w:rsidR="005057D2" w:rsidRPr="008A5F3B" w:rsidRDefault="005057D2" w:rsidP="007F23EE">
            <w:pPr>
              <w:rPr>
                <w:rFonts w:ascii="Times New Roman" w:hAnsi="Times New Roman"/>
                <w:b/>
                <w:color w:val="000000"/>
                <w:szCs w:val="22"/>
                <w:lang w:val="pt-BR"/>
              </w:rPr>
            </w:pPr>
            <w:r w:rsidRPr="008A5F3B">
              <w:rPr>
                <w:rFonts w:ascii="Times New Roman" w:hAnsi="Times New Roman"/>
                <w:b/>
                <w:color w:val="000000"/>
                <w:szCs w:val="22"/>
                <w:lang w:val="pt-BR"/>
              </w:rPr>
              <w:t>Norge</w:t>
            </w:r>
          </w:p>
          <w:p w14:paraId="095659E0" w14:textId="77777777" w:rsidR="005057D2" w:rsidRPr="008A5F3B" w:rsidRDefault="005057D2" w:rsidP="007F23EE">
            <w:pPr>
              <w:rPr>
                <w:rFonts w:ascii="Times New Roman" w:hAnsi="Times New Roman"/>
                <w:color w:val="000000"/>
                <w:szCs w:val="22"/>
                <w:lang w:val="pt-BR"/>
              </w:rPr>
            </w:pPr>
            <w:r w:rsidRPr="008A5F3B">
              <w:rPr>
                <w:rFonts w:ascii="Times New Roman" w:hAnsi="Times New Roman"/>
                <w:color w:val="000000"/>
                <w:szCs w:val="22"/>
                <w:lang w:val="pt-BR"/>
              </w:rPr>
              <w:t>Novartis Norge AS</w:t>
            </w:r>
          </w:p>
          <w:p w14:paraId="50C297FA" w14:textId="77777777" w:rsidR="005057D2" w:rsidRPr="008A5F3B" w:rsidRDefault="005057D2" w:rsidP="007F23EE">
            <w:pPr>
              <w:rPr>
                <w:rFonts w:ascii="Times New Roman" w:hAnsi="Times New Roman"/>
                <w:color w:val="000000"/>
                <w:szCs w:val="22"/>
                <w:lang w:val="pt-BR"/>
              </w:rPr>
            </w:pPr>
            <w:r w:rsidRPr="008A5F3B">
              <w:rPr>
                <w:rFonts w:ascii="Times New Roman" w:hAnsi="Times New Roman"/>
                <w:color w:val="000000"/>
                <w:szCs w:val="22"/>
                <w:lang w:val="pt-BR"/>
              </w:rPr>
              <w:t>Tlf: +47 23 05 20 00</w:t>
            </w:r>
          </w:p>
        </w:tc>
      </w:tr>
      <w:tr w:rsidR="005057D2" w:rsidRPr="0035690C" w14:paraId="31E3EC3D" w14:textId="77777777" w:rsidTr="000666D1">
        <w:trPr>
          <w:cantSplit/>
        </w:trPr>
        <w:tc>
          <w:tcPr>
            <w:tcW w:w="4650" w:type="dxa"/>
          </w:tcPr>
          <w:p w14:paraId="30FAF3C6" w14:textId="77777777" w:rsidR="005057D2" w:rsidRPr="008A5F3B" w:rsidRDefault="005057D2" w:rsidP="007F23EE">
            <w:pPr>
              <w:rPr>
                <w:rFonts w:ascii="Times New Roman" w:hAnsi="Times New Roman"/>
                <w:b/>
                <w:color w:val="000000"/>
                <w:szCs w:val="22"/>
              </w:rPr>
            </w:pPr>
            <w:proofErr w:type="spellStart"/>
            <w:r w:rsidRPr="008A5F3B">
              <w:rPr>
                <w:rFonts w:ascii="Times New Roman" w:hAnsi="Times New Roman"/>
                <w:b/>
                <w:color w:val="000000"/>
                <w:szCs w:val="22"/>
              </w:rPr>
              <w:t>Ελλάδ</w:t>
            </w:r>
            <w:proofErr w:type="spellEnd"/>
            <w:r w:rsidRPr="008A5F3B">
              <w:rPr>
                <w:rFonts w:ascii="Times New Roman" w:hAnsi="Times New Roman"/>
                <w:b/>
                <w:color w:val="000000"/>
                <w:szCs w:val="22"/>
              </w:rPr>
              <w:t>α</w:t>
            </w:r>
          </w:p>
          <w:p w14:paraId="2666B7CA" w14:textId="77777777" w:rsidR="005057D2" w:rsidRPr="008A5F3B" w:rsidRDefault="005057D2" w:rsidP="007F23EE">
            <w:pPr>
              <w:rPr>
                <w:rFonts w:ascii="Times New Roman" w:hAnsi="Times New Roman"/>
                <w:color w:val="000000"/>
                <w:szCs w:val="22"/>
              </w:rPr>
            </w:pPr>
            <w:r w:rsidRPr="008A5F3B">
              <w:rPr>
                <w:rFonts w:ascii="Times New Roman" w:hAnsi="Times New Roman"/>
                <w:color w:val="000000"/>
                <w:szCs w:val="22"/>
              </w:rPr>
              <w:t>Novartis (</w:t>
            </w:r>
            <w:proofErr w:type="spellStart"/>
            <w:r w:rsidRPr="008A5F3B">
              <w:rPr>
                <w:rFonts w:ascii="Times New Roman" w:hAnsi="Times New Roman"/>
                <w:color w:val="000000"/>
                <w:szCs w:val="22"/>
              </w:rPr>
              <w:t>Hellas</w:t>
            </w:r>
            <w:proofErr w:type="spellEnd"/>
            <w:r w:rsidRPr="008A5F3B">
              <w:rPr>
                <w:rFonts w:ascii="Times New Roman" w:hAnsi="Times New Roman"/>
                <w:color w:val="000000"/>
                <w:szCs w:val="22"/>
              </w:rPr>
              <w:t>) A.E.B.E.</w:t>
            </w:r>
          </w:p>
          <w:p w14:paraId="4DA59773" w14:textId="77777777" w:rsidR="005057D2" w:rsidRPr="008A5F3B" w:rsidRDefault="005057D2" w:rsidP="007F23EE">
            <w:pPr>
              <w:rPr>
                <w:rFonts w:ascii="Times New Roman" w:hAnsi="Times New Roman"/>
                <w:color w:val="000000"/>
                <w:szCs w:val="22"/>
                <w:lang w:val="pt-BR"/>
              </w:rPr>
            </w:pPr>
            <w:proofErr w:type="spellStart"/>
            <w:proofErr w:type="gramStart"/>
            <w:r w:rsidRPr="008A5F3B">
              <w:rPr>
                <w:rFonts w:ascii="Times New Roman" w:hAnsi="Times New Roman"/>
                <w:color w:val="000000"/>
                <w:szCs w:val="22"/>
              </w:rPr>
              <w:t>Τηλ</w:t>
            </w:r>
            <w:proofErr w:type="spellEnd"/>
            <w:r w:rsidRPr="008A5F3B">
              <w:rPr>
                <w:rFonts w:ascii="Times New Roman" w:hAnsi="Times New Roman"/>
                <w:color w:val="000000"/>
                <w:szCs w:val="22"/>
                <w:lang w:val="pt-BR"/>
              </w:rPr>
              <w:t>:</w:t>
            </w:r>
            <w:proofErr w:type="gramEnd"/>
            <w:r w:rsidRPr="008A5F3B">
              <w:rPr>
                <w:rFonts w:ascii="Times New Roman" w:hAnsi="Times New Roman"/>
                <w:color w:val="000000"/>
                <w:szCs w:val="22"/>
                <w:lang w:val="pt-BR"/>
              </w:rPr>
              <w:t xml:space="preserve"> +30 210 281 17 12</w:t>
            </w:r>
          </w:p>
          <w:p w14:paraId="64AFF329" w14:textId="77777777" w:rsidR="005057D2" w:rsidRPr="008A5F3B" w:rsidRDefault="005057D2" w:rsidP="007F23EE">
            <w:pPr>
              <w:rPr>
                <w:rFonts w:ascii="Times New Roman" w:hAnsi="Times New Roman"/>
                <w:b/>
                <w:color w:val="000000"/>
                <w:szCs w:val="22"/>
                <w:lang w:val="pt-BR"/>
              </w:rPr>
            </w:pPr>
          </w:p>
        </w:tc>
        <w:tc>
          <w:tcPr>
            <w:tcW w:w="4650" w:type="dxa"/>
          </w:tcPr>
          <w:p w14:paraId="4D106AAC" w14:textId="77777777" w:rsidR="005057D2" w:rsidRPr="008A5F3B" w:rsidRDefault="005057D2" w:rsidP="007F23EE">
            <w:pPr>
              <w:rPr>
                <w:rFonts w:ascii="Times New Roman" w:hAnsi="Times New Roman"/>
                <w:b/>
                <w:color w:val="000000"/>
                <w:szCs w:val="22"/>
                <w:lang w:val="de-CH"/>
              </w:rPr>
            </w:pPr>
            <w:r w:rsidRPr="008A5F3B">
              <w:rPr>
                <w:rFonts w:ascii="Times New Roman" w:hAnsi="Times New Roman"/>
                <w:b/>
                <w:color w:val="000000"/>
                <w:szCs w:val="22"/>
                <w:lang w:val="de-CH"/>
              </w:rPr>
              <w:t>Österreich</w:t>
            </w:r>
          </w:p>
          <w:p w14:paraId="09D92F37" w14:textId="77777777" w:rsidR="005057D2" w:rsidRPr="008A5F3B" w:rsidRDefault="005057D2" w:rsidP="007F23EE">
            <w:pPr>
              <w:rPr>
                <w:rFonts w:ascii="Times New Roman" w:hAnsi="Times New Roman"/>
                <w:color w:val="000000"/>
                <w:szCs w:val="22"/>
                <w:lang w:val="de-CH"/>
              </w:rPr>
            </w:pPr>
            <w:r w:rsidRPr="008A5F3B">
              <w:rPr>
                <w:rFonts w:ascii="Times New Roman" w:hAnsi="Times New Roman"/>
                <w:color w:val="000000"/>
                <w:szCs w:val="22"/>
                <w:lang w:val="de-CH"/>
              </w:rPr>
              <w:t>Novartis Pharma GmbH</w:t>
            </w:r>
          </w:p>
          <w:p w14:paraId="6BF50594" w14:textId="77777777" w:rsidR="005057D2" w:rsidRPr="008A5F3B" w:rsidRDefault="005057D2" w:rsidP="007F23EE">
            <w:pPr>
              <w:rPr>
                <w:rFonts w:ascii="Times New Roman" w:hAnsi="Times New Roman"/>
                <w:color w:val="000000"/>
                <w:szCs w:val="22"/>
                <w:lang w:val="de-CH"/>
              </w:rPr>
            </w:pPr>
            <w:r w:rsidRPr="008A5F3B">
              <w:rPr>
                <w:rFonts w:ascii="Times New Roman" w:hAnsi="Times New Roman"/>
                <w:color w:val="000000"/>
                <w:szCs w:val="22"/>
                <w:lang w:val="de-CH"/>
              </w:rPr>
              <w:t>Tel: +43 1 86 6570</w:t>
            </w:r>
          </w:p>
        </w:tc>
      </w:tr>
      <w:tr w:rsidR="005057D2" w:rsidRPr="008A5F3B" w14:paraId="60B74256" w14:textId="77777777" w:rsidTr="000666D1">
        <w:trPr>
          <w:cantSplit/>
        </w:trPr>
        <w:tc>
          <w:tcPr>
            <w:tcW w:w="4650" w:type="dxa"/>
          </w:tcPr>
          <w:p w14:paraId="0FEAA22D" w14:textId="77777777" w:rsidR="005057D2" w:rsidRPr="008A5F3B" w:rsidRDefault="005057D2" w:rsidP="007F23EE">
            <w:pPr>
              <w:rPr>
                <w:rFonts w:ascii="Times New Roman" w:hAnsi="Times New Roman"/>
                <w:b/>
                <w:color w:val="000000"/>
                <w:szCs w:val="22"/>
                <w:lang w:val="pt-BR"/>
              </w:rPr>
            </w:pPr>
            <w:r w:rsidRPr="008A5F3B">
              <w:rPr>
                <w:rFonts w:ascii="Times New Roman" w:hAnsi="Times New Roman"/>
                <w:b/>
                <w:color w:val="000000"/>
                <w:szCs w:val="22"/>
                <w:lang w:val="pt-BR"/>
              </w:rPr>
              <w:t>España</w:t>
            </w:r>
          </w:p>
          <w:p w14:paraId="375C4CCC" w14:textId="77777777" w:rsidR="005057D2" w:rsidRPr="008A5F3B" w:rsidRDefault="005057D2" w:rsidP="007F23EE">
            <w:pPr>
              <w:rPr>
                <w:rFonts w:ascii="Times New Roman" w:hAnsi="Times New Roman"/>
                <w:color w:val="000000"/>
                <w:szCs w:val="22"/>
                <w:lang w:val="pt-BR"/>
              </w:rPr>
            </w:pPr>
            <w:r w:rsidRPr="008A5F3B">
              <w:rPr>
                <w:rFonts w:ascii="Times New Roman" w:hAnsi="Times New Roman"/>
                <w:color w:val="000000"/>
                <w:szCs w:val="22"/>
                <w:lang w:val="pt-BR"/>
              </w:rPr>
              <w:t>Novartis Farmacéutica, S.A.</w:t>
            </w:r>
          </w:p>
          <w:p w14:paraId="6AFB0DA4" w14:textId="77777777" w:rsidR="005057D2" w:rsidRPr="008A5F3B" w:rsidRDefault="005057D2" w:rsidP="007F23EE">
            <w:pPr>
              <w:rPr>
                <w:rFonts w:ascii="Times New Roman" w:hAnsi="Times New Roman"/>
                <w:color w:val="000000"/>
                <w:szCs w:val="22"/>
              </w:rPr>
            </w:pPr>
            <w:proofErr w:type="gramStart"/>
            <w:r w:rsidRPr="008A5F3B">
              <w:rPr>
                <w:rFonts w:ascii="Times New Roman" w:hAnsi="Times New Roman"/>
                <w:color w:val="000000"/>
                <w:szCs w:val="22"/>
              </w:rPr>
              <w:t>Tel:</w:t>
            </w:r>
            <w:proofErr w:type="gramEnd"/>
            <w:r w:rsidRPr="008A5F3B">
              <w:rPr>
                <w:rFonts w:ascii="Times New Roman" w:hAnsi="Times New Roman"/>
                <w:color w:val="000000"/>
                <w:szCs w:val="22"/>
              </w:rPr>
              <w:t xml:space="preserve"> +34 93 306 42 00</w:t>
            </w:r>
          </w:p>
          <w:p w14:paraId="3C473D1F" w14:textId="77777777" w:rsidR="005057D2" w:rsidRPr="008A5F3B" w:rsidRDefault="005057D2" w:rsidP="007F23EE">
            <w:pPr>
              <w:rPr>
                <w:rFonts w:ascii="Times New Roman" w:hAnsi="Times New Roman"/>
                <w:b/>
                <w:color w:val="000000"/>
                <w:szCs w:val="22"/>
              </w:rPr>
            </w:pPr>
          </w:p>
        </w:tc>
        <w:tc>
          <w:tcPr>
            <w:tcW w:w="4650" w:type="dxa"/>
          </w:tcPr>
          <w:p w14:paraId="1400A183" w14:textId="77777777" w:rsidR="005057D2" w:rsidRPr="008A5F3B" w:rsidRDefault="005057D2" w:rsidP="007F23EE">
            <w:pPr>
              <w:rPr>
                <w:rFonts w:ascii="Times New Roman" w:hAnsi="Times New Roman"/>
                <w:b/>
                <w:color w:val="000000"/>
                <w:szCs w:val="22"/>
                <w:lang w:val="pt-BR"/>
              </w:rPr>
            </w:pPr>
            <w:r w:rsidRPr="008A5F3B">
              <w:rPr>
                <w:rFonts w:ascii="Times New Roman" w:hAnsi="Times New Roman"/>
                <w:b/>
                <w:color w:val="000000"/>
                <w:szCs w:val="22"/>
                <w:lang w:val="pt-BR"/>
              </w:rPr>
              <w:t>Polska</w:t>
            </w:r>
          </w:p>
          <w:p w14:paraId="7740CA7F" w14:textId="77777777" w:rsidR="005057D2" w:rsidRPr="008A5F3B" w:rsidRDefault="005057D2" w:rsidP="007F23EE">
            <w:pPr>
              <w:rPr>
                <w:rFonts w:ascii="Times New Roman" w:hAnsi="Times New Roman"/>
                <w:color w:val="000000"/>
                <w:szCs w:val="22"/>
                <w:lang w:val="pt-BR"/>
              </w:rPr>
            </w:pPr>
            <w:r w:rsidRPr="008A5F3B">
              <w:rPr>
                <w:rFonts w:ascii="Times New Roman" w:hAnsi="Times New Roman"/>
                <w:color w:val="000000"/>
                <w:szCs w:val="22"/>
                <w:lang w:val="pt-BR"/>
              </w:rPr>
              <w:t>Novartis Poland Sp. z o.o.</w:t>
            </w:r>
          </w:p>
          <w:p w14:paraId="0BA554EA" w14:textId="77777777" w:rsidR="005057D2" w:rsidRPr="008A5F3B" w:rsidRDefault="005057D2" w:rsidP="007F23EE">
            <w:pPr>
              <w:rPr>
                <w:rFonts w:ascii="Times New Roman" w:hAnsi="Times New Roman"/>
                <w:color w:val="000000"/>
                <w:szCs w:val="22"/>
                <w:lang w:val="pt-BR"/>
              </w:rPr>
            </w:pPr>
            <w:r w:rsidRPr="008A5F3B">
              <w:rPr>
                <w:rFonts w:ascii="Times New Roman" w:hAnsi="Times New Roman"/>
                <w:color w:val="000000"/>
                <w:szCs w:val="22"/>
                <w:lang w:val="pt-BR"/>
              </w:rPr>
              <w:t xml:space="preserve">Tel.: +48 22 </w:t>
            </w:r>
            <w:r w:rsidRPr="008A5F3B">
              <w:rPr>
                <w:rFonts w:ascii="Times New Roman" w:hAnsi="Times New Roman"/>
                <w:szCs w:val="22"/>
              </w:rPr>
              <w:t>375 4888</w:t>
            </w:r>
          </w:p>
        </w:tc>
      </w:tr>
      <w:tr w:rsidR="005057D2" w:rsidRPr="008A5F3B" w14:paraId="1838A1E5" w14:textId="77777777" w:rsidTr="000666D1">
        <w:trPr>
          <w:cantSplit/>
        </w:trPr>
        <w:tc>
          <w:tcPr>
            <w:tcW w:w="4650" w:type="dxa"/>
          </w:tcPr>
          <w:p w14:paraId="7178D952" w14:textId="77777777" w:rsidR="005057D2" w:rsidRPr="008A5F3B" w:rsidRDefault="005057D2" w:rsidP="007F23EE">
            <w:pPr>
              <w:rPr>
                <w:rFonts w:ascii="Times New Roman" w:hAnsi="Times New Roman"/>
                <w:b/>
                <w:color w:val="000000"/>
                <w:szCs w:val="22"/>
              </w:rPr>
            </w:pPr>
            <w:r w:rsidRPr="008A5F3B">
              <w:rPr>
                <w:rFonts w:ascii="Times New Roman" w:hAnsi="Times New Roman"/>
                <w:b/>
                <w:color w:val="000000"/>
                <w:szCs w:val="22"/>
              </w:rPr>
              <w:t>France</w:t>
            </w:r>
          </w:p>
          <w:p w14:paraId="44361733" w14:textId="77777777" w:rsidR="005057D2" w:rsidRPr="008A5F3B" w:rsidRDefault="005057D2" w:rsidP="007F23EE">
            <w:pPr>
              <w:rPr>
                <w:rFonts w:ascii="Times New Roman" w:hAnsi="Times New Roman"/>
                <w:color w:val="000000"/>
                <w:szCs w:val="22"/>
              </w:rPr>
            </w:pPr>
            <w:r w:rsidRPr="008A5F3B">
              <w:rPr>
                <w:rFonts w:ascii="Times New Roman" w:hAnsi="Times New Roman"/>
                <w:color w:val="000000"/>
                <w:szCs w:val="22"/>
              </w:rPr>
              <w:t>Novartis Pharma S.A.S.</w:t>
            </w:r>
          </w:p>
          <w:p w14:paraId="6A24D578" w14:textId="77777777" w:rsidR="005057D2" w:rsidRPr="008A5F3B" w:rsidRDefault="005057D2" w:rsidP="007F23EE">
            <w:pPr>
              <w:rPr>
                <w:rFonts w:ascii="Times New Roman" w:hAnsi="Times New Roman"/>
                <w:color w:val="000000"/>
                <w:szCs w:val="22"/>
              </w:rPr>
            </w:pPr>
            <w:proofErr w:type="gramStart"/>
            <w:r w:rsidRPr="008A5F3B">
              <w:rPr>
                <w:rFonts w:ascii="Times New Roman" w:hAnsi="Times New Roman"/>
                <w:color w:val="000000"/>
                <w:szCs w:val="22"/>
              </w:rPr>
              <w:t>Tél:</w:t>
            </w:r>
            <w:proofErr w:type="gramEnd"/>
            <w:r w:rsidRPr="008A5F3B">
              <w:rPr>
                <w:rFonts w:ascii="Times New Roman" w:hAnsi="Times New Roman"/>
                <w:color w:val="000000"/>
                <w:szCs w:val="22"/>
              </w:rPr>
              <w:t xml:space="preserve"> +33 1 55 47 66 00</w:t>
            </w:r>
          </w:p>
          <w:p w14:paraId="221E438C" w14:textId="77777777" w:rsidR="005057D2" w:rsidRPr="008A5F3B" w:rsidRDefault="005057D2" w:rsidP="007F23EE">
            <w:pPr>
              <w:rPr>
                <w:rFonts w:ascii="Times New Roman" w:hAnsi="Times New Roman"/>
                <w:b/>
                <w:color w:val="000000"/>
                <w:szCs w:val="22"/>
              </w:rPr>
            </w:pPr>
          </w:p>
        </w:tc>
        <w:tc>
          <w:tcPr>
            <w:tcW w:w="4650" w:type="dxa"/>
          </w:tcPr>
          <w:p w14:paraId="7E121B5C" w14:textId="77777777" w:rsidR="005057D2" w:rsidRPr="008A5F3B" w:rsidRDefault="005057D2" w:rsidP="007F23EE">
            <w:pPr>
              <w:rPr>
                <w:rFonts w:ascii="Times New Roman" w:hAnsi="Times New Roman"/>
                <w:b/>
                <w:color w:val="000000"/>
                <w:szCs w:val="22"/>
                <w:lang w:val="pt-BR"/>
              </w:rPr>
            </w:pPr>
            <w:r w:rsidRPr="008A5F3B">
              <w:rPr>
                <w:rFonts w:ascii="Times New Roman" w:hAnsi="Times New Roman"/>
                <w:b/>
                <w:color w:val="000000"/>
                <w:szCs w:val="22"/>
                <w:lang w:val="pt-BR"/>
              </w:rPr>
              <w:t>Portugal</w:t>
            </w:r>
          </w:p>
          <w:p w14:paraId="17B09FE5" w14:textId="77777777" w:rsidR="005057D2" w:rsidRPr="008A5F3B" w:rsidRDefault="005057D2" w:rsidP="007F23EE">
            <w:pPr>
              <w:rPr>
                <w:rFonts w:ascii="Times New Roman" w:hAnsi="Times New Roman"/>
                <w:color w:val="000000"/>
                <w:szCs w:val="22"/>
                <w:lang w:val="pt-BR"/>
              </w:rPr>
            </w:pPr>
            <w:r w:rsidRPr="008A5F3B">
              <w:rPr>
                <w:rFonts w:ascii="Times New Roman" w:hAnsi="Times New Roman"/>
                <w:color w:val="000000"/>
                <w:szCs w:val="22"/>
                <w:lang w:val="pt-BR"/>
              </w:rPr>
              <w:t>Novartis Farma - Produtos Farmacêuticos, S.A.</w:t>
            </w:r>
          </w:p>
          <w:p w14:paraId="6DF2D740" w14:textId="77777777" w:rsidR="005057D2" w:rsidRPr="008A5F3B" w:rsidRDefault="005057D2" w:rsidP="007F23EE">
            <w:pPr>
              <w:rPr>
                <w:rFonts w:ascii="Times New Roman" w:hAnsi="Times New Roman"/>
                <w:color w:val="000000"/>
                <w:szCs w:val="22"/>
              </w:rPr>
            </w:pPr>
            <w:proofErr w:type="gramStart"/>
            <w:r w:rsidRPr="008A5F3B">
              <w:rPr>
                <w:rFonts w:ascii="Times New Roman" w:hAnsi="Times New Roman"/>
                <w:color w:val="000000"/>
                <w:szCs w:val="22"/>
              </w:rPr>
              <w:t>Tel:</w:t>
            </w:r>
            <w:proofErr w:type="gramEnd"/>
            <w:r w:rsidRPr="008A5F3B">
              <w:rPr>
                <w:rFonts w:ascii="Times New Roman" w:hAnsi="Times New Roman"/>
                <w:color w:val="000000"/>
                <w:szCs w:val="22"/>
              </w:rPr>
              <w:t xml:space="preserve"> +351 21 000 8600</w:t>
            </w:r>
          </w:p>
        </w:tc>
      </w:tr>
      <w:tr w:rsidR="005057D2" w:rsidRPr="008A5F3B" w14:paraId="2B26AF6D" w14:textId="77777777" w:rsidTr="000666D1">
        <w:trPr>
          <w:cantSplit/>
        </w:trPr>
        <w:tc>
          <w:tcPr>
            <w:tcW w:w="4650" w:type="dxa"/>
          </w:tcPr>
          <w:p w14:paraId="4FA79A8B" w14:textId="77777777" w:rsidR="005057D2" w:rsidRPr="00122E4D" w:rsidRDefault="005057D2" w:rsidP="007F23EE">
            <w:pPr>
              <w:rPr>
                <w:rFonts w:ascii="Times New Roman" w:eastAsia="PMingLiU" w:hAnsi="Times New Roman"/>
                <w:b/>
                <w:szCs w:val="22"/>
                <w:lang w:val="de-DE"/>
              </w:rPr>
            </w:pPr>
            <w:r w:rsidRPr="00122E4D">
              <w:rPr>
                <w:rFonts w:ascii="Times New Roman" w:eastAsia="PMingLiU" w:hAnsi="Times New Roman"/>
                <w:b/>
                <w:szCs w:val="22"/>
                <w:lang w:val="de-DE"/>
              </w:rPr>
              <w:t>Hrvatska</w:t>
            </w:r>
          </w:p>
          <w:p w14:paraId="6BE0A3DB" w14:textId="77777777" w:rsidR="005057D2" w:rsidRPr="00122E4D" w:rsidRDefault="005057D2" w:rsidP="007F23EE">
            <w:pPr>
              <w:rPr>
                <w:rFonts w:ascii="Times New Roman" w:hAnsi="Times New Roman"/>
                <w:szCs w:val="22"/>
                <w:lang w:val="de-DE"/>
              </w:rPr>
            </w:pPr>
            <w:r w:rsidRPr="00122E4D">
              <w:rPr>
                <w:rFonts w:ascii="Times New Roman" w:hAnsi="Times New Roman"/>
                <w:szCs w:val="22"/>
                <w:lang w:val="de-DE"/>
              </w:rPr>
              <w:t>Novartis Hrvatska d.o.o.</w:t>
            </w:r>
          </w:p>
          <w:p w14:paraId="23FAEED6" w14:textId="77777777" w:rsidR="005057D2" w:rsidRPr="008A5F3B" w:rsidRDefault="005057D2" w:rsidP="007F23EE">
            <w:pPr>
              <w:rPr>
                <w:rFonts w:ascii="Times New Roman" w:hAnsi="Times New Roman"/>
                <w:szCs w:val="22"/>
              </w:rPr>
            </w:pPr>
            <w:r w:rsidRPr="008A5F3B">
              <w:rPr>
                <w:rFonts w:ascii="Times New Roman" w:hAnsi="Times New Roman"/>
                <w:szCs w:val="22"/>
              </w:rPr>
              <w:t>Tel. +385 1 6274 220</w:t>
            </w:r>
          </w:p>
          <w:p w14:paraId="6CA95F55" w14:textId="77777777" w:rsidR="005057D2" w:rsidRPr="008A5F3B" w:rsidRDefault="005057D2" w:rsidP="007F23EE">
            <w:pPr>
              <w:rPr>
                <w:rFonts w:ascii="Times New Roman" w:hAnsi="Times New Roman"/>
                <w:b/>
                <w:color w:val="000000"/>
                <w:szCs w:val="22"/>
              </w:rPr>
            </w:pPr>
          </w:p>
        </w:tc>
        <w:tc>
          <w:tcPr>
            <w:tcW w:w="4650" w:type="dxa"/>
          </w:tcPr>
          <w:p w14:paraId="38BB26AE" w14:textId="77777777" w:rsidR="005057D2" w:rsidRPr="008A5F3B" w:rsidRDefault="005057D2" w:rsidP="007F23EE">
            <w:pPr>
              <w:rPr>
                <w:rFonts w:ascii="Times New Roman" w:hAnsi="Times New Roman"/>
                <w:b/>
                <w:noProof/>
                <w:color w:val="000000"/>
                <w:szCs w:val="22"/>
                <w:lang w:val="it-IT"/>
              </w:rPr>
            </w:pPr>
            <w:r w:rsidRPr="008A5F3B">
              <w:rPr>
                <w:rFonts w:ascii="Times New Roman" w:hAnsi="Times New Roman"/>
                <w:b/>
                <w:noProof/>
                <w:color w:val="000000"/>
                <w:szCs w:val="22"/>
                <w:lang w:val="it-IT"/>
              </w:rPr>
              <w:t>România</w:t>
            </w:r>
          </w:p>
          <w:p w14:paraId="7EC7C324" w14:textId="77777777" w:rsidR="005057D2" w:rsidRPr="008A5F3B" w:rsidRDefault="005057D2" w:rsidP="007F23EE">
            <w:pPr>
              <w:rPr>
                <w:rFonts w:ascii="Times New Roman" w:hAnsi="Times New Roman"/>
                <w:noProof/>
                <w:color w:val="000000"/>
                <w:szCs w:val="22"/>
                <w:lang w:val="it-IT"/>
              </w:rPr>
            </w:pPr>
            <w:r w:rsidRPr="008A5F3B">
              <w:rPr>
                <w:rFonts w:ascii="Times New Roman" w:hAnsi="Times New Roman"/>
                <w:noProof/>
                <w:color w:val="000000"/>
                <w:szCs w:val="22"/>
                <w:lang w:val="it-IT"/>
              </w:rPr>
              <w:t xml:space="preserve">Novartis Pharma Services </w:t>
            </w:r>
            <w:r w:rsidRPr="008A5F3B">
              <w:rPr>
                <w:rFonts w:ascii="Times New Roman" w:hAnsi="Times New Roman"/>
                <w:color w:val="2F2F2F"/>
                <w:szCs w:val="22"/>
                <w:lang w:val="pt-PT"/>
              </w:rPr>
              <w:t>Romania SRL</w:t>
            </w:r>
          </w:p>
          <w:p w14:paraId="5096256D" w14:textId="77777777" w:rsidR="005057D2" w:rsidRPr="008A5F3B" w:rsidRDefault="005057D2" w:rsidP="007F23EE">
            <w:pPr>
              <w:rPr>
                <w:rFonts w:ascii="Times New Roman" w:hAnsi="Times New Roman"/>
                <w:color w:val="000000"/>
                <w:szCs w:val="22"/>
              </w:rPr>
            </w:pPr>
            <w:r w:rsidRPr="008A5F3B">
              <w:rPr>
                <w:rFonts w:ascii="Times New Roman" w:hAnsi="Times New Roman"/>
                <w:noProof/>
                <w:color w:val="000000"/>
                <w:szCs w:val="22"/>
                <w:lang w:val="it-IT"/>
              </w:rPr>
              <w:t>Tel: +40 21 31299 01</w:t>
            </w:r>
          </w:p>
        </w:tc>
      </w:tr>
      <w:tr w:rsidR="005057D2" w:rsidRPr="008A5F3B" w14:paraId="0B8402A2" w14:textId="77777777" w:rsidTr="000666D1">
        <w:trPr>
          <w:cantSplit/>
        </w:trPr>
        <w:tc>
          <w:tcPr>
            <w:tcW w:w="4650" w:type="dxa"/>
          </w:tcPr>
          <w:p w14:paraId="0624A07F" w14:textId="77777777" w:rsidR="005057D2" w:rsidRPr="008A5F3B" w:rsidRDefault="005057D2" w:rsidP="007F23EE">
            <w:pPr>
              <w:rPr>
                <w:rFonts w:ascii="Times New Roman" w:hAnsi="Times New Roman"/>
                <w:b/>
                <w:color w:val="000000"/>
                <w:szCs w:val="22"/>
                <w:lang w:val="en-US"/>
              </w:rPr>
            </w:pPr>
            <w:smartTag w:uri="urn:schemas-microsoft-com:office:smarttags" w:element="place">
              <w:smartTag w:uri="urn:schemas-microsoft-com:office:smarttags" w:element="country-region">
                <w:r w:rsidRPr="008A5F3B">
                  <w:rPr>
                    <w:rFonts w:ascii="Times New Roman" w:hAnsi="Times New Roman"/>
                    <w:b/>
                    <w:color w:val="000000"/>
                    <w:szCs w:val="22"/>
                    <w:lang w:val="en-US"/>
                  </w:rPr>
                  <w:t>Ireland</w:t>
                </w:r>
              </w:smartTag>
            </w:smartTag>
          </w:p>
          <w:p w14:paraId="462DEEF2" w14:textId="77777777" w:rsidR="005057D2" w:rsidRPr="008A5F3B" w:rsidRDefault="005057D2" w:rsidP="007F23EE">
            <w:pPr>
              <w:rPr>
                <w:rFonts w:ascii="Times New Roman" w:hAnsi="Times New Roman"/>
                <w:color w:val="000000"/>
                <w:szCs w:val="22"/>
                <w:lang w:val="en-US"/>
              </w:rPr>
            </w:pPr>
            <w:r w:rsidRPr="008A5F3B">
              <w:rPr>
                <w:rFonts w:ascii="Times New Roman" w:hAnsi="Times New Roman"/>
                <w:color w:val="000000"/>
                <w:szCs w:val="22"/>
                <w:lang w:val="en-US"/>
              </w:rPr>
              <w:t>Novartis Ireland Limited</w:t>
            </w:r>
          </w:p>
          <w:p w14:paraId="6B348657" w14:textId="77777777" w:rsidR="005057D2" w:rsidRPr="008A5F3B" w:rsidRDefault="005057D2" w:rsidP="007F23EE">
            <w:pPr>
              <w:rPr>
                <w:rFonts w:ascii="Times New Roman" w:hAnsi="Times New Roman"/>
                <w:color w:val="000000"/>
                <w:szCs w:val="22"/>
                <w:lang w:val="en-US"/>
              </w:rPr>
            </w:pPr>
            <w:r w:rsidRPr="008A5F3B">
              <w:rPr>
                <w:rFonts w:ascii="Times New Roman" w:hAnsi="Times New Roman"/>
                <w:color w:val="000000"/>
                <w:szCs w:val="22"/>
                <w:lang w:val="en-US"/>
              </w:rPr>
              <w:t>Tel: +353 1 260 12 55</w:t>
            </w:r>
          </w:p>
          <w:p w14:paraId="59129BEF" w14:textId="77777777" w:rsidR="005057D2" w:rsidRPr="008A5F3B" w:rsidRDefault="005057D2" w:rsidP="007F23EE">
            <w:pPr>
              <w:rPr>
                <w:rFonts w:ascii="Times New Roman" w:hAnsi="Times New Roman"/>
                <w:b/>
                <w:color w:val="000000"/>
                <w:szCs w:val="22"/>
                <w:lang w:val="en-US"/>
              </w:rPr>
            </w:pPr>
          </w:p>
        </w:tc>
        <w:tc>
          <w:tcPr>
            <w:tcW w:w="4650" w:type="dxa"/>
          </w:tcPr>
          <w:p w14:paraId="39F5020E" w14:textId="77777777" w:rsidR="005057D2" w:rsidRPr="008A5F3B" w:rsidRDefault="005057D2" w:rsidP="007F23EE">
            <w:pPr>
              <w:rPr>
                <w:rFonts w:ascii="Times New Roman" w:hAnsi="Times New Roman"/>
                <w:b/>
                <w:color w:val="000000"/>
                <w:szCs w:val="22"/>
              </w:rPr>
            </w:pPr>
            <w:r w:rsidRPr="008A5F3B">
              <w:rPr>
                <w:rFonts w:ascii="Times New Roman" w:hAnsi="Times New Roman"/>
                <w:b/>
                <w:color w:val="000000"/>
                <w:szCs w:val="22"/>
              </w:rPr>
              <w:t>Slovenija</w:t>
            </w:r>
          </w:p>
          <w:p w14:paraId="075CB1F3" w14:textId="77777777" w:rsidR="005057D2" w:rsidRPr="008A5F3B" w:rsidRDefault="005057D2" w:rsidP="007F23EE">
            <w:pPr>
              <w:rPr>
                <w:rFonts w:ascii="Times New Roman" w:hAnsi="Times New Roman"/>
                <w:color w:val="000000"/>
                <w:szCs w:val="22"/>
              </w:rPr>
            </w:pPr>
            <w:r w:rsidRPr="008A5F3B">
              <w:rPr>
                <w:rFonts w:ascii="Times New Roman" w:hAnsi="Times New Roman"/>
                <w:color w:val="000000"/>
                <w:szCs w:val="22"/>
              </w:rPr>
              <w:t>Novartis Pharma Services Inc.</w:t>
            </w:r>
          </w:p>
          <w:p w14:paraId="0A23691C" w14:textId="77777777" w:rsidR="005057D2" w:rsidRPr="008A5F3B" w:rsidRDefault="005057D2" w:rsidP="007F23EE">
            <w:pPr>
              <w:rPr>
                <w:rFonts w:ascii="Times New Roman" w:hAnsi="Times New Roman"/>
                <w:color w:val="000000"/>
                <w:szCs w:val="22"/>
              </w:rPr>
            </w:pPr>
            <w:proofErr w:type="gramStart"/>
            <w:r w:rsidRPr="008A5F3B">
              <w:rPr>
                <w:rFonts w:ascii="Times New Roman" w:hAnsi="Times New Roman"/>
                <w:color w:val="000000"/>
                <w:szCs w:val="22"/>
              </w:rPr>
              <w:t>Tel:</w:t>
            </w:r>
            <w:proofErr w:type="gramEnd"/>
            <w:r w:rsidRPr="008A5F3B">
              <w:rPr>
                <w:rFonts w:ascii="Times New Roman" w:hAnsi="Times New Roman"/>
                <w:color w:val="000000"/>
                <w:szCs w:val="22"/>
              </w:rPr>
              <w:t xml:space="preserve"> +386 1 300 75 50</w:t>
            </w:r>
          </w:p>
        </w:tc>
      </w:tr>
      <w:tr w:rsidR="005057D2" w:rsidRPr="0035690C" w14:paraId="6713E3C4" w14:textId="77777777" w:rsidTr="000666D1">
        <w:trPr>
          <w:cantSplit/>
        </w:trPr>
        <w:tc>
          <w:tcPr>
            <w:tcW w:w="4650" w:type="dxa"/>
          </w:tcPr>
          <w:p w14:paraId="6265C1D0" w14:textId="77777777" w:rsidR="005057D2" w:rsidRPr="008A5F3B" w:rsidRDefault="005057D2" w:rsidP="007F23EE">
            <w:pPr>
              <w:rPr>
                <w:rFonts w:ascii="Times New Roman" w:hAnsi="Times New Roman"/>
                <w:b/>
                <w:color w:val="000000"/>
                <w:szCs w:val="22"/>
              </w:rPr>
            </w:pPr>
            <w:proofErr w:type="spellStart"/>
            <w:r w:rsidRPr="008A5F3B">
              <w:rPr>
                <w:rFonts w:ascii="Times New Roman" w:hAnsi="Times New Roman"/>
                <w:b/>
                <w:color w:val="000000"/>
                <w:szCs w:val="22"/>
              </w:rPr>
              <w:t>Ísland</w:t>
            </w:r>
            <w:proofErr w:type="spellEnd"/>
          </w:p>
          <w:p w14:paraId="74C934E8" w14:textId="6697FE7B" w:rsidR="005057D2" w:rsidRPr="008A5F3B" w:rsidRDefault="005057D2" w:rsidP="007F23EE">
            <w:pPr>
              <w:rPr>
                <w:rFonts w:ascii="Times New Roman" w:hAnsi="Times New Roman"/>
                <w:color w:val="000000"/>
                <w:szCs w:val="22"/>
              </w:rPr>
            </w:pPr>
            <w:proofErr w:type="spellStart"/>
            <w:r w:rsidRPr="008A5F3B">
              <w:rPr>
                <w:rFonts w:ascii="Times New Roman" w:hAnsi="Times New Roman"/>
                <w:color w:val="000000"/>
                <w:szCs w:val="22"/>
              </w:rPr>
              <w:t>Vistor</w:t>
            </w:r>
            <w:proofErr w:type="spellEnd"/>
            <w:r w:rsidRPr="008A5F3B">
              <w:rPr>
                <w:rFonts w:ascii="Times New Roman" w:hAnsi="Times New Roman"/>
                <w:color w:val="000000"/>
                <w:szCs w:val="22"/>
              </w:rPr>
              <w:t xml:space="preserve"> </w:t>
            </w:r>
            <w:proofErr w:type="spellStart"/>
            <w:ins w:id="736" w:author="Author">
              <w:r w:rsidR="00A94D0D">
                <w:rPr>
                  <w:rFonts w:ascii="Times New Roman" w:hAnsi="Times New Roman"/>
                  <w:color w:val="000000"/>
                  <w:szCs w:val="22"/>
                </w:rPr>
                <w:t>e</w:t>
              </w:r>
            </w:ins>
            <w:r w:rsidRPr="008A5F3B">
              <w:rPr>
                <w:rFonts w:ascii="Times New Roman" w:hAnsi="Times New Roman"/>
                <w:color w:val="000000"/>
                <w:szCs w:val="22"/>
              </w:rPr>
              <w:t>hf</w:t>
            </w:r>
            <w:proofErr w:type="spellEnd"/>
            <w:r w:rsidRPr="008A5F3B">
              <w:rPr>
                <w:rFonts w:ascii="Times New Roman" w:hAnsi="Times New Roman"/>
                <w:color w:val="000000"/>
                <w:szCs w:val="22"/>
              </w:rPr>
              <w:t>.</w:t>
            </w:r>
          </w:p>
          <w:p w14:paraId="65FF9B25" w14:textId="77777777" w:rsidR="005057D2" w:rsidRPr="008A5F3B" w:rsidRDefault="005057D2" w:rsidP="007F23EE">
            <w:pPr>
              <w:rPr>
                <w:rFonts w:ascii="Times New Roman" w:hAnsi="Times New Roman"/>
                <w:color w:val="000000"/>
                <w:szCs w:val="22"/>
              </w:rPr>
            </w:pPr>
            <w:r w:rsidRPr="008A5F3B">
              <w:rPr>
                <w:rFonts w:ascii="Times New Roman" w:hAnsi="Times New Roman"/>
                <w:noProof/>
                <w:color w:val="000000"/>
                <w:szCs w:val="22"/>
                <w:lang w:val="it-IT"/>
              </w:rPr>
              <w:t>S</w:t>
            </w:r>
            <w:r w:rsidRPr="008A5F3B">
              <w:rPr>
                <w:rFonts w:ascii="Times New Roman" w:hAnsi="Times New Roman"/>
                <w:noProof/>
                <w:color w:val="000000"/>
                <w:szCs w:val="22"/>
                <w:lang w:val="cs-CZ"/>
              </w:rPr>
              <w:t>í</w:t>
            </w:r>
            <w:r w:rsidRPr="008A5F3B">
              <w:rPr>
                <w:rFonts w:ascii="Times New Roman" w:hAnsi="Times New Roman"/>
                <w:noProof/>
                <w:color w:val="000000"/>
                <w:szCs w:val="22"/>
                <w:lang w:val="it-IT"/>
              </w:rPr>
              <w:t>mi</w:t>
            </w:r>
            <w:r w:rsidRPr="008A5F3B">
              <w:rPr>
                <w:rFonts w:ascii="Times New Roman" w:hAnsi="Times New Roman"/>
                <w:color w:val="000000"/>
                <w:szCs w:val="22"/>
              </w:rPr>
              <w:t>: +354 535 7000</w:t>
            </w:r>
          </w:p>
          <w:p w14:paraId="19EFC5D1" w14:textId="77777777" w:rsidR="005057D2" w:rsidRPr="008A5F3B" w:rsidRDefault="005057D2" w:rsidP="007F23EE">
            <w:pPr>
              <w:rPr>
                <w:rFonts w:ascii="Times New Roman" w:hAnsi="Times New Roman"/>
                <w:b/>
                <w:color w:val="000000"/>
                <w:szCs w:val="22"/>
              </w:rPr>
            </w:pPr>
          </w:p>
        </w:tc>
        <w:tc>
          <w:tcPr>
            <w:tcW w:w="4650" w:type="dxa"/>
          </w:tcPr>
          <w:p w14:paraId="1E84A191" w14:textId="77777777" w:rsidR="005057D2" w:rsidRPr="008A5F3B" w:rsidRDefault="005057D2" w:rsidP="007F23EE">
            <w:pPr>
              <w:rPr>
                <w:rFonts w:ascii="Times New Roman" w:hAnsi="Times New Roman"/>
                <w:b/>
                <w:color w:val="000000"/>
                <w:szCs w:val="22"/>
                <w:lang w:val="nb-NO"/>
              </w:rPr>
            </w:pPr>
            <w:r w:rsidRPr="008A5F3B">
              <w:rPr>
                <w:rFonts w:ascii="Times New Roman" w:hAnsi="Times New Roman"/>
                <w:b/>
                <w:color w:val="000000"/>
                <w:szCs w:val="22"/>
                <w:lang w:val="nb-NO"/>
              </w:rPr>
              <w:t>Slovenská republika</w:t>
            </w:r>
          </w:p>
          <w:p w14:paraId="61370BD2" w14:textId="77777777" w:rsidR="005057D2" w:rsidRPr="008A5F3B" w:rsidRDefault="005057D2" w:rsidP="007F23EE">
            <w:pPr>
              <w:rPr>
                <w:rFonts w:ascii="Times New Roman" w:hAnsi="Times New Roman"/>
                <w:color w:val="000000"/>
                <w:szCs w:val="22"/>
                <w:lang w:val="nb-NO"/>
              </w:rPr>
            </w:pPr>
            <w:r w:rsidRPr="008A5F3B">
              <w:rPr>
                <w:rFonts w:ascii="Times New Roman" w:hAnsi="Times New Roman"/>
                <w:color w:val="000000"/>
                <w:szCs w:val="22"/>
                <w:lang w:val="nb-NO"/>
              </w:rPr>
              <w:t>Novartis Slovakia s.r.o.</w:t>
            </w:r>
          </w:p>
          <w:p w14:paraId="17CD5075" w14:textId="77777777" w:rsidR="005057D2" w:rsidRPr="00122E4D" w:rsidRDefault="005057D2" w:rsidP="007F23EE">
            <w:pPr>
              <w:rPr>
                <w:rFonts w:ascii="Times New Roman" w:hAnsi="Times New Roman"/>
                <w:color w:val="000000"/>
                <w:szCs w:val="22"/>
                <w:lang w:val="en-GB"/>
              </w:rPr>
            </w:pPr>
            <w:r w:rsidRPr="00122E4D">
              <w:rPr>
                <w:rFonts w:ascii="Times New Roman" w:hAnsi="Times New Roman"/>
                <w:color w:val="000000"/>
                <w:szCs w:val="22"/>
                <w:lang w:val="en-GB"/>
              </w:rPr>
              <w:t>Tel: +421 2 5542 5439</w:t>
            </w:r>
          </w:p>
          <w:p w14:paraId="3A9451D3" w14:textId="77777777" w:rsidR="005057D2" w:rsidRPr="00122E4D" w:rsidRDefault="005057D2" w:rsidP="007F23EE">
            <w:pPr>
              <w:rPr>
                <w:rFonts w:ascii="Times New Roman" w:hAnsi="Times New Roman"/>
                <w:color w:val="000000"/>
                <w:szCs w:val="22"/>
                <w:lang w:val="en-GB"/>
              </w:rPr>
            </w:pPr>
          </w:p>
        </w:tc>
      </w:tr>
      <w:tr w:rsidR="005057D2" w:rsidRPr="008A5F3B" w14:paraId="5BC67AC5" w14:textId="77777777" w:rsidTr="000666D1">
        <w:trPr>
          <w:cantSplit/>
        </w:trPr>
        <w:tc>
          <w:tcPr>
            <w:tcW w:w="4650" w:type="dxa"/>
          </w:tcPr>
          <w:p w14:paraId="0115C76D" w14:textId="77777777" w:rsidR="005057D2" w:rsidRPr="008A5F3B" w:rsidRDefault="005057D2" w:rsidP="007F23EE">
            <w:pPr>
              <w:rPr>
                <w:rFonts w:ascii="Times New Roman" w:hAnsi="Times New Roman"/>
                <w:b/>
                <w:color w:val="000000"/>
                <w:szCs w:val="22"/>
                <w:lang w:val="pt-BR"/>
              </w:rPr>
            </w:pPr>
            <w:r w:rsidRPr="008A5F3B">
              <w:rPr>
                <w:rFonts w:ascii="Times New Roman" w:hAnsi="Times New Roman"/>
                <w:b/>
                <w:color w:val="000000"/>
                <w:szCs w:val="22"/>
                <w:lang w:val="pt-BR"/>
              </w:rPr>
              <w:t>Italia</w:t>
            </w:r>
          </w:p>
          <w:p w14:paraId="3B903F52" w14:textId="77777777" w:rsidR="005057D2" w:rsidRPr="008A5F3B" w:rsidRDefault="005057D2" w:rsidP="007F23EE">
            <w:pPr>
              <w:rPr>
                <w:rFonts w:ascii="Times New Roman" w:hAnsi="Times New Roman"/>
                <w:color w:val="000000"/>
                <w:szCs w:val="22"/>
                <w:lang w:val="pt-BR"/>
              </w:rPr>
            </w:pPr>
            <w:r w:rsidRPr="008A5F3B">
              <w:rPr>
                <w:rFonts w:ascii="Times New Roman" w:hAnsi="Times New Roman"/>
                <w:color w:val="000000"/>
                <w:szCs w:val="22"/>
                <w:lang w:val="pt-BR"/>
              </w:rPr>
              <w:t>Novartis Farma S.p.A.</w:t>
            </w:r>
          </w:p>
          <w:p w14:paraId="27D9F267" w14:textId="77777777" w:rsidR="005057D2" w:rsidRPr="008A5F3B" w:rsidRDefault="005057D2" w:rsidP="007F23EE">
            <w:pPr>
              <w:rPr>
                <w:rFonts w:ascii="Times New Roman" w:hAnsi="Times New Roman"/>
                <w:b/>
                <w:color w:val="000000"/>
                <w:szCs w:val="22"/>
              </w:rPr>
            </w:pPr>
            <w:proofErr w:type="gramStart"/>
            <w:r w:rsidRPr="008A5F3B">
              <w:rPr>
                <w:rFonts w:ascii="Times New Roman" w:hAnsi="Times New Roman"/>
                <w:color w:val="000000"/>
                <w:szCs w:val="22"/>
              </w:rPr>
              <w:t>Tel:</w:t>
            </w:r>
            <w:proofErr w:type="gramEnd"/>
            <w:r w:rsidRPr="008A5F3B">
              <w:rPr>
                <w:rFonts w:ascii="Times New Roman" w:hAnsi="Times New Roman"/>
                <w:color w:val="000000"/>
                <w:szCs w:val="22"/>
              </w:rPr>
              <w:t xml:space="preserve"> +39 02 96 54 1</w:t>
            </w:r>
          </w:p>
        </w:tc>
        <w:tc>
          <w:tcPr>
            <w:tcW w:w="4650" w:type="dxa"/>
          </w:tcPr>
          <w:p w14:paraId="6F350E8A" w14:textId="77777777" w:rsidR="005057D2" w:rsidRPr="008A5F3B" w:rsidRDefault="005057D2" w:rsidP="007F23EE">
            <w:pPr>
              <w:rPr>
                <w:rFonts w:ascii="Times New Roman" w:hAnsi="Times New Roman"/>
                <w:b/>
                <w:color w:val="000000"/>
                <w:szCs w:val="22"/>
              </w:rPr>
            </w:pPr>
            <w:r w:rsidRPr="008A5F3B">
              <w:rPr>
                <w:rFonts w:ascii="Times New Roman" w:hAnsi="Times New Roman"/>
                <w:b/>
                <w:color w:val="000000"/>
                <w:szCs w:val="22"/>
              </w:rPr>
              <w:t>Suomi/Finland</w:t>
            </w:r>
          </w:p>
          <w:p w14:paraId="617BBC04" w14:textId="77777777" w:rsidR="005057D2" w:rsidRPr="008A5F3B" w:rsidRDefault="005057D2" w:rsidP="007F23EE">
            <w:pPr>
              <w:rPr>
                <w:rFonts w:ascii="Times New Roman" w:hAnsi="Times New Roman"/>
                <w:color w:val="000000"/>
                <w:szCs w:val="22"/>
              </w:rPr>
            </w:pPr>
            <w:r w:rsidRPr="008A5F3B">
              <w:rPr>
                <w:rFonts w:ascii="Times New Roman" w:hAnsi="Times New Roman"/>
                <w:color w:val="000000"/>
                <w:szCs w:val="22"/>
              </w:rPr>
              <w:t>Novartis Finland Oy</w:t>
            </w:r>
          </w:p>
          <w:p w14:paraId="62E8D744" w14:textId="77777777" w:rsidR="005057D2" w:rsidRPr="008A5F3B" w:rsidRDefault="005057D2" w:rsidP="007F23EE">
            <w:pPr>
              <w:rPr>
                <w:rFonts w:ascii="Times New Roman" w:hAnsi="Times New Roman"/>
                <w:color w:val="000000"/>
                <w:szCs w:val="22"/>
              </w:rPr>
            </w:pPr>
            <w:proofErr w:type="spellStart"/>
            <w:r w:rsidRPr="008A5F3B">
              <w:rPr>
                <w:rFonts w:ascii="Times New Roman" w:hAnsi="Times New Roman"/>
                <w:color w:val="000000"/>
                <w:szCs w:val="22"/>
              </w:rPr>
              <w:t>Puh</w:t>
            </w:r>
            <w:proofErr w:type="spellEnd"/>
            <w:r w:rsidRPr="008A5F3B">
              <w:rPr>
                <w:rFonts w:ascii="Times New Roman" w:hAnsi="Times New Roman"/>
                <w:color w:val="000000"/>
                <w:szCs w:val="22"/>
              </w:rPr>
              <w:t>/</w:t>
            </w:r>
            <w:proofErr w:type="gramStart"/>
            <w:r w:rsidRPr="008A5F3B">
              <w:rPr>
                <w:rFonts w:ascii="Times New Roman" w:hAnsi="Times New Roman"/>
                <w:color w:val="000000"/>
                <w:szCs w:val="22"/>
              </w:rPr>
              <w:t>Tel:</w:t>
            </w:r>
            <w:proofErr w:type="gramEnd"/>
            <w:r w:rsidRPr="008A5F3B">
              <w:rPr>
                <w:rFonts w:ascii="Times New Roman" w:hAnsi="Times New Roman"/>
                <w:color w:val="000000"/>
                <w:szCs w:val="22"/>
              </w:rPr>
              <w:t xml:space="preserve"> </w:t>
            </w:r>
            <w:r w:rsidRPr="008A5F3B">
              <w:rPr>
                <w:rFonts w:ascii="Times New Roman" w:hAnsi="Times New Roman"/>
                <w:color w:val="000000"/>
                <w:szCs w:val="22"/>
                <w:lang w:val="de-CH" w:bidi="he-IL"/>
              </w:rPr>
              <w:t>+358 (0)10 6133 200</w:t>
            </w:r>
          </w:p>
          <w:p w14:paraId="19974889" w14:textId="77777777" w:rsidR="005057D2" w:rsidRPr="008A5F3B" w:rsidRDefault="005057D2" w:rsidP="007F23EE">
            <w:pPr>
              <w:rPr>
                <w:rFonts w:ascii="Times New Roman" w:hAnsi="Times New Roman"/>
                <w:color w:val="000000"/>
                <w:szCs w:val="22"/>
              </w:rPr>
            </w:pPr>
          </w:p>
        </w:tc>
      </w:tr>
      <w:tr w:rsidR="005057D2" w:rsidRPr="0035690C" w14:paraId="0865274B" w14:textId="77777777" w:rsidTr="000666D1">
        <w:trPr>
          <w:cantSplit/>
        </w:trPr>
        <w:tc>
          <w:tcPr>
            <w:tcW w:w="4650" w:type="dxa"/>
          </w:tcPr>
          <w:p w14:paraId="6860D0F3" w14:textId="77777777" w:rsidR="005057D2" w:rsidRPr="008A5F3B" w:rsidRDefault="005057D2" w:rsidP="007F23EE">
            <w:pPr>
              <w:rPr>
                <w:rFonts w:ascii="Times New Roman" w:hAnsi="Times New Roman"/>
                <w:b/>
                <w:color w:val="000000"/>
                <w:szCs w:val="22"/>
              </w:rPr>
            </w:pPr>
            <w:proofErr w:type="spellStart"/>
            <w:r w:rsidRPr="008A5F3B">
              <w:rPr>
                <w:rFonts w:ascii="Times New Roman" w:hAnsi="Times New Roman"/>
                <w:b/>
                <w:color w:val="000000"/>
                <w:szCs w:val="22"/>
              </w:rPr>
              <w:t>Κύ</w:t>
            </w:r>
            <w:proofErr w:type="spellEnd"/>
            <w:r w:rsidRPr="008A5F3B">
              <w:rPr>
                <w:rFonts w:ascii="Times New Roman" w:hAnsi="Times New Roman"/>
                <w:b/>
                <w:color w:val="000000"/>
                <w:szCs w:val="22"/>
              </w:rPr>
              <w:t>προς</w:t>
            </w:r>
          </w:p>
          <w:p w14:paraId="653CDE01" w14:textId="77777777" w:rsidR="005057D2" w:rsidRPr="008A5F3B" w:rsidRDefault="005057D2" w:rsidP="007F23EE">
            <w:pPr>
              <w:rPr>
                <w:rFonts w:ascii="Times New Roman" w:hAnsi="Times New Roman"/>
                <w:color w:val="000000"/>
                <w:szCs w:val="22"/>
              </w:rPr>
            </w:pPr>
            <w:r w:rsidRPr="008A5F3B">
              <w:rPr>
                <w:rFonts w:ascii="Times New Roman" w:hAnsi="Times New Roman"/>
                <w:color w:val="000000"/>
                <w:szCs w:val="22"/>
                <w:lang w:bidi="he-IL"/>
              </w:rPr>
              <w:t>Novartis Pharma Services Inc.</w:t>
            </w:r>
          </w:p>
          <w:p w14:paraId="6B1DC37F" w14:textId="77777777" w:rsidR="005057D2" w:rsidRPr="008A5F3B" w:rsidRDefault="005057D2" w:rsidP="007F23EE">
            <w:pPr>
              <w:rPr>
                <w:rFonts w:ascii="Times New Roman" w:hAnsi="Times New Roman"/>
                <w:color w:val="000000"/>
                <w:szCs w:val="22"/>
              </w:rPr>
            </w:pPr>
            <w:proofErr w:type="spellStart"/>
            <w:proofErr w:type="gramStart"/>
            <w:r w:rsidRPr="008A5F3B">
              <w:rPr>
                <w:rFonts w:ascii="Times New Roman" w:hAnsi="Times New Roman"/>
                <w:color w:val="000000"/>
                <w:szCs w:val="22"/>
              </w:rPr>
              <w:t>Τηλ</w:t>
            </w:r>
            <w:proofErr w:type="spellEnd"/>
            <w:r w:rsidRPr="008A5F3B">
              <w:rPr>
                <w:rFonts w:ascii="Times New Roman" w:hAnsi="Times New Roman"/>
                <w:color w:val="000000"/>
                <w:szCs w:val="22"/>
              </w:rPr>
              <w:t>:</w:t>
            </w:r>
            <w:proofErr w:type="gramEnd"/>
            <w:r w:rsidRPr="008A5F3B">
              <w:rPr>
                <w:rFonts w:ascii="Times New Roman" w:hAnsi="Times New Roman"/>
                <w:color w:val="000000"/>
                <w:szCs w:val="22"/>
              </w:rPr>
              <w:t xml:space="preserve"> +357 22 690 690</w:t>
            </w:r>
          </w:p>
          <w:p w14:paraId="6FE1D7FE" w14:textId="77777777" w:rsidR="005057D2" w:rsidRPr="008A5F3B" w:rsidRDefault="005057D2" w:rsidP="007F23EE">
            <w:pPr>
              <w:rPr>
                <w:rFonts w:ascii="Times New Roman" w:hAnsi="Times New Roman"/>
                <w:b/>
                <w:color w:val="000000"/>
                <w:szCs w:val="22"/>
              </w:rPr>
            </w:pPr>
          </w:p>
        </w:tc>
        <w:tc>
          <w:tcPr>
            <w:tcW w:w="4650" w:type="dxa"/>
          </w:tcPr>
          <w:p w14:paraId="46282B07" w14:textId="77777777" w:rsidR="005057D2" w:rsidRPr="008A5F3B" w:rsidRDefault="005057D2" w:rsidP="007F23EE">
            <w:pPr>
              <w:rPr>
                <w:rFonts w:ascii="Times New Roman" w:hAnsi="Times New Roman"/>
                <w:b/>
                <w:color w:val="000000"/>
                <w:szCs w:val="22"/>
                <w:lang w:val="nb-NO"/>
              </w:rPr>
            </w:pPr>
            <w:r w:rsidRPr="008A5F3B">
              <w:rPr>
                <w:rFonts w:ascii="Times New Roman" w:hAnsi="Times New Roman"/>
                <w:b/>
                <w:color w:val="000000"/>
                <w:szCs w:val="22"/>
                <w:lang w:val="nb-NO"/>
              </w:rPr>
              <w:t>Sverige</w:t>
            </w:r>
          </w:p>
          <w:p w14:paraId="0E0779D9" w14:textId="77777777" w:rsidR="005057D2" w:rsidRPr="008A5F3B" w:rsidRDefault="005057D2" w:rsidP="007F23EE">
            <w:pPr>
              <w:rPr>
                <w:rFonts w:ascii="Times New Roman" w:hAnsi="Times New Roman"/>
                <w:color w:val="000000"/>
                <w:szCs w:val="22"/>
                <w:lang w:val="nb-NO"/>
              </w:rPr>
            </w:pPr>
            <w:r w:rsidRPr="008A5F3B">
              <w:rPr>
                <w:rFonts w:ascii="Times New Roman" w:hAnsi="Times New Roman"/>
                <w:color w:val="000000"/>
                <w:szCs w:val="22"/>
                <w:lang w:val="nb-NO"/>
              </w:rPr>
              <w:t>Novartis Sverige AB</w:t>
            </w:r>
          </w:p>
          <w:p w14:paraId="4FDA2630" w14:textId="77777777" w:rsidR="005057D2" w:rsidRPr="008A5F3B" w:rsidRDefault="005057D2" w:rsidP="007F23EE">
            <w:pPr>
              <w:rPr>
                <w:rFonts w:ascii="Times New Roman" w:hAnsi="Times New Roman"/>
                <w:color w:val="000000"/>
                <w:szCs w:val="22"/>
                <w:lang w:val="nb-NO"/>
              </w:rPr>
            </w:pPr>
            <w:r w:rsidRPr="008A5F3B">
              <w:rPr>
                <w:rFonts w:ascii="Times New Roman" w:hAnsi="Times New Roman"/>
                <w:color w:val="000000"/>
                <w:szCs w:val="22"/>
                <w:lang w:val="nb-NO"/>
              </w:rPr>
              <w:t>Tel: +46 8 732 32 00</w:t>
            </w:r>
          </w:p>
          <w:p w14:paraId="7EF7EDA7" w14:textId="77777777" w:rsidR="005057D2" w:rsidRPr="008A5F3B" w:rsidRDefault="005057D2" w:rsidP="007F23EE">
            <w:pPr>
              <w:rPr>
                <w:rFonts w:ascii="Times New Roman" w:hAnsi="Times New Roman"/>
                <w:color w:val="000000"/>
                <w:szCs w:val="22"/>
                <w:lang w:val="nb-NO"/>
              </w:rPr>
            </w:pPr>
          </w:p>
        </w:tc>
      </w:tr>
      <w:tr w:rsidR="005057D2" w:rsidRPr="008A5F3B" w14:paraId="4DFA2B39" w14:textId="77777777" w:rsidTr="000666D1">
        <w:trPr>
          <w:cantSplit/>
        </w:trPr>
        <w:tc>
          <w:tcPr>
            <w:tcW w:w="4650" w:type="dxa"/>
          </w:tcPr>
          <w:p w14:paraId="2BA11308" w14:textId="77777777" w:rsidR="005057D2" w:rsidRPr="008A5F3B" w:rsidRDefault="005057D2" w:rsidP="007F23EE">
            <w:pPr>
              <w:rPr>
                <w:rFonts w:ascii="Times New Roman" w:hAnsi="Times New Roman"/>
                <w:b/>
                <w:color w:val="000000"/>
                <w:szCs w:val="22"/>
                <w:lang w:val="it-IT"/>
              </w:rPr>
            </w:pPr>
            <w:r w:rsidRPr="008A5F3B">
              <w:rPr>
                <w:rFonts w:ascii="Times New Roman" w:hAnsi="Times New Roman"/>
                <w:b/>
                <w:color w:val="000000"/>
                <w:szCs w:val="22"/>
                <w:lang w:val="it-IT"/>
              </w:rPr>
              <w:t>Latvija</w:t>
            </w:r>
          </w:p>
          <w:p w14:paraId="5D63E8E1" w14:textId="05C7E4A3" w:rsidR="005057D2" w:rsidRPr="008A5F3B" w:rsidRDefault="00E07259" w:rsidP="007F23EE">
            <w:pPr>
              <w:rPr>
                <w:rFonts w:ascii="Times New Roman" w:hAnsi="Times New Roman"/>
                <w:color w:val="000000"/>
                <w:szCs w:val="22"/>
                <w:lang w:val="it-IT"/>
              </w:rPr>
            </w:pPr>
            <w:r w:rsidRPr="008A5F3B">
              <w:rPr>
                <w:rFonts w:ascii="Times New Roman" w:hAnsi="Times New Roman"/>
                <w:color w:val="000000"/>
                <w:szCs w:val="22"/>
                <w:lang w:val="it-IT"/>
              </w:rPr>
              <w:t xml:space="preserve">SIA </w:t>
            </w:r>
            <w:r w:rsidR="00505205" w:rsidRPr="008A5F3B">
              <w:rPr>
                <w:rFonts w:ascii="Times New Roman" w:hAnsi="Times New Roman"/>
                <w:color w:val="000000"/>
                <w:szCs w:val="22"/>
                <w:lang w:val="it-IT"/>
              </w:rPr>
              <w:t>Novartis Baltics</w:t>
            </w:r>
          </w:p>
          <w:p w14:paraId="5CE9EACF" w14:textId="77777777" w:rsidR="005057D2" w:rsidRPr="008A5F3B" w:rsidRDefault="005057D2" w:rsidP="007F23EE">
            <w:pPr>
              <w:rPr>
                <w:rFonts w:ascii="Times New Roman" w:hAnsi="Times New Roman"/>
                <w:color w:val="000000"/>
                <w:szCs w:val="22"/>
                <w:lang w:val="it-IT"/>
              </w:rPr>
            </w:pPr>
            <w:r w:rsidRPr="008A5F3B">
              <w:rPr>
                <w:rFonts w:ascii="Times New Roman" w:hAnsi="Times New Roman"/>
                <w:color w:val="000000"/>
                <w:szCs w:val="22"/>
                <w:lang w:val="it-IT"/>
              </w:rPr>
              <w:t>Tel: +371 67 887 070</w:t>
            </w:r>
          </w:p>
          <w:p w14:paraId="14E1F6B2" w14:textId="77777777" w:rsidR="005057D2" w:rsidRPr="008A5F3B" w:rsidRDefault="005057D2" w:rsidP="007F23EE">
            <w:pPr>
              <w:rPr>
                <w:rFonts w:ascii="Times New Roman" w:hAnsi="Times New Roman"/>
                <w:b/>
                <w:color w:val="000000"/>
                <w:szCs w:val="22"/>
                <w:lang w:val="it-IT"/>
              </w:rPr>
            </w:pPr>
          </w:p>
        </w:tc>
        <w:tc>
          <w:tcPr>
            <w:tcW w:w="4650" w:type="dxa"/>
          </w:tcPr>
          <w:p w14:paraId="201B2F81" w14:textId="77777777" w:rsidR="005057D2" w:rsidRPr="008A5F3B" w:rsidRDefault="005057D2" w:rsidP="007F23EE">
            <w:pPr>
              <w:rPr>
                <w:rFonts w:ascii="Times New Roman" w:hAnsi="Times New Roman"/>
                <w:color w:val="000000"/>
                <w:szCs w:val="22"/>
                <w:lang w:val="en-US"/>
              </w:rPr>
            </w:pPr>
          </w:p>
        </w:tc>
      </w:tr>
    </w:tbl>
    <w:p w14:paraId="11590EDD" w14:textId="77777777" w:rsidR="005057D2" w:rsidRPr="008A5F3B" w:rsidRDefault="005057D2" w:rsidP="007F23EE">
      <w:pPr>
        <w:ind w:right="-449"/>
        <w:rPr>
          <w:rFonts w:ascii="Times New Roman" w:hAnsi="Times New Roman"/>
          <w:color w:val="000000"/>
          <w:szCs w:val="22"/>
          <w:lang w:val="en-US"/>
        </w:rPr>
      </w:pPr>
    </w:p>
    <w:p w14:paraId="209BF001" w14:textId="77777777" w:rsidR="007D642D" w:rsidRPr="008A5F3B" w:rsidRDefault="007D642D" w:rsidP="007F23EE">
      <w:pPr>
        <w:numPr>
          <w:ilvl w:val="12"/>
          <w:numId w:val="0"/>
        </w:numPr>
        <w:ind w:right="-2"/>
        <w:rPr>
          <w:rFonts w:ascii="Times New Roman" w:hAnsi="Times New Roman"/>
          <w:b/>
          <w:color w:val="000000"/>
          <w:szCs w:val="22"/>
        </w:rPr>
      </w:pPr>
      <w:r w:rsidRPr="008A5F3B">
        <w:rPr>
          <w:rFonts w:ascii="Times New Roman" w:hAnsi="Times New Roman"/>
          <w:b/>
          <w:color w:val="000000"/>
          <w:szCs w:val="22"/>
        </w:rPr>
        <w:t>La dernière date à laquelle cette notice a été révisée est</w:t>
      </w:r>
    </w:p>
    <w:p w14:paraId="1953274A" w14:textId="77777777" w:rsidR="007D642D" w:rsidRPr="008A5F3B" w:rsidRDefault="007D642D" w:rsidP="007F23EE">
      <w:pPr>
        <w:numPr>
          <w:ilvl w:val="12"/>
          <w:numId w:val="0"/>
        </w:numPr>
        <w:ind w:right="-2"/>
        <w:rPr>
          <w:rFonts w:ascii="Times New Roman" w:hAnsi="Times New Roman"/>
          <w:bCs/>
          <w:color w:val="000000"/>
          <w:szCs w:val="22"/>
        </w:rPr>
      </w:pPr>
    </w:p>
    <w:p w14:paraId="2616FBF4" w14:textId="77777777" w:rsidR="007D642D" w:rsidRPr="008A5F3B" w:rsidRDefault="007D642D" w:rsidP="007F23EE">
      <w:pPr>
        <w:keepNext/>
        <w:numPr>
          <w:ilvl w:val="12"/>
          <w:numId w:val="0"/>
        </w:numPr>
        <w:rPr>
          <w:rFonts w:ascii="Times New Roman" w:hAnsi="Times New Roman"/>
          <w:b/>
          <w:bCs/>
          <w:color w:val="000000"/>
          <w:szCs w:val="22"/>
        </w:rPr>
      </w:pPr>
      <w:r w:rsidRPr="008A5F3B">
        <w:rPr>
          <w:rFonts w:ascii="Times New Roman" w:hAnsi="Times New Roman"/>
          <w:b/>
          <w:bCs/>
          <w:color w:val="000000"/>
          <w:szCs w:val="22"/>
        </w:rPr>
        <w:t>Autres sources d’informations</w:t>
      </w:r>
    </w:p>
    <w:p w14:paraId="0735E95E" w14:textId="0DCBF45D" w:rsidR="00321CF2" w:rsidRPr="00961E0F" w:rsidRDefault="007D642D" w:rsidP="007F23EE">
      <w:pPr>
        <w:rPr>
          <w:rFonts w:ascii="Times New Roman" w:hAnsi="Times New Roman"/>
          <w:color w:val="000000"/>
          <w:szCs w:val="22"/>
        </w:rPr>
      </w:pPr>
      <w:r w:rsidRPr="008A5F3B">
        <w:rPr>
          <w:rFonts w:ascii="Times New Roman" w:hAnsi="Times New Roman"/>
          <w:color w:val="000000"/>
          <w:szCs w:val="22"/>
        </w:rPr>
        <w:t xml:space="preserve">Des informations détaillées sur ce médicament sont disponibles sur le site internet de l’Agence européenne des médicaments </w:t>
      </w:r>
      <w:ins w:id="737" w:author="Author">
        <w:r w:rsidR="00A94D0D">
          <w:rPr>
            <w:rFonts w:ascii="Times New Roman" w:hAnsi="Times New Roman"/>
            <w:szCs w:val="22"/>
          </w:rPr>
          <w:fldChar w:fldCharType="begin"/>
        </w:r>
        <w:r w:rsidR="00A94D0D">
          <w:rPr>
            <w:rFonts w:ascii="Times New Roman" w:hAnsi="Times New Roman"/>
            <w:szCs w:val="22"/>
          </w:rPr>
          <w:instrText>HYPERLINK "</w:instrText>
        </w:r>
      </w:ins>
      <w:r w:rsidR="00A94D0D" w:rsidRPr="005205FF">
        <w:rPr>
          <w:rPrChange w:id="738" w:author="Author">
            <w:rPr>
              <w:rStyle w:val="Hyperlink"/>
              <w:rFonts w:ascii="Times New Roman" w:hAnsi="Times New Roman"/>
              <w:szCs w:val="22"/>
            </w:rPr>
          </w:rPrChange>
        </w:rPr>
        <w:instrText>http</w:instrText>
      </w:r>
      <w:ins w:id="739" w:author="Author">
        <w:r w:rsidR="00A94D0D" w:rsidRPr="005205FF">
          <w:rPr>
            <w:rPrChange w:id="740" w:author="Author">
              <w:rPr>
                <w:rStyle w:val="Hyperlink"/>
                <w:rFonts w:ascii="Times New Roman" w:hAnsi="Times New Roman"/>
                <w:szCs w:val="22"/>
              </w:rPr>
            </w:rPrChange>
          </w:rPr>
          <w:instrText>s</w:instrText>
        </w:r>
      </w:ins>
      <w:r w:rsidR="00A94D0D" w:rsidRPr="005205FF">
        <w:rPr>
          <w:rPrChange w:id="741" w:author="Author">
            <w:rPr>
              <w:rStyle w:val="Hyperlink"/>
              <w:rFonts w:ascii="Times New Roman" w:hAnsi="Times New Roman"/>
              <w:szCs w:val="22"/>
            </w:rPr>
          </w:rPrChange>
        </w:rPr>
        <w:instrText>://www.ema.europa.eu</w:instrText>
      </w:r>
      <w:ins w:id="742" w:author="Author">
        <w:r w:rsidR="00A94D0D">
          <w:rPr>
            <w:rFonts w:ascii="Times New Roman" w:hAnsi="Times New Roman"/>
            <w:szCs w:val="22"/>
          </w:rPr>
          <w:instrText>"</w:instrText>
        </w:r>
        <w:r w:rsidR="00A94D0D">
          <w:rPr>
            <w:rFonts w:ascii="Times New Roman" w:hAnsi="Times New Roman"/>
            <w:szCs w:val="22"/>
          </w:rPr>
        </w:r>
        <w:r w:rsidR="00A94D0D">
          <w:rPr>
            <w:rFonts w:ascii="Times New Roman" w:hAnsi="Times New Roman"/>
            <w:szCs w:val="22"/>
          </w:rPr>
          <w:fldChar w:fldCharType="separate"/>
        </w:r>
      </w:ins>
      <w:r w:rsidR="00A94D0D" w:rsidRPr="00A94D0D">
        <w:rPr>
          <w:rStyle w:val="Hyperlink"/>
          <w:rFonts w:ascii="Times New Roman" w:hAnsi="Times New Roman"/>
          <w:szCs w:val="22"/>
        </w:rPr>
        <w:t>http</w:t>
      </w:r>
      <w:ins w:id="743" w:author="Author">
        <w:r w:rsidR="00A94D0D" w:rsidRPr="00A94D0D">
          <w:rPr>
            <w:rStyle w:val="Hyperlink"/>
            <w:rFonts w:ascii="Times New Roman" w:hAnsi="Times New Roman"/>
            <w:szCs w:val="22"/>
          </w:rPr>
          <w:t>s</w:t>
        </w:r>
      </w:ins>
      <w:r w:rsidR="00A94D0D" w:rsidRPr="00A94D0D">
        <w:rPr>
          <w:rStyle w:val="Hyperlink"/>
          <w:rFonts w:ascii="Times New Roman" w:hAnsi="Times New Roman"/>
          <w:szCs w:val="22"/>
        </w:rPr>
        <w:t>://www.ema.europa.eu</w:t>
      </w:r>
      <w:ins w:id="744" w:author="Author">
        <w:r w:rsidR="00A94D0D">
          <w:rPr>
            <w:rFonts w:ascii="Times New Roman" w:hAnsi="Times New Roman"/>
            <w:szCs w:val="22"/>
          </w:rPr>
          <w:fldChar w:fldCharType="end"/>
        </w:r>
      </w:ins>
    </w:p>
    <w:p w14:paraId="3578593A" w14:textId="2E5322B7" w:rsidR="00F65F59" w:rsidRPr="006C4C18" w:rsidRDefault="00F65F59" w:rsidP="007F23EE">
      <w:pPr>
        <w:pStyle w:val="EndnoteText"/>
        <w:tabs>
          <w:tab w:val="clear" w:pos="567"/>
        </w:tabs>
        <w:suppressAutoHyphens/>
        <w:rPr>
          <w:color w:val="000000"/>
          <w:szCs w:val="22"/>
          <w:lang w:val="fr-FR"/>
        </w:rPr>
      </w:pPr>
    </w:p>
    <w:sectPr w:rsidR="00F65F59" w:rsidRPr="006C4C18">
      <w:footerReference w:type="even" r:id="rId11"/>
      <w:footerReference w:type="default" r:id="rId12"/>
      <w:pgSz w:w="11906" w:h="16838"/>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9D071" w14:textId="77777777" w:rsidR="0035690C" w:rsidRDefault="0035690C">
      <w:r>
        <w:separator/>
      </w:r>
    </w:p>
  </w:endnote>
  <w:endnote w:type="continuationSeparator" w:id="0">
    <w:p w14:paraId="2BB98FFA" w14:textId="77777777" w:rsidR="0035690C" w:rsidRDefault="0035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
    <w:panose1 w:val="020206020602000202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UAlbertin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20F26" w14:textId="77777777" w:rsidR="0035690C" w:rsidRDefault="0035690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AC0EC1" w14:textId="77777777" w:rsidR="0035690C" w:rsidRDefault="003569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FBA9" w14:textId="1233ACBF" w:rsidR="0035690C" w:rsidRDefault="0035690C">
    <w:pPr>
      <w:pStyle w:val="Footer"/>
      <w:framePr w:wrap="around" w:vAnchor="text" w:hAnchor="margin" w:xAlign="center" w:y="1"/>
      <w:rPr>
        <w:rStyle w:val="PageNumbe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AD72D4">
      <w:rPr>
        <w:rStyle w:val="PageNumber"/>
        <w:rFonts w:ascii="Arial" w:hAnsi="Arial" w:cs="Arial"/>
        <w:noProof/>
        <w:sz w:val="16"/>
        <w:szCs w:val="16"/>
      </w:rPr>
      <w:t>111</w:t>
    </w:r>
    <w:r>
      <w:rPr>
        <w:rStyle w:val="PageNumber"/>
        <w:rFonts w:ascii="Arial" w:hAnsi="Arial" w:cs="Arial"/>
        <w:sz w:val="16"/>
        <w:szCs w:val="16"/>
      </w:rPr>
      <w:fldChar w:fldCharType="end"/>
    </w:r>
  </w:p>
  <w:p w14:paraId="351D4C33" w14:textId="77777777" w:rsidR="0035690C" w:rsidRDefault="0035690C" w:rsidP="00813A7A">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8E312" w14:textId="77777777" w:rsidR="0035690C" w:rsidRDefault="0035690C">
      <w:r>
        <w:separator/>
      </w:r>
    </w:p>
  </w:footnote>
  <w:footnote w:type="continuationSeparator" w:id="0">
    <w:p w14:paraId="0210F480" w14:textId="77777777" w:rsidR="0035690C" w:rsidRDefault="00356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5.75pt;height:13.5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singleLevel"/>
    <w:tmpl w:val="0001040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277AF3"/>
    <w:multiLevelType w:val="multilevel"/>
    <w:tmpl w:val="DA9AF0F2"/>
    <w:lvl w:ilvl="0">
      <w:start w:val="1"/>
      <w:numFmt w:val="upperLetter"/>
      <w:lvlText w:val="%1."/>
      <w:lvlJc w:val="left"/>
      <w:pPr>
        <w:tabs>
          <w:tab w:val="num" w:pos="1494"/>
        </w:tabs>
        <w:ind w:left="1494" w:hanging="360"/>
      </w:pPr>
      <w:rPr>
        <w:rFonts w:hint="default"/>
        <w:b/>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EE2D82"/>
    <w:multiLevelType w:val="hybridMultilevel"/>
    <w:tmpl w:val="2C900406"/>
    <w:lvl w:ilvl="0" w:tplc="5CC6A978">
      <w:start w:val="2"/>
      <w:numFmt w:val="bullet"/>
      <w:lvlText w:val="-"/>
      <w:lvlJc w:val="left"/>
      <w:pPr>
        <w:tabs>
          <w:tab w:val="num" w:pos="927"/>
        </w:tabs>
        <w:ind w:left="927" w:hanging="360"/>
      </w:pPr>
      <w:rPr>
        <w:strike w:val="0"/>
        <w:dstrike w:val="0"/>
        <w:u w:val="none" w:color="000000"/>
        <w:effect w:val="no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6A584D"/>
    <w:multiLevelType w:val="hybridMultilevel"/>
    <w:tmpl w:val="A08ED044"/>
    <w:lvl w:ilvl="0" w:tplc="355EA900">
      <w:start w:val="1"/>
      <w:numFmt w:val="bullet"/>
      <w:lvlText w:val=""/>
      <w:lvlPicBulletId w:val="0"/>
      <w:lvlJc w:val="left"/>
      <w:pPr>
        <w:tabs>
          <w:tab w:val="num" w:pos="720"/>
        </w:tabs>
        <w:ind w:left="720" w:hanging="360"/>
      </w:pPr>
      <w:rPr>
        <w:rFonts w:ascii="Symbol" w:hAnsi="Symbol" w:hint="default"/>
      </w:rPr>
    </w:lvl>
    <w:lvl w:ilvl="1" w:tplc="EEF488C6" w:tentative="1">
      <w:start w:val="1"/>
      <w:numFmt w:val="bullet"/>
      <w:lvlText w:val=""/>
      <w:lvlJc w:val="left"/>
      <w:pPr>
        <w:tabs>
          <w:tab w:val="num" w:pos="1440"/>
        </w:tabs>
        <w:ind w:left="1440" w:hanging="360"/>
      </w:pPr>
      <w:rPr>
        <w:rFonts w:ascii="Symbol" w:hAnsi="Symbol" w:hint="default"/>
      </w:rPr>
    </w:lvl>
    <w:lvl w:ilvl="2" w:tplc="B6F0C06A" w:tentative="1">
      <w:start w:val="1"/>
      <w:numFmt w:val="bullet"/>
      <w:lvlText w:val=""/>
      <w:lvlJc w:val="left"/>
      <w:pPr>
        <w:tabs>
          <w:tab w:val="num" w:pos="2160"/>
        </w:tabs>
        <w:ind w:left="2160" w:hanging="360"/>
      </w:pPr>
      <w:rPr>
        <w:rFonts w:ascii="Symbol" w:hAnsi="Symbol" w:hint="default"/>
      </w:rPr>
    </w:lvl>
    <w:lvl w:ilvl="3" w:tplc="1A129F2E" w:tentative="1">
      <w:start w:val="1"/>
      <w:numFmt w:val="bullet"/>
      <w:lvlText w:val=""/>
      <w:lvlJc w:val="left"/>
      <w:pPr>
        <w:tabs>
          <w:tab w:val="num" w:pos="2880"/>
        </w:tabs>
        <w:ind w:left="2880" w:hanging="360"/>
      </w:pPr>
      <w:rPr>
        <w:rFonts w:ascii="Symbol" w:hAnsi="Symbol" w:hint="default"/>
      </w:rPr>
    </w:lvl>
    <w:lvl w:ilvl="4" w:tplc="272C1A20" w:tentative="1">
      <w:start w:val="1"/>
      <w:numFmt w:val="bullet"/>
      <w:lvlText w:val=""/>
      <w:lvlJc w:val="left"/>
      <w:pPr>
        <w:tabs>
          <w:tab w:val="num" w:pos="3600"/>
        </w:tabs>
        <w:ind w:left="3600" w:hanging="360"/>
      </w:pPr>
      <w:rPr>
        <w:rFonts w:ascii="Symbol" w:hAnsi="Symbol" w:hint="default"/>
      </w:rPr>
    </w:lvl>
    <w:lvl w:ilvl="5" w:tplc="9BE4F124" w:tentative="1">
      <w:start w:val="1"/>
      <w:numFmt w:val="bullet"/>
      <w:lvlText w:val=""/>
      <w:lvlJc w:val="left"/>
      <w:pPr>
        <w:tabs>
          <w:tab w:val="num" w:pos="4320"/>
        </w:tabs>
        <w:ind w:left="4320" w:hanging="360"/>
      </w:pPr>
      <w:rPr>
        <w:rFonts w:ascii="Symbol" w:hAnsi="Symbol" w:hint="default"/>
      </w:rPr>
    </w:lvl>
    <w:lvl w:ilvl="6" w:tplc="8C36581A" w:tentative="1">
      <w:start w:val="1"/>
      <w:numFmt w:val="bullet"/>
      <w:lvlText w:val=""/>
      <w:lvlJc w:val="left"/>
      <w:pPr>
        <w:tabs>
          <w:tab w:val="num" w:pos="5040"/>
        </w:tabs>
        <w:ind w:left="5040" w:hanging="360"/>
      </w:pPr>
      <w:rPr>
        <w:rFonts w:ascii="Symbol" w:hAnsi="Symbol" w:hint="default"/>
      </w:rPr>
    </w:lvl>
    <w:lvl w:ilvl="7" w:tplc="6DBC4FC4" w:tentative="1">
      <w:start w:val="1"/>
      <w:numFmt w:val="bullet"/>
      <w:lvlText w:val=""/>
      <w:lvlJc w:val="left"/>
      <w:pPr>
        <w:tabs>
          <w:tab w:val="num" w:pos="5760"/>
        </w:tabs>
        <w:ind w:left="5760" w:hanging="360"/>
      </w:pPr>
      <w:rPr>
        <w:rFonts w:ascii="Symbol" w:hAnsi="Symbol" w:hint="default"/>
      </w:rPr>
    </w:lvl>
    <w:lvl w:ilvl="8" w:tplc="A45CE1A8"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F1301C4"/>
    <w:multiLevelType w:val="singleLevel"/>
    <w:tmpl w:val="FFFFFFFF"/>
    <w:lvl w:ilvl="0">
      <w:start w:val="1"/>
      <w:numFmt w:val="bullet"/>
      <w:lvlText w:val="-"/>
      <w:legacy w:legacy="1" w:legacySpace="0" w:legacyIndent="360"/>
      <w:lvlJc w:val="left"/>
      <w:pPr>
        <w:ind w:left="360" w:hanging="360"/>
      </w:pPr>
    </w:lvl>
  </w:abstractNum>
  <w:abstractNum w:abstractNumId="7" w15:restartNumberingAfterBreak="0">
    <w:nsid w:val="15BB5A89"/>
    <w:multiLevelType w:val="hybridMultilevel"/>
    <w:tmpl w:val="FF2E2228"/>
    <w:lvl w:ilvl="0" w:tplc="6F48B114">
      <w:numFmt w:val="bullet"/>
      <w:lvlText w:val="-"/>
      <w:lvlJc w:val="left"/>
      <w:pPr>
        <w:tabs>
          <w:tab w:val="num" w:pos="720"/>
        </w:tabs>
        <w:ind w:left="720" w:hanging="360"/>
      </w:pPr>
      <w:rPr>
        <w:rFonts w:ascii="Sabon" w:eastAsia="Times New Roman" w:hAnsi="Sabo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6727DF"/>
    <w:multiLevelType w:val="hybridMultilevel"/>
    <w:tmpl w:val="B5D2C4D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15352D"/>
    <w:multiLevelType w:val="hybridMultilevel"/>
    <w:tmpl w:val="862AA192"/>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0" w15:restartNumberingAfterBreak="0">
    <w:nsid w:val="1EBD761E"/>
    <w:multiLevelType w:val="hybridMultilevel"/>
    <w:tmpl w:val="59D223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6B0AF0"/>
    <w:multiLevelType w:val="hybridMultilevel"/>
    <w:tmpl w:val="8744AD8C"/>
    <w:lvl w:ilvl="0" w:tplc="3102767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41F0058"/>
    <w:multiLevelType w:val="hybridMultilevel"/>
    <w:tmpl w:val="0D4ED63A"/>
    <w:lvl w:ilvl="0" w:tplc="C206EBF6">
      <w:start w:val="2"/>
      <w:numFmt w:val="bullet"/>
      <w:lvlText w:val="-"/>
      <w:lvlJc w:val="left"/>
      <w:pPr>
        <w:tabs>
          <w:tab w:val="num" w:pos="-113"/>
        </w:tabs>
        <w:ind w:left="392" w:hanging="392"/>
      </w:pPr>
      <w:rPr>
        <w:rFonts w:hint="default"/>
        <w:u w:val="none" w:color="000000"/>
      </w:rPr>
    </w:lvl>
    <w:lvl w:ilvl="1" w:tplc="04090003" w:tentative="1">
      <w:start w:val="1"/>
      <w:numFmt w:val="bullet"/>
      <w:lvlText w:val="o"/>
      <w:lvlJc w:val="left"/>
      <w:pPr>
        <w:tabs>
          <w:tab w:val="num" w:pos="1327"/>
        </w:tabs>
        <w:ind w:left="1327" w:hanging="360"/>
      </w:pPr>
      <w:rPr>
        <w:rFonts w:ascii="Courier New" w:hAnsi="Courier New" w:cs="Courier New" w:hint="default"/>
      </w:rPr>
    </w:lvl>
    <w:lvl w:ilvl="2" w:tplc="04090005" w:tentative="1">
      <w:start w:val="1"/>
      <w:numFmt w:val="bullet"/>
      <w:lvlText w:val=""/>
      <w:lvlJc w:val="left"/>
      <w:pPr>
        <w:tabs>
          <w:tab w:val="num" w:pos="2047"/>
        </w:tabs>
        <w:ind w:left="2047" w:hanging="360"/>
      </w:pPr>
      <w:rPr>
        <w:rFonts w:ascii="Wingdings" w:hAnsi="Wingdings" w:hint="default"/>
      </w:rPr>
    </w:lvl>
    <w:lvl w:ilvl="3" w:tplc="04090001" w:tentative="1">
      <w:start w:val="1"/>
      <w:numFmt w:val="bullet"/>
      <w:lvlText w:val=""/>
      <w:lvlJc w:val="left"/>
      <w:pPr>
        <w:tabs>
          <w:tab w:val="num" w:pos="2767"/>
        </w:tabs>
        <w:ind w:left="2767" w:hanging="360"/>
      </w:pPr>
      <w:rPr>
        <w:rFonts w:ascii="Symbol" w:hAnsi="Symbol" w:hint="default"/>
      </w:rPr>
    </w:lvl>
    <w:lvl w:ilvl="4" w:tplc="04090003" w:tentative="1">
      <w:start w:val="1"/>
      <w:numFmt w:val="bullet"/>
      <w:lvlText w:val="o"/>
      <w:lvlJc w:val="left"/>
      <w:pPr>
        <w:tabs>
          <w:tab w:val="num" w:pos="3487"/>
        </w:tabs>
        <w:ind w:left="3487" w:hanging="360"/>
      </w:pPr>
      <w:rPr>
        <w:rFonts w:ascii="Courier New" w:hAnsi="Courier New" w:cs="Courier New" w:hint="default"/>
      </w:rPr>
    </w:lvl>
    <w:lvl w:ilvl="5" w:tplc="04090005" w:tentative="1">
      <w:start w:val="1"/>
      <w:numFmt w:val="bullet"/>
      <w:lvlText w:val=""/>
      <w:lvlJc w:val="left"/>
      <w:pPr>
        <w:tabs>
          <w:tab w:val="num" w:pos="4207"/>
        </w:tabs>
        <w:ind w:left="4207" w:hanging="360"/>
      </w:pPr>
      <w:rPr>
        <w:rFonts w:ascii="Wingdings" w:hAnsi="Wingdings" w:hint="default"/>
      </w:rPr>
    </w:lvl>
    <w:lvl w:ilvl="6" w:tplc="04090001" w:tentative="1">
      <w:start w:val="1"/>
      <w:numFmt w:val="bullet"/>
      <w:lvlText w:val=""/>
      <w:lvlJc w:val="left"/>
      <w:pPr>
        <w:tabs>
          <w:tab w:val="num" w:pos="4927"/>
        </w:tabs>
        <w:ind w:left="4927" w:hanging="360"/>
      </w:pPr>
      <w:rPr>
        <w:rFonts w:ascii="Symbol" w:hAnsi="Symbol" w:hint="default"/>
      </w:rPr>
    </w:lvl>
    <w:lvl w:ilvl="7" w:tplc="04090003" w:tentative="1">
      <w:start w:val="1"/>
      <w:numFmt w:val="bullet"/>
      <w:lvlText w:val="o"/>
      <w:lvlJc w:val="left"/>
      <w:pPr>
        <w:tabs>
          <w:tab w:val="num" w:pos="5647"/>
        </w:tabs>
        <w:ind w:left="5647" w:hanging="360"/>
      </w:pPr>
      <w:rPr>
        <w:rFonts w:ascii="Courier New" w:hAnsi="Courier New" w:cs="Courier New" w:hint="default"/>
      </w:rPr>
    </w:lvl>
    <w:lvl w:ilvl="8" w:tplc="04090005" w:tentative="1">
      <w:start w:val="1"/>
      <w:numFmt w:val="bullet"/>
      <w:lvlText w:val=""/>
      <w:lvlJc w:val="left"/>
      <w:pPr>
        <w:tabs>
          <w:tab w:val="num" w:pos="6367"/>
        </w:tabs>
        <w:ind w:left="6367" w:hanging="360"/>
      </w:pPr>
      <w:rPr>
        <w:rFonts w:ascii="Wingdings" w:hAnsi="Wingdings" w:hint="default"/>
      </w:rPr>
    </w:lvl>
  </w:abstractNum>
  <w:abstractNum w:abstractNumId="13" w15:restartNumberingAfterBreak="0">
    <w:nsid w:val="2DDC14B7"/>
    <w:multiLevelType w:val="hybridMultilevel"/>
    <w:tmpl w:val="D6063598"/>
    <w:lvl w:ilvl="0" w:tplc="E1B46736">
      <w:start w:val="2"/>
      <w:numFmt w:val="bullet"/>
      <w:lvlText w:val=""/>
      <w:lvlJc w:val="left"/>
      <w:pPr>
        <w:tabs>
          <w:tab w:val="num" w:pos="927"/>
        </w:tabs>
        <w:ind w:left="927" w:hanging="360"/>
      </w:pPr>
      <w:rPr>
        <w:rFonts w:ascii="Symbol" w:hAnsi="Symbol" w:hint="default"/>
        <w:color w:val="000000"/>
        <w:u w:val="none" w:color="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8A2C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61D2577"/>
    <w:multiLevelType w:val="hybridMultilevel"/>
    <w:tmpl w:val="3D3CBA1A"/>
    <w:lvl w:ilvl="0" w:tplc="6F48B114">
      <w:numFmt w:val="bullet"/>
      <w:lvlText w:val="-"/>
      <w:lvlJc w:val="left"/>
      <w:pPr>
        <w:tabs>
          <w:tab w:val="num" w:pos="720"/>
        </w:tabs>
        <w:ind w:left="720" w:hanging="360"/>
      </w:pPr>
      <w:rPr>
        <w:rFonts w:ascii="Sabon" w:eastAsia="Times New Roman" w:hAnsi="Sabo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474438"/>
    <w:multiLevelType w:val="hybridMultilevel"/>
    <w:tmpl w:val="CFDCAC20"/>
    <w:lvl w:ilvl="0" w:tplc="31027674">
      <w:start w:val="1"/>
      <w:numFmt w:val="bullet"/>
      <w:lvlText w:val=""/>
      <w:lvlJc w:val="left"/>
      <w:pPr>
        <w:tabs>
          <w:tab w:val="num" w:pos="678"/>
        </w:tabs>
        <w:ind w:left="67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EE5B4C"/>
    <w:multiLevelType w:val="hybridMultilevel"/>
    <w:tmpl w:val="8DE069A2"/>
    <w:lvl w:ilvl="0" w:tplc="B4D4A7CA">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0F2957"/>
    <w:multiLevelType w:val="hybridMultilevel"/>
    <w:tmpl w:val="40960E8A"/>
    <w:lvl w:ilvl="0" w:tplc="310276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024D0D"/>
    <w:multiLevelType w:val="hybridMultilevel"/>
    <w:tmpl w:val="6F022688"/>
    <w:lvl w:ilvl="0" w:tplc="C206EBF6">
      <w:start w:val="2"/>
      <w:numFmt w:val="bullet"/>
      <w:lvlText w:val="-"/>
      <w:lvlJc w:val="left"/>
      <w:pPr>
        <w:tabs>
          <w:tab w:val="num" w:pos="0"/>
        </w:tabs>
        <w:ind w:left="505" w:hanging="392"/>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F33E88"/>
    <w:multiLevelType w:val="hybridMultilevel"/>
    <w:tmpl w:val="EC8402F6"/>
    <w:lvl w:ilvl="0" w:tplc="1E1A4402">
      <w:start w:val="2"/>
      <w:numFmt w:val="bullet"/>
      <w:lvlText w:val="-"/>
      <w:lvlJc w:val="left"/>
      <w:pPr>
        <w:tabs>
          <w:tab w:val="num" w:pos="360"/>
        </w:tabs>
        <w:ind w:left="360" w:hanging="360"/>
      </w:pPr>
      <w:rPr>
        <w:strike w:val="0"/>
        <w:dstrike w:val="0"/>
        <w:u w:val="none" w:color="000000"/>
        <w:effect w:val="none"/>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cs="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cs="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52414F5F"/>
    <w:multiLevelType w:val="hybridMultilevel"/>
    <w:tmpl w:val="808608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3762966"/>
    <w:multiLevelType w:val="hybridMultilevel"/>
    <w:tmpl w:val="252EB9A8"/>
    <w:lvl w:ilvl="0" w:tplc="310276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122"/>
        </w:tabs>
        <w:ind w:left="1122" w:hanging="360"/>
      </w:pPr>
      <w:rPr>
        <w:rFonts w:ascii="Courier New" w:hAnsi="Courier New" w:cs="Courier New" w:hint="default"/>
      </w:rPr>
    </w:lvl>
    <w:lvl w:ilvl="2" w:tplc="04090005" w:tentative="1">
      <w:start w:val="1"/>
      <w:numFmt w:val="bullet"/>
      <w:lvlText w:val=""/>
      <w:lvlJc w:val="left"/>
      <w:pPr>
        <w:tabs>
          <w:tab w:val="num" w:pos="1842"/>
        </w:tabs>
        <w:ind w:left="1842" w:hanging="360"/>
      </w:pPr>
      <w:rPr>
        <w:rFonts w:ascii="Wingdings" w:hAnsi="Wingdings" w:hint="default"/>
      </w:rPr>
    </w:lvl>
    <w:lvl w:ilvl="3" w:tplc="04090001" w:tentative="1">
      <w:start w:val="1"/>
      <w:numFmt w:val="bullet"/>
      <w:lvlText w:val=""/>
      <w:lvlJc w:val="left"/>
      <w:pPr>
        <w:tabs>
          <w:tab w:val="num" w:pos="2562"/>
        </w:tabs>
        <w:ind w:left="2562" w:hanging="360"/>
      </w:pPr>
      <w:rPr>
        <w:rFonts w:ascii="Symbol" w:hAnsi="Symbol" w:hint="default"/>
      </w:rPr>
    </w:lvl>
    <w:lvl w:ilvl="4" w:tplc="04090003" w:tentative="1">
      <w:start w:val="1"/>
      <w:numFmt w:val="bullet"/>
      <w:lvlText w:val="o"/>
      <w:lvlJc w:val="left"/>
      <w:pPr>
        <w:tabs>
          <w:tab w:val="num" w:pos="3282"/>
        </w:tabs>
        <w:ind w:left="3282" w:hanging="360"/>
      </w:pPr>
      <w:rPr>
        <w:rFonts w:ascii="Courier New" w:hAnsi="Courier New" w:cs="Courier New" w:hint="default"/>
      </w:rPr>
    </w:lvl>
    <w:lvl w:ilvl="5" w:tplc="04090005" w:tentative="1">
      <w:start w:val="1"/>
      <w:numFmt w:val="bullet"/>
      <w:lvlText w:val=""/>
      <w:lvlJc w:val="left"/>
      <w:pPr>
        <w:tabs>
          <w:tab w:val="num" w:pos="4002"/>
        </w:tabs>
        <w:ind w:left="4002" w:hanging="360"/>
      </w:pPr>
      <w:rPr>
        <w:rFonts w:ascii="Wingdings" w:hAnsi="Wingdings" w:hint="default"/>
      </w:rPr>
    </w:lvl>
    <w:lvl w:ilvl="6" w:tplc="04090001" w:tentative="1">
      <w:start w:val="1"/>
      <w:numFmt w:val="bullet"/>
      <w:lvlText w:val=""/>
      <w:lvlJc w:val="left"/>
      <w:pPr>
        <w:tabs>
          <w:tab w:val="num" w:pos="4722"/>
        </w:tabs>
        <w:ind w:left="4722" w:hanging="360"/>
      </w:pPr>
      <w:rPr>
        <w:rFonts w:ascii="Symbol" w:hAnsi="Symbol" w:hint="default"/>
      </w:rPr>
    </w:lvl>
    <w:lvl w:ilvl="7" w:tplc="04090003" w:tentative="1">
      <w:start w:val="1"/>
      <w:numFmt w:val="bullet"/>
      <w:lvlText w:val="o"/>
      <w:lvlJc w:val="left"/>
      <w:pPr>
        <w:tabs>
          <w:tab w:val="num" w:pos="5442"/>
        </w:tabs>
        <w:ind w:left="5442" w:hanging="360"/>
      </w:pPr>
      <w:rPr>
        <w:rFonts w:ascii="Courier New" w:hAnsi="Courier New" w:cs="Courier New" w:hint="default"/>
      </w:rPr>
    </w:lvl>
    <w:lvl w:ilvl="8" w:tplc="04090005" w:tentative="1">
      <w:start w:val="1"/>
      <w:numFmt w:val="bullet"/>
      <w:lvlText w:val=""/>
      <w:lvlJc w:val="left"/>
      <w:pPr>
        <w:tabs>
          <w:tab w:val="num" w:pos="6162"/>
        </w:tabs>
        <w:ind w:left="6162" w:hanging="360"/>
      </w:pPr>
      <w:rPr>
        <w:rFonts w:ascii="Wingdings" w:hAnsi="Wingdings" w:hint="default"/>
      </w:rPr>
    </w:lvl>
  </w:abstractNum>
  <w:abstractNum w:abstractNumId="23" w15:restartNumberingAfterBreak="0">
    <w:nsid w:val="571C0C6E"/>
    <w:multiLevelType w:val="hybridMultilevel"/>
    <w:tmpl w:val="29308442"/>
    <w:lvl w:ilvl="0" w:tplc="B8066C44">
      <w:start w:val="1"/>
      <w:numFmt w:val="bullet"/>
      <w:lvlText w:val="-"/>
      <w:lvlJc w:val="left"/>
      <w:pPr>
        <w:tabs>
          <w:tab w:val="num" w:pos="360"/>
        </w:tabs>
        <w:ind w:left="360" w:hanging="360"/>
      </w:pPr>
      <w:rPr>
        <w:rFonts w:ascii="Courier New" w:hAnsi="Courier New" w:hint="default"/>
        <w:b w:val="0"/>
        <w:i w:val="0"/>
      </w:rPr>
    </w:lvl>
    <w:lvl w:ilvl="1" w:tplc="B8066C44">
      <w:start w:val="1"/>
      <w:numFmt w:val="bullet"/>
      <w:lvlText w:val="-"/>
      <w:lvlJc w:val="left"/>
      <w:pPr>
        <w:tabs>
          <w:tab w:val="num" w:pos="1434"/>
        </w:tabs>
        <w:ind w:left="1434" w:hanging="360"/>
      </w:pPr>
      <w:rPr>
        <w:rFonts w:ascii="Courier New" w:hAnsi="Courier New" w:hint="default"/>
        <w:b w:val="0"/>
        <w:i w:val="0"/>
      </w:rPr>
    </w:lvl>
    <w:lvl w:ilvl="2" w:tplc="04090005" w:tentative="1">
      <w:start w:val="1"/>
      <w:numFmt w:val="bullet"/>
      <w:lvlText w:val=""/>
      <w:lvlJc w:val="left"/>
      <w:pPr>
        <w:tabs>
          <w:tab w:val="num" w:pos="2154"/>
        </w:tabs>
        <w:ind w:left="2154" w:hanging="360"/>
      </w:pPr>
      <w:rPr>
        <w:rFonts w:ascii="Wingdings" w:hAnsi="Wingdings" w:hint="default"/>
      </w:rPr>
    </w:lvl>
    <w:lvl w:ilvl="3" w:tplc="04090001" w:tentative="1">
      <w:start w:val="1"/>
      <w:numFmt w:val="bullet"/>
      <w:lvlText w:val=""/>
      <w:lvlJc w:val="left"/>
      <w:pPr>
        <w:tabs>
          <w:tab w:val="num" w:pos="2874"/>
        </w:tabs>
        <w:ind w:left="2874" w:hanging="360"/>
      </w:pPr>
      <w:rPr>
        <w:rFonts w:ascii="Symbol" w:hAnsi="Symbol" w:hint="default"/>
      </w:rPr>
    </w:lvl>
    <w:lvl w:ilvl="4" w:tplc="04090003" w:tentative="1">
      <w:start w:val="1"/>
      <w:numFmt w:val="bullet"/>
      <w:lvlText w:val="o"/>
      <w:lvlJc w:val="left"/>
      <w:pPr>
        <w:tabs>
          <w:tab w:val="num" w:pos="3594"/>
        </w:tabs>
        <w:ind w:left="3594" w:hanging="360"/>
      </w:pPr>
      <w:rPr>
        <w:rFonts w:ascii="Courier New" w:hAnsi="Courier New" w:cs="Courier New" w:hint="default"/>
      </w:rPr>
    </w:lvl>
    <w:lvl w:ilvl="5" w:tplc="04090005" w:tentative="1">
      <w:start w:val="1"/>
      <w:numFmt w:val="bullet"/>
      <w:lvlText w:val=""/>
      <w:lvlJc w:val="left"/>
      <w:pPr>
        <w:tabs>
          <w:tab w:val="num" w:pos="4314"/>
        </w:tabs>
        <w:ind w:left="4314" w:hanging="360"/>
      </w:pPr>
      <w:rPr>
        <w:rFonts w:ascii="Wingdings" w:hAnsi="Wingdings" w:hint="default"/>
      </w:rPr>
    </w:lvl>
    <w:lvl w:ilvl="6" w:tplc="04090001" w:tentative="1">
      <w:start w:val="1"/>
      <w:numFmt w:val="bullet"/>
      <w:lvlText w:val=""/>
      <w:lvlJc w:val="left"/>
      <w:pPr>
        <w:tabs>
          <w:tab w:val="num" w:pos="5034"/>
        </w:tabs>
        <w:ind w:left="5034" w:hanging="360"/>
      </w:pPr>
      <w:rPr>
        <w:rFonts w:ascii="Symbol" w:hAnsi="Symbol" w:hint="default"/>
      </w:rPr>
    </w:lvl>
    <w:lvl w:ilvl="7" w:tplc="04090003" w:tentative="1">
      <w:start w:val="1"/>
      <w:numFmt w:val="bullet"/>
      <w:lvlText w:val="o"/>
      <w:lvlJc w:val="left"/>
      <w:pPr>
        <w:tabs>
          <w:tab w:val="num" w:pos="5754"/>
        </w:tabs>
        <w:ind w:left="5754" w:hanging="360"/>
      </w:pPr>
      <w:rPr>
        <w:rFonts w:ascii="Courier New" w:hAnsi="Courier New" w:cs="Courier New" w:hint="default"/>
      </w:rPr>
    </w:lvl>
    <w:lvl w:ilvl="8" w:tplc="04090005" w:tentative="1">
      <w:start w:val="1"/>
      <w:numFmt w:val="bullet"/>
      <w:lvlText w:val=""/>
      <w:lvlJc w:val="left"/>
      <w:pPr>
        <w:tabs>
          <w:tab w:val="num" w:pos="6474"/>
        </w:tabs>
        <w:ind w:left="6474" w:hanging="360"/>
      </w:pPr>
      <w:rPr>
        <w:rFonts w:ascii="Wingdings" w:hAnsi="Wingdings" w:hint="default"/>
      </w:rPr>
    </w:lvl>
  </w:abstractNum>
  <w:abstractNum w:abstractNumId="24" w15:restartNumberingAfterBreak="0">
    <w:nsid w:val="583E7D77"/>
    <w:multiLevelType w:val="hybridMultilevel"/>
    <w:tmpl w:val="1BD08492"/>
    <w:lvl w:ilvl="0" w:tplc="6F48B114">
      <w:numFmt w:val="bullet"/>
      <w:lvlText w:val="-"/>
      <w:lvlJc w:val="left"/>
      <w:pPr>
        <w:tabs>
          <w:tab w:val="num" w:pos="678"/>
        </w:tabs>
        <w:ind w:left="678" w:hanging="360"/>
      </w:pPr>
      <w:rPr>
        <w:rFonts w:ascii="Sabon" w:eastAsia="Times New Roman" w:hAnsi="Sabo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221A33"/>
    <w:multiLevelType w:val="singleLevel"/>
    <w:tmpl w:val="FFFFFFFF"/>
    <w:lvl w:ilvl="0">
      <w:start w:val="1"/>
      <w:numFmt w:val="bullet"/>
      <w:lvlText w:val="-"/>
      <w:legacy w:legacy="1" w:legacySpace="0" w:legacyIndent="360"/>
      <w:lvlJc w:val="left"/>
      <w:pPr>
        <w:ind w:left="360" w:hanging="360"/>
      </w:pPr>
    </w:lvl>
  </w:abstractNum>
  <w:abstractNum w:abstractNumId="26" w15:restartNumberingAfterBreak="0">
    <w:nsid w:val="63FF70A8"/>
    <w:multiLevelType w:val="singleLevel"/>
    <w:tmpl w:val="1C58E154"/>
    <w:lvl w:ilvl="0">
      <w:start w:val="1"/>
      <w:numFmt w:val="bullet"/>
      <w:lvlText w:val="-"/>
      <w:lvlJc w:val="left"/>
      <w:pPr>
        <w:tabs>
          <w:tab w:val="num" w:pos="644"/>
        </w:tabs>
        <w:ind w:left="567" w:hanging="283"/>
      </w:pPr>
    </w:lvl>
  </w:abstractNum>
  <w:abstractNum w:abstractNumId="27" w15:restartNumberingAfterBreak="0">
    <w:nsid w:val="642244E0"/>
    <w:multiLevelType w:val="hybridMultilevel"/>
    <w:tmpl w:val="117E5CB2"/>
    <w:lvl w:ilvl="0" w:tplc="6F48B114">
      <w:numFmt w:val="bullet"/>
      <w:lvlText w:val="-"/>
      <w:lvlJc w:val="left"/>
      <w:pPr>
        <w:tabs>
          <w:tab w:val="num" w:pos="360"/>
        </w:tabs>
        <w:ind w:left="360" w:hanging="360"/>
      </w:pPr>
      <w:rPr>
        <w:rFonts w:ascii="Sabon" w:eastAsia="Times New Roman" w:hAnsi="Sabon" w:cs="Times New Roman" w:hint="default"/>
        <w:b w:val="0"/>
        <w:i w:val="0"/>
      </w:rPr>
    </w:lvl>
    <w:lvl w:ilvl="1" w:tplc="6F48B114">
      <w:numFmt w:val="bullet"/>
      <w:lvlText w:val="-"/>
      <w:lvlJc w:val="left"/>
      <w:pPr>
        <w:tabs>
          <w:tab w:val="num" w:pos="1434"/>
        </w:tabs>
        <w:ind w:left="1434" w:hanging="360"/>
      </w:pPr>
      <w:rPr>
        <w:rFonts w:ascii="Sabon" w:eastAsia="Times New Roman" w:hAnsi="Sabon" w:cs="Times New Roman" w:hint="default"/>
        <w:b w:val="0"/>
        <w:i w:val="0"/>
      </w:rPr>
    </w:lvl>
    <w:lvl w:ilvl="2" w:tplc="04090005" w:tentative="1">
      <w:start w:val="1"/>
      <w:numFmt w:val="bullet"/>
      <w:lvlText w:val=""/>
      <w:lvlJc w:val="left"/>
      <w:pPr>
        <w:tabs>
          <w:tab w:val="num" w:pos="2154"/>
        </w:tabs>
        <w:ind w:left="2154" w:hanging="360"/>
      </w:pPr>
      <w:rPr>
        <w:rFonts w:ascii="Wingdings" w:hAnsi="Wingdings" w:hint="default"/>
      </w:rPr>
    </w:lvl>
    <w:lvl w:ilvl="3" w:tplc="04090001" w:tentative="1">
      <w:start w:val="1"/>
      <w:numFmt w:val="bullet"/>
      <w:lvlText w:val=""/>
      <w:lvlJc w:val="left"/>
      <w:pPr>
        <w:tabs>
          <w:tab w:val="num" w:pos="2874"/>
        </w:tabs>
        <w:ind w:left="2874" w:hanging="360"/>
      </w:pPr>
      <w:rPr>
        <w:rFonts w:ascii="Symbol" w:hAnsi="Symbol" w:hint="default"/>
      </w:rPr>
    </w:lvl>
    <w:lvl w:ilvl="4" w:tplc="04090003" w:tentative="1">
      <w:start w:val="1"/>
      <w:numFmt w:val="bullet"/>
      <w:lvlText w:val="o"/>
      <w:lvlJc w:val="left"/>
      <w:pPr>
        <w:tabs>
          <w:tab w:val="num" w:pos="3594"/>
        </w:tabs>
        <w:ind w:left="3594" w:hanging="360"/>
      </w:pPr>
      <w:rPr>
        <w:rFonts w:ascii="Courier New" w:hAnsi="Courier New" w:cs="Courier New" w:hint="default"/>
      </w:rPr>
    </w:lvl>
    <w:lvl w:ilvl="5" w:tplc="04090005" w:tentative="1">
      <w:start w:val="1"/>
      <w:numFmt w:val="bullet"/>
      <w:lvlText w:val=""/>
      <w:lvlJc w:val="left"/>
      <w:pPr>
        <w:tabs>
          <w:tab w:val="num" w:pos="4314"/>
        </w:tabs>
        <w:ind w:left="4314" w:hanging="360"/>
      </w:pPr>
      <w:rPr>
        <w:rFonts w:ascii="Wingdings" w:hAnsi="Wingdings" w:hint="default"/>
      </w:rPr>
    </w:lvl>
    <w:lvl w:ilvl="6" w:tplc="04090001" w:tentative="1">
      <w:start w:val="1"/>
      <w:numFmt w:val="bullet"/>
      <w:lvlText w:val=""/>
      <w:lvlJc w:val="left"/>
      <w:pPr>
        <w:tabs>
          <w:tab w:val="num" w:pos="5034"/>
        </w:tabs>
        <w:ind w:left="5034" w:hanging="360"/>
      </w:pPr>
      <w:rPr>
        <w:rFonts w:ascii="Symbol" w:hAnsi="Symbol" w:hint="default"/>
      </w:rPr>
    </w:lvl>
    <w:lvl w:ilvl="7" w:tplc="04090003" w:tentative="1">
      <w:start w:val="1"/>
      <w:numFmt w:val="bullet"/>
      <w:lvlText w:val="o"/>
      <w:lvlJc w:val="left"/>
      <w:pPr>
        <w:tabs>
          <w:tab w:val="num" w:pos="5754"/>
        </w:tabs>
        <w:ind w:left="5754" w:hanging="360"/>
      </w:pPr>
      <w:rPr>
        <w:rFonts w:ascii="Courier New" w:hAnsi="Courier New" w:cs="Courier New" w:hint="default"/>
      </w:rPr>
    </w:lvl>
    <w:lvl w:ilvl="8" w:tplc="04090005" w:tentative="1">
      <w:start w:val="1"/>
      <w:numFmt w:val="bullet"/>
      <w:lvlText w:val=""/>
      <w:lvlJc w:val="left"/>
      <w:pPr>
        <w:tabs>
          <w:tab w:val="num" w:pos="6474"/>
        </w:tabs>
        <w:ind w:left="6474" w:hanging="360"/>
      </w:pPr>
      <w:rPr>
        <w:rFonts w:ascii="Wingdings" w:hAnsi="Wingdings" w:hint="default"/>
      </w:rPr>
    </w:lvl>
  </w:abstractNum>
  <w:abstractNum w:abstractNumId="28" w15:restartNumberingAfterBreak="0">
    <w:nsid w:val="668A0E77"/>
    <w:multiLevelType w:val="hybridMultilevel"/>
    <w:tmpl w:val="5EB813B0"/>
    <w:lvl w:ilvl="0" w:tplc="D8F6FC46">
      <w:start w:val="1"/>
      <w:numFmt w:val="bullet"/>
      <w:lvlText w:val=""/>
      <w:lvlJc w:val="left"/>
      <w:pPr>
        <w:tabs>
          <w:tab w:val="num" w:pos="360"/>
        </w:tabs>
        <w:ind w:left="360" w:hanging="360"/>
      </w:pPr>
      <w:rPr>
        <w:rFonts w:ascii="Symbol" w:hAnsi="Symbol" w:hint="default"/>
        <w:sz w:val="18"/>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E04667"/>
    <w:multiLevelType w:val="hybridMultilevel"/>
    <w:tmpl w:val="DC542592"/>
    <w:lvl w:ilvl="0" w:tplc="E3608AC0">
      <w:start w:val="2"/>
      <w:numFmt w:val="bullet"/>
      <w:lvlText w:val="-"/>
      <w:lvlJc w:val="left"/>
      <w:pPr>
        <w:tabs>
          <w:tab w:val="num" w:pos="968"/>
        </w:tabs>
        <w:ind w:left="968" w:hanging="570"/>
      </w:pPr>
      <w:rPr>
        <w:rFonts w:hint="default"/>
        <w:b w:val="0"/>
        <w:i w:val="0"/>
      </w:rPr>
    </w:lvl>
    <w:lvl w:ilvl="1" w:tplc="B8066C44">
      <w:start w:val="1"/>
      <w:numFmt w:val="bullet"/>
      <w:lvlText w:val="-"/>
      <w:lvlJc w:val="left"/>
      <w:pPr>
        <w:tabs>
          <w:tab w:val="num" w:pos="1832"/>
        </w:tabs>
        <w:ind w:left="1832" w:hanging="360"/>
      </w:pPr>
      <w:rPr>
        <w:rFonts w:ascii="Courier New" w:hAnsi="Courier New" w:hint="default"/>
        <w:b w:val="0"/>
        <w:i w:val="0"/>
      </w:rPr>
    </w:lvl>
    <w:lvl w:ilvl="2" w:tplc="04090005" w:tentative="1">
      <w:start w:val="1"/>
      <w:numFmt w:val="bullet"/>
      <w:lvlText w:val=""/>
      <w:lvlJc w:val="left"/>
      <w:pPr>
        <w:tabs>
          <w:tab w:val="num" w:pos="2552"/>
        </w:tabs>
        <w:ind w:left="2552" w:hanging="360"/>
      </w:pPr>
      <w:rPr>
        <w:rFonts w:ascii="Wingdings" w:hAnsi="Wingdings" w:hint="default"/>
      </w:rPr>
    </w:lvl>
    <w:lvl w:ilvl="3" w:tplc="04090001" w:tentative="1">
      <w:start w:val="1"/>
      <w:numFmt w:val="bullet"/>
      <w:lvlText w:val=""/>
      <w:lvlJc w:val="left"/>
      <w:pPr>
        <w:tabs>
          <w:tab w:val="num" w:pos="3272"/>
        </w:tabs>
        <w:ind w:left="3272" w:hanging="360"/>
      </w:pPr>
      <w:rPr>
        <w:rFonts w:ascii="Symbol" w:hAnsi="Symbol" w:hint="default"/>
      </w:rPr>
    </w:lvl>
    <w:lvl w:ilvl="4" w:tplc="04090003" w:tentative="1">
      <w:start w:val="1"/>
      <w:numFmt w:val="bullet"/>
      <w:lvlText w:val="o"/>
      <w:lvlJc w:val="left"/>
      <w:pPr>
        <w:tabs>
          <w:tab w:val="num" w:pos="3992"/>
        </w:tabs>
        <w:ind w:left="3992" w:hanging="360"/>
      </w:pPr>
      <w:rPr>
        <w:rFonts w:ascii="Courier New" w:hAnsi="Courier New" w:cs="Courier New" w:hint="default"/>
      </w:rPr>
    </w:lvl>
    <w:lvl w:ilvl="5" w:tplc="04090005" w:tentative="1">
      <w:start w:val="1"/>
      <w:numFmt w:val="bullet"/>
      <w:lvlText w:val=""/>
      <w:lvlJc w:val="left"/>
      <w:pPr>
        <w:tabs>
          <w:tab w:val="num" w:pos="4712"/>
        </w:tabs>
        <w:ind w:left="4712" w:hanging="360"/>
      </w:pPr>
      <w:rPr>
        <w:rFonts w:ascii="Wingdings" w:hAnsi="Wingdings" w:hint="default"/>
      </w:rPr>
    </w:lvl>
    <w:lvl w:ilvl="6" w:tplc="04090001" w:tentative="1">
      <w:start w:val="1"/>
      <w:numFmt w:val="bullet"/>
      <w:lvlText w:val=""/>
      <w:lvlJc w:val="left"/>
      <w:pPr>
        <w:tabs>
          <w:tab w:val="num" w:pos="5432"/>
        </w:tabs>
        <w:ind w:left="5432" w:hanging="360"/>
      </w:pPr>
      <w:rPr>
        <w:rFonts w:ascii="Symbol" w:hAnsi="Symbol" w:hint="default"/>
      </w:rPr>
    </w:lvl>
    <w:lvl w:ilvl="7" w:tplc="04090003" w:tentative="1">
      <w:start w:val="1"/>
      <w:numFmt w:val="bullet"/>
      <w:lvlText w:val="o"/>
      <w:lvlJc w:val="left"/>
      <w:pPr>
        <w:tabs>
          <w:tab w:val="num" w:pos="6152"/>
        </w:tabs>
        <w:ind w:left="6152" w:hanging="360"/>
      </w:pPr>
      <w:rPr>
        <w:rFonts w:ascii="Courier New" w:hAnsi="Courier New" w:cs="Courier New" w:hint="default"/>
      </w:rPr>
    </w:lvl>
    <w:lvl w:ilvl="8" w:tplc="04090005" w:tentative="1">
      <w:start w:val="1"/>
      <w:numFmt w:val="bullet"/>
      <w:lvlText w:val=""/>
      <w:lvlJc w:val="left"/>
      <w:pPr>
        <w:tabs>
          <w:tab w:val="num" w:pos="6872"/>
        </w:tabs>
        <w:ind w:left="6872" w:hanging="360"/>
      </w:pPr>
      <w:rPr>
        <w:rFonts w:ascii="Wingdings" w:hAnsi="Wingdings" w:hint="default"/>
      </w:rPr>
    </w:lvl>
  </w:abstractNum>
  <w:abstractNum w:abstractNumId="30" w15:restartNumberingAfterBreak="0">
    <w:nsid w:val="70A07283"/>
    <w:multiLevelType w:val="hybridMultilevel"/>
    <w:tmpl w:val="087A992C"/>
    <w:lvl w:ilvl="0" w:tplc="6F48B114">
      <w:numFmt w:val="bullet"/>
      <w:lvlText w:val="-"/>
      <w:lvlJc w:val="left"/>
      <w:pPr>
        <w:tabs>
          <w:tab w:val="num" w:pos="678"/>
        </w:tabs>
        <w:ind w:left="678" w:hanging="360"/>
      </w:pPr>
      <w:rPr>
        <w:rFonts w:ascii="Sabon" w:eastAsia="Times New Roman" w:hAnsi="Sabo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300588"/>
    <w:multiLevelType w:val="singleLevel"/>
    <w:tmpl w:val="CC3A4BE6"/>
    <w:lvl w:ilvl="0">
      <w:start w:val="1"/>
      <w:numFmt w:val="upperLetter"/>
      <w:pStyle w:val="Heading5"/>
      <w:lvlText w:val="%1."/>
      <w:lvlJc w:val="left"/>
      <w:pPr>
        <w:tabs>
          <w:tab w:val="num" w:pos="360"/>
        </w:tabs>
        <w:ind w:left="360" w:hanging="360"/>
      </w:pPr>
      <w:rPr>
        <w:rFonts w:hint="default"/>
      </w:rPr>
    </w:lvl>
  </w:abstractNum>
  <w:abstractNum w:abstractNumId="32" w15:restartNumberingAfterBreak="0">
    <w:nsid w:val="71DA0217"/>
    <w:multiLevelType w:val="hybridMultilevel"/>
    <w:tmpl w:val="B1BAE474"/>
    <w:lvl w:ilvl="0" w:tplc="31027674">
      <w:start w:val="1"/>
      <w:numFmt w:val="bullet"/>
      <w:lvlText w:val=""/>
      <w:lvlJc w:val="left"/>
      <w:pPr>
        <w:tabs>
          <w:tab w:val="num" w:pos="678"/>
        </w:tabs>
        <w:ind w:left="67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6B2D4F"/>
    <w:multiLevelType w:val="hybridMultilevel"/>
    <w:tmpl w:val="EA74FE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7812CB"/>
    <w:multiLevelType w:val="hybridMultilevel"/>
    <w:tmpl w:val="BCC66798"/>
    <w:lvl w:ilvl="0" w:tplc="6F48B114">
      <w:numFmt w:val="bullet"/>
      <w:lvlText w:val="-"/>
      <w:lvlJc w:val="left"/>
      <w:pPr>
        <w:tabs>
          <w:tab w:val="num" w:pos="720"/>
        </w:tabs>
        <w:ind w:left="720" w:hanging="360"/>
      </w:pPr>
      <w:rPr>
        <w:rFonts w:ascii="Sabon" w:eastAsia="Times New Roman" w:hAnsi="Sabo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7F0FB9"/>
    <w:multiLevelType w:val="hybridMultilevel"/>
    <w:tmpl w:val="A854093C"/>
    <w:lvl w:ilvl="0" w:tplc="B8066C44">
      <w:start w:val="1"/>
      <w:numFmt w:val="bullet"/>
      <w:lvlText w:val="-"/>
      <w:lvlJc w:val="left"/>
      <w:pPr>
        <w:tabs>
          <w:tab w:val="num" w:pos="366"/>
        </w:tabs>
        <w:ind w:left="366" w:hanging="360"/>
      </w:pPr>
      <w:rPr>
        <w:rFonts w:ascii="Courier New" w:hAnsi="Courier New" w:hint="default"/>
        <w:u w:val="none" w:color="000000"/>
      </w:rPr>
    </w:lvl>
    <w:lvl w:ilvl="1" w:tplc="04090003" w:tentative="1">
      <w:start w:val="1"/>
      <w:numFmt w:val="bullet"/>
      <w:lvlText w:val="o"/>
      <w:lvlJc w:val="left"/>
      <w:pPr>
        <w:tabs>
          <w:tab w:val="num" w:pos="1333"/>
        </w:tabs>
        <w:ind w:left="1333" w:hanging="360"/>
      </w:pPr>
      <w:rPr>
        <w:rFonts w:ascii="Courier New" w:hAnsi="Courier New" w:cs="Courier New" w:hint="default"/>
      </w:rPr>
    </w:lvl>
    <w:lvl w:ilvl="2" w:tplc="04090005" w:tentative="1">
      <w:start w:val="1"/>
      <w:numFmt w:val="bullet"/>
      <w:lvlText w:val=""/>
      <w:lvlJc w:val="left"/>
      <w:pPr>
        <w:tabs>
          <w:tab w:val="num" w:pos="2053"/>
        </w:tabs>
        <w:ind w:left="2053" w:hanging="360"/>
      </w:pPr>
      <w:rPr>
        <w:rFonts w:ascii="Wingdings" w:hAnsi="Wingdings" w:hint="default"/>
      </w:rPr>
    </w:lvl>
    <w:lvl w:ilvl="3" w:tplc="04090001" w:tentative="1">
      <w:start w:val="1"/>
      <w:numFmt w:val="bullet"/>
      <w:lvlText w:val=""/>
      <w:lvlJc w:val="left"/>
      <w:pPr>
        <w:tabs>
          <w:tab w:val="num" w:pos="2773"/>
        </w:tabs>
        <w:ind w:left="2773" w:hanging="360"/>
      </w:pPr>
      <w:rPr>
        <w:rFonts w:ascii="Symbol" w:hAnsi="Symbol" w:hint="default"/>
      </w:rPr>
    </w:lvl>
    <w:lvl w:ilvl="4" w:tplc="04090003" w:tentative="1">
      <w:start w:val="1"/>
      <w:numFmt w:val="bullet"/>
      <w:lvlText w:val="o"/>
      <w:lvlJc w:val="left"/>
      <w:pPr>
        <w:tabs>
          <w:tab w:val="num" w:pos="3493"/>
        </w:tabs>
        <w:ind w:left="3493" w:hanging="360"/>
      </w:pPr>
      <w:rPr>
        <w:rFonts w:ascii="Courier New" w:hAnsi="Courier New" w:cs="Courier New" w:hint="default"/>
      </w:rPr>
    </w:lvl>
    <w:lvl w:ilvl="5" w:tplc="04090005" w:tentative="1">
      <w:start w:val="1"/>
      <w:numFmt w:val="bullet"/>
      <w:lvlText w:val=""/>
      <w:lvlJc w:val="left"/>
      <w:pPr>
        <w:tabs>
          <w:tab w:val="num" w:pos="4213"/>
        </w:tabs>
        <w:ind w:left="4213" w:hanging="360"/>
      </w:pPr>
      <w:rPr>
        <w:rFonts w:ascii="Wingdings" w:hAnsi="Wingdings" w:hint="default"/>
      </w:rPr>
    </w:lvl>
    <w:lvl w:ilvl="6" w:tplc="04090001" w:tentative="1">
      <w:start w:val="1"/>
      <w:numFmt w:val="bullet"/>
      <w:lvlText w:val=""/>
      <w:lvlJc w:val="left"/>
      <w:pPr>
        <w:tabs>
          <w:tab w:val="num" w:pos="4933"/>
        </w:tabs>
        <w:ind w:left="4933" w:hanging="360"/>
      </w:pPr>
      <w:rPr>
        <w:rFonts w:ascii="Symbol" w:hAnsi="Symbol" w:hint="default"/>
      </w:rPr>
    </w:lvl>
    <w:lvl w:ilvl="7" w:tplc="04090003" w:tentative="1">
      <w:start w:val="1"/>
      <w:numFmt w:val="bullet"/>
      <w:lvlText w:val="o"/>
      <w:lvlJc w:val="left"/>
      <w:pPr>
        <w:tabs>
          <w:tab w:val="num" w:pos="5653"/>
        </w:tabs>
        <w:ind w:left="5653" w:hanging="360"/>
      </w:pPr>
      <w:rPr>
        <w:rFonts w:ascii="Courier New" w:hAnsi="Courier New" w:cs="Courier New" w:hint="default"/>
      </w:rPr>
    </w:lvl>
    <w:lvl w:ilvl="8" w:tplc="04090005" w:tentative="1">
      <w:start w:val="1"/>
      <w:numFmt w:val="bullet"/>
      <w:lvlText w:val=""/>
      <w:lvlJc w:val="left"/>
      <w:pPr>
        <w:tabs>
          <w:tab w:val="num" w:pos="6373"/>
        </w:tabs>
        <w:ind w:left="6373" w:hanging="360"/>
      </w:pPr>
      <w:rPr>
        <w:rFonts w:ascii="Wingdings" w:hAnsi="Wingdings" w:hint="default"/>
      </w:rPr>
    </w:lvl>
  </w:abstractNum>
  <w:abstractNum w:abstractNumId="36" w15:restartNumberingAfterBreak="0">
    <w:nsid w:val="79660F9C"/>
    <w:multiLevelType w:val="hybridMultilevel"/>
    <w:tmpl w:val="9B6C20E0"/>
    <w:lvl w:ilvl="0" w:tplc="310276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B7B70C2"/>
    <w:multiLevelType w:val="hybridMultilevel"/>
    <w:tmpl w:val="C9FA13B2"/>
    <w:lvl w:ilvl="0" w:tplc="B8066C44">
      <w:start w:val="1"/>
      <w:numFmt w:val="bullet"/>
      <w:lvlText w:val="-"/>
      <w:lvlJc w:val="left"/>
      <w:pPr>
        <w:tabs>
          <w:tab w:val="num" w:pos="360"/>
        </w:tabs>
        <w:ind w:left="360" w:hanging="360"/>
      </w:pPr>
      <w:rPr>
        <w:rFonts w:ascii="Courier New" w:hAnsi="Courier New" w:hint="default"/>
        <w:b w:val="0"/>
        <w:i w:val="0"/>
      </w:rPr>
    </w:lvl>
    <w:lvl w:ilvl="1" w:tplc="6F48B114">
      <w:numFmt w:val="bullet"/>
      <w:lvlText w:val="-"/>
      <w:lvlJc w:val="left"/>
      <w:pPr>
        <w:tabs>
          <w:tab w:val="num" w:pos="1434"/>
        </w:tabs>
        <w:ind w:left="1434" w:hanging="360"/>
      </w:pPr>
      <w:rPr>
        <w:rFonts w:ascii="Sabon" w:eastAsia="Times New Roman" w:hAnsi="Sabon" w:cs="Times New Roman" w:hint="default"/>
        <w:b w:val="0"/>
        <w:i w:val="0"/>
      </w:rPr>
    </w:lvl>
    <w:lvl w:ilvl="2" w:tplc="04090005" w:tentative="1">
      <w:start w:val="1"/>
      <w:numFmt w:val="bullet"/>
      <w:lvlText w:val=""/>
      <w:lvlJc w:val="left"/>
      <w:pPr>
        <w:tabs>
          <w:tab w:val="num" w:pos="2154"/>
        </w:tabs>
        <w:ind w:left="2154" w:hanging="360"/>
      </w:pPr>
      <w:rPr>
        <w:rFonts w:ascii="Wingdings" w:hAnsi="Wingdings" w:hint="default"/>
      </w:rPr>
    </w:lvl>
    <w:lvl w:ilvl="3" w:tplc="04090001" w:tentative="1">
      <w:start w:val="1"/>
      <w:numFmt w:val="bullet"/>
      <w:lvlText w:val=""/>
      <w:lvlJc w:val="left"/>
      <w:pPr>
        <w:tabs>
          <w:tab w:val="num" w:pos="2874"/>
        </w:tabs>
        <w:ind w:left="2874" w:hanging="360"/>
      </w:pPr>
      <w:rPr>
        <w:rFonts w:ascii="Symbol" w:hAnsi="Symbol" w:hint="default"/>
      </w:rPr>
    </w:lvl>
    <w:lvl w:ilvl="4" w:tplc="04090003" w:tentative="1">
      <w:start w:val="1"/>
      <w:numFmt w:val="bullet"/>
      <w:lvlText w:val="o"/>
      <w:lvlJc w:val="left"/>
      <w:pPr>
        <w:tabs>
          <w:tab w:val="num" w:pos="3594"/>
        </w:tabs>
        <w:ind w:left="3594" w:hanging="360"/>
      </w:pPr>
      <w:rPr>
        <w:rFonts w:ascii="Courier New" w:hAnsi="Courier New" w:cs="Courier New" w:hint="default"/>
      </w:rPr>
    </w:lvl>
    <w:lvl w:ilvl="5" w:tplc="04090005" w:tentative="1">
      <w:start w:val="1"/>
      <w:numFmt w:val="bullet"/>
      <w:lvlText w:val=""/>
      <w:lvlJc w:val="left"/>
      <w:pPr>
        <w:tabs>
          <w:tab w:val="num" w:pos="4314"/>
        </w:tabs>
        <w:ind w:left="4314" w:hanging="360"/>
      </w:pPr>
      <w:rPr>
        <w:rFonts w:ascii="Wingdings" w:hAnsi="Wingdings" w:hint="default"/>
      </w:rPr>
    </w:lvl>
    <w:lvl w:ilvl="6" w:tplc="04090001" w:tentative="1">
      <w:start w:val="1"/>
      <w:numFmt w:val="bullet"/>
      <w:lvlText w:val=""/>
      <w:lvlJc w:val="left"/>
      <w:pPr>
        <w:tabs>
          <w:tab w:val="num" w:pos="5034"/>
        </w:tabs>
        <w:ind w:left="5034" w:hanging="360"/>
      </w:pPr>
      <w:rPr>
        <w:rFonts w:ascii="Symbol" w:hAnsi="Symbol" w:hint="default"/>
      </w:rPr>
    </w:lvl>
    <w:lvl w:ilvl="7" w:tplc="04090003" w:tentative="1">
      <w:start w:val="1"/>
      <w:numFmt w:val="bullet"/>
      <w:lvlText w:val="o"/>
      <w:lvlJc w:val="left"/>
      <w:pPr>
        <w:tabs>
          <w:tab w:val="num" w:pos="5754"/>
        </w:tabs>
        <w:ind w:left="5754" w:hanging="360"/>
      </w:pPr>
      <w:rPr>
        <w:rFonts w:ascii="Courier New" w:hAnsi="Courier New" w:cs="Courier New" w:hint="default"/>
      </w:rPr>
    </w:lvl>
    <w:lvl w:ilvl="8" w:tplc="04090005" w:tentative="1">
      <w:start w:val="1"/>
      <w:numFmt w:val="bullet"/>
      <w:lvlText w:val=""/>
      <w:lvlJc w:val="left"/>
      <w:pPr>
        <w:tabs>
          <w:tab w:val="num" w:pos="6474"/>
        </w:tabs>
        <w:ind w:left="6474" w:hanging="360"/>
      </w:pPr>
      <w:rPr>
        <w:rFonts w:ascii="Wingdings" w:hAnsi="Wingdings" w:hint="default"/>
      </w:rPr>
    </w:lvl>
  </w:abstractNum>
  <w:abstractNum w:abstractNumId="38"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39" w15:restartNumberingAfterBreak="0">
    <w:nsid w:val="7E252745"/>
    <w:multiLevelType w:val="hybridMultilevel"/>
    <w:tmpl w:val="55A86640"/>
    <w:lvl w:ilvl="0" w:tplc="04090001">
      <w:start w:val="1"/>
      <w:numFmt w:val="bullet"/>
      <w:lvlText w:val=""/>
      <w:lvlJc w:val="left"/>
      <w:pPr>
        <w:tabs>
          <w:tab w:val="num" w:pos="366"/>
        </w:tabs>
        <w:ind w:left="366" w:hanging="360"/>
      </w:pPr>
      <w:rPr>
        <w:rFonts w:ascii="Symbol" w:hAnsi="Symbol"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00103591">
    <w:abstractNumId w:val="0"/>
    <w:lvlOverride w:ilvl="0">
      <w:lvl w:ilvl="0">
        <w:start w:val="1"/>
        <w:numFmt w:val="bullet"/>
        <w:lvlText w:val="-"/>
        <w:legacy w:legacy="1" w:legacySpace="0" w:legacyIndent="360"/>
        <w:lvlJc w:val="left"/>
        <w:pPr>
          <w:ind w:left="360" w:hanging="360"/>
        </w:pPr>
      </w:lvl>
    </w:lvlOverride>
  </w:num>
  <w:num w:numId="2" w16cid:durableId="795173291">
    <w:abstractNumId w:val="31"/>
  </w:num>
  <w:num w:numId="3" w16cid:durableId="249200095">
    <w:abstractNumId w:val="6"/>
  </w:num>
  <w:num w:numId="4" w16cid:durableId="552618705">
    <w:abstractNumId w:val="25"/>
  </w:num>
  <w:num w:numId="5" w16cid:durableId="7368263">
    <w:abstractNumId w:val="26"/>
  </w:num>
  <w:num w:numId="6" w16cid:durableId="741099895">
    <w:abstractNumId w:val="1"/>
  </w:num>
  <w:num w:numId="7" w16cid:durableId="1617368040">
    <w:abstractNumId w:val="2"/>
  </w:num>
  <w:num w:numId="8" w16cid:durableId="998919462">
    <w:abstractNumId w:val="21"/>
  </w:num>
  <w:num w:numId="9" w16cid:durableId="181012816">
    <w:abstractNumId w:val="33"/>
  </w:num>
  <w:num w:numId="10" w16cid:durableId="418257630">
    <w:abstractNumId w:val="22"/>
  </w:num>
  <w:num w:numId="11" w16cid:durableId="660423867">
    <w:abstractNumId w:val="39"/>
  </w:num>
  <w:num w:numId="12" w16cid:durableId="730233625">
    <w:abstractNumId w:val="10"/>
  </w:num>
  <w:num w:numId="13" w16cid:durableId="1126657492">
    <w:abstractNumId w:val="29"/>
  </w:num>
  <w:num w:numId="14" w16cid:durableId="909538350">
    <w:abstractNumId w:val="13"/>
  </w:num>
  <w:num w:numId="15" w16cid:durableId="623078260">
    <w:abstractNumId w:val="3"/>
  </w:num>
  <w:num w:numId="16" w16cid:durableId="1068652552">
    <w:abstractNumId w:val="12"/>
  </w:num>
  <w:num w:numId="17" w16cid:durableId="1358390373">
    <w:abstractNumId w:val="19"/>
  </w:num>
  <w:num w:numId="18" w16cid:durableId="738208771">
    <w:abstractNumId w:val="35"/>
  </w:num>
  <w:num w:numId="19" w16cid:durableId="1398747293">
    <w:abstractNumId w:val="23"/>
  </w:num>
  <w:num w:numId="20" w16cid:durableId="762186224">
    <w:abstractNumId w:val="37"/>
  </w:num>
  <w:num w:numId="21" w16cid:durableId="97408712">
    <w:abstractNumId w:val="27"/>
  </w:num>
  <w:num w:numId="22" w16cid:durableId="1428114083">
    <w:abstractNumId w:val="7"/>
  </w:num>
  <w:num w:numId="23" w16cid:durableId="324285235">
    <w:abstractNumId w:val="36"/>
  </w:num>
  <w:num w:numId="24" w16cid:durableId="1287196345">
    <w:abstractNumId w:val="32"/>
  </w:num>
  <w:num w:numId="25" w16cid:durableId="11954085">
    <w:abstractNumId w:val="16"/>
  </w:num>
  <w:num w:numId="26" w16cid:durableId="1946107323">
    <w:abstractNumId w:val="18"/>
  </w:num>
  <w:num w:numId="27" w16cid:durableId="354353422">
    <w:abstractNumId w:val="24"/>
  </w:num>
  <w:num w:numId="28" w16cid:durableId="1549680952">
    <w:abstractNumId w:val="30"/>
  </w:num>
  <w:num w:numId="29" w16cid:durableId="162547441">
    <w:abstractNumId w:val="34"/>
  </w:num>
  <w:num w:numId="30" w16cid:durableId="997657634">
    <w:abstractNumId w:val="15"/>
  </w:num>
  <w:num w:numId="31" w16cid:durableId="32093219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2" w16cid:durableId="2068410898">
    <w:abstractNumId w:val="8"/>
  </w:num>
  <w:num w:numId="33" w16cid:durableId="123744138">
    <w:abstractNumId w:val="38"/>
  </w:num>
  <w:num w:numId="34" w16cid:durableId="1521698194">
    <w:abstractNumId w:val="28"/>
  </w:num>
  <w:num w:numId="35" w16cid:durableId="93207529">
    <w:abstractNumId w:val="9"/>
  </w:num>
  <w:num w:numId="36" w16cid:durableId="774714526">
    <w:abstractNumId w:val="11"/>
  </w:num>
  <w:num w:numId="37" w16cid:durableId="70784315">
    <w:abstractNumId w:val="5"/>
  </w:num>
  <w:num w:numId="38" w16cid:durableId="1647930026">
    <w:abstractNumId w:val="4"/>
  </w:num>
  <w:num w:numId="39" w16cid:durableId="625551346">
    <w:abstractNumId w:val="20"/>
  </w:num>
  <w:num w:numId="40" w16cid:durableId="2081512183">
    <w:abstractNumId w:val="4"/>
  </w:num>
  <w:num w:numId="41" w16cid:durableId="1933733358">
    <w:abstractNumId w:val="14"/>
  </w:num>
  <w:num w:numId="42" w16cid:durableId="1357657170">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it-IT" w:vendorID="64" w:dllVersion="6" w:nlCheck="1" w:checkStyle="0"/>
  <w:activeWritingStyle w:appName="MSWord" w:lang="fr-FR" w:vendorID="64" w:dllVersion="6" w:nlCheck="1" w:checkStyle="1"/>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fr-CH" w:vendorID="64" w:dllVersion="6" w:nlCheck="1" w:checkStyle="0"/>
  <w:activeWritingStyle w:appName="MSWord" w:lang="pt-BR" w:vendorID="64" w:dllVersion="6" w:nlCheck="1" w:checkStyle="0"/>
  <w:activeWritingStyle w:appName="MSWord" w:lang="de-DE" w:vendorID="64" w:dllVersion="6" w:nlCheck="1" w:checkStyle="1"/>
  <w:activeWritingStyle w:appName="MSWord" w:lang="de-CH" w:vendorID="64" w:dllVersion="6" w:nlCheck="1" w:checkStyle="0"/>
  <w:activeWritingStyle w:appName="MSWord" w:lang="es-ES" w:vendorID="64" w:dllVersion="6" w:nlCheck="1" w:checkStyle="0"/>
  <w:activeWritingStyle w:appName="MSWord" w:lang="pt-PT" w:vendorID="64" w:dllVersion="6" w:nlCheck="1" w:checkStyle="0"/>
  <w:activeWritingStyle w:appName="MSWord" w:lang="en-US" w:vendorID="64" w:dllVersion="0" w:nlCheck="1" w:checkStyle="0"/>
  <w:activeWritingStyle w:appName="MSWord" w:lang="fr-BE" w:vendorID="64" w:dllVersion="0" w:nlCheck="1" w:checkStyle="0"/>
  <w:activeWritingStyle w:appName="MSWord" w:lang="fr-CH"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A77"/>
    <w:rsid w:val="0000102A"/>
    <w:rsid w:val="000038BE"/>
    <w:rsid w:val="0001320F"/>
    <w:rsid w:val="00013AC7"/>
    <w:rsid w:val="000144C8"/>
    <w:rsid w:val="000155E3"/>
    <w:rsid w:val="00016447"/>
    <w:rsid w:val="000165A0"/>
    <w:rsid w:val="00020B74"/>
    <w:rsid w:val="0002357E"/>
    <w:rsid w:val="00024AAF"/>
    <w:rsid w:val="00032E53"/>
    <w:rsid w:val="00034653"/>
    <w:rsid w:val="000348B9"/>
    <w:rsid w:val="000414F8"/>
    <w:rsid w:val="00041D7A"/>
    <w:rsid w:val="00043CAD"/>
    <w:rsid w:val="00044FF4"/>
    <w:rsid w:val="00051661"/>
    <w:rsid w:val="000573FB"/>
    <w:rsid w:val="00060355"/>
    <w:rsid w:val="00064085"/>
    <w:rsid w:val="000643D1"/>
    <w:rsid w:val="00065C3C"/>
    <w:rsid w:val="000665CF"/>
    <w:rsid w:val="000666D1"/>
    <w:rsid w:val="000704A0"/>
    <w:rsid w:val="00070F5F"/>
    <w:rsid w:val="0007373F"/>
    <w:rsid w:val="00082DB3"/>
    <w:rsid w:val="00091992"/>
    <w:rsid w:val="000962F4"/>
    <w:rsid w:val="00097075"/>
    <w:rsid w:val="000A507E"/>
    <w:rsid w:val="000A7F49"/>
    <w:rsid w:val="000B3D77"/>
    <w:rsid w:val="000C18EB"/>
    <w:rsid w:val="000C2276"/>
    <w:rsid w:val="000C3CCF"/>
    <w:rsid w:val="000C5700"/>
    <w:rsid w:val="000C7649"/>
    <w:rsid w:val="000C7E47"/>
    <w:rsid w:val="000D3063"/>
    <w:rsid w:val="000D3371"/>
    <w:rsid w:val="000D4062"/>
    <w:rsid w:val="000D6A91"/>
    <w:rsid w:val="000E0F96"/>
    <w:rsid w:val="000E2036"/>
    <w:rsid w:val="000E2615"/>
    <w:rsid w:val="000E3A1E"/>
    <w:rsid w:val="000E6B1C"/>
    <w:rsid w:val="000E6D93"/>
    <w:rsid w:val="000F175D"/>
    <w:rsid w:val="000F3616"/>
    <w:rsid w:val="000F5B02"/>
    <w:rsid w:val="000F799F"/>
    <w:rsid w:val="001023D2"/>
    <w:rsid w:val="00104199"/>
    <w:rsid w:val="00104F34"/>
    <w:rsid w:val="00110025"/>
    <w:rsid w:val="0011139F"/>
    <w:rsid w:val="00114267"/>
    <w:rsid w:val="00116B07"/>
    <w:rsid w:val="00120C5F"/>
    <w:rsid w:val="00121B2A"/>
    <w:rsid w:val="00122E4D"/>
    <w:rsid w:val="001240E6"/>
    <w:rsid w:val="0013094E"/>
    <w:rsid w:val="00143B0F"/>
    <w:rsid w:val="0014663C"/>
    <w:rsid w:val="00146E07"/>
    <w:rsid w:val="00157F83"/>
    <w:rsid w:val="00162162"/>
    <w:rsid w:val="001628EE"/>
    <w:rsid w:val="00165CEB"/>
    <w:rsid w:val="00172317"/>
    <w:rsid w:val="001739F5"/>
    <w:rsid w:val="001755C1"/>
    <w:rsid w:val="00177A56"/>
    <w:rsid w:val="00181CB8"/>
    <w:rsid w:val="00182929"/>
    <w:rsid w:val="0018361E"/>
    <w:rsid w:val="00183EC2"/>
    <w:rsid w:val="00185003"/>
    <w:rsid w:val="00185D70"/>
    <w:rsid w:val="00187E51"/>
    <w:rsid w:val="001949A8"/>
    <w:rsid w:val="00196085"/>
    <w:rsid w:val="00197508"/>
    <w:rsid w:val="001A4470"/>
    <w:rsid w:val="001A5311"/>
    <w:rsid w:val="001A5A94"/>
    <w:rsid w:val="001A6E7D"/>
    <w:rsid w:val="001A7807"/>
    <w:rsid w:val="001B1245"/>
    <w:rsid w:val="001B28B4"/>
    <w:rsid w:val="001B31F3"/>
    <w:rsid w:val="001B3A49"/>
    <w:rsid w:val="001B5817"/>
    <w:rsid w:val="001C3A74"/>
    <w:rsid w:val="001C3B0B"/>
    <w:rsid w:val="001C3B15"/>
    <w:rsid w:val="001C3D4F"/>
    <w:rsid w:val="001C7370"/>
    <w:rsid w:val="001E2829"/>
    <w:rsid w:val="001E2F8B"/>
    <w:rsid w:val="001E45D7"/>
    <w:rsid w:val="001E6472"/>
    <w:rsid w:val="001E7A69"/>
    <w:rsid w:val="001E7C6B"/>
    <w:rsid w:val="001F13FA"/>
    <w:rsid w:val="001F35FE"/>
    <w:rsid w:val="001F374A"/>
    <w:rsid w:val="001F5E88"/>
    <w:rsid w:val="00200AA5"/>
    <w:rsid w:val="0020223D"/>
    <w:rsid w:val="002027CF"/>
    <w:rsid w:val="002027FE"/>
    <w:rsid w:val="002030AB"/>
    <w:rsid w:val="00203485"/>
    <w:rsid w:val="002066A0"/>
    <w:rsid w:val="002122B5"/>
    <w:rsid w:val="002139B9"/>
    <w:rsid w:val="00213F69"/>
    <w:rsid w:val="0021704A"/>
    <w:rsid w:val="002175A4"/>
    <w:rsid w:val="002222CC"/>
    <w:rsid w:val="0022265F"/>
    <w:rsid w:val="00222ED7"/>
    <w:rsid w:val="00224AFA"/>
    <w:rsid w:val="00226601"/>
    <w:rsid w:val="00231D27"/>
    <w:rsid w:val="00232452"/>
    <w:rsid w:val="0023251A"/>
    <w:rsid w:val="00236736"/>
    <w:rsid w:val="002372FC"/>
    <w:rsid w:val="002378D3"/>
    <w:rsid w:val="00237C0F"/>
    <w:rsid w:val="00242E28"/>
    <w:rsid w:val="002442EC"/>
    <w:rsid w:val="00245A45"/>
    <w:rsid w:val="00245BEB"/>
    <w:rsid w:val="0024637A"/>
    <w:rsid w:val="00250DF7"/>
    <w:rsid w:val="00252B68"/>
    <w:rsid w:val="00253CAE"/>
    <w:rsid w:val="002602E0"/>
    <w:rsid w:val="00261CB1"/>
    <w:rsid w:val="0026220E"/>
    <w:rsid w:val="00263227"/>
    <w:rsid w:val="00263827"/>
    <w:rsid w:val="00266AC2"/>
    <w:rsid w:val="0026756C"/>
    <w:rsid w:val="002812ED"/>
    <w:rsid w:val="0028607D"/>
    <w:rsid w:val="002916B0"/>
    <w:rsid w:val="002961FE"/>
    <w:rsid w:val="002A0FC8"/>
    <w:rsid w:val="002A3693"/>
    <w:rsid w:val="002A3C20"/>
    <w:rsid w:val="002A4CB6"/>
    <w:rsid w:val="002A4E2D"/>
    <w:rsid w:val="002B1C52"/>
    <w:rsid w:val="002B2E7B"/>
    <w:rsid w:val="002B69CA"/>
    <w:rsid w:val="002C744E"/>
    <w:rsid w:val="002D19F2"/>
    <w:rsid w:val="002D2468"/>
    <w:rsid w:val="002D746F"/>
    <w:rsid w:val="002D7A0F"/>
    <w:rsid w:val="002E01F7"/>
    <w:rsid w:val="002E39CC"/>
    <w:rsid w:val="002E64E1"/>
    <w:rsid w:val="002F003A"/>
    <w:rsid w:val="002F79B7"/>
    <w:rsid w:val="003033B8"/>
    <w:rsid w:val="00303A31"/>
    <w:rsid w:val="00303C2D"/>
    <w:rsid w:val="003048A3"/>
    <w:rsid w:val="00305C3A"/>
    <w:rsid w:val="00311DD6"/>
    <w:rsid w:val="00312039"/>
    <w:rsid w:val="0031337E"/>
    <w:rsid w:val="00320D90"/>
    <w:rsid w:val="00321A77"/>
    <w:rsid w:val="00321CF2"/>
    <w:rsid w:val="00323A03"/>
    <w:rsid w:val="00324CCB"/>
    <w:rsid w:val="00325FD1"/>
    <w:rsid w:val="003329DC"/>
    <w:rsid w:val="00341E59"/>
    <w:rsid w:val="003440D4"/>
    <w:rsid w:val="00344B99"/>
    <w:rsid w:val="00346A57"/>
    <w:rsid w:val="00351949"/>
    <w:rsid w:val="00351AE9"/>
    <w:rsid w:val="0035272B"/>
    <w:rsid w:val="0035520A"/>
    <w:rsid w:val="00355706"/>
    <w:rsid w:val="0035690C"/>
    <w:rsid w:val="00356F31"/>
    <w:rsid w:val="003571FB"/>
    <w:rsid w:val="0036212E"/>
    <w:rsid w:val="00366DDB"/>
    <w:rsid w:val="00366E0D"/>
    <w:rsid w:val="0037219F"/>
    <w:rsid w:val="0037340E"/>
    <w:rsid w:val="00374BFD"/>
    <w:rsid w:val="00374C67"/>
    <w:rsid w:val="00376904"/>
    <w:rsid w:val="00376D2C"/>
    <w:rsid w:val="00377D98"/>
    <w:rsid w:val="003817E3"/>
    <w:rsid w:val="00381A57"/>
    <w:rsid w:val="00384046"/>
    <w:rsid w:val="003847D6"/>
    <w:rsid w:val="003848E8"/>
    <w:rsid w:val="00385381"/>
    <w:rsid w:val="003875A9"/>
    <w:rsid w:val="00390372"/>
    <w:rsid w:val="00390C5B"/>
    <w:rsid w:val="0039272E"/>
    <w:rsid w:val="0039525C"/>
    <w:rsid w:val="003975F2"/>
    <w:rsid w:val="003A15D8"/>
    <w:rsid w:val="003A3CFB"/>
    <w:rsid w:val="003A406F"/>
    <w:rsid w:val="003A4A63"/>
    <w:rsid w:val="003A71E7"/>
    <w:rsid w:val="003A7282"/>
    <w:rsid w:val="003B112A"/>
    <w:rsid w:val="003B1CFC"/>
    <w:rsid w:val="003B29F3"/>
    <w:rsid w:val="003B3ED9"/>
    <w:rsid w:val="003B487D"/>
    <w:rsid w:val="003B5D99"/>
    <w:rsid w:val="003C0788"/>
    <w:rsid w:val="003C2371"/>
    <w:rsid w:val="003C4BB9"/>
    <w:rsid w:val="003D1E6B"/>
    <w:rsid w:val="003D2D72"/>
    <w:rsid w:val="003D365F"/>
    <w:rsid w:val="003D461E"/>
    <w:rsid w:val="003D599F"/>
    <w:rsid w:val="003D62A7"/>
    <w:rsid w:val="003F303F"/>
    <w:rsid w:val="003F5EC3"/>
    <w:rsid w:val="00405A41"/>
    <w:rsid w:val="0040674B"/>
    <w:rsid w:val="0041068A"/>
    <w:rsid w:val="004111EF"/>
    <w:rsid w:val="004126C3"/>
    <w:rsid w:val="00415599"/>
    <w:rsid w:val="004159B7"/>
    <w:rsid w:val="004161ED"/>
    <w:rsid w:val="00432A9F"/>
    <w:rsid w:val="00434BA5"/>
    <w:rsid w:val="0043622D"/>
    <w:rsid w:val="00436F4A"/>
    <w:rsid w:val="00437B40"/>
    <w:rsid w:val="00442201"/>
    <w:rsid w:val="00450D73"/>
    <w:rsid w:val="004564BC"/>
    <w:rsid w:val="00457395"/>
    <w:rsid w:val="0045753D"/>
    <w:rsid w:val="004613B3"/>
    <w:rsid w:val="00470202"/>
    <w:rsid w:val="00472D14"/>
    <w:rsid w:val="004732FA"/>
    <w:rsid w:val="00480E32"/>
    <w:rsid w:val="00481296"/>
    <w:rsid w:val="00482AC8"/>
    <w:rsid w:val="00482F5A"/>
    <w:rsid w:val="00485803"/>
    <w:rsid w:val="00493232"/>
    <w:rsid w:val="004954C2"/>
    <w:rsid w:val="0049611C"/>
    <w:rsid w:val="004A1D16"/>
    <w:rsid w:val="004A615E"/>
    <w:rsid w:val="004B2956"/>
    <w:rsid w:val="004B3F79"/>
    <w:rsid w:val="004B5DD7"/>
    <w:rsid w:val="004C1DE2"/>
    <w:rsid w:val="004C51E8"/>
    <w:rsid w:val="004D500C"/>
    <w:rsid w:val="004D7402"/>
    <w:rsid w:val="004E38A8"/>
    <w:rsid w:val="004E3E23"/>
    <w:rsid w:val="004E4EA6"/>
    <w:rsid w:val="004F0276"/>
    <w:rsid w:val="004F486A"/>
    <w:rsid w:val="004F627D"/>
    <w:rsid w:val="00502694"/>
    <w:rsid w:val="0050397C"/>
    <w:rsid w:val="00503B83"/>
    <w:rsid w:val="00505205"/>
    <w:rsid w:val="005057D2"/>
    <w:rsid w:val="00506C7F"/>
    <w:rsid w:val="00510129"/>
    <w:rsid w:val="00510F33"/>
    <w:rsid w:val="005148A4"/>
    <w:rsid w:val="005159EA"/>
    <w:rsid w:val="00515BF1"/>
    <w:rsid w:val="005165C4"/>
    <w:rsid w:val="00516A9E"/>
    <w:rsid w:val="00517405"/>
    <w:rsid w:val="005205FF"/>
    <w:rsid w:val="005207E3"/>
    <w:rsid w:val="0052569F"/>
    <w:rsid w:val="00527B2A"/>
    <w:rsid w:val="005331CC"/>
    <w:rsid w:val="00533303"/>
    <w:rsid w:val="005343B5"/>
    <w:rsid w:val="00534DE2"/>
    <w:rsid w:val="005359D0"/>
    <w:rsid w:val="005402B1"/>
    <w:rsid w:val="00545F86"/>
    <w:rsid w:val="00547F74"/>
    <w:rsid w:val="005519B8"/>
    <w:rsid w:val="00555530"/>
    <w:rsid w:val="00564E06"/>
    <w:rsid w:val="00571676"/>
    <w:rsid w:val="00575BD1"/>
    <w:rsid w:val="00582BD2"/>
    <w:rsid w:val="0058611C"/>
    <w:rsid w:val="005861BE"/>
    <w:rsid w:val="00587E16"/>
    <w:rsid w:val="005964B1"/>
    <w:rsid w:val="005A129E"/>
    <w:rsid w:val="005B1D4E"/>
    <w:rsid w:val="005C143D"/>
    <w:rsid w:val="005C16F8"/>
    <w:rsid w:val="005C2236"/>
    <w:rsid w:val="005C4FBD"/>
    <w:rsid w:val="005C7147"/>
    <w:rsid w:val="005D0061"/>
    <w:rsid w:val="005D0DC9"/>
    <w:rsid w:val="005D49CF"/>
    <w:rsid w:val="005D67FA"/>
    <w:rsid w:val="005E4613"/>
    <w:rsid w:val="005E5BDD"/>
    <w:rsid w:val="005E5DC6"/>
    <w:rsid w:val="005F390D"/>
    <w:rsid w:val="005F6453"/>
    <w:rsid w:val="005F795E"/>
    <w:rsid w:val="0060081D"/>
    <w:rsid w:val="00601D30"/>
    <w:rsid w:val="00602B0E"/>
    <w:rsid w:val="0060401C"/>
    <w:rsid w:val="00604193"/>
    <w:rsid w:val="00606667"/>
    <w:rsid w:val="00612BC1"/>
    <w:rsid w:val="00613A55"/>
    <w:rsid w:val="00613D91"/>
    <w:rsid w:val="0061572E"/>
    <w:rsid w:val="00624EEA"/>
    <w:rsid w:val="0062535B"/>
    <w:rsid w:val="00625F98"/>
    <w:rsid w:val="00626F6A"/>
    <w:rsid w:val="00631461"/>
    <w:rsid w:val="00632630"/>
    <w:rsid w:val="00632D80"/>
    <w:rsid w:val="006365F2"/>
    <w:rsid w:val="00640C89"/>
    <w:rsid w:val="0064405F"/>
    <w:rsid w:val="00644669"/>
    <w:rsid w:val="006463CC"/>
    <w:rsid w:val="006474A4"/>
    <w:rsid w:val="006503D6"/>
    <w:rsid w:val="0065141B"/>
    <w:rsid w:val="006516F7"/>
    <w:rsid w:val="006532AB"/>
    <w:rsid w:val="00653BF6"/>
    <w:rsid w:val="00655E13"/>
    <w:rsid w:val="00662A5B"/>
    <w:rsid w:val="00662F10"/>
    <w:rsid w:val="00663C56"/>
    <w:rsid w:val="0066448E"/>
    <w:rsid w:val="006654CF"/>
    <w:rsid w:val="006673A6"/>
    <w:rsid w:val="00667F43"/>
    <w:rsid w:val="006716EA"/>
    <w:rsid w:val="0067392E"/>
    <w:rsid w:val="0067643D"/>
    <w:rsid w:val="006806CC"/>
    <w:rsid w:val="006833A1"/>
    <w:rsid w:val="00684883"/>
    <w:rsid w:val="006850E9"/>
    <w:rsid w:val="006856D2"/>
    <w:rsid w:val="006934AF"/>
    <w:rsid w:val="00693A7F"/>
    <w:rsid w:val="006956B2"/>
    <w:rsid w:val="006977BA"/>
    <w:rsid w:val="006A1C53"/>
    <w:rsid w:val="006A640C"/>
    <w:rsid w:val="006B0835"/>
    <w:rsid w:val="006B19A2"/>
    <w:rsid w:val="006B246A"/>
    <w:rsid w:val="006B4E65"/>
    <w:rsid w:val="006C10A0"/>
    <w:rsid w:val="006C1F9D"/>
    <w:rsid w:val="006C27AC"/>
    <w:rsid w:val="006C4C18"/>
    <w:rsid w:val="006C7A67"/>
    <w:rsid w:val="006D349F"/>
    <w:rsid w:val="006D3E66"/>
    <w:rsid w:val="006D51E4"/>
    <w:rsid w:val="006E0E52"/>
    <w:rsid w:val="006E1F7E"/>
    <w:rsid w:val="006E2114"/>
    <w:rsid w:val="006E469E"/>
    <w:rsid w:val="006E701C"/>
    <w:rsid w:val="006E7418"/>
    <w:rsid w:val="006F0E16"/>
    <w:rsid w:val="006F1917"/>
    <w:rsid w:val="006F2559"/>
    <w:rsid w:val="006F7AC3"/>
    <w:rsid w:val="00701EA5"/>
    <w:rsid w:val="007058A9"/>
    <w:rsid w:val="00705B3D"/>
    <w:rsid w:val="00706DB9"/>
    <w:rsid w:val="00710824"/>
    <w:rsid w:val="00711F1F"/>
    <w:rsid w:val="0072101A"/>
    <w:rsid w:val="00725E78"/>
    <w:rsid w:val="00727164"/>
    <w:rsid w:val="00742658"/>
    <w:rsid w:val="00750259"/>
    <w:rsid w:val="007502C5"/>
    <w:rsid w:val="00751795"/>
    <w:rsid w:val="007537F9"/>
    <w:rsid w:val="0075503B"/>
    <w:rsid w:val="00755077"/>
    <w:rsid w:val="0075579D"/>
    <w:rsid w:val="00755B26"/>
    <w:rsid w:val="007607E1"/>
    <w:rsid w:val="00762283"/>
    <w:rsid w:val="00764FBA"/>
    <w:rsid w:val="0077631D"/>
    <w:rsid w:val="00777258"/>
    <w:rsid w:val="007836E7"/>
    <w:rsid w:val="00784205"/>
    <w:rsid w:val="00786985"/>
    <w:rsid w:val="00786B9F"/>
    <w:rsid w:val="00787194"/>
    <w:rsid w:val="00787705"/>
    <w:rsid w:val="00787C62"/>
    <w:rsid w:val="0079477D"/>
    <w:rsid w:val="007969B9"/>
    <w:rsid w:val="00796E02"/>
    <w:rsid w:val="007978C9"/>
    <w:rsid w:val="007A2E23"/>
    <w:rsid w:val="007A3155"/>
    <w:rsid w:val="007A549F"/>
    <w:rsid w:val="007A7548"/>
    <w:rsid w:val="007B61B2"/>
    <w:rsid w:val="007C3C37"/>
    <w:rsid w:val="007C3F3B"/>
    <w:rsid w:val="007C7E3E"/>
    <w:rsid w:val="007D40EA"/>
    <w:rsid w:val="007D4B19"/>
    <w:rsid w:val="007D5B15"/>
    <w:rsid w:val="007D642D"/>
    <w:rsid w:val="007D7517"/>
    <w:rsid w:val="007E6051"/>
    <w:rsid w:val="007E7520"/>
    <w:rsid w:val="007E76EC"/>
    <w:rsid w:val="007F0904"/>
    <w:rsid w:val="007F0AF2"/>
    <w:rsid w:val="007F23EE"/>
    <w:rsid w:val="007F249E"/>
    <w:rsid w:val="007F56F8"/>
    <w:rsid w:val="007F7E84"/>
    <w:rsid w:val="008009CC"/>
    <w:rsid w:val="00801175"/>
    <w:rsid w:val="008022FB"/>
    <w:rsid w:val="008070DF"/>
    <w:rsid w:val="008078BA"/>
    <w:rsid w:val="008104C6"/>
    <w:rsid w:val="008128B7"/>
    <w:rsid w:val="008130F3"/>
    <w:rsid w:val="00813A7A"/>
    <w:rsid w:val="0081771B"/>
    <w:rsid w:val="008218C4"/>
    <w:rsid w:val="00824B54"/>
    <w:rsid w:val="00827C27"/>
    <w:rsid w:val="00827D0E"/>
    <w:rsid w:val="00831636"/>
    <w:rsid w:val="00831C51"/>
    <w:rsid w:val="00832BF5"/>
    <w:rsid w:val="0083466A"/>
    <w:rsid w:val="008463D4"/>
    <w:rsid w:val="00846CCA"/>
    <w:rsid w:val="00855DA7"/>
    <w:rsid w:val="008579DB"/>
    <w:rsid w:val="008625C6"/>
    <w:rsid w:val="00865861"/>
    <w:rsid w:val="00870A73"/>
    <w:rsid w:val="00870C8C"/>
    <w:rsid w:val="00870CAB"/>
    <w:rsid w:val="00870F94"/>
    <w:rsid w:val="008728C6"/>
    <w:rsid w:val="0087351F"/>
    <w:rsid w:val="00875254"/>
    <w:rsid w:val="00876DBB"/>
    <w:rsid w:val="00881537"/>
    <w:rsid w:val="0088160C"/>
    <w:rsid w:val="00883C70"/>
    <w:rsid w:val="008911E8"/>
    <w:rsid w:val="008914A0"/>
    <w:rsid w:val="00893854"/>
    <w:rsid w:val="008959D7"/>
    <w:rsid w:val="008A3A84"/>
    <w:rsid w:val="008A5F3B"/>
    <w:rsid w:val="008A709F"/>
    <w:rsid w:val="008B4088"/>
    <w:rsid w:val="008B7596"/>
    <w:rsid w:val="008B796E"/>
    <w:rsid w:val="008C612E"/>
    <w:rsid w:val="008C6F56"/>
    <w:rsid w:val="008C74B2"/>
    <w:rsid w:val="008D0E3F"/>
    <w:rsid w:val="008D4C96"/>
    <w:rsid w:val="008E0A0B"/>
    <w:rsid w:val="008E0C2C"/>
    <w:rsid w:val="008E3368"/>
    <w:rsid w:val="008E7925"/>
    <w:rsid w:val="008F71A8"/>
    <w:rsid w:val="008F73B8"/>
    <w:rsid w:val="00903BFD"/>
    <w:rsid w:val="00903DCF"/>
    <w:rsid w:val="0090704B"/>
    <w:rsid w:val="009071F1"/>
    <w:rsid w:val="00910C5C"/>
    <w:rsid w:val="0091424B"/>
    <w:rsid w:val="0091608A"/>
    <w:rsid w:val="009167DA"/>
    <w:rsid w:val="00923772"/>
    <w:rsid w:val="00924094"/>
    <w:rsid w:val="009253B9"/>
    <w:rsid w:val="0092672C"/>
    <w:rsid w:val="009311B9"/>
    <w:rsid w:val="00934C2B"/>
    <w:rsid w:val="00935A9F"/>
    <w:rsid w:val="00935D26"/>
    <w:rsid w:val="0093616B"/>
    <w:rsid w:val="00945EC6"/>
    <w:rsid w:val="00946E0C"/>
    <w:rsid w:val="009478DD"/>
    <w:rsid w:val="009507B5"/>
    <w:rsid w:val="009538D8"/>
    <w:rsid w:val="00954FFF"/>
    <w:rsid w:val="0095541F"/>
    <w:rsid w:val="009563F2"/>
    <w:rsid w:val="00961E0F"/>
    <w:rsid w:val="009639E2"/>
    <w:rsid w:val="0096750B"/>
    <w:rsid w:val="0096767C"/>
    <w:rsid w:val="00971E6B"/>
    <w:rsid w:val="009728C4"/>
    <w:rsid w:val="00973243"/>
    <w:rsid w:val="009735FF"/>
    <w:rsid w:val="0097737A"/>
    <w:rsid w:val="00977389"/>
    <w:rsid w:val="00980C81"/>
    <w:rsid w:val="00982318"/>
    <w:rsid w:val="00982C4E"/>
    <w:rsid w:val="00983CEA"/>
    <w:rsid w:val="00983EE0"/>
    <w:rsid w:val="00990F8B"/>
    <w:rsid w:val="00992892"/>
    <w:rsid w:val="00995235"/>
    <w:rsid w:val="00996715"/>
    <w:rsid w:val="00996DD4"/>
    <w:rsid w:val="009A26E8"/>
    <w:rsid w:val="009A2749"/>
    <w:rsid w:val="009A2A01"/>
    <w:rsid w:val="009A531A"/>
    <w:rsid w:val="009A7FB9"/>
    <w:rsid w:val="009B0F7A"/>
    <w:rsid w:val="009B158D"/>
    <w:rsid w:val="009B500B"/>
    <w:rsid w:val="009B6744"/>
    <w:rsid w:val="009C051F"/>
    <w:rsid w:val="009C0A2B"/>
    <w:rsid w:val="009C2D7F"/>
    <w:rsid w:val="009C4CDF"/>
    <w:rsid w:val="009C5C79"/>
    <w:rsid w:val="009C68FF"/>
    <w:rsid w:val="009D01E6"/>
    <w:rsid w:val="009D0572"/>
    <w:rsid w:val="009D1B0B"/>
    <w:rsid w:val="009D52CB"/>
    <w:rsid w:val="009D617F"/>
    <w:rsid w:val="009D7C59"/>
    <w:rsid w:val="009E0019"/>
    <w:rsid w:val="009E2473"/>
    <w:rsid w:val="009E301B"/>
    <w:rsid w:val="009E3532"/>
    <w:rsid w:val="009E3B07"/>
    <w:rsid w:val="009E41C6"/>
    <w:rsid w:val="009E44A8"/>
    <w:rsid w:val="009F094A"/>
    <w:rsid w:val="009F10C4"/>
    <w:rsid w:val="009F4FBD"/>
    <w:rsid w:val="009F7D1C"/>
    <w:rsid w:val="00A010F3"/>
    <w:rsid w:val="00A05207"/>
    <w:rsid w:val="00A122AB"/>
    <w:rsid w:val="00A178D4"/>
    <w:rsid w:val="00A17A91"/>
    <w:rsid w:val="00A17E1E"/>
    <w:rsid w:val="00A20601"/>
    <w:rsid w:val="00A2334D"/>
    <w:rsid w:val="00A239AE"/>
    <w:rsid w:val="00A273D2"/>
    <w:rsid w:val="00A3082E"/>
    <w:rsid w:val="00A3316B"/>
    <w:rsid w:val="00A36CDB"/>
    <w:rsid w:val="00A402E3"/>
    <w:rsid w:val="00A4052F"/>
    <w:rsid w:val="00A42752"/>
    <w:rsid w:val="00A44639"/>
    <w:rsid w:val="00A5478B"/>
    <w:rsid w:val="00A56477"/>
    <w:rsid w:val="00A56F22"/>
    <w:rsid w:val="00A56F84"/>
    <w:rsid w:val="00A63705"/>
    <w:rsid w:val="00A63751"/>
    <w:rsid w:val="00A63E21"/>
    <w:rsid w:val="00A66FF1"/>
    <w:rsid w:val="00A67229"/>
    <w:rsid w:val="00A736B0"/>
    <w:rsid w:val="00A74546"/>
    <w:rsid w:val="00A75CE3"/>
    <w:rsid w:val="00A77323"/>
    <w:rsid w:val="00A77947"/>
    <w:rsid w:val="00A802CA"/>
    <w:rsid w:val="00A869CC"/>
    <w:rsid w:val="00A86D9C"/>
    <w:rsid w:val="00A90751"/>
    <w:rsid w:val="00A91FA7"/>
    <w:rsid w:val="00A931F9"/>
    <w:rsid w:val="00A932A9"/>
    <w:rsid w:val="00A94878"/>
    <w:rsid w:val="00A94D0D"/>
    <w:rsid w:val="00A951BB"/>
    <w:rsid w:val="00A95A51"/>
    <w:rsid w:val="00AA215C"/>
    <w:rsid w:val="00AA3A8F"/>
    <w:rsid w:val="00AB5C43"/>
    <w:rsid w:val="00AC06B4"/>
    <w:rsid w:val="00AC119C"/>
    <w:rsid w:val="00AC3290"/>
    <w:rsid w:val="00AC3C6A"/>
    <w:rsid w:val="00AD2CC1"/>
    <w:rsid w:val="00AD5F61"/>
    <w:rsid w:val="00AD72D4"/>
    <w:rsid w:val="00AE4A2F"/>
    <w:rsid w:val="00AE6225"/>
    <w:rsid w:val="00AF1BED"/>
    <w:rsid w:val="00AF1E72"/>
    <w:rsid w:val="00B00A84"/>
    <w:rsid w:val="00B00B37"/>
    <w:rsid w:val="00B0307A"/>
    <w:rsid w:val="00B0699E"/>
    <w:rsid w:val="00B074EF"/>
    <w:rsid w:val="00B10098"/>
    <w:rsid w:val="00B100C7"/>
    <w:rsid w:val="00B103DB"/>
    <w:rsid w:val="00B11D17"/>
    <w:rsid w:val="00B11FFC"/>
    <w:rsid w:val="00B13CD8"/>
    <w:rsid w:val="00B14771"/>
    <w:rsid w:val="00B15424"/>
    <w:rsid w:val="00B23445"/>
    <w:rsid w:val="00B255D6"/>
    <w:rsid w:val="00B26476"/>
    <w:rsid w:val="00B32B8D"/>
    <w:rsid w:val="00B34767"/>
    <w:rsid w:val="00B35875"/>
    <w:rsid w:val="00B41042"/>
    <w:rsid w:val="00B43D72"/>
    <w:rsid w:val="00B45637"/>
    <w:rsid w:val="00B45736"/>
    <w:rsid w:val="00B46C2E"/>
    <w:rsid w:val="00B529BB"/>
    <w:rsid w:val="00B53565"/>
    <w:rsid w:val="00B54EDE"/>
    <w:rsid w:val="00B56C05"/>
    <w:rsid w:val="00B57045"/>
    <w:rsid w:val="00B57FC3"/>
    <w:rsid w:val="00B62166"/>
    <w:rsid w:val="00B6349D"/>
    <w:rsid w:val="00B67138"/>
    <w:rsid w:val="00B71F97"/>
    <w:rsid w:val="00B7264E"/>
    <w:rsid w:val="00B72890"/>
    <w:rsid w:val="00B77BC4"/>
    <w:rsid w:val="00B802DE"/>
    <w:rsid w:val="00B83411"/>
    <w:rsid w:val="00B83C4B"/>
    <w:rsid w:val="00B84616"/>
    <w:rsid w:val="00B916E8"/>
    <w:rsid w:val="00B92E0B"/>
    <w:rsid w:val="00B92F69"/>
    <w:rsid w:val="00B96DF4"/>
    <w:rsid w:val="00BA169E"/>
    <w:rsid w:val="00BA3F1A"/>
    <w:rsid w:val="00BA50AD"/>
    <w:rsid w:val="00BB7CFB"/>
    <w:rsid w:val="00BC39C3"/>
    <w:rsid w:val="00BC4ECB"/>
    <w:rsid w:val="00BC5410"/>
    <w:rsid w:val="00BC5A82"/>
    <w:rsid w:val="00BC75EA"/>
    <w:rsid w:val="00BD0478"/>
    <w:rsid w:val="00BD12F4"/>
    <w:rsid w:val="00BD2B36"/>
    <w:rsid w:val="00BD34D0"/>
    <w:rsid w:val="00BD6737"/>
    <w:rsid w:val="00BD70D6"/>
    <w:rsid w:val="00BE10FE"/>
    <w:rsid w:val="00BE2571"/>
    <w:rsid w:val="00BF08C0"/>
    <w:rsid w:val="00BF3333"/>
    <w:rsid w:val="00BF4E28"/>
    <w:rsid w:val="00BF59F3"/>
    <w:rsid w:val="00BF5A2B"/>
    <w:rsid w:val="00BF6460"/>
    <w:rsid w:val="00C02374"/>
    <w:rsid w:val="00C024E3"/>
    <w:rsid w:val="00C02F1C"/>
    <w:rsid w:val="00C0508D"/>
    <w:rsid w:val="00C07F37"/>
    <w:rsid w:val="00C13913"/>
    <w:rsid w:val="00C17709"/>
    <w:rsid w:val="00C2009C"/>
    <w:rsid w:val="00C2228D"/>
    <w:rsid w:val="00C22751"/>
    <w:rsid w:val="00C248D4"/>
    <w:rsid w:val="00C2497B"/>
    <w:rsid w:val="00C254BD"/>
    <w:rsid w:val="00C33C76"/>
    <w:rsid w:val="00C42500"/>
    <w:rsid w:val="00C44E0E"/>
    <w:rsid w:val="00C51DFB"/>
    <w:rsid w:val="00C53181"/>
    <w:rsid w:val="00C5388A"/>
    <w:rsid w:val="00C5439C"/>
    <w:rsid w:val="00C56D4A"/>
    <w:rsid w:val="00C6064B"/>
    <w:rsid w:val="00C6188C"/>
    <w:rsid w:val="00C64C50"/>
    <w:rsid w:val="00C6557B"/>
    <w:rsid w:val="00C65C9E"/>
    <w:rsid w:val="00C65D13"/>
    <w:rsid w:val="00C66B5B"/>
    <w:rsid w:val="00C67CDE"/>
    <w:rsid w:val="00C67FED"/>
    <w:rsid w:val="00C700F2"/>
    <w:rsid w:val="00C744EF"/>
    <w:rsid w:val="00C74A0B"/>
    <w:rsid w:val="00C74B08"/>
    <w:rsid w:val="00C766A0"/>
    <w:rsid w:val="00C772D1"/>
    <w:rsid w:val="00C8738B"/>
    <w:rsid w:val="00C977C3"/>
    <w:rsid w:val="00CA0FBC"/>
    <w:rsid w:val="00CA1A21"/>
    <w:rsid w:val="00CA38AE"/>
    <w:rsid w:val="00CA459C"/>
    <w:rsid w:val="00CA5373"/>
    <w:rsid w:val="00CC075E"/>
    <w:rsid w:val="00CC1F81"/>
    <w:rsid w:val="00CD55B2"/>
    <w:rsid w:val="00CD64B0"/>
    <w:rsid w:val="00CD7E29"/>
    <w:rsid w:val="00CE0757"/>
    <w:rsid w:val="00CF23CB"/>
    <w:rsid w:val="00CF25A5"/>
    <w:rsid w:val="00CF27E1"/>
    <w:rsid w:val="00D038BD"/>
    <w:rsid w:val="00D07B5F"/>
    <w:rsid w:val="00D101A1"/>
    <w:rsid w:val="00D101D1"/>
    <w:rsid w:val="00D10578"/>
    <w:rsid w:val="00D10800"/>
    <w:rsid w:val="00D1447A"/>
    <w:rsid w:val="00D165BA"/>
    <w:rsid w:val="00D22EA9"/>
    <w:rsid w:val="00D25385"/>
    <w:rsid w:val="00D31C71"/>
    <w:rsid w:val="00D4091B"/>
    <w:rsid w:val="00D4264D"/>
    <w:rsid w:val="00D43054"/>
    <w:rsid w:val="00D43DEF"/>
    <w:rsid w:val="00D447C7"/>
    <w:rsid w:val="00D453B7"/>
    <w:rsid w:val="00D4582E"/>
    <w:rsid w:val="00D5123F"/>
    <w:rsid w:val="00D5151F"/>
    <w:rsid w:val="00D535F2"/>
    <w:rsid w:val="00D56CD6"/>
    <w:rsid w:val="00D5727E"/>
    <w:rsid w:val="00D65ABC"/>
    <w:rsid w:val="00D66C34"/>
    <w:rsid w:val="00D70B74"/>
    <w:rsid w:val="00D7309C"/>
    <w:rsid w:val="00D742D9"/>
    <w:rsid w:val="00D747B9"/>
    <w:rsid w:val="00D765F2"/>
    <w:rsid w:val="00D81FC0"/>
    <w:rsid w:val="00D829B8"/>
    <w:rsid w:val="00D850F6"/>
    <w:rsid w:val="00D85814"/>
    <w:rsid w:val="00D86095"/>
    <w:rsid w:val="00D868A5"/>
    <w:rsid w:val="00D915F7"/>
    <w:rsid w:val="00D91D5E"/>
    <w:rsid w:val="00D92E15"/>
    <w:rsid w:val="00D93F13"/>
    <w:rsid w:val="00D95409"/>
    <w:rsid w:val="00D977E8"/>
    <w:rsid w:val="00D97A04"/>
    <w:rsid w:val="00DA3A86"/>
    <w:rsid w:val="00DA6449"/>
    <w:rsid w:val="00DA7392"/>
    <w:rsid w:val="00DB22E2"/>
    <w:rsid w:val="00DB4449"/>
    <w:rsid w:val="00DB4541"/>
    <w:rsid w:val="00DC6398"/>
    <w:rsid w:val="00DC7916"/>
    <w:rsid w:val="00DD4096"/>
    <w:rsid w:val="00DD5FF1"/>
    <w:rsid w:val="00DF6D29"/>
    <w:rsid w:val="00E004BD"/>
    <w:rsid w:val="00E0122B"/>
    <w:rsid w:val="00E02109"/>
    <w:rsid w:val="00E07259"/>
    <w:rsid w:val="00E12F5E"/>
    <w:rsid w:val="00E155EF"/>
    <w:rsid w:val="00E17F1F"/>
    <w:rsid w:val="00E211F8"/>
    <w:rsid w:val="00E23AF5"/>
    <w:rsid w:val="00E23EDB"/>
    <w:rsid w:val="00E24371"/>
    <w:rsid w:val="00E372FE"/>
    <w:rsid w:val="00E54E74"/>
    <w:rsid w:val="00E57D17"/>
    <w:rsid w:val="00E62B99"/>
    <w:rsid w:val="00E70086"/>
    <w:rsid w:val="00E73F5C"/>
    <w:rsid w:val="00E7483A"/>
    <w:rsid w:val="00E74F83"/>
    <w:rsid w:val="00E82F66"/>
    <w:rsid w:val="00E8481F"/>
    <w:rsid w:val="00E84C65"/>
    <w:rsid w:val="00E914D2"/>
    <w:rsid w:val="00EA4283"/>
    <w:rsid w:val="00EA6B09"/>
    <w:rsid w:val="00EB117F"/>
    <w:rsid w:val="00EC5249"/>
    <w:rsid w:val="00EC66C9"/>
    <w:rsid w:val="00EC6D31"/>
    <w:rsid w:val="00ED3388"/>
    <w:rsid w:val="00ED5D32"/>
    <w:rsid w:val="00EE3293"/>
    <w:rsid w:val="00EE4F56"/>
    <w:rsid w:val="00EE7627"/>
    <w:rsid w:val="00EF15AE"/>
    <w:rsid w:val="00EF31C0"/>
    <w:rsid w:val="00EF4CB3"/>
    <w:rsid w:val="00F00FCF"/>
    <w:rsid w:val="00F01486"/>
    <w:rsid w:val="00F10BBC"/>
    <w:rsid w:val="00F11743"/>
    <w:rsid w:val="00F12729"/>
    <w:rsid w:val="00F1645B"/>
    <w:rsid w:val="00F179AD"/>
    <w:rsid w:val="00F266BF"/>
    <w:rsid w:val="00F279B9"/>
    <w:rsid w:val="00F279C2"/>
    <w:rsid w:val="00F31B23"/>
    <w:rsid w:val="00F35ABA"/>
    <w:rsid w:val="00F40DE8"/>
    <w:rsid w:val="00F42439"/>
    <w:rsid w:val="00F450B6"/>
    <w:rsid w:val="00F46217"/>
    <w:rsid w:val="00F5048E"/>
    <w:rsid w:val="00F51631"/>
    <w:rsid w:val="00F538EB"/>
    <w:rsid w:val="00F541D2"/>
    <w:rsid w:val="00F542F3"/>
    <w:rsid w:val="00F544DE"/>
    <w:rsid w:val="00F560E8"/>
    <w:rsid w:val="00F56D29"/>
    <w:rsid w:val="00F5755C"/>
    <w:rsid w:val="00F61D84"/>
    <w:rsid w:val="00F644A1"/>
    <w:rsid w:val="00F65F59"/>
    <w:rsid w:val="00F750B5"/>
    <w:rsid w:val="00F7705F"/>
    <w:rsid w:val="00F776B8"/>
    <w:rsid w:val="00F805A3"/>
    <w:rsid w:val="00F80EF7"/>
    <w:rsid w:val="00F835E9"/>
    <w:rsid w:val="00F84278"/>
    <w:rsid w:val="00F872B7"/>
    <w:rsid w:val="00F87971"/>
    <w:rsid w:val="00F924CA"/>
    <w:rsid w:val="00F93C3E"/>
    <w:rsid w:val="00F9509F"/>
    <w:rsid w:val="00FA0A65"/>
    <w:rsid w:val="00FA516F"/>
    <w:rsid w:val="00FA680F"/>
    <w:rsid w:val="00FA7035"/>
    <w:rsid w:val="00FA7BC1"/>
    <w:rsid w:val="00FB08C1"/>
    <w:rsid w:val="00FB535D"/>
    <w:rsid w:val="00FB5DE6"/>
    <w:rsid w:val="00FB67B5"/>
    <w:rsid w:val="00FB70FE"/>
    <w:rsid w:val="00FC0E7A"/>
    <w:rsid w:val="00FC1147"/>
    <w:rsid w:val="00FC2B65"/>
    <w:rsid w:val="00FC360D"/>
    <w:rsid w:val="00FC3EB0"/>
    <w:rsid w:val="00FC3F46"/>
    <w:rsid w:val="00FC4B8E"/>
    <w:rsid w:val="00FC5096"/>
    <w:rsid w:val="00FC7262"/>
    <w:rsid w:val="00FC7FBB"/>
    <w:rsid w:val="00FD59BC"/>
    <w:rsid w:val="00FD5ADC"/>
    <w:rsid w:val="00FD65AF"/>
    <w:rsid w:val="00FD7036"/>
    <w:rsid w:val="00FE1098"/>
    <w:rsid w:val="00FE20E8"/>
    <w:rsid w:val="00FE5027"/>
    <w:rsid w:val="00FF184F"/>
    <w:rsid w:val="00FF3FE7"/>
    <w:rsid w:val="00FF4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metricconverter"/>
  <w:smartTagType w:namespaceuri="urn:schemas-microsoft-com:office:smarttags" w:name="PersonName"/>
  <w:smartTagType w:namespaceuri="urn:schemas-microsoft-com:office:smarttags" w:name="stockticker"/>
  <w:shapeDefaults>
    <o:shapedefaults v:ext="edit" spidmax="2049"/>
    <o:shapelayout v:ext="edit">
      <o:idmap v:ext="edit" data="1"/>
    </o:shapelayout>
  </w:shapeDefaults>
  <w:decimalSymbol w:val="."/>
  <w:listSeparator w:val=","/>
  <w14:docId w14:val="7E1CE1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abon" w:hAnsi="Sabon"/>
      <w:sz w:val="22"/>
      <w:lang w:val="fr-FR" w:eastAsia="en-US"/>
    </w:rPr>
  </w:style>
  <w:style w:type="paragraph" w:styleId="Heading1">
    <w:name w:val="heading 1"/>
    <w:basedOn w:val="Normal"/>
    <w:next w:val="Normal"/>
    <w:link w:val="Heading1Char"/>
    <w:qFormat/>
    <w:pPr>
      <w:keepNext/>
      <w:ind w:left="34"/>
      <w:outlineLvl w:val="0"/>
    </w:pPr>
    <w:rPr>
      <w:rFonts w:ascii="Times New Roman" w:hAnsi="Times New Roman"/>
      <w:u w:val="single"/>
    </w:rPr>
  </w:style>
  <w:style w:type="paragraph" w:styleId="Heading2">
    <w:name w:val="heading 2"/>
    <w:basedOn w:val="Normal"/>
    <w:next w:val="Normal"/>
    <w:qFormat/>
    <w:pPr>
      <w:keepNext/>
      <w:outlineLvl w:val="1"/>
    </w:pPr>
    <w:rPr>
      <w:rFonts w:ascii="Times New Roman" w:hAnsi="Times New Roman"/>
      <w:u w:val="single"/>
    </w:rPr>
  </w:style>
  <w:style w:type="paragraph" w:styleId="Heading3">
    <w:name w:val="heading 3"/>
    <w:basedOn w:val="Normal"/>
    <w:next w:val="Normal"/>
    <w:qFormat/>
    <w:pPr>
      <w:keepNext/>
      <w:suppressAutoHyphens/>
      <w:jc w:val="center"/>
      <w:outlineLvl w:val="2"/>
    </w:pPr>
    <w:rPr>
      <w:rFonts w:ascii="Times New Roman" w:hAnsi="Times New Roman"/>
      <w:b/>
    </w:rPr>
  </w:style>
  <w:style w:type="paragraph" w:styleId="Heading4">
    <w:name w:val="heading 4"/>
    <w:basedOn w:val="Normal"/>
    <w:next w:val="Normal"/>
    <w:qFormat/>
    <w:pPr>
      <w:keepNext/>
      <w:widowControl w:val="0"/>
      <w:outlineLvl w:val="3"/>
    </w:pPr>
    <w:rPr>
      <w:b/>
      <w:u w:val="single"/>
    </w:rPr>
  </w:style>
  <w:style w:type="paragraph" w:styleId="Heading5">
    <w:name w:val="heading 5"/>
    <w:basedOn w:val="Normal"/>
    <w:next w:val="Normal"/>
    <w:qFormat/>
    <w:pPr>
      <w:keepNext/>
      <w:widowControl w:val="0"/>
      <w:numPr>
        <w:numId w:val="2"/>
      </w:numPr>
      <w:tabs>
        <w:tab w:val="clear" w:pos="360"/>
      </w:tabs>
      <w:suppressAutoHyphens/>
      <w:outlineLvl w:val="4"/>
    </w:pPr>
    <w:rPr>
      <w:rFonts w:ascii="Times New Roman" w:hAnsi="Times New Roman"/>
      <w:b/>
    </w:rPr>
  </w:style>
  <w:style w:type="paragraph" w:styleId="Heading6">
    <w:name w:val="heading 6"/>
    <w:basedOn w:val="Normal"/>
    <w:next w:val="Normal"/>
    <w:qFormat/>
    <w:pPr>
      <w:keepNext/>
      <w:widowControl w:val="0"/>
      <w:outlineLvl w:val="5"/>
    </w:pPr>
    <w:rPr>
      <w:rFonts w:ascii="Times New Roman" w:hAnsi="Times New Roman"/>
      <w:b/>
    </w:rPr>
  </w:style>
  <w:style w:type="paragraph" w:styleId="Heading7">
    <w:name w:val="heading 7"/>
    <w:basedOn w:val="Normal"/>
    <w:next w:val="Normal"/>
    <w:qFormat/>
    <w:pPr>
      <w:keepNext/>
      <w:widowControl w:val="0"/>
      <w:outlineLvl w:val="6"/>
    </w:pPr>
    <w:rPr>
      <w:rFonts w:ascii="Times New Roman" w:hAnsi="Times New Roman"/>
    </w:rPr>
  </w:style>
  <w:style w:type="paragraph" w:styleId="Heading8">
    <w:name w:val="heading 8"/>
    <w:basedOn w:val="Normal"/>
    <w:next w:val="Normal"/>
    <w:qFormat/>
    <w:pPr>
      <w:tabs>
        <w:tab w:val="left" w:pos="-720"/>
      </w:tabs>
      <w:outlineLvl w:val="7"/>
    </w:pPr>
    <w:rPr>
      <w:rFonts w:ascii="Times New Roman" w:hAnsi="Times New Roman"/>
      <w:i/>
      <w:sz w:val="20"/>
      <w:lang w:val="en-US"/>
    </w:rPr>
  </w:style>
  <w:style w:type="paragraph" w:styleId="Heading9">
    <w:name w:val="heading 9"/>
    <w:basedOn w:val="Normal"/>
    <w:next w:val="Normal"/>
    <w:qFormat/>
    <w:pPr>
      <w:keepNext/>
      <w:widowControl w:val="0"/>
      <w:numPr>
        <w:ilvl w:val="12"/>
      </w:numPr>
      <w:ind w:right="-2"/>
      <w:jc w:val="both"/>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aliases w:val="Note de fin Car,Note de fin Car1 Car,Note de fin Car Car Car,Note de fin Car1 Car Car Car,Note de fin Car Car Car Car Car,Note de fin Car1 Car Car Car Car Car,Note de fin Car Car Car Car Car Car Car"/>
    <w:basedOn w:val="Normal"/>
    <w:link w:val="EndnoteTextChar"/>
    <w:semiHidden/>
    <w:pPr>
      <w:tabs>
        <w:tab w:val="left" w:pos="567"/>
      </w:tabs>
    </w:pPr>
    <w:rPr>
      <w:rFonts w:ascii="Times New Roman" w:hAnsi="Times New Roman"/>
      <w:lang w:val="en-GB"/>
    </w:rPr>
  </w:style>
  <w:style w:type="paragraph" w:customStyle="1" w:styleId="Table">
    <w:name w:val="Table"/>
    <w:basedOn w:val="Normal"/>
    <w:link w:val="TableChar"/>
    <w:pPr>
      <w:keepNext/>
      <w:keepLines/>
      <w:tabs>
        <w:tab w:val="left" w:pos="284"/>
      </w:tabs>
      <w:spacing w:before="40" w:after="20"/>
    </w:pPr>
    <w:rPr>
      <w:rFonts w:ascii="Arial" w:hAnsi="Arial"/>
      <w:sz w:val="20"/>
      <w:lang w:val="en-US"/>
    </w:rPr>
  </w:style>
  <w:style w:type="paragraph" w:customStyle="1" w:styleId="paragraphSIF">
    <w:name w:val="paragraph SIF"/>
    <w:pPr>
      <w:tabs>
        <w:tab w:val="left" w:pos="-720"/>
      </w:tabs>
      <w:jc w:val="both"/>
    </w:pPr>
    <w:rPr>
      <w:sz w:val="22"/>
      <w:lang w:eastAsia="en-US"/>
    </w:rPr>
  </w:style>
  <w:style w:type="paragraph" w:customStyle="1" w:styleId="nottoc-headings">
    <w:name w:val="not toc-headings"/>
    <w:pPr>
      <w:keepNext/>
      <w:keepLines/>
      <w:tabs>
        <w:tab w:val="left" w:pos="-720"/>
      </w:tabs>
    </w:pPr>
    <w:rPr>
      <w:rFonts w:ascii="Arial" w:hAnsi="Arial"/>
      <w:b/>
      <w:sz w:val="24"/>
      <w:lang w:val="en-US" w:eastAsia="en-US"/>
    </w:rPr>
  </w:style>
  <w:style w:type="paragraph" w:styleId="BodyTextIndent">
    <w:name w:val="Body Text Indent"/>
    <w:basedOn w:val="Normal"/>
    <w:pPr>
      <w:ind w:left="567" w:hanging="567"/>
    </w:pPr>
    <w:rPr>
      <w:rFonts w:ascii="Times New Roman" w:hAnsi="Times New Roman"/>
      <w:b/>
      <w:color w:val="808080"/>
      <w:lang w:val="en-GB"/>
    </w:rPr>
  </w:style>
  <w:style w:type="paragraph" w:customStyle="1" w:styleId="Listlevel1">
    <w:name w:val="List level 1"/>
    <w:basedOn w:val="Normal"/>
    <w:pPr>
      <w:spacing w:before="40" w:after="20"/>
      <w:ind w:left="425" w:hanging="425"/>
    </w:pPr>
    <w:rPr>
      <w:rFonts w:ascii="Times New Roman" w:hAnsi="Times New Roman"/>
      <w:sz w:val="24"/>
      <w:lang w:val="en-US"/>
    </w:rPr>
  </w:style>
  <w:style w:type="paragraph" w:customStyle="1" w:styleId="paragraph">
    <w:name w:val="paragraph"/>
    <w:pPr>
      <w:tabs>
        <w:tab w:val="left" w:pos="-720"/>
      </w:tabs>
      <w:jc w:val="both"/>
    </w:pPr>
    <w:rPr>
      <w:rFonts w:ascii="Courier New" w:hAnsi="Courier New"/>
      <w:sz w:val="24"/>
      <w:lang w:val="en-US" w:eastAsia="en-US"/>
    </w:rPr>
  </w:style>
  <w:style w:type="paragraph" w:customStyle="1" w:styleId="Titlepage">
    <w:name w:val="Titlepage"/>
    <w:pPr>
      <w:tabs>
        <w:tab w:val="left" w:pos="-720"/>
      </w:tabs>
    </w:pPr>
    <w:rPr>
      <w:rFonts w:ascii="Courier New" w:hAnsi="Courier New"/>
      <w:sz w:val="24"/>
      <w:lang w:val="en-US" w:eastAsia="en-US"/>
    </w:rPr>
  </w:style>
  <w:style w:type="paragraph" w:customStyle="1" w:styleId="Text">
    <w:name w:val="Text"/>
    <w:basedOn w:val="Normal"/>
    <w:pPr>
      <w:spacing w:before="120"/>
      <w:jc w:val="both"/>
    </w:pPr>
    <w:rPr>
      <w:rFonts w:ascii="Times New Roman" w:hAnsi="Times New Roman"/>
      <w:sz w:val="24"/>
      <w:lang w:val="en-US"/>
    </w:rPr>
  </w:style>
  <w:style w:type="paragraph" w:styleId="BodyTextIndent3">
    <w:name w:val="Body Text Indent 3"/>
    <w:basedOn w:val="Normal"/>
    <w:pPr>
      <w:suppressAutoHyphens/>
      <w:ind w:left="567"/>
    </w:pPr>
    <w:rPr>
      <w:rFonts w:ascii="Times New Roman" w:hAnsi="Times New Roman"/>
    </w:rPr>
  </w:style>
  <w:style w:type="paragraph" w:styleId="BodyText3">
    <w:name w:val="Body Text 3"/>
    <w:basedOn w:val="Normal"/>
    <w:pPr>
      <w:suppressAutoHyphens/>
    </w:pPr>
    <w:rPr>
      <w:rFonts w:ascii="Times New Roman" w:hAnsi="Times New Roman"/>
      <w:b/>
    </w:rPr>
  </w:style>
  <w:style w:type="paragraph" w:styleId="BodyText2">
    <w:name w:val="Body Text 2"/>
    <w:basedOn w:val="Normal"/>
    <w:pPr>
      <w:suppressAutoHyphens/>
      <w:ind w:left="567" w:hanging="567"/>
    </w:pPr>
    <w:rPr>
      <w:rFonts w:ascii="Times New Roman" w:hAnsi="Times New Roman"/>
    </w:rPr>
  </w:style>
  <w:style w:type="paragraph" w:styleId="BodyText">
    <w:name w:val="Body Text"/>
    <w:basedOn w:val="Normal"/>
    <w:pPr>
      <w:suppressAutoHyphens/>
      <w:jc w:val="both"/>
    </w:pPr>
    <w:rPr>
      <w:rFonts w:ascii="Times New Roman" w:hAnsi="Times New Roman"/>
      <w:noProof/>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BlockText">
    <w:name w:val="Block Text"/>
    <w:basedOn w:val="Normal"/>
    <w:pPr>
      <w:ind w:left="567" w:right="14"/>
    </w:pPr>
    <w:rPr>
      <w:rFonts w:ascii="Times New Roman" w:hAnsi="Times New Roman"/>
      <w:i/>
      <w:snapToGrid w:val="0"/>
      <w:lang w:val="en-GB"/>
    </w:rPr>
  </w:style>
  <w:style w:type="paragraph" w:styleId="BodyTextIndent2">
    <w:name w:val="Body Text Indent 2"/>
    <w:basedOn w:val="Normal"/>
    <w:pPr>
      <w:numPr>
        <w:ilvl w:val="12"/>
      </w:numPr>
      <w:ind w:left="567"/>
      <w:jc w:val="both"/>
    </w:pPr>
    <w:rPr>
      <w:rFonts w:ascii="Times New Roman" w:hAnsi="Times New Roman"/>
    </w:rPr>
  </w:style>
  <w:style w:type="character" w:styleId="CommentReference">
    <w:name w:val="annotation reference"/>
    <w:uiPriority w:val="99"/>
    <w:semiHidden/>
    <w:rPr>
      <w:sz w:val="16"/>
      <w:szCs w:val="16"/>
    </w:rPr>
  </w:style>
  <w:style w:type="paragraph" w:styleId="CommentText">
    <w:name w:val="annotation text"/>
    <w:aliases w:val="Comment Text Char1 Char,Comment Text Char Char Char,Comment Text Char1,Annotationtext"/>
    <w:basedOn w:val="Normal"/>
    <w:link w:val="CommentTextChar"/>
    <w:rPr>
      <w:sz w:val="20"/>
      <w:lang w:eastAsia="x-none"/>
    </w:rPr>
  </w:style>
  <w:style w:type="paragraph" w:styleId="CommentSubject">
    <w:name w:val="annotation subject"/>
    <w:basedOn w:val="CommentText"/>
    <w:next w:val="CommentText"/>
    <w:semiHidden/>
    <w:rPr>
      <w:b/>
      <w:bCs/>
    </w:rPr>
  </w:style>
  <w:style w:type="character" w:customStyle="1" w:styleId="TableChar">
    <w:name w:val="Table Char"/>
    <w:link w:val="Table"/>
    <w:rPr>
      <w:rFonts w:ascii="Arial" w:hAnsi="Arial"/>
      <w:lang w:val="en-US" w:eastAsia="en-US" w:bidi="ar-SA"/>
    </w:rPr>
  </w:style>
  <w:style w:type="character" w:customStyle="1" w:styleId="TextChar">
    <w:name w:val="Text Char"/>
    <w:rPr>
      <w:sz w:val="24"/>
      <w:lang w:val="en-US" w:eastAsia="en-US" w:bidi="ar-SA"/>
    </w:rPr>
  </w:style>
  <w:style w:type="paragraph" w:customStyle="1" w:styleId="TableCarCarCarCarCarCarCarCarCar">
    <w:name w:val="Table Car Car Car Car Car Car Car Car Car"/>
    <w:basedOn w:val="Normal"/>
    <w:link w:val="TableCarCarCarCarCarCarCarCarCarCar"/>
    <w:pPr>
      <w:keepNext/>
      <w:keepLines/>
      <w:tabs>
        <w:tab w:val="left" w:pos="284"/>
      </w:tabs>
      <w:spacing w:before="40" w:after="20"/>
    </w:pPr>
    <w:rPr>
      <w:rFonts w:ascii="Arial" w:hAnsi="Arial"/>
      <w:lang w:val="en-US"/>
    </w:rPr>
  </w:style>
  <w:style w:type="character" w:customStyle="1" w:styleId="TableCarCarCarCarCarCarCarCarCarCar">
    <w:name w:val="Table Car Car Car Car Car Car Car Car Car Car"/>
    <w:link w:val="TableCarCarCarCarCarCarCarCarCar"/>
    <w:rPr>
      <w:rFonts w:ascii="Arial" w:hAnsi="Arial"/>
      <w:sz w:val="22"/>
      <w:lang w:val="en-US" w:eastAsia="en-US" w:bidi="ar-SA"/>
    </w:rPr>
  </w:style>
  <w:style w:type="character" w:customStyle="1" w:styleId="EndnoteTextChar">
    <w:name w:val="Endnote Text Char"/>
    <w:aliases w:val="Note de fin Car Char,Note de fin Car1 Car Char,Note de fin Car Car Car Char,Note de fin Car1 Car Car Car Char,Note de fin Car Car Car Car Car Char,Note de fin Car1 Car Car Car Car Car Char,Note de fin Car Car Car Car Car Car Car Char"/>
    <w:link w:val="EndnoteText"/>
    <w:rPr>
      <w:sz w:val="22"/>
      <w:lang w:val="en-GB" w:eastAsia="en-US" w:bidi="ar-SA"/>
    </w:rPr>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toc-headings0">
    <w:name w:val="Not toc-headings"/>
    <w:basedOn w:val="Normal"/>
    <w:next w:val="Text"/>
    <w:link w:val="Nottoc-headingsChar"/>
    <w:pPr>
      <w:keepNext/>
      <w:keepLines/>
      <w:spacing w:before="240" w:after="60"/>
      <w:ind w:left="1701" w:hanging="1701"/>
    </w:pPr>
    <w:rPr>
      <w:rFonts w:ascii="Arial" w:hAnsi="Arial"/>
      <w:b/>
      <w:sz w:val="24"/>
      <w:lang w:val="en-US"/>
    </w:rPr>
  </w:style>
  <w:style w:type="character" w:customStyle="1" w:styleId="Nottoc-headingsChar">
    <w:name w:val="Not toc-headings Char"/>
    <w:link w:val="Nottoc-headings0"/>
    <w:rPr>
      <w:rFonts w:ascii="Arial" w:hAnsi="Arial"/>
      <w:b/>
      <w:sz w:val="24"/>
      <w:lang w:val="en-US" w:eastAsia="en-US" w:bidi="ar-SA"/>
    </w:rPr>
  </w:style>
  <w:style w:type="paragraph" w:customStyle="1" w:styleId="CarCarCharCarCar">
    <w:name w:val="Car Car Char Car Car"/>
    <w:basedOn w:val="Normal"/>
    <w:pPr>
      <w:spacing w:after="160" w:line="240" w:lineRule="exact"/>
    </w:pPr>
    <w:rPr>
      <w:rFonts w:ascii="Verdana" w:hAnsi="Verdana" w:cs="Verdana"/>
      <w:sz w:val="20"/>
      <w:lang w:val="en-GB"/>
    </w:rPr>
  </w:style>
  <w:style w:type="paragraph" w:customStyle="1" w:styleId="CarCarCharCarCarCharCarCar">
    <w:name w:val="Car Car Char Car Car Char Car Car"/>
    <w:basedOn w:val="Normal"/>
    <w:pPr>
      <w:spacing w:after="160" w:line="240" w:lineRule="exact"/>
    </w:pPr>
    <w:rPr>
      <w:rFonts w:ascii="Verdana" w:hAnsi="Verdana" w:cs="Verdana"/>
      <w:sz w:val="20"/>
      <w:lang w:val="en-US"/>
    </w:rPr>
  </w:style>
  <w:style w:type="paragraph" w:customStyle="1" w:styleId="CarCar1">
    <w:name w:val="Car Car1"/>
    <w:basedOn w:val="Normal"/>
    <w:pPr>
      <w:spacing w:after="160" w:line="240" w:lineRule="exact"/>
    </w:pPr>
    <w:rPr>
      <w:rFonts w:ascii="Verdana" w:hAnsi="Verdana" w:cs="Verdana"/>
      <w:sz w:val="20"/>
      <w:lang w:val="en-GB"/>
    </w:rPr>
  </w:style>
  <w:style w:type="paragraph" w:customStyle="1" w:styleId="knZulassung01">
    <w:name w:val="knZulassung01"/>
    <w:basedOn w:val="Normal"/>
    <w:pPr>
      <w:suppressAutoHyphens/>
      <w:autoSpaceDE w:val="0"/>
      <w:autoSpaceDN w:val="0"/>
      <w:ind w:left="1843" w:right="284" w:hanging="1843"/>
    </w:pPr>
    <w:rPr>
      <w:rFonts w:ascii="Courier" w:hAnsi="Courier"/>
      <w:noProof/>
      <w:sz w:val="24"/>
      <w:szCs w:val="24"/>
      <w:lang w:val="en-US" w:eastAsia="de-DE"/>
    </w:rPr>
  </w:style>
  <w:style w:type="paragraph" w:customStyle="1" w:styleId="Style">
    <w:name w:val="Style"/>
    <w:basedOn w:val="Normal"/>
    <w:pPr>
      <w:spacing w:after="160" w:line="240" w:lineRule="exact"/>
    </w:pPr>
    <w:rPr>
      <w:rFonts w:ascii="Verdana" w:hAnsi="Verdana" w:cs="Verdana"/>
      <w:sz w:val="20"/>
      <w:lang w:val="en-GB"/>
    </w:rPr>
  </w:style>
  <w:style w:type="paragraph" w:styleId="ListParagraph">
    <w:name w:val="List Paragraph"/>
    <w:basedOn w:val="Normal"/>
    <w:uiPriority w:val="34"/>
    <w:qFormat/>
    <w:pPr>
      <w:ind w:left="720"/>
    </w:pPr>
  </w:style>
  <w:style w:type="character" w:customStyle="1" w:styleId="CommentTextChar">
    <w:name w:val="Comment Text Char"/>
    <w:aliases w:val="Comment Text Char1 Char Char,Comment Text Char Char Char Char,Comment Text Char1 Char1,Annotationtext Char"/>
    <w:link w:val="CommentText"/>
    <w:rPr>
      <w:rFonts w:ascii="Sabon" w:hAnsi="Sabon"/>
      <w:lang w:val="fr-FR"/>
    </w:rPr>
  </w:style>
  <w:style w:type="character" w:styleId="Hyperlink">
    <w:name w:val="Hyperlink"/>
    <w:uiPriority w:val="99"/>
    <w:unhideWhenUsed/>
    <w:rPr>
      <w:color w:val="0000FF"/>
      <w:u w:val="single"/>
    </w:rPr>
  </w:style>
  <w:style w:type="paragraph" w:customStyle="1" w:styleId="TabletextrowsAgency">
    <w:name w:val="Table text rows (Agency)"/>
    <w:basedOn w:val="Normal"/>
    <w:rsid w:val="002030AB"/>
    <w:pPr>
      <w:spacing w:line="280" w:lineRule="exact"/>
    </w:pPr>
    <w:rPr>
      <w:rFonts w:ascii="Verdana" w:eastAsia="SimSun" w:hAnsi="Verdana" w:cs="Verdana"/>
      <w:snapToGrid w:val="0"/>
      <w:sz w:val="18"/>
      <w:szCs w:val="18"/>
      <w:lang w:val="en-GB"/>
    </w:rPr>
  </w:style>
  <w:style w:type="character" w:styleId="FollowedHyperlink">
    <w:name w:val="FollowedHyperlink"/>
    <w:uiPriority w:val="99"/>
    <w:semiHidden/>
    <w:unhideWhenUsed/>
    <w:rsid w:val="00E8481F"/>
    <w:rPr>
      <w:color w:val="800080"/>
      <w:u w:val="single"/>
    </w:rPr>
  </w:style>
  <w:style w:type="paragraph" w:customStyle="1" w:styleId="BodytextAgency">
    <w:name w:val="Body text (Agency)"/>
    <w:basedOn w:val="Normal"/>
    <w:rsid w:val="00236736"/>
    <w:pPr>
      <w:spacing w:after="140" w:line="280" w:lineRule="atLeast"/>
    </w:pPr>
    <w:rPr>
      <w:rFonts w:ascii="Verdana" w:hAnsi="Verdana"/>
      <w:snapToGrid w:val="0"/>
      <w:sz w:val="18"/>
      <w:lang w:val="en-GB"/>
    </w:rPr>
  </w:style>
  <w:style w:type="paragraph" w:styleId="Revision">
    <w:name w:val="Revision"/>
    <w:hidden/>
    <w:uiPriority w:val="99"/>
    <w:semiHidden/>
    <w:rsid w:val="00470202"/>
    <w:rPr>
      <w:rFonts w:ascii="Sabon" w:hAnsi="Sabon"/>
      <w:sz w:val="22"/>
      <w:lang w:val="fr-FR" w:eastAsia="en-US"/>
    </w:rPr>
  </w:style>
  <w:style w:type="paragraph" w:customStyle="1" w:styleId="Default">
    <w:name w:val="Default"/>
    <w:rsid w:val="00DA7392"/>
    <w:pPr>
      <w:autoSpaceDE w:val="0"/>
      <w:autoSpaceDN w:val="0"/>
      <w:adjustRightInd w:val="0"/>
    </w:pPr>
    <w:rPr>
      <w:rFonts w:ascii="EUAlbertina" w:eastAsia="SimSun" w:hAnsi="EUAlbertina" w:cs="EUAlbertina"/>
      <w:snapToGrid w:val="0"/>
      <w:color w:val="000000"/>
      <w:sz w:val="24"/>
      <w:szCs w:val="24"/>
      <w:lang w:val="en-US" w:eastAsia="en-US"/>
    </w:rPr>
  </w:style>
  <w:style w:type="paragraph" w:styleId="NormalWeb">
    <w:name w:val="Normal (Web)"/>
    <w:basedOn w:val="Normal"/>
    <w:uiPriority w:val="99"/>
    <w:semiHidden/>
    <w:unhideWhenUsed/>
    <w:rsid w:val="00114267"/>
    <w:pPr>
      <w:spacing w:before="100" w:beforeAutospacing="1" w:after="100" w:afterAutospacing="1"/>
    </w:pPr>
    <w:rPr>
      <w:rFonts w:ascii="Times New Roman" w:hAnsi="Times New Roman"/>
      <w:sz w:val="24"/>
      <w:szCs w:val="24"/>
      <w:lang w:val="en-US"/>
    </w:rPr>
  </w:style>
  <w:style w:type="character" w:customStyle="1" w:styleId="UnresolvedMention1">
    <w:name w:val="Unresolved Mention1"/>
    <w:basedOn w:val="DefaultParagraphFont"/>
    <w:uiPriority w:val="99"/>
    <w:semiHidden/>
    <w:unhideWhenUsed/>
    <w:rsid w:val="008E3368"/>
    <w:rPr>
      <w:color w:val="605E5C"/>
      <w:shd w:val="clear" w:color="auto" w:fill="E1DFDD"/>
    </w:rPr>
  </w:style>
  <w:style w:type="character" w:customStyle="1" w:styleId="UnresolvedMention2">
    <w:name w:val="Unresolved Mention2"/>
    <w:basedOn w:val="DefaultParagraphFont"/>
    <w:uiPriority w:val="99"/>
    <w:semiHidden/>
    <w:unhideWhenUsed/>
    <w:rsid w:val="00321CF2"/>
    <w:rPr>
      <w:color w:val="605E5C"/>
      <w:shd w:val="clear" w:color="auto" w:fill="E1DFDD"/>
    </w:rPr>
  </w:style>
  <w:style w:type="character" w:customStyle="1" w:styleId="Heading1Char">
    <w:name w:val="Heading 1 Char"/>
    <w:basedOn w:val="DefaultParagraphFont"/>
    <w:link w:val="Heading1"/>
    <w:rsid w:val="00FE1098"/>
    <w:rPr>
      <w:sz w:val="22"/>
      <w:u w:val="single"/>
      <w:lang w:val="fr-FR" w:eastAsia="en-US"/>
    </w:rPr>
  </w:style>
  <w:style w:type="paragraph" w:styleId="Subtitle">
    <w:name w:val="Subtitle"/>
    <w:basedOn w:val="Normal"/>
    <w:next w:val="Normal"/>
    <w:link w:val="SubtitleChar"/>
    <w:uiPriority w:val="11"/>
    <w:qFormat/>
    <w:rsid w:val="00FE109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FE1098"/>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styleId="UnresolvedMention">
    <w:name w:val="Unresolved Mention"/>
    <w:basedOn w:val="DefaultParagraphFont"/>
    <w:uiPriority w:val="99"/>
    <w:semiHidden/>
    <w:unhideWhenUsed/>
    <w:rsid w:val="00A66F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9186">
      <w:bodyDiv w:val="1"/>
      <w:marLeft w:val="0"/>
      <w:marRight w:val="0"/>
      <w:marTop w:val="0"/>
      <w:marBottom w:val="0"/>
      <w:divBdr>
        <w:top w:val="none" w:sz="0" w:space="0" w:color="auto"/>
        <w:left w:val="none" w:sz="0" w:space="0" w:color="auto"/>
        <w:bottom w:val="none" w:sz="0" w:space="0" w:color="auto"/>
        <w:right w:val="none" w:sz="0" w:space="0" w:color="auto"/>
      </w:divBdr>
    </w:div>
    <w:div w:id="116604633">
      <w:bodyDiv w:val="1"/>
      <w:marLeft w:val="0"/>
      <w:marRight w:val="0"/>
      <w:marTop w:val="0"/>
      <w:marBottom w:val="0"/>
      <w:divBdr>
        <w:top w:val="none" w:sz="0" w:space="0" w:color="auto"/>
        <w:left w:val="none" w:sz="0" w:space="0" w:color="auto"/>
        <w:bottom w:val="none" w:sz="0" w:space="0" w:color="auto"/>
        <w:right w:val="none" w:sz="0" w:space="0" w:color="auto"/>
      </w:divBdr>
    </w:div>
    <w:div w:id="219560626">
      <w:bodyDiv w:val="1"/>
      <w:marLeft w:val="0"/>
      <w:marRight w:val="0"/>
      <w:marTop w:val="0"/>
      <w:marBottom w:val="0"/>
      <w:divBdr>
        <w:top w:val="none" w:sz="0" w:space="0" w:color="auto"/>
        <w:left w:val="none" w:sz="0" w:space="0" w:color="auto"/>
        <w:bottom w:val="none" w:sz="0" w:space="0" w:color="auto"/>
        <w:right w:val="none" w:sz="0" w:space="0" w:color="auto"/>
      </w:divBdr>
    </w:div>
    <w:div w:id="347870421">
      <w:bodyDiv w:val="1"/>
      <w:marLeft w:val="0"/>
      <w:marRight w:val="0"/>
      <w:marTop w:val="0"/>
      <w:marBottom w:val="0"/>
      <w:divBdr>
        <w:top w:val="none" w:sz="0" w:space="0" w:color="auto"/>
        <w:left w:val="none" w:sz="0" w:space="0" w:color="auto"/>
        <w:bottom w:val="none" w:sz="0" w:space="0" w:color="auto"/>
        <w:right w:val="none" w:sz="0" w:space="0" w:color="auto"/>
      </w:divBdr>
    </w:div>
    <w:div w:id="514613514">
      <w:bodyDiv w:val="1"/>
      <w:marLeft w:val="0"/>
      <w:marRight w:val="0"/>
      <w:marTop w:val="0"/>
      <w:marBottom w:val="0"/>
      <w:divBdr>
        <w:top w:val="none" w:sz="0" w:space="0" w:color="auto"/>
        <w:left w:val="none" w:sz="0" w:space="0" w:color="auto"/>
        <w:bottom w:val="none" w:sz="0" w:space="0" w:color="auto"/>
        <w:right w:val="none" w:sz="0" w:space="0" w:color="auto"/>
      </w:divBdr>
    </w:div>
    <w:div w:id="849641432">
      <w:bodyDiv w:val="1"/>
      <w:marLeft w:val="0"/>
      <w:marRight w:val="0"/>
      <w:marTop w:val="0"/>
      <w:marBottom w:val="0"/>
      <w:divBdr>
        <w:top w:val="none" w:sz="0" w:space="0" w:color="auto"/>
        <w:left w:val="none" w:sz="0" w:space="0" w:color="auto"/>
        <w:bottom w:val="none" w:sz="0" w:space="0" w:color="auto"/>
        <w:right w:val="none" w:sz="0" w:space="0" w:color="auto"/>
      </w:divBdr>
    </w:div>
    <w:div w:id="971210577">
      <w:bodyDiv w:val="1"/>
      <w:marLeft w:val="0"/>
      <w:marRight w:val="0"/>
      <w:marTop w:val="0"/>
      <w:marBottom w:val="0"/>
      <w:divBdr>
        <w:top w:val="none" w:sz="0" w:space="0" w:color="auto"/>
        <w:left w:val="none" w:sz="0" w:space="0" w:color="auto"/>
        <w:bottom w:val="none" w:sz="0" w:space="0" w:color="auto"/>
        <w:right w:val="none" w:sz="0" w:space="0" w:color="auto"/>
      </w:divBdr>
    </w:div>
    <w:div w:id="1471748317">
      <w:bodyDiv w:val="1"/>
      <w:marLeft w:val="0"/>
      <w:marRight w:val="0"/>
      <w:marTop w:val="0"/>
      <w:marBottom w:val="0"/>
      <w:divBdr>
        <w:top w:val="none" w:sz="0" w:space="0" w:color="auto"/>
        <w:left w:val="none" w:sz="0" w:space="0" w:color="auto"/>
        <w:bottom w:val="none" w:sz="0" w:space="0" w:color="auto"/>
        <w:right w:val="none" w:sz="0" w:space="0" w:color="auto"/>
      </w:divBdr>
    </w:div>
    <w:div w:id="153788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livec"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EMADOC-1700519818-2619271</_dlc_DocId>
    <_dlc_DocIdUrl xmlns="a034c160-bfb7-45f5-8632-2eb7e0508071">
      <Url>https://euema.sharepoint.com/sites/CRM/_layouts/15/DocIdRedir.aspx?ID=EMADOC-1700519818-2619271</Url>
      <Description>EMADOC-1700519818-2619271</Description>
    </_dlc_DocIdUrl>
  </documentManagement>
</p:properties>
</file>

<file path=customXml/itemProps1.xml><?xml version="1.0" encoding="utf-8"?>
<ds:datastoreItem xmlns:ds="http://schemas.openxmlformats.org/officeDocument/2006/customXml" ds:itemID="{312D1BC0-9EF1-4E33-A404-DF29275F5C65}">
  <ds:schemaRefs>
    <ds:schemaRef ds:uri="http://schemas.openxmlformats.org/officeDocument/2006/bibliography"/>
  </ds:schemaRefs>
</ds:datastoreItem>
</file>

<file path=customXml/itemProps2.xml><?xml version="1.0" encoding="utf-8"?>
<ds:datastoreItem xmlns:ds="http://schemas.openxmlformats.org/officeDocument/2006/customXml" ds:itemID="{2B9E5935-7BFD-47D4-A58F-E6D6F5A83F83}"/>
</file>

<file path=customXml/itemProps3.xml><?xml version="1.0" encoding="utf-8"?>
<ds:datastoreItem xmlns:ds="http://schemas.openxmlformats.org/officeDocument/2006/customXml" ds:itemID="{8DA04B4D-2764-4457-B319-3AEF75C6D618}"/>
</file>

<file path=customXml/itemProps4.xml><?xml version="1.0" encoding="utf-8"?>
<ds:datastoreItem xmlns:ds="http://schemas.openxmlformats.org/officeDocument/2006/customXml" ds:itemID="{A86F7B06-30D1-4F62-A14E-E636062E5309}"/>
</file>

<file path=customXml/itemProps5.xml><?xml version="1.0" encoding="utf-8"?>
<ds:datastoreItem xmlns:ds="http://schemas.openxmlformats.org/officeDocument/2006/customXml" ds:itemID="{A0A9F6A7-785D-4056-BF87-26E05BF430EB}"/>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62</Pages>
  <Words>24774</Words>
  <Characters>139026</Characters>
  <Application>Microsoft Office Word</Application>
  <DocSecurity>0</DocSecurity>
  <Lines>3089</Lines>
  <Paragraphs>1637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162163</CharactersWithSpaces>
  <SharedDoc>false</SharedDoc>
  <HLinks>
    <vt:vector size="36" baseType="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Glivec: EPAR - Product information - tracked changes</dc:title>
  <dc:subject/>
  <dc:creator/>
  <cp:keywords/>
  <cp:lastModifiedBy/>
  <cp:revision>1</cp:revision>
  <dcterms:created xsi:type="dcterms:W3CDTF">2025-11-03T17:06:00Z</dcterms:created>
  <dcterms:modified xsi:type="dcterms:W3CDTF">2025-11-03T17:06:00Z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dfdfcc09-b483-4524-a239-2563deeaa8a1</vt:lpwstr>
  </property>
</Properties>
</file>