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A1C9B5" w14:textId="77777777" w:rsidR="00812D16" w:rsidRPr="00777605" w:rsidRDefault="00812D16" w:rsidP="00E93E8B">
      <w:pPr>
        <w:widowControl w:val="0"/>
        <w:spacing w:line="240" w:lineRule="auto"/>
        <w:rPr>
          <w:noProof/>
        </w:rPr>
      </w:pPr>
      <w:bookmarkStart w:id="0" w:name="_GoBack"/>
      <w:bookmarkEnd w:id="0"/>
    </w:p>
    <w:p w14:paraId="41C3D2D6" w14:textId="77777777" w:rsidR="00812D16" w:rsidRPr="00777605" w:rsidRDefault="00812D16" w:rsidP="00E93E8B">
      <w:pPr>
        <w:widowControl w:val="0"/>
        <w:spacing w:line="240" w:lineRule="auto"/>
        <w:rPr>
          <w:noProof/>
        </w:rPr>
      </w:pPr>
    </w:p>
    <w:p w14:paraId="107C2A6C" w14:textId="77777777" w:rsidR="00812D16" w:rsidRPr="00777605" w:rsidRDefault="00812D16" w:rsidP="00E93E8B">
      <w:pPr>
        <w:widowControl w:val="0"/>
        <w:spacing w:line="240" w:lineRule="auto"/>
        <w:rPr>
          <w:noProof/>
        </w:rPr>
      </w:pPr>
    </w:p>
    <w:p w14:paraId="06741A13" w14:textId="77777777" w:rsidR="00812D16" w:rsidRPr="00777605" w:rsidRDefault="00812D16" w:rsidP="00E93E8B">
      <w:pPr>
        <w:widowControl w:val="0"/>
        <w:spacing w:line="240" w:lineRule="auto"/>
        <w:rPr>
          <w:noProof/>
        </w:rPr>
      </w:pPr>
    </w:p>
    <w:p w14:paraId="2F18FE28" w14:textId="77777777" w:rsidR="00812D16" w:rsidRPr="00777605" w:rsidRDefault="00812D16" w:rsidP="00E93E8B">
      <w:pPr>
        <w:widowControl w:val="0"/>
        <w:spacing w:line="240" w:lineRule="auto"/>
        <w:rPr>
          <w:noProof/>
          <w:szCs w:val="22"/>
        </w:rPr>
      </w:pPr>
    </w:p>
    <w:p w14:paraId="6CDB014C" w14:textId="77777777" w:rsidR="00812D16" w:rsidRPr="00777605" w:rsidRDefault="00812D16" w:rsidP="00E93E8B">
      <w:pPr>
        <w:widowControl w:val="0"/>
        <w:spacing w:line="240" w:lineRule="auto"/>
        <w:rPr>
          <w:noProof/>
          <w:szCs w:val="22"/>
        </w:rPr>
      </w:pPr>
    </w:p>
    <w:p w14:paraId="28CDA65D" w14:textId="77777777" w:rsidR="00812D16" w:rsidRPr="00777605" w:rsidRDefault="00812D16" w:rsidP="00E93E8B">
      <w:pPr>
        <w:widowControl w:val="0"/>
        <w:spacing w:line="240" w:lineRule="auto"/>
        <w:rPr>
          <w:noProof/>
          <w:szCs w:val="22"/>
        </w:rPr>
      </w:pPr>
    </w:p>
    <w:p w14:paraId="74740B09" w14:textId="77777777" w:rsidR="00812D16" w:rsidRPr="00777605" w:rsidRDefault="00812D16" w:rsidP="00E93E8B">
      <w:pPr>
        <w:widowControl w:val="0"/>
        <w:spacing w:line="240" w:lineRule="auto"/>
        <w:rPr>
          <w:noProof/>
          <w:szCs w:val="22"/>
        </w:rPr>
      </w:pPr>
    </w:p>
    <w:p w14:paraId="22D83C87" w14:textId="77777777" w:rsidR="00812D16" w:rsidRPr="00777605" w:rsidRDefault="00812D16" w:rsidP="00E93E8B">
      <w:pPr>
        <w:widowControl w:val="0"/>
        <w:spacing w:line="240" w:lineRule="auto"/>
        <w:rPr>
          <w:noProof/>
          <w:szCs w:val="22"/>
        </w:rPr>
      </w:pPr>
    </w:p>
    <w:p w14:paraId="5C96BC04" w14:textId="77777777" w:rsidR="00812D16" w:rsidRPr="00777605" w:rsidRDefault="00812D16" w:rsidP="00E93E8B">
      <w:pPr>
        <w:widowControl w:val="0"/>
        <w:spacing w:line="240" w:lineRule="auto"/>
        <w:rPr>
          <w:noProof/>
          <w:szCs w:val="22"/>
        </w:rPr>
      </w:pPr>
    </w:p>
    <w:p w14:paraId="1DB7CF67" w14:textId="77777777" w:rsidR="00812D16" w:rsidRPr="00777605" w:rsidRDefault="00812D16" w:rsidP="00E93E8B">
      <w:pPr>
        <w:widowControl w:val="0"/>
        <w:spacing w:line="240" w:lineRule="auto"/>
        <w:rPr>
          <w:noProof/>
          <w:szCs w:val="22"/>
        </w:rPr>
      </w:pPr>
    </w:p>
    <w:p w14:paraId="2F9C761D" w14:textId="77777777" w:rsidR="00812D16" w:rsidRPr="00777605" w:rsidRDefault="00812D16" w:rsidP="00E93E8B">
      <w:pPr>
        <w:widowControl w:val="0"/>
        <w:spacing w:line="240" w:lineRule="auto"/>
        <w:rPr>
          <w:noProof/>
          <w:szCs w:val="22"/>
        </w:rPr>
      </w:pPr>
    </w:p>
    <w:p w14:paraId="206C0C41" w14:textId="77777777" w:rsidR="00812D16" w:rsidRPr="00777605" w:rsidRDefault="00812D16" w:rsidP="00E93E8B">
      <w:pPr>
        <w:widowControl w:val="0"/>
        <w:spacing w:line="240" w:lineRule="auto"/>
        <w:rPr>
          <w:noProof/>
          <w:szCs w:val="22"/>
        </w:rPr>
      </w:pPr>
    </w:p>
    <w:p w14:paraId="6C1EEBA8" w14:textId="77777777" w:rsidR="00812D16" w:rsidRPr="00777605" w:rsidRDefault="00812D16" w:rsidP="00E93E8B">
      <w:pPr>
        <w:widowControl w:val="0"/>
        <w:spacing w:line="240" w:lineRule="auto"/>
        <w:rPr>
          <w:noProof/>
          <w:szCs w:val="22"/>
        </w:rPr>
      </w:pPr>
    </w:p>
    <w:p w14:paraId="79438842" w14:textId="77777777" w:rsidR="00812D16" w:rsidRPr="00777605" w:rsidRDefault="00812D16" w:rsidP="00E93E8B">
      <w:pPr>
        <w:widowControl w:val="0"/>
        <w:spacing w:line="240" w:lineRule="auto"/>
        <w:rPr>
          <w:noProof/>
          <w:szCs w:val="22"/>
        </w:rPr>
      </w:pPr>
    </w:p>
    <w:p w14:paraId="2ECF5279" w14:textId="77777777" w:rsidR="00812D16" w:rsidRPr="00777605" w:rsidRDefault="00812D16" w:rsidP="00E93E8B">
      <w:pPr>
        <w:widowControl w:val="0"/>
        <w:spacing w:line="240" w:lineRule="auto"/>
        <w:rPr>
          <w:noProof/>
          <w:szCs w:val="22"/>
        </w:rPr>
      </w:pPr>
    </w:p>
    <w:p w14:paraId="629BC798" w14:textId="77777777" w:rsidR="00812D16" w:rsidRPr="00777605" w:rsidRDefault="00812D16" w:rsidP="00E93E8B">
      <w:pPr>
        <w:widowControl w:val="0"/>
        <w:spacing w:line="240" w:lineRule="auto"/>
        <w:rPr>
          <w:noProof/>
          <w:szCs w:val="22"/>
        </w:rPr>
      </w:pPr>
    </w:p>
    <w:p w14:paraId="0D44F1AE" w14:textId="77777777" w:rsidR="00812D16" w:rsidRPr="00777605" w:rsidRDefault="00812D16" w:rsidP="00E93E8B">
      <w:pPr>
        <w:widowControl w:val="0"/>
        <w:spacing w:line="240" w:lineRule="auto"/>
      </w:pPr>
    </w:p>
    <w:p w14:paraId="28F8636C" w14:textId="77777777" w:rsidR="00812D16" w:rsidRPr="00777605" w:rsidRDefault="00812D16" w:rsidP="00E93E8B">
      <w:pPr>
        <w:widowControl w:val="0"/>
        <w:spacing w:line="240" w:lineRule="auto"/>
      </w:pPr>
    </w:p>
    <w:p w14:paraId="5C0AFD73" w14:textId="77777777" w:rsidR="00812D16" w:rsidRPr="00777605" w:rsidRDefault="00812D16" w:rsidP="00E93E8B">
      <w:pPr>
        <w:widowControl w:val="0"/>
        <w:spacing w:line="240" w:lineRule="auto"/>
      </w:pPr>
    </w:p>
    <w:p w14:paraId="2CAA0F1A" w14:textId="77777777" w:rsidR="00812D16" w:rsidRPr="00777605" w:rsidRDefault="00812D16" w:rsidP="00E93E8B">
      <w:pPr>
        <w:widowControl w:val="0"/>
        <w:spacing w:line="240" w:lineRule="auto"/>
      </w:pPr>
    </w:p>
    <w:p w14:paraId="1312289F" w14:textId="77777777" w:rsidR="00812D16" w:rsidRDefault="00812D16" w:rsidP="00E93E8B">
      <w:pPr>
        <w:widowControl w:val="0"/>
        <w:spacing w:line="240" w:lineRule="auto"/>
      </w:pPr>
    </w:p>
    <w:p w14:paraId="3AAD1CE0" w14:textId="77777777" w:rsidR="00777605" w:rsidRPr="00777605" w:rsidRDefault="00777605" w:rsidP="00E93E8B">
      <w:pPr>
        <w:widowControl w:val="0"/>
        <w:spacing w:line="240" w:lineRule="auto"/>
      </w:pPr>
    </w:p>
    <w:p w14:paraId="1E39914C" w14:textId="77777777" w:rsidR="0090227D" w:rsidRPr="007944F8" w:rsidRDefault="0090227D" w:rsidP="00BE7F7C">
      <w:pPr>
        <w:widowControl w:val="0"/>
        <w:jc w:val="center"/>
        <w:outlineLvl w:val="0"/>
        <w:rPr>
          <w:b/>
        </w:rPr>
      </w:pPr>
      <w:r w:rsidRPr="007944F8">
        <w:rPr>
          <w:b/>
        </w:rPr>
        <w:t>ANNEXE I</w:t>
      </w:r>
    </w:p>
    <w:p w14:paraId="2187D4DF" w14:textId="77777777" w:rsidR="0090227D" w:rsidRPr="007944F8" w:rsidRDefault="0090227D" w:rsidP="00E93E8B">
      <w:pPr>
        <w:widowControl w:val="0"/>
        <w:jc w:val="center"/>
      </w:pPr>
    </w:p>
    <w:p w14:paraId="72FE34B1" w14:textId="77777777" w:rsidR="00812D16" w:rsidRPr="007944F8" w:rsidRDefault="00812D16" w:rsidP="0017061D">
      <w:pPr>
        <w:pStyle w:val="TitleEMA1"/>
      </w:pPr>
      <w:r w:rsidRPr="007944F8">
        <w:t>RÉSUMÉ DES CARACTÉRISTIQUES DU PRODUIT</w:t>
      </w:r>
    </w:p>
    <w:p w14:paraId="1D3867A9" w14:textId="77777777" w:rsidR="00033D26" w:rsidRPr="007944F8" w:rsidRDefault="00812D16" w:rsidP="004E68D0">
      <w:pPr>
        <w:widowControl w:val="0"/>
        <w:spacing w:line="240" w:lineRule="auto"/>
        <w:rPr>
          <w:szCs w:val="22"/>
        </w:rPr>
      </w:pPr>
      <w:r w:rsidRPr="007944F8">
        <w:br w:type="page"/>
      </w:r>
    </w:p>
    <w:p w14:paraId="17ED6D87" w14:textId="77777777" w:rsidR="00812D16" w:rsidRPr="007944F8" w:rsidRDefault="00812D16" w:rsidP="00BE7F7C">
      <w:pPr>
        <w:widowControl w:val="0"/>
        <w:tabs>
          <w:tab w:val="clear" w:pos="567"/>
        </w:tabs>
        <w:spacing w:line="240" w:lineRule="auto"/>
        <w:outlineLvl w:val="0"/>
        <w:rPr>
          <w:iCs/>
          <w:noProof/>
          <w:szCs w:val="22"/>
        </w:rPr>
      </w:pPr>
      <w:r w:rsidRPr="007944F8">
        <w:rPr>
          <w:b/>
          <w:noProof/>
        </w:rPr>
        <w:lastRenderedPageBreak/>
        <w:t>1.</w:t>
      </w:r>
      <w:r w:rsidRPr="007944F8">
        <w:tab/>
      </w:r>
      <w:r w:rsidRPr="007944F8">
        <w:rPr>
          <w:b/>
          <w:noProof/>
        </w:rPr>
        <w:t>DÉNOMINATION DU MÉDICAMENT</w:t>
      </w:r>
    </w:p>
    <w:p w14:paraId="0A8F9130" w14:textId="77777777" w:rsidR="00812D16" w:rsidRPr="007944F8" w:rsidRDefault="00812D16" w:rsidP="00E96874">
      <w:pPr>
        <w:keepNext/>
        <w:widowControl w:val="0"/>
        <w:tabs>
          <w:tab w:val="clear" w:pos="567"/>
        </w:tabs>
        <w:spacing w:line="240" w:lineRule="auto"/>
        <w:rPr>
          <w:iCs/>
          <w:noProof/>
          <w:szCs w:val="22"/>
        </w:rPr>
      </w:pPr>
    </w:p>
    <w:p w14:paraId="40C19A4E" w14:textId="77777777" w:rsidR="00BD75EB" w:rsidRPr="007944F8" w:rsidRDefault="00777605" w:rsidP="00BE7F7C">
      <w:pPr>
        <w:widowControl w:val="0"/>
        <w:tabs>
          <w:tab w:val="clear" w:pos="567"/>
        </w:tabs>
        <w:spacing w:line="240" w:lineRule="auto"/>
        <w:outlineLvl w:val="0"/>
        <w:rPr>
          <w:noProof/>
          <w:szCs w:val="22"/>
        </w:rPr>
      </w:pPr>
      <w:r w:rsidRPr="007944F8">
        <w:t>Odomzo 200 mg</w:t>
      </w:r>
      <w:r w:rsidR="00730E8C" w:rsidRPr="007944F8">
        <w:t>,</w:t>
      </w:r>
      <w:r w:rsidRPr="007944F8">
        <w:t xml:space="preserve"> gélule</w:t>
      </w:r>
      <w:r w:rsidR="00D8372F" w:rsidRPr="007944F8">
        <w:t>s</w:t>
      </w:r>
    </w:p>
    <w:p w14:paraId="5E498132" w14:textId="77777777" w:rsidR="00812D16" w:rsidRPr="007944F8" w:rsidRDefault="00812D16" w:rsidP="00E96874">
      <w:pPr>
        <w:widowControl w:val="0"/>
        <w:tabs>
          <w:tab w:val="clear" w:pos="567"/>
        </w:tabs>
        <w:spacing w:line="240" w:lineRule="auto"/>
        <w:rPr>
          <w:iCs/>
          <w:noProof/>
          <w:szCs w:val="22"/>
        </w:rPr>
      </w:pPr>
    </w:p>
    <w:p w14:paraId="44EE335B" w14:textId="7759B755" w:rsidR="00812D16" w:rsidRPr="007944F8" w:rsidRDefault="00812D16" w:rsidP="00E96874">
      <w:pPr>
        <w:widowControl w:val="0"/>
        <w:tabs>
          <w:tab w:val="clear" w:pos="567"/>
        </w:tabs>
        <w:spacing w:line="240" w:lineRule="auto"/>
        <w:rPr>
          <w:iCs/>
          <w:noProof/>
          <w:szCs w:val="22"/>
        </w:rPr>
      </w:pPr>
    </w:p>
    <w:p w14:paraId="0134FBE2" w14:textId="77777777" w:rsidR="00812D16" w:rsidRPr="007944F8" w:rsidRDefault="00812D16" w:rsidP="00BE7F7C">
      <w:pPr>
        <w:keepNext/>
        <w:widowControl w:val="0"/>
        <w:tabs>
          <w:tab w:val="clear" w:pos="567"/>
        </w:tabs>
        <w:suppressAutoHyphens/>
        <w:spacing w:line="240" w:lineRule="auto"/>
        <w:ind w:left="567" w:hanging="567"/>
        <w:outlineLvl w:val="0"/>
        <w:rPr>
          <w:noProof/>
          <w:szCs w:val="22"/>
        </w:rPr>
      </w:pPr>
      <w:r w:rsidRPr="007944F8">
        <w:rPr>
          <w:b/>
          <w:noProof/>
        </w:rPr>
        <w:t>2.</w:t>
      </w:r>
      <w:r w:rsidRPr="007944F8">
        <w:tab/>
      </w:r>
      <w:r w:rsidRPr="007944F8">
        <w:rPr>
          <w:b/>
          <w:noProof/>
        </w:rPr>
        <w:t>COMPOSITION QUALITATIVE ET QUANTITATIVE</w:t>
      </w:r>
    </w:p>
    <w:p w14:paraId="68AFCE10" w14:textId="77777777" w:rsidR="00812D16" w:rsidRPr="007944F8" w:rsidRDefault="00812D16" w:rsidP="00E96874">
      <w:pPr>
        <w:keepNext/>
        <w:widowControl w:val="0"/>
        <w:tabs>
          <w:tab w:val="clear" w:pos="567"/>
        </w:tabs>
        <w:spacing w:line="240" w:lineRule="auto"/>
        <w:rPr>
          <w:iCs/>
          <w:noProof/>
          <w:szCs w:val="22"/>
        </w:rPr>
      </w:pPr>
    </w:p>
    <w:p w14:paraId="3B812829" w14:textId="77777777" w:rsidR="00812D16" w:rsidRPr="007944F8" w:rsidRDefault="009C1725" w:rsidP="00BE7F7C">
      <w:pPr>
        <w:widowControl w:val="0"/>
        <w:tabs>
          <w:tab w:val="clear" w:pos="567"/>
        </w:tabs>
        <w:spacing w:line="240" w:lineRule="auto"/>
        <w:outlineLvl w:val="0"/>
      </w:pPr>
      <w:r w:rsidRPr="007944F8">
        <w:t xml:space="preserve">Chaque gélule contient </w:t>
      </w:r>
      <w:r w:rsidR="00BB7218" w:rsidRPr="007944F8">
        <w:t>200 mg de sonidégib</w:t>
      </w:r>
      <w:r w:rsidR="000210AC" w:rsidRPr="007944F8">
        <w:t xml:space="preserve"> (sous forme de phosphate)</w:t>
      </w:r>
      <w:r w:rsidR="00BB7218" w:rsidRPr="007944F8">
        <w:t>.</w:t>
      </w:r>
    </w:p>
    <w:p w14:paraId="64EE84DC" w14:textId="77777777" w:rsidR="00BB7218" w:rsidRPr="007944F8" w:rsidRDefault="00BB7218" w:rsidP="00E96874">
      <w:pPr>
        <w:widowControl w:val="0"/>
        <w:tabs>
          <w:tab w:val="clear" w:pos="567"/>
        </w:tabs>
        <w:spacing w:line="240" w:lineRule="auto"/>
      </w:pPr>
    </w:p>
    <w:p w14:paraId="2D6BCF34" w14:textId="77777777" w:rsidR="00812D16" w:rsidRPr="007944F8" w:rsidRDefault="00812D16" w:rsidP="00BE7F7C">
      <w:pPr>
        <w:pStyle w:val="EMEAEnBodyText"/>
        <w:keepNext/>
        <w:widowControl w:val="0"/>
        <w:autoSpaceDE w:val="0"/>
        <w:autoSpaceDN w:val="0"/>
        <w:adjustRightInd w:val="0"/>
        <w:spacing w:before="0" w:after="0"/>
        <w:jc w:val="left"/>
        <w:outlineLvl w:val="0"/>
        <w:rPr>
          <w:u w:val="single"/>
          <w:lang w:val="fr-CH" w:eastAsia="en-US" w:bidi="ar-SA"/>
        </w:rPr>
      </w:pPr>
      <w:r w:rsidRPr="007944F8">
        <w:rPr>
          <w:u w:val="single"/>
          <w:lang w:val="fr-CH" w:eastAsia="en-US" w:bidi="ar-SA"/>
        </w:rPr>
        <w:t>Excipient à effet notoire</w:t>
      </w:r>
    </w:p>
    <w:p w14:paraId="1BF8CB38" w14:textId="77777777" w:rsidR="00002151" w:rsidRPr="007944F8" w:rsidRDefault="00002151" w:rsidP="00E96874">
      <w:pPr>
        <w:keepNext/>
        <w:widowControl w:val="0"/>
        <w:spacing w:line="240" w:lineRule="auto"/>
      </w:pPr>
    </w:p>
    <w:p w14:paraId="3298E834" w14:textId="77777777" w:rsidR="00BB7218" w:rsidRPr="007944F8" w:rsidRDefault="00777605" w:rsidP="00BE7F7C">
      <w:pPr>
        <w:widowControl w:val="0"/>
        <w:spacing w:line="240" w:lineRule="auto"/>
        <w:outlineLvl w:val="0"/>
      </w:pPr>
      <w:r w:rsidRPr="007944F8">
        <w:t>Chaque gélule contient 38,6 mg de lactose monohydraté.</w:t>
      </w:r>
    </w:p>
    <w:p w14:paraId="2F10E9F5" w14:textId="77777777" w:rsidR="00BB7218" w:rsidRPr="007944F8" w:rsidRDefault="00BB7218" w:rsidP="00E96874">
      <w:pPr>
        <w:widowControl w:val="0"/>
        <w:spacing w:line="240" w:lineRule="auto"/>
      </w:pPr>
    </w:p>
    <w:p w14:paraId="36EC3864" w14:textId="77777777" w:rsidR="00812D16" w:rsidRPr="007944F8" w:rsidRDefault="00812D16" w:rsidP="00BE7F7C">
      <w:pPr>
        <w:widowControl w:val="0"/>
        <w:spacing w:line="240" w:lineRule="auto"/>
        <w:outlineLvl w:val="0"/>
        <w:rPr>
          <w:noProof/>
        </w:rPr>
      </w:pPr>
      <w:r w:rsidRPr="007944F8">
        <w:t>Pour la liste complète des excipients, voir rubrique 6.1.</w:t>
      </w:r>
    </w:p>
    <w:p w14:paraId="1F3C2CBF" w14:textId="77777777" w:rsidR="00812D16" w:rsidRPr="007944F8" w:rsidRDefault="00812D16" w:rsidP="00E96874">
      <w:pPr>
        <w:widowControl w:val="0"/>
        <w:tabs>
          <w:tab w:val="clear" w:pos="567"/>
        </w:tabs>
        <w:spacing w:line="240" w:lineRule="auto"/>
        <w:rPr>
          <w:noProof/>
          <w:szCs w:val="22"/>
        </w:rPr>
      </w:pPr>
    </w:p>
    <w:p w14:paraId="628D5BC0" w14:textId="77777777" w:rsidR="00812D16" w:rsidRPr="007944F8" w:rsidRDefault="00812D16" w:rsidP="00E96874">
      <w:pPr>
        <w:widowControl w:val="0"/>
        <w:tabs>
          <w:tab w:val="clear" w:pos="567"/>
        </w:tabs>
        <w:spacing w:line="240" w:lineRule="auto"/>
        <w:rPr>
          <w:noProof/>
          <w:szCs w:val="22"/>
        </w:rPr>
      </w:pPr>
    </w:p>
    <w:p w14:paraId="6405AFB6" w14:textId="77777777" w:rsidR="00812D16" w:rsidRPr="007944F8" w:rsidRDefault="00812D16" w:rsidP="00BE7F7C">
      <w:pPr>
        <w:keepNext/>
        <w:widowControl w:val="0"/>
        <w:tabs>
          <w:tab w:val="clear" w:pos="567"/>
        </w:tabs>
        <w:suppressAutoHyphens/>
        <w:spacing w:line="240" w:lineRule="auto"/>
        <w:ind w:left="567" w:hanging="567"/>
        <w:outlineLvl w:val="0"/>
        <w:rPr>
          <w:caps/>
          <w:noProof/>
          <w:szCs w:val="22"/>
        </w:rPr>
      </w:pPr>
      <w:r w:rsidRPr="007944F8">
        <w:rPr>
          <w:b/>
          <w:noProof/>
        </w:rPr>
        <w:t>3.</w:t>
      </w:r>
      <w:r w:rsidRPr="007944F8">
        <w:tab/>
      </w:r>
      <w:r w:rsidRPr="007944F8">
        <w:rPr>
          <w:b/>
          <w:noProof/>
        </w:rPr>
        <w:t>FORME PHARMACEUTIQUE</w:t>
      </w:r>
    </w:p>
    <w:p w14:paraId="4932C696" w14:textId="77777777" w:rsidR="00812D16" w:rsidRPr="007944F8" w:rsidRDefault="00812D16" w:rsidP="00E96874">
      <w:pPr>
        <w:keepNext/>
        <w:widowControl w:val="0"/>
        <w:tabs>
          <w:tab w:val="clear" w:pos="567"/>
        </w:tabs>
        <w:spacing w:line="240" w:lineRule="auto"/>
        <w:rPr>
          <w:noProof/>
          <w:szCs w:val="22"/>
        </w:rPr>
      </w:pPr>
    </w:p>
    <w:p w14:paraId="3BF950CB" w14:textId="77777777" w:rsidR="00AF65CA" w:rsidRPr="007944F8" w:rsidRDefault="00002151" w:rsidP="00BE7F7C">
      <w:pPr>
        <w:widowControl w:val="0"/>
        <w:tabs>
          <w:tab w:val="clear" w:pos="567"/>
        </w:tabs>
        <w:spacing w:line="240" w:lineRule="auto"/>
        <w:outlineLvl w:val="0"/>
        <w:rPr>
          <w:noProof/>
          <w:szCs w:val="22"/>
        </w:rPr>
      </w:pPr>
      <w:r w:rsidRPr="007944F8">
        <w:t>Gélule</w:t>
      </w:r>
      <w:r w:rsidR="00CC2118" w:rsidRPr="007944F8">
        <w:t>.</w:t>
      </w:r>
    </w:p>
    <w:p w14:paraId="669D4F97" w14:textId="77777777" w:rsidR="00812D16" w:rsidRPr="007944F8" w:rsidRDefault="00812D16" w:rsidP="00E96874">
      <w:pPr>
        <w:widowControl w:val="0"/>
        <w:tabs>
          <w:tab w:val="clear" w:pos="567"/>
        </w:tabs>
        <w:spacing w:line="240" w:lineRule="auto"/>
        <w:rPr>
          <w:noProof/>
          <w:szCs w:val="22"/>
        </w:rPr>
      </w:pPr>
    </w:p>
    <w:p w14:paraId="3C033783" w14:textId="77777777" w:rsidR="00812D16" w:rsidRPr="007944F8" w:rsidRDefault="00002151" w:rsidP="00E96874">
      <w:pPr>
        <w:widowControl w:val="0"/>
        <w:tabs>
          <w:tab w:val="clear" w:pos="567"/>
        </w:tabs>
        <w:spacing w:line="240" w:lineRule="auto"/>
      </w:pPr>
      <w:r w:rsidRPr="007944F8">
        <w:t>Gélule rose opaque contenant une poudre blanche à presque blanche avec des granulés, portant l’inscription « NVR » imprimée en noir sur la coiffe et « SONIDEGIB 200MG » imprimée en noir sur le corps de la gélule.</w:t>
      </w:r>
    </w:p>
    <w:p w14:paraId="62756664" w14:textId="77777777" w:rsidR="00D16431" w:rsidRPr="007944F8" w:rsidRDefault="00D16431" w:rsidP="00E96874">
      <w:pPr>
        <w:widowControl w:val="0"/>
        <w:tabs>
          <w:tab w:val="clear" w:pos="567"/>
        </w:tabs>
        <w:spacing w:line="240" w:lineRule="auto"/>
      </w:pPr>
    </w:p>
    <w:p w14:paraId="4CE6074F" w14:textId="77777777" w:rsidR="00D16431" w:rsidRPr="007944F8" w:rsidRDefault="00D16431" w:rsidP="00BE7F7C">
      <w:pPr>
        <w:widowControl w:val="0"/>
        <w:tabs>
          <w:tab w:val="clear" w:pos="567"/>
        </w:tabs>
        <w:spacing w:line="240" w:lineRule="auto"/>
        <w:outlineLvl w:val="0"/>
        <w:rPr>
          <w:noProof/>
          <w:szCs w:val="22"/>
        </w:rPr>
      </w:pPr>
      <w:r w:rsidRPr="007944F8">
        <w:t>La gélule est de « taille 00 » (dimensions 23,3 x 8,53 mm).</w:t>
      </w:r>
    </w:p>
    <w:p w14:paraId="2FB33AA4" w14:textId="77777777" w:rsidR="00F70BDE" w:rsidRPr="007944F8" w:rsidRDefault="00F70BDE" w:rsidP="00E96874">
      <w:pPr>
        <w:widowControl w:val="0"/>
        <w:tabs>
          <w:tab w:val="clear" w:pos="567"/>
        </w:tabs>
        <w:spacing w:line="240" w:lineRule="auto"/>
        <w:rPr>
          <w:noProof/>
          <w:szCs w:val="22"/>
        </w:rPr>
      </w:pPr>
    </w:p>
    <w:p w14:paraId="09DD705C" w14:textId="77777777" w:rsidR="00777605" w:rsidRPr="007944F8" w:rsidRDefault="00777605" w:rsidP="00E96874">
      <w:pPr>
        <w:widowControl w:val="0"/>
        <w:tabs>
          <w:tab w:val="clear" w:pos="567"/>
        </w:tabs>
        <w:spacing w:line="240" w:lineRule="auto"/>
        <w:rPr>
          <w:noProof/>
          <w:szCs w:val="22"/>
        </w:rPr>
      </w:pPr>
    </w:p>
    <w:p w14:paraId="0F2C378A" w14:textId="77777777" w:rsidR="00812D16" w:rsidRPr="007944F8" w:rsidRDefault="00812D16" w:rsidP="00BE7F7C">
      <w:pPr>
        <w:keepNext/>
        <w:widowControl w:val="0"/>
        <w:tabs>
          <w:tab w:val="clear" w:pos="567"/>
        </w:tabs>
        <w:suppressAutoHyphens/>
        <w:spacing w:line="240" w:lineRule="auto"/>
        <w:ind w:left="567" w:hanging="567"/>
        <w:outlineLvl w:val="0"/>
        <w:rPr>
          <w:caps/>
          <w:noProof/>
          <w:szCs w:val="22"/>
        </w:rPr>
      </w:pPr>
      <w:r w:rsidRPr="007944F8">
        <w:rPr>
          <w:b/>
          <w:caps/>
          <w:noProof/>
        </w:rPr>
        <w:t>4.</w:t>
      </w:r>
      <w:r w:rsidRPr="007944F8">
        <w:tab/>
      </w:r>
      <w:r w:rsidRPr="007944F8">
        <w:rPr>
          <w:b/>
          <w:noProof/>
        </w:rPr>
        <w:t>DONNÉES CLINIQUES</w:t>
      </w:r>
    </w:p>
    <w:p w14:paraId="2E5B72DD" w14:textId="77777777" w:rsidR="00812D16" w:rsidRPr="007944F8" w:rsidRDefault="00812D16" w:rsidP="00E96874">
      <w:pPr>
        <w:keepNext/>
        <w:widowControl w:val="0"/>
        <w:tabs>
          <w:tab w:val="clear" w:pos="567"/>
        </w:tabs>
        <w:spacing w:line="240" w:lineRule="auto"/>
        <w:rPr>
          <w:noProof/>
          <w:szCs w:val="22"/>
        </w:rPr>
      </w:pPr>
    </w:p>
    <w:p w14:paraId="055257F0" w14:textId="77777777" w:rsidR="00812D16" w:rsidRPr="007944F8" w:rsidRDefault="00812D16" w:rsidP="00BE7F7C">
      <w:pPr>
        <w:keepNext/>
        <w:widowControl w:val="0"/>
        <w:outlineLvl w:val="0"/>
        <w:rPr>
          <w:b/>
          <w:noProof/>
        </w:rPr>
      </w:pPr>
      <w:r w:rsidRPr="007944F8">
        <w:rPr>
          <w:b/>
        </w:rPr>
        <w:t>4.1</w:t>
      </w:r>
      <w:r w:rsidRPr="007944F8">
        <w:tab/>
      </w:r>
      <w:r w:rsidRPr="007944F8">
        <w:rPr>
          <w:b/>
        </w:rPr>
        <w:t>Indications thérapeutiques</w:t>
      </w:r>
    </w:p>
    <w:p w14:paraId="430448E3" w14:textId="77777777" w:rsidR="00812D16" w:rsidRPr="007944F8" w:rsidRDefault="00812D16" w:rsidP="00E96874">
      <w:pPr>
        <w:keepNext/>
        <w:widowControl w:val="0"/>
        <w:tabs>
          <w:tab w:val="clear" w:pos="567"/>
        </w:tabs>
        <w:spacing w:line="240" w:lineRule="auto"/>
        <w:rPr>
          <w:noProof/>
          <w:szCs w:val="22"/>
        </w:rPr>
      </w:pPr>
    </w:p>
    <w:p w14:paraId="166CF6DF" w14:textId="77777777" w:rsidR="00F70BDE" w:rsidRPr="007944F8" w:rsidRDefault="00F70BDE" w:rsidP="00E96874">
      <w:pPr>
        <w:keepNext/>
        <w:widowControl w:val="0"/>
        <w:tabs>
          <w:tab w:val="clear" w:pos="567"/>
        </w:tabs>
        <w:spacing w:line="240" w:lineRule="auto"/>
        <w:rPr>
          <w:szCs w:val="22"/>
        </w:rPr>
      </w:pPr>
      <w:r w:rsidRPr="007944F8">
        <w:t>Odomzo est indiqué dans le traitement des patients adultes présentant </w:t>
      </w:r>
      <w:r w:rsidR="00601A41" w:rsidRPr="007944F8">
        <w:t xml:space="preserve">un carcinome basocellulaire (CBC) localement avancé </w:t>
      </w:r>
      <w:r w:rsidR="004A69B8" w:rsidRPr="007944F8">
        <w:t xml:space="preserve">qui </w:t>
      </w:r>
      <w:r w:rsidR="00B56846" w:rsidRPr="007944F8">
        <w:t xml:space="preserve">ne </w:t>
      </w:r>
      <w:r w:rsidR="00F51C00" w:rsidRPr="007944F8">
        <w:t>relève</w:t>
      </w:r>
      <w:r w:rsidR="00B56846" w:rsidRPr="007944F8">
        <w:t xml:space="preserve"> pas d’une chirurgie</w:t>
      </w:r>
      <w:r w:rsidR="00601A41" w:rsidRPr="007944F8">
        <w:t xml:space="preserve"> curative ou d’une radiothérapie</w:t>
      </w:r>
      <w:r w:rsidR="00B44C69" w:rsidRPr="007944F8">
        <w:t>.</w:t>
      </w:r>
    </w:p>
    <w:p w14:paraId="6D478AA5" w14:textId="77777777" w:rsidR="00812D16" w:rsidRPr="007944F8" w:rsidRDefault="00812D16" w:rsidP="00E96874">
      <w:pPr>
        <w:widowControl w:val="0"/>
        <w:tabs>
          <w:tab w:val="clear" w:pos="567"/>
        </w:tabs>
        <w:spacing w:line="240" w:lineRule="auto"/>
        <w:rPr>
          <w:noProof/>
          <w:szCs w:val="22"/>
        </w:rPr>
      </w:pPr>
    </w:p>
    <w:p w14:paraId="6C9EE0A3" w14:textId="77777777" w:rsidR="00812D16" w:rsidRPr="007944F8" w:rsidRDefault="00855481" w:rsidP="00BE7F7C">
      <w:pPr>
        <w:keepNext/>
        <w:widowControl w:val="0"/>
        <w:outlineLvl w:val="0"/>
        <w:rPr>
          <w:b/>
          <w:noProof/>
        </w:rPr>
      </w:pPr>
      <w:r w:rsidRPr="007944F8">
        <w:rPr>
          <w:b/>
        </w:rPr>
        <w:t>4.2</w:t>
      </w:r>
      <w:r w:rsidRPr="007944F8">
        <w:tab/>
      </w:r>
      <w:r w:rsidRPr="007944F8">
        <w:rPr>
          <w:b/>
        </w:rPr>
        <w:t>Posologie et mode d’administration</w:t>
      </w:r>
    </w:p>
    <w:p w14:paraId="261CC16E" w14:textId="77777777" w:rsidR="00812D16" w:rsidRPr="007944F8" w:rsidRDefault="00812D16" w:rsidP="00E96874">
      <w:pPr>
        <w:keepNext/>
        <w:widowControl w:val="0"/>
        <w:tabs>
          <w:tab w:val="clear" w:pos="567"/>
        </w:tabs>
        <w:spacing w:line="240" w:lineRule="auto"/>
        <w:rPr>
          <w:szCs w:val="22"/>
        </w:rPr>
      </w:pPr>
    </w:p>
    <w:p w14:paraId="38356850" w14:textId="77777777" w:rsidR="00D16431" w:rsidRPr="007944F8" w:rsidRDefault="00D16431" w:rsidP="00E96874">
      <w:pPr>
        <w:widowControl w:val="0"/>
        <w:tabs>
          <w:tab w:val="clear" w:pos="567"/>
        </w:tabs>
        <w:spacing w:line="240" w:lineRule="auto"/>
        <w:rPr>
          <w:szCs w:val="22"/>
        </w:rPr>
      </w:pPr>
      <w:r w:rsidRPr="007944F8">
        <w:t>Odomzo doit être uniquement prescrit par ou sous la surveillance d’un médecin spécialiste expérimenté dans la prise en charge de</w:t>
      </w:r>
      <w:r w:rsidR="00B56846" w:rsidRPr="007944F8">
        <w:t xml:space="preserve"> l’indication autorisée</w:t>
      </w:r>
      <w:r w:rsidRPr="007944F8">
        <w:t>.</w:t>
      </w:r>
    </w:p>
    <w:p w14:paraId="73EF863F" w14:textId="77777777" w:rsidR="00D16431" w:rsidRPr="007944F8" w:rsidRDefault="00D16431" w:rsidP="00E96874">
      <w:pPr>
        <w:widowControl w:val="0"/>
        <w:tabs>
          <w:tab w:val="clear" w:pos="567"/>
        </w:tabs>
        <w:spacing w:line="240" w:lineRule="auto"/>
        <w:rPr>
          <w:szCs w:val="22"/>
        </w:rPr>
      </w:pPr>
    </w:p>
    <w:p w14:paraId="46FE2023" w14:textId="77777777" w:rsidR="00812D16" w:rsidRPr="007944F8" w:rsidRDefault="00812D16" w:rsidP="00BE7F7C">
      <w:pPr>
        <w:keepNext/>
        <w:widowControl w:val="0"/>
        <w:tabs>
          <w:tab w:val="clear" w:pos="567"/>
        </w:tabs>
        <w:spacing w:line="240" w:lineRule="auto"/>
        <w:outlineLvl w:val="0"/>
        <w:rPr>
          <w:szCs w:val="22"/>
          <w:u w:val="single"/>
        </w:rPr>
      </w:pPr>
      <w:r w:rsidRPr="007944F8">
        <w:rPr>
          <w:u w:val="single"/>
        </w:rPr>
        <w:t>Posologie</w:t>
      </w:r>
    </w:p>
    <w:p w14:paraId="1E23C54B" w14:textId="77777777" w:rsidR="00777605" w:rsidRPr="007944F8" w:rsidRDefault="00777605" w:rsidP="00E96874">
      <w:pPr>
        <w:keepNext/>
        <w:widowControl w:val="0"/>
        <w:tabs>
          <w:tab w:val="clear" w:pos="567"/>
        </w:tabs>
        <w:spacing w:line="240" w:lineRule="auto"/>
      </w:pPr>
    </w:p>
    <w:p w14:paraId="79AF6B99" w14:textId="526A3C36" w:rsidR="00E804B5" w:rsidRPr="007944F8" w:rsidRDefault="00E804B5" w:rsidP="00E96874">
      <w:pPr>
        <w:widowControl w:val="0"/>
        <w:tabs>
          <w:tab w:val="clear" w:pos="567"/>
        </w:tabs>
        <w:spacing w:line="240" w:lineRule="auto"/>
      </w:pPr>
      <w:r>
        <w:t>La dose recommandée est de 200 mg de sonidegib, administrée par voie orale une fois par jour.</w:t>
      </w:r>
    </w:p>
    <w:p w14:paraId="11D59BC8" w14:textId="77777777" w:rsidR="00002151" w:rsidRPr="007944F8" w:rsidRDefault="00002151" w:rsidP="00E96874">
      <w:pPr>
        <w:widowControl w:val="0"/>
        <w:tabs>
          <w:tab w:val="clear" w:pos="567"/>
        </w:tabs>
        <w:spacing w:line="240" w:lineRule="auto"/>
      </w:pPr>
    </w:p>
    <w:p w14:paraId="4AC608D8" w14:textId="77777777" w:rsidR="00E94FBF" w:rsidRPr="007944F8" w:rsidRDefault="00093C59" w:rsidP="00E96874">
      <w:pPr>
        <w:widowControl w:val="0"/>
        <w:tabs>
          <w:tab w:val="clear" w:pos="567"/>
        </w:tabs>
        <w:spacing w:line="240" w:lineRule="auto"/>
      </w:pPr>
      <w:r w:rsidRPr="007944F8">
        <w:t xml:space="preserve">Le traitement doit être poursuivi aussi longtemps qu’un bénéfice clinique est observé ou jusqu’à ce qu’il entraîne une toxicité </w:t>
      </w:r>
      <w:r w:rsidR="00B56846" w:rsidRPr="007944F8">
        <w:t xml:space="preserve">non </w:t>
      </w:r>
      <w:r w:rsidRPr="007944F8">
        <w:t>acceptable.</w:t>
      </w:r>
    </w:p>
    <w:p w14:paraId="2A4E215C" w14:textId="77777777" w:rsidR="00E94FBF" w:rsidRPr="007944F8" w:rsidRDefault="00E94FBF" w:rsidP="00E96874">
      <w:pPr>
        <w:widowControl w:val="0"/>
        <w:tabs>
          <w:tab w:val="clear" w:pos="567"/>
        </w:tabs>
        <w:spacing w:line="240" w:lineRule="auto"/>
      </w:pPr>
    </w:p>
    <w:p w14:paraId="12628690" w14:textId="77777777" w:rsidR="00E94FBF" w:rsidRPr="007944F8" w:rsidRDefault="00E94FBF" w:rsidP="00E96874">
      <w:pPr>
        <w:keepNext/>
        <w:widowControl w:val="0"/>
        <w:tabs>
          <w:tab w:val="clear" w:pos="567"/>
        </w:tabs>
        <w:spacing w:line="240" w:lineRule="auto"/>
        <w:rPr>
          <w:i/>
          <w:szCs w:val="22"/>
          <w:u w:val="single"/>
        </w:rPr>
      </w:pPr>
      <w:r w:rsidRPr="007944F8">
        <w:rPr>
          <w:i/>
          <w:u w:val="single"/>
        </w:rPr>
        <w:t>Modifications de posologie en cas d’élévation de la créatine phosphokinase (</w:t>
      </w:r>
      <w:r w:rsidR="00B56846" w:rsidRPr="007944F8">
        <w:rPr>
          <w:i/>
          <w:u w:val="single"/>
        </w:rPr>
        <w:t>CPK</w:t>
      </w:r>
      <w:r w:rsidRPr="007944F8">
        <w:rPr>
          <w:i/>
          <w:u w:val="single"/>
        </w:rPr>
        <w:t xml:space="preserve">) et </w:t>
      </w:r>
      <w:r w:rsidR="004E77CD">
        <w:rPr>
          <w:i/>
          <w:u w:val="single"/>
        </w:rPr>
        <w:t>d’effets</w:t>
      </w:r>
      <w:r w:rsidR="004E77CD" w:rsidRPr="007944F8">
        <w:rPr>
          <w:i/>
          <w:u w:val="single"/>
        </w:rPr>
        <w:t xml:space="preserve"> </w:t>
      </w:r>
      <w:r w:rsidRPr="007944F8">
        <w:rPr>
          <w:i/>
          <w:u w:val="single"/>
        </w:rPr>
        <w:t>indésirables d’ordre musculaire</w:t>
      </w:r>
    </w:p>
    <w:p w14:paraId="68D1085E" w14:textId="77777777" w:rsidR="00D320B0" w:rsidRPr="007944F8" w:rsidRDefault="00D320B0" w:rsidP="00E96874">
      <w:pPr>
        <w:widowControl w:val="0"/>
        <w:tabs>
          <w:tab w:val="clear" w:pos="567"/>
        </w:tabs>
        <w:spacing w:line="240" w:lineRule="auto"/>
      </w:pPr>
      <w:r w:rsidRPr="007944F8">
        <w:t xml:space="preserve">Une interruption temporaire du traitement par Odomzo et/ou une réduction de la posologie peuvent être nécessaires en cas d’élévation de la </w:t>
      </w:r>
      <w:r w:rsidR="00B56846" w:rsidRPr="007944F8">
        <w:t>CPK</w:t>
      </w:r>
      <w:r w:rsidRPr="007944F8">
        <w:t xml:space="preserve"> et </w:t>
      </w:r>
      <w:r w:rsidR="001E3287">
        <w:t>d</w:t>
      </w:r>
      <w:r w:rsidR="004E77CD">
        <w:t xml:space="preserve">’effets </w:t>
      </w:r>
      <w:r w:rsidRPr="007944F8">
        <w:t>indésirables d’ordre musculaire.</w:t>
      </w:r>
    </w:p>
    <w:p w14:paraId="363AF7FC" w14:textId="77777777" w:rsidR="00777605" w:rsidRPr="007944F8" w:rsidRDefault="00777605" w:rsidP="00E93E8B">
      <w:pPr>
        <w:widowControl w:val="0"/>
        <w:tabs>
          <w:tab w:val="clear" w:pos="567"/>
        </w:tabs>
        <w:spacing w:line="240" w:lineRule="auto"/>
      </w:pPr>
    </w:p>
    <w:p w14:paraId="0F483F5D" w14:textId="77777777" w:rsidR="003C2F4C" w:rsidRPr="007944F8" w:rsidRDefault="003C2F4C" w:rsidP="00E96874">
      <w:pPr>
        <w:keepNext/>
        <w:keepLines/>
        <w:widowControl w:val="0"/>
        <w:tabs>
          <w:tab w:val="clear" w:pos="567"/>
        </w:tabs>
        <w:spacing w:line="240" w:lineRule="auto"/>
      </w:pPr>
      <w:r w:rsidRPr="007944F8">
        <w:t xml:space="preserve">Le tableau 1 résume les recommandations relatives à l’interruption du traitement par Odomzo et/ou à la réduction de la posologie dans la prise en charge des élévations symptomatiques de la </w:t>
      </w:r>
      <w:r w:rsidR="00B56846" w:rsidRPr="007944F8">
        <w:t>CPK</w:t>
      </w:r>
      <w:r w:rsidRPr="007944F8">
        <w:t xml:space="preserve"> et des </w:t>
      </w:r>
      <w:r w:rsidR="000D51A8">
        <w:t>effets</w:t>
      </w:r>
      <w:r w:rsidR="000D51A8" w:rsidRPr="007944F8">
        <w:t xml:space="preserve"> </w:t>
      </w:r>
      <w:r w:rsidRPr="007944F8">
        <w:t>indésirables d’ordre musculaire (tels que myalgie, myopathie et/ou spasme).</w:t>
      </w:r>
    </w:p>
    <w:p w14:paraId="61B38AD4" w14:textId="77777777" w:rsidR="004E6096" w:rsidRPr="007944F8" w:rsidRDefault="004E6096" w:rsidP="009F388F">
      <w:pPr>
        <w:keepNext/>
        <w:keepLines/>
        <w:widowControl w:val="0"/>
        <w:tabs>
          <w:tab w:val="clear" w:pos="567"/>
        </w:tabs>
        <w:autoSpaceDE w:val="0"/>
        <w:autoSpaceDN w:val="0"/>
        <w:adjustRightInd w:val="0"/>
        <w:spacing w:line="240" w:lineRule="auto"/>
        <w:ind w:left="1134" w:hanging="1134"/>
        <w:rPr>
          <w:szCs w:val="22"/>
        </w:rPr>
      </w:pPr>
      <w:bookmarkStart w:id="1" w:name="_Toc377994651"/>
    </w:p>
    <w:p w14:paraId="3FE1E220" w14:textId="77777777" w:rsidR="003C2F4C" w:rsidRPr="007944F8" w:rsidRDefault="003C2F4C" w:rsidP="00DA6BAD">
      <w:pPr>
        <w:keepNext/>
        <w:keepLines/>
        <w:widowControl w:val="0"/>
        <w:tabs>
          <w:tab w:val="clear" w:pos="567"/>
        </w:tabs>
        <w:autoSpaceDE w:val="0"/>
        <w:autoSpaceDN w:val="0"/>
        <w:adjustRightInd w:val="0"/>
        <w:spacing w:line="240" w:lineRule="auto"/>
        <w:ind w:left="1134" w:hanging="1134"/>
        <w:rPr>
          <w:b/>
          <w:szCs w:val="22"/>
        </w:rPr>
      </w:pPr>
      <w:r w:rsidRPr="007944F8">
        <w:rPr>
          <w:b/>
        </w:rPr>
        <w:t>Tableau 1</w:t>
      </w:r>
      <w:r w:rsidRPr="007944F8">
        <w:tab/>
      </w:r>
      <w:r w:rsidRPr="007944F8">
        <w:rPr>
          <w:b/>
        </w:rPr>
        <w:t>Modifications de posologie et pri</w:t>
      </w:r>
      <w:r w:rsidR="00B56846" w:rsidRPr="007944F8">
        <w:rPr>
          <w:b/>
        </w:rPr>
        <w:t>se en charge recommandées lors</w:t>
      </w:r>
      <w:r w:rsidRPr="007944F8">
        <w:rPr>
          <w:b/>
        </w:rPr>
        <w:t xml:space="preserve"> d’élévation symptomatique de la </w:t>
      </w:r>
      <w:r w:rsidR="00B56846" w:rsidRPr="007944F8">
        <w:rPr>
          <w:b/>
        </w:rPr>
        <w:t>CPK</w:t>
      </w:r>
      <w:r w:rsidRPr="007944F8">
        <w:rPr>
          <w:b/>
        </w:rPr>
        <w:t xml:space="preserve"> et </w:t>
      </w:r>
      <w:r w:rsidR="004E77CD">
        <w:rPr>
          <w:b/>
        </w:rPr>
        <w:t>d</w:t>
      </w:r>
      <w:r w:rsidR="006C1C0A">
        <w:rPr>
          <w:b/>
        </w:rPr>
        <w:t>’effets</w:t>
      </w:r>
      <w:r w:rsidR="004E77CD" w:rsidRPr="007944F8">
        <w:rPr>
          <w:b/>
        </w:rPr>
        <w:t xml:space="preserve"> </w:t>
      </w:r>
      <w:r w:rsidRPr="007944F8">
        <w:rPr>
          <w:b/>
        </w:rPr>
        <w:t>indésirables d’ordre musculaire</w:t>
      </w:r>
      <w:bookmarkEnd w:id="1"/>
    </w:p>
    <w:p w14:paraId="57ACA9CF" w14:textId="77777777" w:rsidR="00FD75B1" w:rsidRPr="007944F8" w:rsidRDefault="00FD75B1" w:rsidP="00E93E8B">
      <w:pPr>
        <w:keepNext/>
        <w:keepLines/>
        <w:widowControl w:val="0"/>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9"/>
        <w:gridCol w:w="4650"/>
      </w:tblGrid>
      <w:tr w:rsidR="003C2F4C" w:rsidRPr="007944F8" w14:paraId="2C106654" w14:textId="77777777" w:rsidTr="00311782">
        <w:trPr>
          <w:cantSplit/>
        </w:trPr>
        <w:tc>
          <w:tcPr>
            <w:tcW w:w="4649" w:type="dxa"/>
            <w:shd w:val="clear" w:color="auto" w:fill="auto"/>
          </w:tcPr>
          <w:p w14:paraId="15FB4F48" w14:textId="77777777" w:rsidR="003C2F4C" w:rsidRPr="007944F8" w:rsidRDefault="003C2F4C" w:rsidP="00E93E8B">
            <w:pPr>
              <w:pStyle w:val="Table"/>
              <w:keepNext/>
              <w:keepLines w:val="0"/>
              <w:widowControl w:val="0"/>
              <w:tabs>
                <w:tab w:val="clear" w:pos="284"/>
              </w:tabs>
              <w:spacing w:before="0" w:after="0"/>
              <w:jc w:val="center"/>
              <w:rPr>
                <w:rFonts w:ascii="Times New Roman" w:hAnsi="Times New Roman"/>
                <w:b/>
                <w:sz w:val="22"/>
                <w:szCs w:val="22"/>
                <w:lang w:val="fr-FR" w:bidi="fr-FR"/>
              </w:rPr>
            </w:pPr>
            <w:r w:rsidRPr="007944F8">
              <w:rPr>
                <w:rFonts w:ascii="Times New Roman" w:hAnsi="Times New Roman"/>
                <w:b/>
                <w:sz w:val="22"/>
                <w:lang w:val="fr-FR" w:bidi="fr-FR"/>
              </w:rPr>
              <w:t xml:space="preserve">Sévérité de l’élévation de la </w:t>
            </w:r>
            <w:r w:rsidR="00B56846" w:rsidRPr="007944F8">
              <w:rPr>
                <w:rFonts w:ascii="Times New Roman" w:hAnsi="Times New Roman"/>
                <w:b/>
                <w:sz w:val="22"/>
                <w:lang w:val="fr-FR" w:bidi="fr-FR"/>
              </w:rPr>
              <w:t>CPK</w:t>
            </w:r>
          </w:p>
        </w:tc>
        <w:tc>
          <w:tcPr>
            <w:tcW w:w="4650" w:type="dxa"/>
            <w:shd w:val="clear" w:color="auto" w:fill="auto"/>
          </w:tcPr>
          <w:p w14:paraId="651D31E7" w14:textId="77777777" w:rsidR="003C2F4C" w:rsidRPr="007944F8" w:rsidRDefault="003C2F4C" w:rsidP="00E93E8B">
            <w:pPr>
              <w:pStyle w:val="Table"/>
              <w:keepNext/>
              <w:keepLines w:val="0"/>
              <w:widowControl w:val="0"/>
              <w:tabs>
                <w:tab w:val="clear" w:pos="284"/>
              </w:tabs>
              <w:spacing w:before="0" w:after="0"/>
              <w:jc w:val="center"/>
              <w:rPr>
                <w:rFonts w:ascii="Times New Roman" w:hAnsi="Times New Roman"/>
                <w:b/>
                <w:sz w:val="22"/>
                <w:szCs w:val="22"/>
                <w:lang w:val="fr-FR" w:bidi="fr-FR"/>
              </w:rPr>
            </w:pPr>
            <w:r w:rsidRPr="007944F8">
              <w:rPr>
                <w:rFonts w:ascii="Times New Roman" w:hAnsi="Times New Roman"/>
                <w:b/>
                <w:sz w:val="22"/>
                <w:lang w:val="fr-FR" w:bidi="fr-FR"/>
              </w:rPr>
              <w:t>Recommandations relatives aux modifications de posologie* et à la prise en charge</w:t>
            </w:r>
          </w:p>
        </w:tc>
      </w:tr>
      <w:tr w:rsidR="003C2F4C" w:rsidRPr="007944F8" w14:paraId="4BBB41B2" w14:textId="77777777" w:rsidTr="00311782">
        <w:trPr>
          <w:cantSplit/>
        </w:trPr>
        <w:tc>
          <w:tcPr>
            <w:tcW w:w="4649" w:type="dxa"/>
            <w:shd w:val="clear" w:color="auto" w:fill="auto"/>
            <w:vAlign w:val="center"/>
          </w:tcPr>
          <w:p w14:paraId="0C325E37" w14:textId="77777777" w:rsidR="00033A90" w:rsidRPr="007944F8" w:rsidRDefault="003C2F4C" w:rsidP="00E93E8B">
            <w:pPr>
              <w:pStyle w:val="Table"/>
              <w:keepLines w:val="0"/>
              <w:widowControl w:val="0"/>
              <w:tabs>
                <w:tab w:val="clear" w:pos="284"/>
              </w:tabs>
              <w:spacing w:before="0" w:after="0"/>
              <w:rPr>
                <w:rFonts w:ascii="Times New Roman" w:hAnsi="Times New Roman"/>
                <w:sz w:val="22"/>
                <w:szCs w:val="22"/>
                <w:lang w:val="fr-FR" w:bidi="fr-FR"/>
              </w:rPr>
            </w:pPr>
            <w:r w:rsidRPr="007944F8">
              <w:rPr>
                <w:rFonts w:ascii="Times New Roman" w:hAnsi="Times New Roman"/>
                <w:sz w:val="22"/>
                <w:lang w:val="fr-FR" w:bidi="fr-FR"/>
              </w:rPr>
              <w:t>Grade 1</w:t>
            </w:r>
          </w:p>
          <w:p w14:paraId="03551237" w14:textId="77777777" w:rsidR="003C2F4C" w:rsidRPr="007944F8" w:rsidRDefault="003C2F4C" w:rsidP="00A700D3">
            <w:pPr>
              <w:pStyle w:val="Table"/>
              <w:keepLines w:val="0"/>
              <w:widowControl w:val="0"/>
              <w:tabs>
                <w:tab w:val="clear" w:pos="284"/>
              </w:tabs>
              <w:spacing w:before="0" w:after="0"/>
              <w:rPr>
                <w:rFonts w:ascii="Times New Roman" w:hAnsi="Times New Roman"/>
                <w:sz w:val="22"/>
                <w:szCs w:val="22"/>
                <w:lang w:val="fr-FR" w:bidi="fr-FR"/>
              </w:rPr>
            </w:pPr>
            <w:r w:rsidRPr="007944F8">
              <w:rPr>
                <w:rFonts w:ascii="Times New Roman" w:hAnsi="Times New Roman"/>
                <w:sz w:val="22"/>
                <w:lang w:val="fr-FR" w:bidi="fr-FR"/>
              </w:rPr>
              <w:t xml:space="preserve">[Élévation de la </w:t>
            </w:r>
            <w:r w:rsidR="00B56846" w:rsidRPr="007944F8">
              <w:rPr>
                <w:rFonts w:ascii="Times New Roman" w:hAnsi="Times New Roman"/>
                <w:sz w:val="22"/>
                <w:lang w:val="fr-FR" w:bidi="fr-FR"/>
              </w:rPr>
              <w:t>CPK</w:t>
            </w:r>
            <w:r w:rsidRPr="007944F8">
              <w:rPr>
                <w:rFonts w:ascii="Times New Roman" w:hAnsi="Times New Roman"/>
                <w:sz w:val="22"/>
                <w:lang w:val="fr-FR" w:bidi="fr-FR"/>
              </w:rPr>
              <w:t xml:space="preserve"> &gt; LSN </w:t>
            </w:r>
            <w:r w:rsidRPr="007944F8">
              <w:rPr>
                <w:lang w:val="fr-FR" w:bidi="fr-FR"/>
              </w:rPr>
              <w:noBreakHyphen/>
            </w:r>
            <w:r w:rsidRPr="007944F8">
              <w:rPr>
                <w:rFonts w:ascii="Times New Roman" w:hAnsi="Times New Roman"/>
                <w:sz w:val="22"/>
                <w:lang w:val="fr-FR" w:bidi="fr-FR"/>
              </w:rPr>
              <w:t xml:space="preserve"> 2,5 x LSN]</w:t>
            </w:r>
          </w:p>
        </w:tc>
        <w:tc>
          <w:tcPr>
            <w:tcW w:w="4650" w:type="dxa"/>
            <w:shd w:val="clear" w:color="auto" w:fill="auto"/>
            <w:vAlign w:val="center"/>
          </w:tcPr>
          <w:p w14:paraId="71A87E3A" w14:textId="77777777" w:rsidR="00020D31" w:rsidRPr="007944F8" w:rsidRDefault="003C2F4C" w:rsidP="00E96874">
            <w:pPr>
              <w:pStyle w:val="Table"/>
              <w:keepLines w:val="0"/>
              <w:widowControl w:val="0"/>
              <w:numPr>
                <w:ilvl w:val="0"/>
                <w:numId w:val="7"/>
              </w:numPr>
              <w:tabs>
                <w:tab w:val="clear" w:pos="284"/>
              </w:tabs>
              <w:spacing w:before="0" w:after="0"/>
              <w:ind w:left="567" w:hanging="567"/>
              <w:rPr>
                <w:rFonts w:ascii="Times New Roman" w:hAnsi="Times New Roman"/>
                <w:sz w:val="22"/>
                <w:szCs w:val="22"/>
                <w:lang w:val="fr-FR" w:bidi="fr-FR"/>
              </w:rPr>
            </w:pPr>
            <w:r w:rsidRPr="007944F8">
              <w:rPr>
                <w:rFonts w:ascii="Times New Roman" w:hAnsi="Times New Roman"/>
                <w:sz w:val="22"/>
                <w:lang w:val="fr-FR" w:bidi="fr-FR"/>
              </w:rPr>
              <w:t xml:space="preserve">Poursuivre le traitement à la même dose et surveiller le taux de </w:t>
            </w:r>
            <w:r w:rsidR="00B56846" w:rsidRPr="007944F8">
              <w:rPr>
                <w:rFonts w:ascii="Times New Roman" w:hAnsi="Times New Roman"/>
                <w:sz w:val="22"/>
                <w:lang w:val="fr-FR" w:bidi="fr-FR"/>
              </w:rPr>
              <w:t>CPK</w:t>
            </w:r>
            <w:r w:rsidRPr="007944F8">
              <w:rPr>
                <w:rFonts w:ascii="Times New Roman" w:hAnsi="Times New Roman"/>
                <w:sz w:val="22"/>
                <w:lang w:val="fr-FR" w:bidi="fr-FR"/>
              </w:rPr>
              <w:t xml:space="preserve"> toutes les semaines jusqu’à </w:t>
            </w:r>
            <w:r w:rsidR="00B56846" w:rsidRPr="007944F8">
              <w:rPr>
                <w:rFonts w:ascii="Times New Roman" w:hAnsi="Times New Roman"/>
                <w:sz w:val="22"/>
                <w:lang w:val="fr-FR" w:bidi="fr-FR"/>
              </w:rPr>
              <w:t xml:space="preserve">son retour </w:t>
            </w:r>
            <w:r w:rsidRPr="007944F8">
              <w:rPr>
                <w:rFonts w:ascii="Times New Roman" w:hAnsi="Times New Roman"/>
                <w:sz w:val="22"/>
                <w:lang w:val="fr-FR" w:bidi="fr-FR"/>
              </w:rPr>
              <w:t>à sa valeur initiale, puis tous les mois. Surveiller l’évolution des symptômes musculaires jusqu’à leur disparition.</w:t>
            </w:r>
          </w:p>
          <w:p w14:paraId="67FF6464" w14:textId="77777777" w:rsidR="003C2F4C" w:rsidRPr="007944F8" w:rsidRDefault="003C2F4C" w:rsidP="00E96874">
            <w:pPr>
              <w:pStyle w:val="Table"/>
              <w:keepLines w:val="0"/>
              <w:widowControl w:val="0"/>
              <w:numPr>
                <w:ilvl w:val="0"/>
                <w:numId w:val="7"/>
              </w:numPr>
              <w:tabs>
                <w:tab w:val="clear" w:pos="284"/>
              </w:tabs>
              <w:spacing w:before="0" w:after="0"/>
              <w:ind w:left="567" w:hanging="567"/>
              <w:rPr>
                <w:rFonts w:ascii="Times New Roman" w:hAnsi="Times New Roman"/>
                <w:sz w:val="22"/>
                <w:szCs w:val="22"/>
                <w:lang w:val="fr-FR" w:bidi="fr-FR"/>
              </w:rPr>
            </w:pPr>
            <w:r w:rsidRPr="007944F8">
              <w:rPr>
                <w:rFonts w:ascii="Times New Roman" w:hAnsi="Times New Roman"/>
                <w:sz w:val="22"/>
                <w:lang w:val="fr-FR" w:bidi="fr-FR"/>
              </w:rPr>
              <w:t>Contrôler la fonction rénale (créatinine sérique) régulièrement et s’assurer que le patient est bien hydraté.</w:t>
            </w:r>
          </w:p>
        </w:tc>
      </w:tr>
      <w:tr w:rsidR="003C2F4C" w:rsidRPr="007944F8" w14:paraId="3A396DFC" w14:textId="77777777" w:rsidTr="00311782">
        <w:trPr>
          <w:cantSplit/>
        </w:trPr>
        <w:tc>
          <w:tcPr>
            <w:tcW w:w="4649" w:type="dxa"/>
            <w:shd w:val="clear" w:color="auto" w:fill="auto"/>
            <w:vAlign w:val="center"/>
          </w:tcPr>
          <w:p w14:paraId="69D41CAF" w14:textId="77777777" w:rsidR="003C2F4C" w:rsidRPr="007944F8" w:rsidRDefault="003C2F4C" w:rsidP="00E93E8B">
            <w:pPr>
              <w:pStyle w:val="Table"/>
              <w:keepLines w:val="0"/>
              <w:widowControl w:val="0"/>
              <w:tabs>
                <w:tab w:val="clear" w:pos="284"/>
              </w:tabs>
              <w:spacing w:before="0" w:after="0"/>
              <w:rPr>
                <w:rFonts w:ascii="Times New Roman" w:hAnsi="Times New Roman"/>
                <w:sz w:val="22"/>
                <w:szCs w:val="22"/>
                <w:lang w:val="fr-FR" w:bidi="fr-FR"/>
              </w:rPr>
            </w:pPr>
            <w:r w:rsidRPr="007944F8">
              <w:rPr>
                <w:rFonts w:ascii="Times New Roman" w:hAnsi="Times New Roman"/>
                <w:sz w:val="22"/>
                <w:lang w:val="fr-FR" w:bidi="fr-FR"/>
              </w:rPr>
              <w:t xml:space="preserve">Grade 2 </w:t>
            </w:r>
            <w:r w:rsidRPr="007944F8">
              <w:rPr>
                <w:rFonts w:ascii="Times New Roman" w:hAnsi="Times New Roman"/>
                <w:b/>
                <w:sz w:val="22"/>
                <w:lang w:val="fr-FR" w:bidi="fr-FR"/>
              </w:rPr>
              <w:t>sans</w:t>
            </w:r>
            <w:r w:rsidRPr="007944F8">
              <w:rPr>
                <w:rFonts w:ascii="Times New Roman" w:hAnsi="Times New Roman"/>
                <w:sz w:val="22"/>
                <w:lang w:val="fr-FR" w:bidi="fr-FR"/>
              </w:rPr>
              <w:t xml:space="preserve"> insuffisance rénale</w:t>
            </w:r>
          </w:p>
          <w:p w14:paraId="095D494F" w14:textId="77777777" w:rsidR="00AD2777" w:rsidRPr="007944F8" w:rsidRDefault="00AD2777" w:rsidP="00E93E8B">
            <w:pPr>
              <w:pStyle w:val="Table"/>
              <w:keepLines w:val="0"/>
              <w:widowControl w:val="0"/>
              <w:tabs>
                <w:tab w:val="clear" w:pos="284"/>
              </w:tabs>
              <w:spacing w:before="0" w:after="0"/>
              <w:rPr>
                <w:rFonts w:ascii="Times New Roman" w:hAnsi="Times New Roman"/>
                <w:sz w:val="22"/>
                <w:szCs w:val="22"/>
                <w:lang w:val="fr-FR" w:bidi="fr-FR"/>
              </w:rPr>
            </w:pPr>
            <w:r w:rsidRPr="007944F8">
              <w:rPr>
                <w:rFonts w:ascii="Times New Roman" w:hAnsi="Times New Roman"/>
                <w:sz w:val="22"/>
                <w:lang w:val="fr-FR" w:bidi="fr-FR"/>
              </w:rPr>
              <w:t>(Cr sérique ≤ LSN)</w:t>
            </w:r>
          </w:p>
          <w:p w14:paraId="5AD2061B" w14:textId="77777777" w:rsidR="00D16431" w:rsidRPr="007944F8" w:rsidRDefault="003C2F4C" w:rsidP="00E93E8B">
            <w:pPr>
              <w:pStyle w:val="Table"/>
              <w:keepLines w:val="0"/>
              <w:widowControl w:val="0"/>
              <w:tabs>
                <w:tab w:val="clear" w:pos="284"/>
              </w:tabs>
              <w:spacing w:before="0" w:after="0"/>
              <w:rPr>
                <w:rFonts w:ascii="Times New Roman" w:hAnsi="Times New Roman"/>
                <w:sz w:val="22"/>
                <w:szCs w:val="22"/>
                <w:lang w:val="fr-FR" w:bidi="fr-FR"/>
              </w:rPr>
            </w:pPr>
            <w:r w:rsidRPr="007944F8">
              <w:rPr>
                <w:rFonts w:ascii="Times New Roman" w:hAnsi="Times New Roman"/>
                <w:sz w:val="22"/>
                <w:lang w:val="fr-FR" w:bidi="fr-FR"/>
              </w:rPr>
              <w:t xml:space="preserve">[Élévation de la </w:t>
            </w:r>
            <w:r w:rsidR="00B56846" w:rsidRPr="007944F8">
              <w:rPr>
                <w:rFonts w:ascii="Times New Roman" w:hAnsi="Times New Roman"/>
                <w:sz w:val="22"/>
                <w:lang w:val="fr-FR" w:bidi="fr-FR"/>
              </w:rPr>
              <w:t>CPK</w:t>
            </w:r>
            <w:r w:rsidRPr="007944F8">
              <w:rPr>
                <w:rFonts w:ascii="Times New Roman" w:hAnsi="Times New Roman"/>
                <w:sz w:val="22"/>
                <w:lang w:val="fr-FR" w:bidi="fr-FR"/>
              </w:rPr>
              <w:t xml:space="preserve"> &gt; 2,5 x LSN </w:t>
            </w:r>
            <w:r w:rsidRPr="007944F8">
              <w:rPr>
                <w:lang w:val="fr-FR" w:bidi="fr-FR"/>
              </w:rPr>
              <w:noBreakHyphen/>
            </w:r>
            <w:r w:rsidRPr="007944F8">
              <w:rPr>
                <w:rFonts w:ascii="Times New Roman" w:hAnsi="Times New Roman"/>
                <w:sz w:val="22"/>
                <w:lang w:val="fr-FR" w:bidi="fr-FR"/>
              </w:rPr>
              <w:t xml:space="preserve"> 5 x LSN]</w:t>
            </w:r>
          </w:p>
        </w:tc>
        <w:tc>
          <w:tcPr>
            <w:tcW w:w="4650" w:type="dxa"/>
            <w:shd w:val="clear" w:color="auto" w:fill="auto"/>
            <w:vAlign w:val="center"/>
          </w:tcPr>
          <w:p w14:paraId="464132AB" w14:textId="77777777" w:rsidR="00E61A94" w:rsidRPr="007944F8" w:rsidRDefault="003C2F4C" w:rsidP="00E96874">
            <w:pPr>
              <w:pStyle w:val="Table"/>
              <w:keepLines w:val="0"/>
              <w:widowControl w:val="0"/>
              <w:numPr>
                <w:ilvl w:val="0"/>
                <w:numId w:val="8"/>
              </w:numPr>
              <w:tabs>
                <w:tab w:val="clear" w:pos="284"/>
              </w:tabs>
              <w:spacing w:before="0" w:after="0"/>
              <w:ind w:left="567" w:hanging="567"/>
              <w:rPr>
                <w:rFonts w:ascii="Times New Roman" w:hAnsi="Times New Roman"/>
                <w:sz w:val="22"/>
                <w:szCs w:val="22"/>
                <w:lang w:val="fr-FR" w:bidi="fr-FR"/>
              </w:rPr>
            </w:pPr>
            <w:r w:rsidRPr="007944F8">
              <w:rPr>
                <w:rFonts w:ascii="Times New Roman" w:hAnsi="Times New Roman"/>
                <w:sz w:val="22"/>
                <w:lang w:val="fr-FR" w:bidi="fr-FR"/>
              </w:rPr>
              <w:t xml:space="preserve">Interrompre le traitement et surveiller le taux de </w:t>
            </w:r>
            <w:r w:rsidR="00B56846" w:rsidRPr="007944F8">
              <w:rPr>
                <w:rFonts w:ascii="Times New Roman" w:hAnsi="Times New Roman"/>
                <w:sz w:val="22"/>
                <w:lang w:val="fr-FR" w:bidi="fr-FR"/>
              </w:rPr>
              <w:t>CPK</w:t>
            </w:r>
            <w:r w:rsidRPr="007944F8">
              <w:rPr>
                <w:rFonts w:ascii="Times New Roman" w:hAnsi="Times New Roman"/>
                <w:sz w:val="22"/>
                <w:lang w:val="fr-FR" w:bidi="fr-FR"/>
              </w:rPr>
              <w:t xml:space="preserve"> toutes les semaines jusqu’à </w:t>
            </w:r>
            <w:r w:rsidR="00B56846" w:rsidRPr="007944F8">
              <w:rPr>
                <w:rFonts w:ascii="Times New Roman" w:hAnsi="Times New Roman"/>
                <w:sz w:val="22"/>
                <w:lang w:val="fr-FR" w:bidi="fr-FR"/>
              </w:rPr>
              <w:t>son retour</w:t>
            </w:r>
            <w:r w:rsidRPr="007944F8">
              <w:rPr>
                <w:rFonts w:ascii="Times New Roman" w:hAnsi="Times New Roman"/>
                <w:sz w:val="22"/>
                <w:lang w:val="fr-FR" w:bidi="fr-FR"/>
              </w:rPr>
              <w:t xml:space="preserve"> à sa valeur initiale.</w:t>
            </w:r>
          </w:p>
          <w:p w14:paraId="4E41A36F" w14:textId="77777777" w:rsidR="00E20C76" w:rsidRPr="007944F8" w:rsidRDefault="003C2F4C" w:rsidP="00E96874">
            <w:pPr>
              <w:pStyle w:val="Table"/>
              <w:keepLines w:val="0"/>
              <w:widowControl w:val="0"/>
              <w:numPr>
                <w:ilvl w:val="0"/>
                <w:numId w:val="8"/>
              </w:numPr>
              <w:tabs>
                <w:tab w:val="clear" w:pos="284"/>
              </w:tabs>
              <w:spacing w:before="0" w:after="0"/>
              <w:ind w:left="567" w:hanging="567"/>
              <w:rPr>
                <w:rFonts w:ascii="Times New Roman" w:hAnsi="Times New Roman"/>
                <w:sz w:val="22"/>
                <w:szCs w:val="22"/>
                <w:lang w:val="fr-FR" w:bidi="fr-FR"/>
              </w:rPr>
            </w:pPr>
            <w:r w:rsidRPr="007944F8">
              <w:rPr>
                <w:rFonts w:ascii="Times New Roman" w:hAnsi="Times New Roman"/>
                <w:sz w:val="22"/>
                <w:lang w:val="fr-FR" w:bidi="fr-FR"/>
              </w:rPr>
              <w:t xml:space="preserve">Surveiller l’évolution des symptômes musculaires jusqu’à leur disparition. Une fois les symptômes disparus, reprendre le traitement </w:t>
            </w:r>
            <w:r w:rsidR="00B56846" w:rsidRPr="007944F8">
              <w:rPr>
                <w:rFonts w:ascii="Times New Roman" w:hAnsi="Times New Roman"/>
                <w:sz w:val="22"/>
                <w:lang w:val="fr-FR" w:bidi="fr-FR"/>
              </w:rPr>
              <w:t xml:space="preserve">à la même dose qu’antérieurement </w:t>
            </w:r>
            <w:r w:rsidRPr="007944F8">
              <w:rPr>
                <w:rFonts w:ascii="Times New Roman" w:hAnsi="Times New Roman"/>
                <w:sz w:val="22"/>
                <w:lang w:val="fr-FR" w:bidi="fr-FR"/>
              </w:rPr>
              <w:t xml:space="preserve">et mesurer le taux de </w:t>
            </w:r>
            <w:r w:rsidR="00B56846" w:rsidRPr="007944F8">
              <w:rPr>
                <w:rFonts w:ascii="Times New Roman" w:hAnsi="Times New Roman"/>
                <w:sz w:val="22"/>
                <w:lang w:val="fr-FR" w:bidi="fr-FR"/>
              </w:rPr>
              <w:t>CPK</w:t>
            </w:r>
            <w:r w:rsidRPr="007944F8">
              <w:rPr>
                <w:rFonts w:ascii="Times New Roman" w:hAnsi="Times New Roman"/>
                <w:sz w:val="22"/>
                <w:lang w:val="fr-FR" w:bidi="fr-FR"/>
              </w:rPr>
              <w:t xml:space="preserve"> tous les mois par la suite.</w:t>
            </w:r>
          </w:p>
          <w:p w14:paraId="4727C6F2" w14:textId="77777777" w:rsidR="00E20C76" w:rsidRPr="007944F8" w:rsidRDefault="003C2F4C" w:rsidP="00E96874">
            <w:pPr>
              <w:pStyle w:val="Table"/>
              <w:keepLines w:val="0"/>
              <w:widowControl w:val="0"/>
              <w:numPr>
                <w:ilvl w:val="0"/>
                <w:numId w:val="8"/>
              </w:numPr>
              <w:tabs>
                <w:tab w:val="clear" w:pos="284"/>
              </w:tabs>
              <w:spacing w:before="0" w:after="0"/>
              <w:ind w:left="567" w:hanging="567"/>
              <w:rPr>
                <w:rFonts w:ascii="Times New Roman" w:hAnsi="Times New Roman"/>
                <w:sz w:val="22"/>
                <w:szCs w:val="22"/>
                <w:lang w:val="fr-FR" w:bidi="fr-FR"/>
              </w:rPr>
            </w:pPr>
            <w:r w:rsidRPr="007944F8">
              <w:rPr>
                <w:rFonts w:ascii="Times New Roman" w:hAnsi="Times New Roman"/>
                <w:sz w:val="22"/>
                <w:lang w:val="fr-FR" w:bidi="fr-FR"/>
              </w:rPr>
              <w:t>Contrôler la fonction rénale (créatinine sérique) régulièrement et s’assurer que le patient est bien hydraté.</w:t>
            </w:r>
          </w:p>
          <w:p w14:paraId="5C0801C9" w14:textId="77777777" w:rsidR="003C2F4C" w:rsidRPr="007944F8" w:rsidRDefault="00DE2236" w:rsidP="00E96874">
            <w:pPr>
              <w:pStyle w:val="Table"/>
              <w:keepLines w:val="0"/>
              <w:widowControl w:val="0"/>
              <w:numPr>
                <w:ilvl w:val="0"/>
                <w:numId w:val="8"/>
              </w:numPr>
              <w:tabs>
                <w:tab w:val="clear" w:pos="284"/>
              </w:tabs>
              <w:spacing w:before="0" w:after="0"/>
              <w:ind w:left="567" w:hanging="567"/>
              <w:rPr>
                <w:rFonts w:ascii="Times New Roman" w:hAnsi="Times New Roman"/>
                <w:sz w:val="22"/>
                <w:szCs w:val="22"/>
                <w:lang w:val="fr-FR" w:bidi="fr-FR"/>
              </w:rPr>
            </w:pPr>
            <w:r w:rsidRPr="007944F8">
              <w:rPr>
                <w:rFonts w:ascii="Times New Roman" w:hAnsi="Times New Roman"/>
                <w:sz w:val="22"/>
                <w:lang w:val="fr-FR" w:bidi="fr-FR"/>
              </w:rPr>
              <w:t>Si les symptômes réapparaissent, interrompre le traitement jusqu’à l</w:t>
            </w:r>
            <w:r w:rsidR="00B56846" w:rsidRPr="007944F8">
              <w:rPr>
                <w:rFonts w:ascii="Times New Roman" w:hAnsi="Times New Roman"/>
                <w:sz w:val="22"/>
                <w:lang w:val="fr-FR" w:bidi="fr-FR"/>
              </w:rPr>
              <w:t>eur disparition. Réintroduire</w:t>
            </w:r>
            <w:r w:rsidRPr="007944F8">
              <w:rPr>
                <w:rFonts w:ascii="Times New Roman" w:hAnsi="Times New Roman"/>
                <w:sz w:val="22"/>
                <w:lang w:val="fr-FR" w:bidi="fr-FR"/>
              </w:rPr>
              <w:t xml:space="preserve"> sonidégib à </w:t>
            </w:r>
            <w:r w:rsidR="00B56846" w:rsidRPr="007944F8">
              <w:rPr>
                <w:rFonts w:ascii="Times New Roman" w:hAnsi="Times New Roman"/>
                <w:sz w:val="22"/>
                <w:lang w:val="fr-FR" w:bidi="fr-FR"/>
              </w:rPr>
              <w:t>la dose de</w:t>
            </w:r>
            <w:r w:rsidRPr="007944F8">
              <w:rPr>
                <w:rFonts w:ascii="Times New Roman" w:hAnsi="Times New Roman"/>
                <w:sz w:val="22"/>
                <w:lang w:val="fr-FR" w:bidi="fr-FR"/>
              </w:rPr>
              <w:t xml:space="preserve"> 200 mg tous les deux jours et suivre les mêmes recommandations de surveillance. Si les symptômes persistent malgré la prise du médicament un jour sur deux, envisager l’arrêt du traitement.</w:t>
            </w:r>
          </w:p>
        </w:tc>
      </w:tr>
      <w:tr w:rsidR="003C2F4C" w:rsidRPr="007944F8" w14:paraId="1F6E6DA1" w14:textId="77777777" w:rsidTr="00311782">
        <w:trPr>
          <w:cantSplit/>
          <w:trHeight w:val="274"/>
        </w:trPr>
        <w:tc>
          <w:tcPr>
            <w:tcW w:w="4649" w:type="dxa"/>
            <w:shd w:val="clear" w:color="auto" w:fill="auto"/>
            <w:vAlign w:val="center"/>
          </w:tcPr>
          <w:p w14:paraId="483D40F3" w14:textId="77777777" w:rsidR="00033A90" w:rsidRPr="007944F8" w:rsidRDefault="00033A90" w:rsidP="00E93E8B">
            <w:pPr>
              <w:pStyle w:val="Table"/>
              <w:keepLines w:val="0"/>
              <w:widowControl w:val="0"/>
              <w:tabs>
                <w:tab w:val="clear" w:pos="284"/>
              </w:tabs>
              <w:spacing w:before="0" w:after="0"/>
              <w:rPr>
                <w:rFonts w:ascii="Times New Roman" w:hAnsi="Times New Roman"/>
                <w:sz w:val="22"/>
                <w:szCs w:val="22"/>
                <w:lang w:val="fr-FR" w:bidi="fr-FR"/>
              </w:rPr>
            </w:pPr>
            <w:r w:rsidRPr="007944F8">
              <w:rPr>
                <w:rFonts w:ascii="Times New Roman" w:hAnsi="Times New Roman"/>
                <w:sz w:val="22"/>
                <w:lang w:val="fr-FR" w:bidi="fr-FR"/>
              </w:rPr>
              <w:t xml:space="preserve">Grade 3 ou 4 </w:t>
            </w:r>
            <w:r w:rsidRPr="007944F8">
              <w:rPr>
                <w:rFonts w:ascii="Times New Roman" w:hAnsi="Times New Roman"/>
                <w:b/>
                <w:sz w:val="22"/>
                <w:lang w:val="fr-FR" w:bidi="fr-FR"/>
              </w:rPr>
              <w:t>sans</w:t>
            </w:r>
            <w:r w:rsidRPr="007944F8">
              <w:rPr>
                <w:rFonts w:ascii="Times New Roman" w:hAnsi="Times New Roman"/>
                <w:sz w:val="22"/>
                <w:lang w:val="fr-FR" w:bidi="fr-FR"/>
              </w:rPr>
              <w:t xml:space="preserve"> insuffisance rénale</w:t>
            </w:r>
          </w:p>
          <w:p w14:paraId="70F19366" w14:textId="77777777" w:rsidR="008E4D69" w:rsidRPr="007944F8" w:rsidRDefault="008E4D69" w:rsidP="00E93E8B">
            <w:pPr>
              <w:pStyle w:val="Table"/>
              <w:keepLines w:val="0"/>
              <w:widowControl w:val="0"/>
              <w:tabs>
                <w:tab w:val="clear" w:pos="284"/>
              </w:tabs>
              <w:spacing w:before="0" w:after="0"/>
              <w:rPr>
                <w:rFonts w:ascii="Times New Roman" w:hAnsi="Times New Roman"/>
                <w:sz w:val="22"/>
                <w:szCs w:val="22"/>
                <w:lang w:val="fr-FR" w:bidi="fr-FR"/>
              </w:rPr>
            </w:pPr>
            <w:r w:rsidRPr="007944F8">
              <w:rPr>
                <w:rFonts w:ascii="Times New Roman" w:hAnsi="Times New Roman"/>
                <w:sz w:val="22"/>
                <w:lang w:val="fr-FR" w:bidi="fr-FR"/>
              </w:rPr>
              <w:t>(Cr sérique ≤ LSN)</w:t>
            </w:r>
          </w:p>
          <w:p w14:paraId="7EB0AA2F" w14:textId="77777777" w:rsidR="003C2F4C" w:rsidRPr="007944F8" w:rsidRDefault="003C2F4C" w:rsidP="00E93E8B">
            <w:pPr>
              <w:pStyle w:val="Table"/>
              <w:keepLines w:val="0"/>
              <w:widowControl w:val="0"/>
              <w:tabs>
                <w:tab w:val="clear" w:pos="284"/>
              </w:tabs>
              <w:spacing w:before="0" w:after="0"/>
              <w:rPr>
                <w:rFonts w:ascii="Times New Roman" w:hAnsi="Times New Roman"/>
                <w:spacing w:val="-1"/>
                <w:sz w:val="22"/>
                <w:szCs w:val="22"/>
                <w:lang w:val="fr-FR" w:bidi="fr-FR"/>
              </w:rPr>
            </w:pPr>
            <w:r w:rsidRPr="007944F8">
              <w:rPr>
                <w:rFonts w:ascii="Times New Roman" w:hAnsi="Times New Roman"/>
                <w:sz w:val="22"/>
                <w:lang w:val="fr-FR" w:bidi="fr-FR"/>
              </w:rPr>
              <w:t xml:space="preserve">[Grade 3 (élévation de la </w:t>
            </w:r>
            <w:r w:rsidR="00B56846" w:rsidRPr="007944F8">
              <w:rPr>
                <w:rFonts w:ascii="Times New Roman" w:hAnsi="Times New Roman"/>
                <w:sz w:val="22"/>
                <w:lang w:val="fr-FR" w:bidi="fr-FR"/>
              </w:rPr>
              <w:t>CPK</w:t>
            </w:r>
            <w:r w:rsidRPr="007944F8">
              <w:rPr>
                <w:rFonts w:ascii="Times New Roman" w:hAnsi="Times New Roman"/>
                <w:sz w:val="22"/>
                <w:lang w:val="fr-FR" w:bidi="fr-FR"/>
              </w:rPr>
              <w:t xml:space="preserve"> &gt; 5 x LSN </w:t>
            </w:r>
            <w:r w:rsidRPr="007944F8">
              <w:rPr>
                <w:lang w:val="fr-FR" w:bidi="fr-FR"/>
              </w:rPr>
              <w:noBreakHyphen/>
            </w:r>
            <w:r w:rsidRPr="007944F8">
              <w:rPr>
                <w:rFonts w:ascii="Times New Roman" w:hAnsi="Times New Roman"/>
                <w:sz w:val="22"/>
                <w:lang w:val="fr-FR" w:bidi="fr-FR"/>
              </w:rPr>
              <w:t xml:space="preserve"> 10 x LSN)]</w:t>
            </w:r>
          </w:p>
          <w:p w14:paraId="5A7DD046" w14:textId="77777777" w:rsidR="003C2F4C" w:rsidRPr="007944F8" w:rsidRDefault="003C2F4C" w:rsidP="00E93E8B">
            <w:pPr>
              <w:pStyle w:val="Table"/>
              <w:keepLines w:val="0"/>
              <w:widowControl w:val="0"/>
              <w:tabs>
                <w:tab w:val="clear" w:pos="284"/>
              </w:tabs>
              <w:spacing w:before="0" w:after="0"/>
              <w:rPr>
                <w:rFonts w:ascii="Times New Roman" w:hAnsi="Times New Roman"/>
                <w:sz w:val="22"/>
                <w:szCs w:val="22"/>
                <w:lang w:val="fr-FR" w:bidi="fr-FR"/>
              </w:rPr>
            </w:pPr>
            <w:r w:rsidRPr="007944F8">
              <w:rPr>
                <w:rFonts w:ascii="Times New Roman" w:hAnsi="Times New Roman"/>
                <w:spacing w:val="-1"/>
                <w:sz w:val="22"/>
                <w:lang w:val="fr-FR" w:bidi="fr-FR"/>
              </w:rPr>
              <w:t xml:space="preserve">[Grade 4 (élévation de la </w:t>
            </w:r>
            <w:r w:rsidR="00B56846" w:rsidRPr="007944F8">
              <w:rPr>
                <w:rFonts w:ascii="Times New Roman" w:hAnsi="Times New Roman"/>
                <w:spacing w:val="-1"/>
                <w:sz w:val="22"/>
                <w:lang w:val="fr-FR" w:bidi="fr-FR"/>
              </w:rPr>
              <w:t>CPK</w:t>
            </w:r>
            <w:r w:rsidRPr="007944F8">
              <w:rPr>
                <w:rFonts w:ascii="Times New Roman" w:hAnsi="Times New Roman"/>
                <w:spacing w:val="-1"/>
                <w:sz w:val="22"/>
                <w:lang w:val="fr-FR" w:bidi="fr-FR"/>
              </w:rPr>
              <w:t> &gt; 10 x LSN)]</w:t>
            </w:r>
          </w:p>
        </w:tc>
        <w:tc>
          <w:tcPr>
            <w:tcW w:w="4650" w:type="dxa"/>
            <w:shd w:val="clear" w:color="auto" w:fill="auto"/>
            <w:vAlign w:val="center"/>
          </w:tcPr>
          <w:p w14:paraId="27ABE95E" w14:textId="77777777" w:rsidR="003C2F4C" w:rsidRPr="007944F8" w:rsidRDefault="003C2F4C" w:rsidP="00E96874">
            <w:pPr>
              <w:pStyle w:val="Table"/>
              <w:keepLines w:val="0"/>
              <w:widowControl w:val="0"/>
              <w:numPr>
                <w:ilvl w:val="0"/>
                <w:numId w:val="9"/>
              </w:numPr>
              <w:tabs>
                <w:tab w:val="clear" w:pos="284"/>
              </w:tabs>
              <w:spacing w:before="0" w:after="0"/>
              <w:ind w:left="596" w:hanging="567"/>
              <w:rPr>
                <w:rFonts w:ascii="Times New Roman" w:hAnsi="Times New Roman"/>
                <w:sz w:val="22"/>
                <w:szCs w:val="22"/>
                <w:lang w:val="fr-FR" w:bidi="fr-FR"/>
              </w:rPr>
            </w:pPr>
            <w:r w:rsidRPr="007944F8">
              <w:rPr>
                <w:rFonts w:ascii="Times New Roman" w:hAnsi="Times New Roman"/>
                <w:sz w:val="22"/>
                <w:lang w:val="fr-FR" w:bidi="fr-FR"/>
              </w:rPr>
              <w:t xml:space="preserve">Interrompre le traitement et surveiller le taux de </w:t>
            </w:r>
            <w:r w:rsidR="00B56846" w:rsidRPr="007944F8">
              <w:rPr>
                <w:rFonts w:ascii="Times New Roman" w:hAnsi="Times New Roman"/>
                <w:sz w:val="22"/>
                <w:lang w:val="fr-FR" w:bidi="fr-FR"/>
              </w:rPr>
              <w:t>CPK</w:t>
            </w:r>
            <w:r w:rsidRPr="007944F8">
              <w:rPr>
                <w:rFonts w:ascii="Times New Roman" w:hAnsi="Times New Roman"/>
                <w:sz w:val="22"/>
                <w:lang w:val="fr-FR" w:bidi="fr-FR"/>
              </w:rPr>
              <w:t xml:space="preserve"> toutes les semaines jusqu’à </w:t>
            </w:r>
            <w:r w:rsidR="00B56846" w:rsidRPr="007944F8">
              <w:rPr>
                <w:rFonts w:ascii="Times New Roman" w:hAnsi="Times New Roman"/>
                <w:sz w:val="22"/>
                <w:lang w:val="fr-FR" w:bidi="fr-FR"/>
              </w:rPr>
              <w:t xml:space="preserve">son retour </w:t>
            </w:r>
            <w:r w:rsidRPr="007944F8">
              <w:rPr>
                <w:rFonts w:ascii="Times New Roman" w:hAnsi="Times New Roman"/>
                <w:sz w:val="22"/>
                <w:lang w:val="fr-FR" w:bidi="fr-FR"/>
              </w:rPr>
              <w:t>à sa valeur initiale. Surveiller l’évolution des symptômes musculaires jusqu’à leur disparition.</w:t>
            </w:r>
          </w:p>
          <w:p w14:paraId="0924901F" w14:textId="77777777" w:rsidR="00DC43DD" w:rsidRPr="007944F8" w:rsidRDefault="003C2F4C" w:rsidP="00E96874">
            <w:pPr>
              <w:pStyle w:val="Table"/>
              <w:keepLines w:val="0"/>
              <w:widowControl w:val="0"/>
              <w:numPr>
                <w:ilvl w:val="0"/>
                <w:numId w:val="9"/>
              </w:numPr>
              <w:tabs>
                <w:tab w:val="clear" w:pos="284"/>
              </w:tabs>
              <w:spacing w:before="0" w:after="0"/>
              <w:ind w:left="596" w:hanging="567"/>
              <w:rPr>
                <w:rFonts w:ascii="Times New Roman" w:hAnsi="Times New Roman"/>
                <w:sz w:val="22"/>
                <w:szCs w:val="22"/>
                <w:lang w:val="fr-FR" w:bidi="fr-FR"/>
              </w:rPr>
            </w:pPr>
            <w:r w:rsidRPr="007944F8">
              <w:rPr>
                <w:rFonts w:ascii="Times New Roman" w:hAnsi="Times New Roman"/>
                <w:sz w:val="22"/>
                <w:lang w:val="fr-FR" w:bidi="fr-FR"/>
              </w:rPr>
              <w:t>Contrôler la fonction rénale (créatinine sérique) régulièrement et s’assurer que le patient est bien hydraté.</w:t>
            </w:r>
          </w:p>
          <w:p w14:paraId="5AB9A7FD" w14:textId="77777777" w:rsidR="003C2F4C" w:rsidRPr="007944F8" w:rsidRDefault="003C2F4C" w:rsidP="00E96874">
            <w:pPr>
              <w:pStyle w:val="Table"/>
              <w:keepLines w:val="0"/>
              <w:widowControl w:val="0"/>
              <w:numPr>
                <w:ilvl w:val="0"/>
                <w:numId w:val="9"/>
              </w:numPr>
              <w:tabs>
                <w:tab w:val="clear" w:pos="284"/>
              </w:tabs>
              <w:spacing w:before="0" w:after="0"/>
              <w:ind w:left="596" w:hanging="567"/>
              <w:rPr>
                <w:rFonts w:ascii="Times New Roman" w:hAnsi="Times New Roman"/>
                <w:sz w:val="22"/>
                <w:szCs w:val="22"/>
                <w:lang w:val="fr-FR" w:bidi="fr-FR"/>
              </w:rPr>
            </w:pPr>
            <w:r w:rsidRPr="007944F8">
              <w:rPr>
                <w:rFonts w:ascii="Times New Roman" w:hAnsi="Times New Roman"/>
                <w:sz w:val="22"/>
                <w:lang w:val="fr-FR" w:bidi="fr-FR"/>
              </w:rPr>
              <w:t xml:space="preserve">Si la fonction rénale n’est </w:t>
            </w:r>
            <w:r w:rsidRPr="007944F8">
              <w:rPr>
                <w:rFonts w:ascii="Times New Roman" w:hAnsi="Times New Roman"/>
                <w:b/>
                <w:sz w:val="22"/>
                <w:lang w:val="fr-FR" w:bidi="fr-FR"/>
              </w:rPr>
              <w:t>pas altérée</w:t>
            </w:r>
            <w:r w:rsidRPr="007944F8">
              <w:rPr>
                <w:rFonts w:ascii="Times New Roman" w:hAnsi="Times New Roman"/>
                <w:sz w:val="22"/>
                <w:lang w:val="fr-FR" w:bidi="fr-FR"/>
              </w:rPr>
              <w:t xml:space="preserve"> et que le taux de </w:t>
            </w:r>
            <w:r w:rsidR="00B56846" w:rsidRPr="007944F8">
              <w:rPr>
                <w:rFonts w:ascii="Times New Roman" w:hAnsi="Times New Roman"/>
                <w:sz w:val="22"/>
                <w:lang w:val="fr-FR" w:bidi="fr-FR"/>
              </w:rPr>
              <w:t>CPK</w:t>
            </w:r>
            <w:r w:rsidRPr="007944F8">
              <w:rPr>
                <w:rFonts w:ascii="Times New Roman" w:hAnsi="Times New Roman"/>
                <w:sz w:val="22"/>
                <w:lang w:val="fr-FR" w:bidi="fr-FR"/>
              </w:rPr>
              <w:t xml:space="preserve"> redescend à sa valeur initiale, envisager la r</w:t>
            </w:r>
            <w:r w:rsidR="007A6117" w:rsidRPr="007944F8">
              <w:rPr>
                <w:rFonts w:ascii="Times New Roman" w:hAnsi="Times New Roman"/>
                <w:sz w:val="22"/>
                <w:lang w:val="fr-FR" w:bidi="fr-FR"/>
              </w:rPr>
              <w:t>eprise du traitement à la dose de</w:t>
            </w:r>
            <w:r w:rsidRPr="007944F8">
              <w:rPr>
                <w:rFonts w:ascii="Times New Roman" w:hAnsi="Times New Roman"/>
                <w:sz w:val="22"/>
                <w:lang w:val="fr-FR" w:bidi="fr-FR"/>
              </w:rPr>
              <w:t xml:space="preserve"> 200 mg tous les deux jours. Le taux de </w:t>
            </w:r>
            <w:r w:rsidR="00B56846" w:rsidRPr="007944F8">
              <w:rPr>
                <w:rFonts w:ascii="Times New Roman" w:hAnsi="Times New Roman"/>
                <w:sz w:val="22"/>
                <w:lang w:val="fr-FR" w:bidi="fr-FR"/>
              </w:rPr>
              <w:t>CPK</w:t>
            </w:r>
            <w:r w:rsidRPr="007944F8">
              <w:rPr>
                <w:rFonts w:ascii="Times New Roman" w:hAnsi="Times New Roman"/>
                <w:sz w:val="22"/>
                <w:lang w:val="fr-FR" w:bidi="fr-FR"/>
              </w:rPr>
              <w:t xml:space="preserve"> doit être mesuré toutes les semaines pendant les 2 mois qui suivent</w:t>
            </w:r>
            <w:r w:rsidR="00561ED8" w:rsidRPr="007944F8">
              <w:rPr>
                <w:rFonts w:ascii="Times New Roman" w:hAnsi="Times New Roman"/>
                <w:sz w:val="22"/>
                <w:lang w:val="fr-FR" w:bidi="fr-FR"/>
              </w:rPr>
              <w:t xml:space="preserve"> la reprise du traitement par</w:t>
            </w:r>
            <w:r w:rsidRPr="007944F8">
              <w:rPr>
                <w:rFonts w:ascii="Times New Roman" w:hAnsi="Times New Roman"/>
                <w:sz w:val="22"/>
                <w:lang w:val="fr-FR" w:bidi="fr-FR"/>
              </w:rPr>
              <w:t xml:space="preserve"> sonidégib, puis tous les mois.</w:t>
            </w:r>
          </w:p>
        </w:tc>
      </w:tr>
      <w:tr w:rsidR="003C2F4C" w:rsidRPr="007944F8" w14:paraId="39670092" w14:textId="77777777" w:rsidTr="00311782">
        <w:trPr>
          <w:cantSplit/>
          <w:trHeight w:val="1012"/>
        </w:trPr>
        <w:tc>
          <w:tcPr>
            <w:tcW w:w="4649" w:type="dxa"/>
            <w:shd w:val="clear" w:color="auto" w:fill="auto"/>
            <w:vAlign w:val="center"/>
          </w:tcPr>
          <w:p w14:paraId="6A706F5C" w14:textId="77777777" w:rsidR="003C2F4C" w:rsidRPr="007944F8" w:rsidRDefault="003C2F4C" w:rsidP="00E93E8B">
            <w:pPr>
              <w:pStyle w:val="Table"/>
              <w:widowControl w:val="0"/>
              <w:tabs>
                <w:tab w:val="clear" w:pos="284"/>
              </w:tabs>
              <w:spacing w:before="0" w:after="0"/>
              <w:rPr>
                <w:rFonts w:ascii="Times New Roman" w:hAnsi="Times New Roman"/>
                <w:sz w:val="22"/>
                <w:szCs w:val="22"/>
                <w:lang w:val="fr-FR" w:bidi="fr-FR"/>
              </w:rPr>
            </w:pPr>
            <w:r w:rsidRPr="007944F8">
              <w:rPr>
                <w:rFonts w:ascii="Times New Roman" w:hAnsi="Times New Roman"/>
                <w:sz w:val="22"/>
                <w:lang w:val="fr-FR" w:bidi="fr-FR"/>
              </w:rPr>
              <w:t xml:space="preserve">Grade 2, 3 ou 4 </w:t>
            </w:r>
            <w:r w:rsidRPr="007944F8">
              <w:rPr>
                <w:rFonts w:ascii="Times New Roman" w:hAnsi="Times New Roman"/>
                <w:b/>
                <w:sz w:val="22"/>
                <w:lang w:val="fr-FR" w:bidi="fr-FR"/>
              </w:rPr>
              <w:t>avec</w:t>
            </w:r>
            <w:r w:rsidRPr="007944F8">
              <w:rPr>
                <w:rFonts w:ascii="Times New Roman" w:hAnsi="Times New Roman"/>
                <w:sz w:val="22"/>
                <w:lang w:val="fr-FR" w:bidi="fr-FR"/>
              </w:rPr>
              <w:t xml:space="preserve"> insuffisance rénale</w:t>
            </w:r>
          </w:p>
          <w:p w14:paraId="766D0D43" w14:textId="77777777" w:rsidR="00383B0C" w:rsidRPr="007944F8" w:rsidRDefault="00383B0C" w:rsidP="00E93E8B">
            <w:pPr>
              <w:pStyle w:val="Table"/>
              <w:widowControl w:val="0"/>
              <w:tabs>
                <w:tab w:val="clear" w:pos="284"/>
              </w:tabs>
              <w:spacing w:before="0" w:after="0"/>
              <w:rPr>
                <w:rFonts w:ascii="Times New Roman" w:hAnsi="Times New Roman"/>
                <w:sz w:val="22"/>
                <w:szCs w:val="22"/>
                <w:lang w:val="fr-FR" w:bidi="fr-FR"/>
              </w:rPr>
            </w:pPr>
            <w:r w:rsidRPr="007944F8">
              <w:rPr>
                <w:rFonts w:ascii="Times New Roman" w:hAnsi="Times New Roman"/>
                <w:sz w:val="22"/>
                <w:lang w:val="fr-FR" w:bidi="fr-FR"/>
              </w:rPr>
              <w:t>(Cr sérique &gt; LSN)</w:t>
            </w:r>
          </w:p>
        </w:tc>
        <w:tc>
          <w:tcPr>
            <w:tcW w:w="4650" w:type="dxa"/>
            <w:shd w:val="clear" w:color="auto" w:fill="auto"/>
            <w:vAlign w:val="center"/>
          </w:tcPr>
          <w:p w14:paraId="50A2B24F" w14:textId="77777777" w:rsidR="00A97164" w:rsidRPr="007944F8" w:rsidRDefault="003C2F4C" w:rsidP="00E96874">
            <w:pPr>
              <w:pStyle w:val="Table"/>
              <w:widowControl w:val="0"/>
              <w:numPr>
                <w:ilvl w:val="0"/>
                <w:numId w:val="10"/>
              </w:numPr>
              <w:tabs>
                <w:tab w:val="clear" w:pos="284"/>
              </w:tabs>
              <w:spacing w:before="0" w:after="0"/>
              <w:ind w:left="596" w:hanging="567"/>
              <w:rPr>
                <w:rFonts w:ascii="Times New Roman" w:hAnsi="Times New Roman"/>
                <w:sz w:val="22"/>
                <w:szCs w:val="22"/>
                <w:lang w:val="fr-FR" w:bidi="fr-FR"/>
              </w:rPr>
            </w:pPr>
            <w:r w:rsidRPr="007944F8">
              <w:rPr>
                <w:rFonts w:ascii="Times New Roman" w:hAnsi="Times New Roman"/>
                <w:sz w:val="22"/>
                <w:lang w:val="fr-FR" w:bidi="fr-FR"/>
              </w:rPr>
              <w:t xml:space="preserve">Si la fonction rénale </w:t>
            </w:r>
            <w:r w:rsidRPr="007944F8">
              <w:rPr>
                <w:rFonts w:ascii="Times New Roman" w:hAnsi="Times New Roman"/>
                <w:b/>
                <w:sz w:val="22"/>
                <w:lang w:val="fr-FR" w:bidi="fr-FR"/>
              </w:rPr>
              <w:t>est altérée</w:t>
            </w:r>
            <w:r w:rsidRPr="007944F8">
              <w:rPr>
                <w:rFonts w:ascii="Times New Roman" w:hAnsi="Times New Roman"/>
                <w:sz w:val="22"/>
                <w:lang w:val="fr-FR" w:bidi="fr-FR"/>
              </w:rPr>
              <w:t>, interrompre le traitement et s’assurer que le patient est bien hydraté, puis évaluer les autres causes secondaires de l’insuffisance rénale.</w:t>
            </w:r>
          </w:p>
          <w:p w14:paraId="0C9F5AFE" w14:textId="77777777" w:rsidR="00D16431" w:rsidRPr="007944F8" w:rsidRDefault="00D16431" w:rsidP="00E96874">
            <w:pPr>
              <w:pStyle w:val="Table"/>
              <w:widowControl w:val="0"/>
              <w:numPr>
                <w:ilvl w:val="0"/>
                <w:numId w:val="10"/>
              </w:numPr>
              <w:tabs>
                <w:tab w:val="clear" w:pos="284"/>
              </w:tabs>
              <w:spacing w:before="0" w:after="0"/>
              <w:ind w:left="596" w:hanging="567"/>
              <w:rPr>
                <w:rFonts w:ascii="Times New Roman" w:hAnsi="Times New Roman"/>
                <w:sz w:val="22"/>
                <w:szCs w:val="22"/>
                <w:lang w:val="fr-FR" w:bidi="fr-FR"/>
              </w:rPr>
            </w:pPr>
            <w:r w:rsidRPr="007944F8">
              <w:rPr>
                <w:rFonts w:ascii="Times New Roman" w:hAnsi="Times New Roman"/>
                <w:sz w:val="22"/>
                <w:lang w:val="fr-FR" w:bidi="fr-FR"/>
              </w:rPr>
              <w:t xml:space="preserve">Surveiller les taux de </w:t>
            </w:r>
            <w:r w:rsidR="00B56846" w:rsidRPr="007944F8">
              <w:rPr>
                <w:rFonts w:ascii="Times New Roman" w:hAnsi="Times New Roman"/>
                <w:sz w:val="22"/>
                <w:lang w:val="fr-FR" w:bidi="fr-FR"/>
              </w:rPr>
              <w:t>CPK</w:t>
            </w:r>
            <w:r w:rsidRPr="007944F8">
              <w:rPr>
                <w:rFonts w:ascii="Times New Roman" w:hAnsi="Times New Roman"/>
                <w:sz w:val="22"/>
                <w:lang w:val="fr-FR" w:bidi="fr-FR"/>
              </w:rPr>
              <w:t xml:space="preserve"> et de créatinine sér</w:t>
            </w:r>
            <w:r w:rsidR="00B56846" w:rsidRPr="007944F8">
              <w:rPr>
                <w:rFonts w:ascii="Times New Roman" w:hAnsi="Times New Roman"/>
                <w:sz w:val="22"/>
                <w:lang w:val="fr-FR" w:bidi="fr-FR"/>
              </w:rPr>
              <w:t>ique toutes les semaines jusqu’au retour</w:t>
            </w:r>
            <w:r w:rsidRPr="007944F8">
              <w:rPr>
                <w:rFonts w:ascii="Times New Roman" w:hAnsi="Times New Roman"/>
                <w:sz w:val="22"/>
                <w:lang w:val="fr-FR" w:bidi="fr-FR"/>
              </w:rPr>
              <w:t xml:space="preserve"> à leur valeur initiale. Surveiller l’évolution des symptômes musculaires jusqu’à leur disparition.</w:t>
            </w:r>
          </w:p>
          <w:p w14:paraId="58727107" w14:textId="77777777" w:rsidR="003C2F4C" w:rsidRPr="007944F8" w:rsidRDefault="003C2F4C" w:rsidP="00E96874">
            <w:pPr>
              <w:pStyle w:val="Table"/>
              <w:widowControl w:val="0"/>
              <w:numPr>
                <w:ilvl w:val="0"/>
                <w:numId w:val="10"/>
              </w:numPr>
              <w:tabs>
                <w:tab w:val="clear" w:pos="284"/>
              </w:tabs>
              <w:spacing w:before="0" w:after="0"/>
              <w:ind w:left="596" w:hanging="567"/>
              <w:rPr>
                <w:rFonts w:ascii="Times New Roman" w:hAnsi="Times New Roman"/>
                <w:sz w:val="22"/>
                <w:szCs w:val="22"/>
                <w:lang w:val="fr-FR" w:bidi="fr-FR"/>
              </w:rPr>
            </w:pPr>
            <w:r w:rsidRPr="007944F8">
              <w:rPr>
                <w:rFonts w:ascii="Times New Roman" w:hAnsi="Times New Roman"/>
                <w:sz w:val="22"/>
                <w:lang w:val="fr-FR" w:bidi="fr-FR"/>
              </w:rPr>
              <w:t xml:space="preserve">Si les taux de </w:t>
            </w:r>
            <w:r w:rsidR="00B56846" w:rsidRPr="007944F8">
              <w:rPr>
                <w:rFonts w:ascii="Times New Roman" w:hAnsi="Times New Roman"/>
                <w:sz w:val="22"/>
                <w:lang w:val="fr-FR" w:bidi="fr-FR"/>
              </w:rPr>
              <w:t>CPK</w:t>
            </w:r>
            <w:r w:rsidRPr="007944F8">
              <w:rPr>
                <w:rFonts w:ascii="Times New Roman" w:hAnsi="Times New Roman"/>
                <w:sz w:val="22"/>
                <w:lang w:val="fr-FR" w:bidi="fr-FR"/>
              </w:rPr>
              <w:t xml:space="preserve"> et de créatinine sérique </w:t>
            </w:r>
            <w:r w:rsidR="00B56846" w:rsidRPr="007944F8">
              <w:rPr>
                <w:rFonts w:ascii="Times New Roman" w:hAnsi="Times New Roman"/>
                <w:sz w:val="22"/>
                <w:lang w:val="fr-FR" w:bidi="fr-FR"/>
              </w:rPr>
              <w:t>retrouvent</w:t>
            </w:r>
            <w:r w:rsidRPr="007944F8">
              <w:rPr>
                <w:rFonts w:ascii="Times New Roman" w:hAnsi="Times New Roman"/>
                <w:sz w:val="22"/>
                <w:lang w:val="fr-FR" w:bidi="fr-FR"/>
              </w:rPr>
              <w:t xml:space="preserve"> </w:t>
            </w:r>
            <w:r w:rsidR="00B56846" w:rsidRPr="007944F8">
              <w:rPr>
                <w:rFonts w:ascii="Times New Roman" w:hAnsi="Times New Roman"/>
                <w:sz w:val="22"/>
                <w:lang w:val="fr-FR" w:bidi="fr-FR"/>
              </w:rPr>
              <w:t>leurs</w:t>
            </w:r>
            <w:r w:rsidRPr="007944F8">
              <w:rPr>
                <w:rFonts w:ascii="Times New Roman" w:hAnsi="Times New Roman"/>
                <w:sz w:val="22"/>
                <w:lang w:val="fr-FR" w:bidi="fr-FR"/>
              </w:rPr>
              <w:t xml:space="preserve"> valeur</w:t>
            </w:r>
            <w:r w:rsidR="00B56846" w:rsidRPr="007944F8">
              <w:rPr>
                <w:rFonts w:ascii="Times New Roman" w:hAnsi="Times New Roman"/>
                <w:sz w:val="22"/>
                <w:lang w:val="fr-FR" w:bidi="fr-FR"/>
              </w:rPr>
              <w:t>s</w:t>
            </w:r>
            <w:r w:rsidRPr="007944F8">
              <w:rPr>
                <w:rFonts w:ascii="Times New Roman" w:hAnsi="Times New Roman"/>
                <w:sz w:val="22"/>
                <w:lang w:val="fr-FR" w:bidi="fr-FR"/>
              </w:rPr>
              <w:t xml:space="preserve"> initiale</w:t>
            </w:r>
            <w:r w:rsidR="00B56846" w:rsidRPr="007944F8">
              <w:rPr>
                <w:rFonts w:ascii="Times New Roman" w:hAnsi="Times New Roman"/>
                <w:sz w:val="22"/>
                <w:lang w:val="fr-FR" w:bidi="fr-FR"/>
              </w:rPr>
              <w:t>s</w:t>
            </w:r>
            <w:r w:rsidRPr="007944F8">
              <w:rPr>
                <w:rFonts w:ascii="Times New Roman" w:hAnsi="Times New Roman"/>
                <w:sz w:val="22"/>
                <w:lang w:val="fr-FR" w:bidi="fr-FR"/>
              </w:rPr>
              <w:t xml:space="preserve">, envisager la reprise du traitement à </w:t>
            </w:r>
            <w:r w:rsidR="00B56846" w:rsidRPr="007944F8">
              <w:rPr>
                <w:rFonts w:ascii="Times New Roman" w:hAnsi="Times New Roman"/>
                <w:sz w:val="22"/>
                <w:lang w:val="fr-FR" w:bidi="fr-FR"/>
              </w:rPr>
              <w:t>la dose</w:t>
            </w:r>
            <w:r w:rsidRPr="007944F8">
              <w:rPr>
                <w:rFonts w:ascii="Times New Roman" w:hAnsi="Times New Roman"/>
                <w:sz w:val="22"/>
                <w:lang w:val="fr-FR" w:bidi="fr-FR"/>
              </w:rPr>
              <w:t xml:space="preserve"> de 200 mg tous les deux jours et mesurer le taux de </w:t>
            </w:r>
            <w:r w:rsidR="00B56846" w:rsidRPr="007944F8">
              <w:rPr>
                <w:rFonts w:ascii="Times New Roman" w:hAnsi="Times New Roman"/>
                <w:sz w:val="22"/>
                <w:lang w:val="fr-FR" w:bidi="fr-FR"/>
              </w:rPr>
              <w:t>CPK</w:t>
            </w:r>
            <w:r w:rsidRPr="007944F8">
              <w:rPr>
                <w:rFonts w:ascii="Times New Roman" w:hAnsi="Times New Roman"/>
                <w:sz w:val="22"/>
                <w:lang w:val="fr-FR" w:bidi="fr-FR"/>
              </w:rPr>
              <w:t xml:space="preserve"> toutes les semaines pendant 2 mois, puis tous les mois ; sinon, arrêter le traitement définitivement.</w:t>
            </w:r>
          </w:p>
        </w:tc>
      </w:tr>
    </w:tbl>
    <w:p w14:paraId="3F8DB183" w14:textId="77777777" w:rsidR="009008CF" w:rsidRPr="007944F8" w:rsidRDefault="009008CF" w:rsidP="00EF04E5">
      <w:pPr>
        <w:pStyle w:val="Text"/>
        <w:widowControl w:val="0"/>
        <w:spacing w:before="0"/>
        <w:rPr>
          <w:sz w:val="22"/>
          <w:szCs w:val="22"/>
        </w:rPr>
      </w:pPr>
    </w:p>
    <w:p w14:paraId="39DFCB94" w14:textId="77777777" w:rsidR="003C2F4C" w:rsidRPr="007944F8" w:rsidRDefault="003C2F4C" w:rsidP="00E96874">
      <w:pPr>
        <w:pStyle w:val="Text"/>
        <w:widowControl w:val="0"/>
        <w:spacing w:before="0"/>
        <w:ind w:left="567" w:hanging="567"/>
        <w:jc w:val="left"/>
        <w:rPr>
          <w:sz w:val="22"/>
          <w:szCs w:val="22"/>
        </w:rPr>
      </w:pPr>
      <w:r w:rsidRPr="007944F8">
        <w:rPr>
          <w:sz w:val="22"/>
        </w:rPr>
        <w:t>*</w:t>
      </w:r>
      <w:r w:rsidRPr="007944F8">
        <w:tab/>
      </w:r>
      <w:r w:rsidRPr="007944F8">
        <w:rPr>
          <w:sz w:val="22"/>
          <w:szCs w:val="22"/>
        </w:rPr>
        <w:t>Les recommandations ci-dessus relatives aux modifications de posologie reposent sur les critères </w:t>
      </w:r>
      <w:hyperlink r:id="rId11">
        <w:r w:rsidRPr="007944F8">
          <w:rPr>
            <w:sz w:val="22"/>
            <w:szCs w:val="22"/>
          </w:rPr>
          <w:t>CTCAE</w:t>
        </w:r>
      </w:hyperlink>
      <w:r w:rsidRPr="007944F8">
        <w:rPr>
          <w:sz w:val="22"/>
          <w:szCs w:val="22"/>
        </w:rPr>
        <w:t xml:space="preserve"> (Common Terminology Criteria for Adverse Events) v4.03,</w:t>
      </w:r>
      <w:r w:rsidRPr="007944F8">
        <w:rPr>
          <w:b/>
          <w:sz w:val="22"/>
          <w:szCs w:val="22"/>
        </w:rPr>
        <w:t xml:space="preserve"> </w:t>
      </w:r>
      <w:r w:rsidRPr="007944F8">
        <w:rPr>
          <w:sz w:val="22"/>
          <w:szCs w:val="22"/>
        </w:rPr>
        <w:t xml:space="preserve">mis au point par le National Cancer Institute (États-Unis). Les critères CTCAE constituent une classification standardisée des </w:t>
      </w:r>
      <w:r w:rsidR="004D45EC">
        <w:rPr>
          <w:sz w:val="22"/>
          <w:szCs w:val="22"/>
          <w:lang w:val="fr-FR"/>
        </w:rPr>
        <w:t>é</w:t>
      </w:r>
      <w:r w:rsidR="00E1541F">
        <w:rPr>
          <w:sz w:val="22"/>
          <w:szCs w:val="22"/>
          <w:lang w:val="fr-FR"/>
        </w:rPr>
        <w:t>vé</w:t>
      </w:r>
      <w:r w:rsidR="004D45EC">
        <w:rPr>
          <w:sz w:val="22"/>
          <w:szCs w:val="22"/>
          <w:lang w:val="fr-FR"/>
        </w:rPr>
        <w:t>nements</w:t>
      </w:r>
      <w:r w:rsidR="004D45EC" w:rsidRPr="007944F8">
        <w:rPr>
          <w:sz w:val="22"/>
          <w:szCs w:val="22"/>
        </w:rPr>
        <w:t xml:space="preserve"> </w:t>
      </w:r>
      <w:r w:rsidRPr="007944F8">
        <w:rPr>
          <w:sz w:val="22"/>
          <w:szCs w:val="22"/>
        </w:rPr>
        <w:t>indésirables utilisée pour l’évaluation des médicaments anticancéreux.</w:t>
      </w:r>
    </w:p>
    <w:p w14:paraId="5991B033" w14:textId="77777777" w:rsidR="00D23BBA" w:rsidRPr="007944F8" w:rsidRDefault="00261484" w:rsidP="00E96874">
      <w:pPr>
        <w:pStyle w:val="Legend"/>
        <w:keepLines w:val="0"/>
        <w:widowControl w:val="0"/>
        <w:tabs>
          <w:tab w:val="clear" w:pos="284"/>
        </w:tabs>
        <w:spacing w:before="0" w:after="0"/>
        <w:ind w:left="567" w:hanging="567"/>
        <w:rPr>
          <w:rFonts w:ascii="Times New Roman" w:hAnsi="Times New Roman"/>
          <w:sz w:val="22"/>
          <w:szCs w:val="22"/>
        </w:rPr>
      </w:pPr>
      <w:r w:rsidRPr="007944F8">
        <w:rPr>
          <w:rFonts w:ascii="Times New Roman" w:hAnsi="Times New Roman"/>
          <w:sz w:val="22"/>
        </w:rPr>
        <w:t>Cr : créatinine ; LSN : limite supérieure de la normale</w:t>
      </w:r>
    </w:p>
    <w:p w14:paraId="452180A6" w14:textId="77777777" w:rsidR="00E40650" w:rsidRPr="007944F8" w:rsidRDefault="00E40650" w:rsidP="00E93E8B">
      <w:pPr>
        <w:widowControl w:val="0"/>
        <w:tabs>
          <w:tab w:val="clear" w:pos="567"/>
        </w:tabs>
        <w:spacing w:line="240" w:lineRule="auto"/>
      </w:pPr>
    </w:p>
    <w:p w14:paraId="31513E44" w14:textId="77777777" w:rsidR="003D403F" w:rsidRPr="007944F8" w:rsidRDefault="003D403F" w:rsidP="00BE7F7C">
      <w:pPr>
        <w:keepNext/>
        <w:widowControl w:val="0"/>
        <w:tabs>
          <w:tab w:val="clear" w:pos="567"/>
        </w:tabs>
        <w:spacing w:line="240" w:lineRule="auto"/>
        <w:outlineLvl w:val="0"/>
        <w:rPr>
          <w:i/>
          <w:u w:val="single"/>
        </w:rPr>
      </w:pPr>
      <w:r w:rsidRPr="007944F8">
        <w:rPr>
          <w:i/>
          <w:u w:val="single"/>
        </w:rPr>
        <w:t>Autres modifications de posologie</w:t>
      </w:r>
    </w:p>
    <w:p w14:paraId="14CE8801" w14:textId="77777777" w:rsidR="009C1725" w:rsidRPr="007944F8" w:rsidRDefault="009C1725" w:rsidP="00E96874">
      <w:pPr>
        <w:widowControl w:val="0"/>
        <w:tabs>
          <w:tab w:val="clear" w:pos="567"/>
        </w:tabs>
        <w:spacing w:line="240" w:lineRule="auto"/>
      </w:pPr>
      <w:r w:rsidRPr="007944F8">
        <w:t>La prise en charge d’</w:t>
      </w:r>
      <w:r w:rsidR="009057A8" w:rsidRPr="007944F8">
        <w:t>effe</w:t>
      </w:r>
      <w:r w:rsidR="00CC2118" w:rsidRPr="007944F8">
        <w:t>ts</w:t>
      </w:r>
      <w:r w:rsidRPr="007944F8">
        <w:t xml:space="preserve"> indésirables </w:t>
      </w:r>
      <w:r w:rsidR="009057A8" w:rsidRPr="007944F8">
        <w:t>sévèr</w:t>
      </w:r>
      <w:r w:rsidRPr="007944F8">
        <w:t>e</w:t>
      </w:r>
      <w:r w:rsidR="00CC2118" w:rsidRPr="007944F8">
        <w:t>s</w:t>
      </w:r>
      <w:r w:rsidRPr="007944F8">
        <w:t xml:space="preserve"> ou non tolérable</w:t>
      </w:r>
      <w:r w:rsidR="00CC2118" w:rsidRPr="007944F8">
        <w:t>s</w:t>
      </w:r>
      <w:r w:rsidRPr="007944F8">
        <w:t xml:space="preserve"> peut </w:t>
      </w:r>
      <w:r w:rsidR="00E03054" w:rsidRPr="007944F8">
        <w:t>nécessiter</w:t>
      </w:r>
      <w:r w:rsidRPr="007944F8">
        <w:t xml:space="preserve"> une interruption temporaire du traitement (avec ou sans diminution de dose ultérieur</w:t>
      </w:r>
      <w:r w:rsidR="00CC2118" w:rsidRPr="007944F8">
        <w:t>e</w:t>
      </w:r>
      <w:r w:rsidRPr="007944F8">
        <w:t xml:space="preserve">) ou </w:t>
      </w:r>
      <w:r w:rsidR="009057A8" w:rsidRPr="007944F8">
        <w:t>son</w:t>
      </w:r>
      <w:r w:rsidRPr="007944F8">
        <w:t xml:space="preserve"> arrêt.</w:t>
      </w:r>
    </w:p>
    <w:p w14:paraId="524444E9" w14:textId="77777777" w:rsidR="009C1725" w:rsidRPr="007944F8" w:rsidRDefault="009C1725" w:rsidP="00E96874">
      <w:pPr>
        <w:widowControl w:val="0"/>
        <w:tabs>
          <w:tab w:val="clear" w:pos="567"/>
        </w:tabs>
        <w:spacing w:line="240" w:lineRule="auto"/>
      </w:pPr>
    </w:p>
    <w:p w14:paraId="2014817A" w14:textId="77777777" w:rsidR="009C1725" w:rsidRPr="007944F8" w:rsidRDefault="00CC2118" w:rsidP="00E96874">
      <w:pPr>
        <w:widowControl w:val="0"/>
        <w:tabs>
          <w:tab w:val="clear" w:pos="567"/>
        </w:tabs>
        <w:spacing w:line="240" w:lineRule="auto"/>
      </w:pPr>
      <w:r w:rsidRPr="007944F8">
        <w:t>Lorsque</w:t>
      </w:r>
      <w:r w:rsidR="009C1725" w:rsidRPr="007944F8">
        <w:t xml:space="preserve"> l’interruption du traitement est </w:t>
      </w:r>
      <w:r w:rsidRPr="007944F8">
        <w:t>nécessaire</w:t>
      </w:r>
      <w:r w:rsidR="009C1725" w:rsidRPr="007944F8">
        <w:t xml:space="preserve">, il doit être </w:t>
      </w:r>
      <w:r w:rsidR="00D676AF" w:rsidRPr="007944F8">
        <w:t>envisagé</w:t>
      </w:r>
      <w:r w:rsidR="00D04069" w:rsidRPr="007944F8">
        <w:t>, après la résolution de l’effet indésirable à un grade</w:t>
      </w:r>
      <w:r w:rsidR="009C1725" w:rsidRPr="007944F8">
        <w:t xml:space="preserve"> </w:t>
      </w:r>
      <w:r w:rsidR="00D04069" w:rsidRPr="007944F8">
        <w:t>≤ 1</w:t>
      </w:r>
      <w:r w:rsidR="00730E8C" w:rsidRPr="007944F8">
        <w:t>,</w:t>
      </w:r>
      <w:r w:rsidR="00D04069" w:rsidRPr="007944F8">
        <w:t xml:space="preserve"> </w:t>
      </w:r>
      <w:r w:rsidR="009C1725" w:rsidRPr="007944F8">
        <w:t>de reprendre Odomzo à la même dose</w:t>
      </w:r>
      <w:r w:rsidR="00D04069" w:rsidRPr="007944F8">
        <w:t>.</w:t>
      </w:r>
    </w:p>
    <w:p w14:paraId="4DB7EF33" w14:textId="77777777" w:rsidR="00ED7FE5" w:rsidRPr="007944F8" w:rsidRDefault="00ED7FE5" w:rsidP="00E96874">
      <w:pPr>
        <w:widowControl w:val="0"/>
        <w:tabs>
          <w:tab w:val="clear" w:pos="567"/>
        </w:tabs>
        <w:spacing w:line="240" w:lineRule="auto"/>
        <w:rPr>
          <w:u w:val="single"/>
        </w:rPr>
      </w:pPr>
    </w:p>
    <w:p w14:paraId="2460551D" w14:textId="77777777" w:rsidR="003D403F" w:rsidRPr="007944F8" w:rsidRDefault="00B56846" w:rsidP="00E96874">
      <w:pPr>
        <w:widowControl w:val="0"/>
        <w:tabs>
          <w:tab w:val="clear" w:pos="567"/>
        </w:tabs>
        <w:spacing w:line="240" w:lineRule="auto"/>
      </w:pPr>
      <w:r w:rsidRPr="007944F8">
        <w:t>Lorsqu’</w:t>
      </w:r>
      <w:r w:rsidR="003D403F" w:rsidRPr="007944F8">
        <w:t>une diminution de la posologie est nécessaire</w:t>
      </w:r>
      <w:r w:rsidR="00ED7FE5" w:rsidRPr="007944F8">
        <w:t>,</w:t>
      </w:r>
      <w:r w:rsidR="003D403F" w:rsidRPr="007944F8">
        <w:t xml:space="preserve"> la dose doit être </w:t>
      </w:r>
      <w:r w:rsidRPr="007944F8">
        <w:t>diminuée</w:t>
      </w:r>
      <w:r w:rsidR="003D403F" w:rsidRPr="007944F8">
        <w:t xml:space="preserve"> à 200 mg tous les deux jours. Si le m</w:t>
      </w:r>
      <w:r w:rsidRPr="007944F8">
        <w:t>ême effet indésirable survient</w:t>
      </w:r>
      <w:r w:rsidR="003D403F" w:rsidRPr="007944F8">
        <w:t xml:space="preserve"> après avoir réduit la fréquence de prise à un jour sur deux et ne présente aucune amélioration, il convient d’envisager l’arrêt du traitement par Odomzo.</w:t>
      </w:r>
    </w:p>
    <w:p w14:paraId="1EAE0E5B" w14:textId="77777777" w:rsidR="008B3125" w:rsidRPr="007944F8" w:rsidRDefault="008B3125" w:rsidP="00E96874">
      <w:pPr>
        <w:widowControl w:val="0"/>
        <w:tabs>
          <w:tab w:val="clear" w:pos="567"/>
        </w:tabs>
        <w:spacing w:line="240" w:lineRule="auto"/>
      </w:pPr>
    </w:p>
    <w:p w14:paraId="16698437" w14:textId="77777777" w:rsidR="00655B9F" w:rsidRPr="007944F8" w:rsidRDefault="00730E8C" w:rsidP="00E96874">
      <w:pPr>
        <w:widowControl w:val="0"/>
        <w:tabs>
          <w:tab w:val="clear" w:pos="567"/>
        </w:tabs>
        <w:spacing w:line="240" w:lineRule="auto"/>
      </w:pPr>
      <w:r w:rsidRPr="007944F8">
        <w:t>En raison</w:t>
      </w:r>
      <w:r w:rsidR="008B3125" w:rsidRPr="007944F8">
        <w:t xml:space="preserve"> de la longue demi-vie </w:t>
      </w:r>
      <w:r w:rsidRPr="007944F8">
        <w:t>de</w:t>
      </w:r>
      <w:r w:rsidR="008B3125" w:rsidRPr="007944F8">
        <w:t xml:space="preserve"> sonidégib</w:t>
      </w:r>
      <w:r w:rsidRPr="007944F8">
        <w:t>,</w:t>
      </w:r>
      <w:r w:rsidR="008B3125" w:rsidRPr="007944F8">
        <w:t xml:space="preserve"> </w:t>
      </w:r>
      <w:r w:rsidR="00B52955" w:rsidRPr="007944F8">
        <w:t xml:space="preserve">le plein </w:t>
      </w:r>
      <w:r w:rsidRPr="007944F8">
        <w:t xml:space="preserve">effet d’une interruption de traitement ou d’un ajustement de la posologie sur </w:t>
      </w:r>
      <w:r w:rsidR="00B52955" w:rsidRPr="007944F8">
        <w:t xml:space="preserve">plusieurs </w:t>
      </w:r>
      <w:r w:rsidRPr="007944F8">
        <w:t xml:space="preserve">effets indésirables </w:t>
      </w:r>
      <w:r w:rsidR="00B52955" w:rsidRPr="007944F8">
        <w:t>n’est attendu</w:t>
      </w:r>
      <w:r w:rsidR="005868A7" w:rsidRPr="007944F8">
        <w:t xml:space="preserve"> </w:t>
      </w:r>
      <w:r w:rsidRPr="007944F8">
        <w:t xml:space="preserve">généralement </w:t>
      </w:r>
      <w:r w:rsidR="00B52955" w:rsidRPr="007944F8">
        <w:t>qu’</w:t>
      </w:r>
      <w:r w:rsidRPr="007944F8">
        <w:t xml:space="preserve">après </w:t>
      </w:r>
      <w:r w:rsidR="005868A7" w:rsidRPr="007944F8">
        <w:t>quelques</w:t>
      </w:r>
      <w:r w:rsidRPr="007944F8">
        <w:t xml:space="preserve"> semaines (voir rubrique</w:t>
      </w:r>
      <w:r w:rsidR="00762D72" w:rsidRPr="007944F8">
        <w:t> </w:t>
      </w:r>
      <w:r w:rsidRPr="007944F8">
        <w:t>5.2).</w:t>
      </w:r>
    </w:p>
    <w:p w14:paraId="6901EC92" w14:textId="77777777" w:rsidR="00762137" w:rsidRPr="007944F8" w:rsidRDefault="00762137" w:rsidP="00E96874">
      <w:pPr>
        <w:widowControl w:val="0"/>
        <w:tabs>
          <w:tab w:val="clear" w:pos="567"/>
        </w:tabs>
        <w:spacing w:line="240" w:lineRule="auto"/>
      </w:pPr>
    </w:p>
    <w:p w14:paraId="09DD9EE5" w14:textId="77777777" w:rsidR="00762137" w:rsidRPr="007944F8" w:rsidRDefault="00762137" w:rsidP="00BE7F7C">
      <w:pPr>
        <w:keepNext/>
        <w:widowControl w:val="0"/>
        <w:tabs>
          <w:tab w:val="clear" w:pos="567"/>
        </w:tabs>
        <w:spacing w:line="240" w:lineRule="auto"/>
        <w:outlineLvl w:val="0"/>
        <w:rPr>
          <w:i/>
          <w:u w:val="single"/>
        </w:rPr>
      </w:pPr>
      <w:r w:rsidRPr="007944F8">
        <w:rPr>
          <w:i/>
          <w:u w:val="single"/>
        </w:rPr>
        <w:t>Durée du traitement</w:t>
      </w:r>
    </w:p>
    <w:p w14:paraId="1625625A" w14:textId="77777777" w:rsidR="00762137" w:rsidRPr="007944F8" w:rsidRDefault="00762137" w:rsidP="00E96874">
      <w:pPr>
        <w:widowControl w:val="0"/>
        <w:tabs>
          <w:tab w:val="clear" w:pos="567"/>
        </w:tabs>
        <w:spacing w:line="240" w:lineRule="auto"/>
      </w:pPr>
      <w:r w:rsidRPr="007944F8">
        <w:t xml:space="preserve">Dans les </w:t>
      </w:r>
      <w:r w:rsidR="00A207BA">
        <w:t>étude</w:t>
      </w:r>
      <w:r w:rsidR="00A207BA" w:rsidRPr="007944F8">
        <w:t xml:space="preserve">s </w:t>
      </w:r>
      <w:r w:rsidRPr="007944F8">
        <w:t>cliniques, le traitement par Odomzo</w:t>
      </w:r>
      <w:r w:rsidR="008976EA" w:rsidRPr="007944F8">
        <w:t xml:space="preserve"> a été poursuivi jusqu’à progression de la maladie ou toxicité inacceptable. Des interruptions de traitement allant jusqu’à 3</w:t>
      </w:r>
      <w:r w:rsidR="00762D72" w:rsidRPr="007944F8">
        <w:t> </w:t>
      </w:r>
      <w:r w:rsidR="008976EA" w:rsidRPr="007944F8">
        <w:t>semaines ont été autorisées en fonction de la tolérance individuelle.</w:t>
      </w:r>
    </w:p>
    <w:p w14:paraId="333AE226" w14:textId="77777777" w:rsidR="006F7CA2" w:rsidRPr="007944F8" w:rsidRDefault="006F7CA2" w:rsidP="00E96874">
      <w:pPr>
        <w:widowControl w:val="0"/>
        <w:tabs>
          <w:tab w:val="clear" w:pos="567"/>
        </w:tabs>
        <w:spacing w:line="240" w:lineRule="auto"/>
      </w:pPr>
    </w:p>
    <w:p w14:paraId="7502A245" w14:textId="77777777" w:rsidR="006F7CA2" w:rsidRPr="007944F8" w:rsidRDefault="006F7CA2" w:rsidP="00E96874">
      <w:pPr>
        <w:widowControl w:val="0"/>
        <w:tabs>
          <w:tab w:val="clear" w:pos="567"/>
        </w:tabs>
        <w:spacing w:line="240" w:lineRule="auto"/>
      </w:pPr>
      <w:r w:rsidRPr="007944F8">
        <w:t>Le bénéfice de l</w:t>
      </w:r>
      <w:r w:rsidR="001D6D7F" w:rsidRPr="007944F8">
        <w:t>a poursuite du traitement doit être évalué</w:t>
      </w:r>
      <w:r w:rsidRPr="007944F8">
        <w:t xml:space="preserve"> régulièrement, la durée optimale de traitement étant variable d’un patient à l’autre.</w:t>
      </w:r>
    </w:p>
    <w:p w14:paraId="01182270" w14:textId="77777777" w:rsidR="00E40650" w:rsidRPr="007944F8" w:rsidRDefault="00E40650" w:rsidP="00E96874">
      <w:pPr>
        <w:widowControl w:val="0"/>
        <w:tabs>
          <w:tab w:val="clear" w:pos="567"/>
        </w:tabs>
        <w:spacing w:line="240" w:lineRule="auto"/>
      </w:pPr>
    </w:p>
    <w:p w14:paraId="15EDCF6C" w14:textId="77777777" w:rsidR="00E94FBF" w:rsidRPr="007944F8" w:rsidRDefault="00E94FBF" w:rsidP="00BE7F7C">
      <w:pPr>
        <w:keepNext/>
        <w:widowControl w:val="0"/>
        <w:tabs>
          <w:tab w:val="clear" w:pos="567"/>
        </w:tabs>
        <w:spacing w:line="240" w:lineRule="auto"/>
        <w:outlineLvl w:val="0"/>
        <w:rPr>
          <w:i/>
          <w:szCs w:val="22"/>
          <w:u w:val="single"/>
        </w:rPr>
      </w:pPr>
      <w:r w:rsidRPr="007944F8">
        <w:rPr>
          <w:i/>
          <w:u w:val="single"/>
        </w:rPr>
        <w:t>Populations particulières</w:t>
      </w:r>
    </w:p>
    <w:p w14:paraId="5F3B2692" w14:textId="77777777" w:rsidR="003C2F4C" w:rsidRPr="007944F8" w:rsidRDefault="00B56846" w:rsidP="00BE7F7C">
      <w:pPr>
        <w:keepNext/>
        <w:widowControl w:val="0"/>
        <w:tabs>
          <w:tab w:val="clear" w:pos="567"/>
        </w:tabs>
        <w:spacing w:line="240" w:lineRule="auto"/>
        <w:outlineLvl w:val="0"/>
        <w:rPr>
          <w:bCs/>
          <w:i/>
          <w:iCs/>
          <w:szCs w:val="22"/>
        </w:rPr>
      </w:pPr>
      <w:r w:rsidRPr="007944F8">
        <w:rPr>
          <w:i/>
        </w:rPr>
        <w:t xml:space="preserve">Patients présentant une insuffisance </w:t>
      </w:r>
      <w:r w:rsidR="003C2F4C" w:rsidRPr="007944F8">
        <w:rPr>
          <w:i/>
        </w:rPr>
        <w:t>rénale</w:t>
      </w:r>
    </w:p>
    <w:p w14:paraId="7B438730" w14:textId="77777777" w:rsidR="003C2F4C" w:rsidRPr="007944F8" w:rsidRDefault="00B56846" w:rsidP="00E96874">
      <w:pPr>
        <w:widowControl w:val="0"/>
        <w:tabs>
          <w:tab w:val="clear" w:pos="567"/>
        </w:tabs>
        <w:spacing w:line="240" w:lineRule="auto"/>
        <w:rPr>
          <w:szCs w:val="22"/>
        </w:rPr>
      </w:pPr>
      <w:r w:rsidRPr="007944F8">
        <w:t>S</w:t>
      </w:r>
      <w:r w:rsidR="001D24F9" w:rsidRPr="007944F8">
        <w:t xml:space="preserve">onidégib n’a pas fait l’objet d’une étude pharmacocinétique spécifique chez des patients atteints d’insuffisance rénale. </w:t>
      </w:r>
      <w:r w:rsidRPr="007944F8">
        <w:t>Sur la base des</w:t>
      </w:r>
      <w:r w:rsidR="001D24F9" w:rsidRPr="007944F8">
        <w:t xml:space="preserve"> donné</w:t>
      </w:r>
      <w:r w:rsidRPr="007944F8">
        <w:t>es disponibles, l’élimination de</w:t>
      </w:r>
      <w:r w:rsidR="001D24F9" w:rsidRPr="007944F8">
        <w:t xml:space="preserve"> sonidégib par les reins est négligeable. Une analyse pharmacocinétique de population a révélé qu’une insuffisance rénale légère ou modérée n’avait pas d’effet significatif sur </w:t>
      </w:r>
      <w:r w:rsidRPr="007944F8">
        <w:t>la clairance apparente (CL/F) de</w:t>
      </w:r>
      <w:r w:rsidR="001D24F9" w:rsidRPr="007944F8">
        <w:t xml:space="preserve"> sonidégib, ce qui laisse penser qu’une adaptation posologique n’est pas nécessaire chez les patients atteints d’insuffisance rénale (voir rubrique 5.2). Aucune donnée d’efficacité ou de sécurité n’est disponible chez les patients présentant une insuffisance rénale sévère.</w:t>
      </w:r>
    </w:p>
    <w:p w14:paraId="68A6445B" w14:textId="77777777" w:rsidR="003C2F4C" w:rsidRPr="007944F8" w:rsidRDefault="003C2F4C" w:rsidP="00E93E8B">
      <w:pPr>
        <w:widowControl w:val="0"/>
        <w:tabs>
          <w:tab w:val="clear" w:pos="567"/>
        </w:tabs>
        <w:spacing w:line="240" w:lineRule="auto"/>
        <w:rPr>
          <w:bCs/>
          <w:iCs/>
          <w:szCs w:val="22"/>
        </w:rPr>
      </w:pPr>
    </w:p>
    <w:p w14:paraId="4D994414" w14:textId="77777777" w:rsidR="00B56846" w:rsidRPr="007944F8" w:rsidRDefault="00B56846" w:rsidP="00BE7F7C">
      <w:pPr>
        <w:keepNext/>
        <w:widowControl w:val="0"/>
        <w:tabs>
          <w:tab w:val="clear" w:pos="567"/>
        </w:tabs>
        <w:spacing w:line="240" w:lineRule="auto"/>
        <w:outlineLvl w:val="0"/>
        <w:rPr>
          <w:bCs/>
          <w:i/>
          <w:iCs/>
          <w:szCs w:val="22"/>
        </w:rPr>
      </w:pPr>
      <w:r w:rsidRPr="007944F8">
        <w:rPr>
          <w:i/>
        </w:rPr>
        <w:t>Patients présentant une insuffisance hépatique</w:t>
      </w:r>
    </w:p>
    <w:p w14:paraId="0BD5981F" w14:textId="77777777" w:rsidR="003C2F4C" w:rsidRPr="007944F8" w:rsidRDefault="000911A2" w:rsidP="00E96874">
      <w:pPr>
        <w:widowControl w:val="0"/>
        <w:tabs>
          <w:tab w:val="clear" w:pos="567"/>
        </w:tabs>
        <w:spacing w:line="240" w:lineRule="auto"/>
        <w:rPr>
          <w:szCs w:val="22"/>
        </w:rPr>
      </w:pPr>
      <w:r w:rsidRPr="007944F8">
        <w:t>Aucune adaptation posologique n’est nécessaire chez les patients présentant une insuffisance hépatique</w:t>
      </w:r>
      <w:r w:rsidR="00B56846" w:rsidRPr="007944F8">
        <w:t xml:space="preserve"> </w:t>
      </w:r>
      <w:r w:rsidRPr="007944F8">
        <w:t>(voir rubrique 5.2).</w:t>
      </w:r>
    </w:p>
    <w:p w14:paraId="1C39A379" w14:textId="77777777" w:rsidR="003C2F4C" w:rsidRPr="007944F8" w:rsidRDefault="003C2F4C" w:rsidP="00E96874">
      <w:pPr>
        <w:widowControl w:val="0"/>
        <w:tabs>
          <w:tab w:val="clear" w:pos="567"/>
        </w:tabs>
        <w:spacing w:line="240" w:lineRule="auto"/>
        <w:rPr>
          <w:bCs/>
          <w:iCs/>
          <w:szCs w:val="22"/>
        </w:rPr>
      </w:pPr>
    </w:p>
    <w:p w14:paraId="6A411400" w14:textId="77777777" w:rsidR="003C2F4C" w:rsidRPr="007944F8" w:rsidRDefault="003316DD" w:rsidP="00E96874">
      <w:pPr>
        <w:keepNext/>
        <w:widowControl w:val="0"/>
        <w:tabs>
          <w:tab w:val="clear" w:pos="567"/>
        </w:tabs>
        <w:spacing w:line="240" w:lineRule="auto"/>
        <w:rPr>
          <w:bCs/>
          <w:i/>
          <w:iCs/>
          <w:szCs w:val="22"/>
        </w:rPr>
      </w:pPr>
      <w:r w:rsidRPr="007944F8">
        <w:rPr>
          <w:i/>
        </w:rPr>
        <w:t>Patients âgés (≥ 65 ans)</w:t>
      </w:r>
    </w:p>
    <w:p w14:paraId="5DA922EF" w14:textId="77777777" w:rsidR="003C2F4C" w:rsidRPr="007944F8" w:rsidRDefault="00A51BCA" w:rsidP="00E96874">
      <w:pPr>
        <w:widowControl w:val="0"/>
        <w:tabs>
          <w:tab w:val="clear" w:pos="567"/>
        </w:tabs>
        <w:spacing w:line="240" w:lineRule="auto"/>
        <w:rPr>
          <w:szCs w:val="22"/>
        </w:rPr>
      </w:pPr>
      <w:r w:rsidRPr="007944F8">
        <w:t xml:space="preserve">Les données de sécurité et d’efficacité chez les patients âgés de 65 ans ou plus </w:t>
      </w:r>
      <w:r w:rsidR="00391AE3" w:rsidRPr="007944F8">
        <w:t xml:space="preserve">laissent penser </w:t>
      </w:r>
      <w:r w:rsidRPr="007944F8">
        <w:t xml:space="preserve">qu’une adaptation posologique </w:t>
      </w:r>
      <w:r w:rsidR="00391AE3" w:rsidRPr="007944F8">
        <w:t>n’est pas nécessaire</w:t>
      </w:r>
      <w:r w:rsidRPr="007944F8">
        <w:t xml:space="preserve"> chez ces patients (voir rubrique 5.2).</w:t>
      </w:r>
    </w:p>
    <w:p w14:paraId="3CAE09FC" w14:textId="77777777" w:rsidR="003316DD" w:rsidRPr="007944F8" w:rsidRDefault="003316DD" w:rsidP="00E96874">
      <w:pPr>
        <w:widowControl w:val="0"/>
        <w:tabs>
          <w:tab w:val="clear" w:pos="567"/>
        </w:tabs>
        <w:spacing w:line="240" w:lineRule="auto"/>
        <w:rPr>
          <w:bCs/>
          <w:iCs/>
          <w:szCs w:val="22"/>
        </w:rPr>
      </w:pPr>
    </w:p>
    <w:p w14:paraId="7BC1D63F" w14:textId="77777777" w:rsidR="003316DD" w:rsidRPr="007944F8" w:rsidRDefault="003316DD" w:rsidP="00BE7F7C">
      <w:pPr>
        <w:keepNext/>
        <w:widowControl w:val="0"/>
        <w:tabs>
          <w:tab w:val="clear" w:pos="567"/>
        </w:tabs>
        <w:spacing w:line="240" w:lineRule="auto"/>
        <w:outlineLvl w:val="0"/>
        <w:rPr>
          <w:bCs/>
          <w:i/>
          <w:iCs/>
          <w:szCs w:val="22"/>
        </w:rPr>
      </w:pPr>
      <w:r w:rsidRPr="007944F8">
        <w:rPr>
          <w:i/>
        </w:rPr>
        <w:t>Population pédiatrique</w:t>
      </w:r>
    </w:p>
    <w:p w14:paraId="56451696" w14:textId="77777777" w:rsidR="003316DD" w:rsidRPr="007944F8" w:rsidRDefault="003316DD" w:rsidP="00E96874">
      <w:pPr>
        <w:widowControl w:val="0"/>
        <w:tabs>
          <w:tab w:val="clear" w:pos="567"/>
        </w:tabs>
        <w:spacing w:line="240" w:lineRule="auto"/>
        <w:rPr>
          <w:szCs w:val="22"/>
        </w:rPr>
      </w:pPr>
      <w:r w:rsidRPr="007944F8">
        <w:t>La sécurité et l’efficacité d’Odomzo chez les enfants et adolescents âgés de moins de 18 ans atteints d’un carcinome basocellulaire n’ont pas été établies. Aucune donnée n’est disponible.</w:t>
      </w:r>
    </w:p>
    <w:p w14:paraId="33806151" w14:textId="77777777" w:rsidR="009921E6" w:rsidRPr="007944F8" w:rsidRDefault="009921E6" w:rsidP="00E96874">
      <w:pPr>
        <w:widowControl w:val="0"/>
        <w:tabs>
          <w:tab w:val="clear" w:pos="567"/>
        </w:tabs>
        <w:spacing w:line="240" w:lineRule="auto"/>
        <w:rPr>
          <w:szCs w:val="22"/>
        </w:rPr>
      </w:pPr>
    </w:p>
    <w:p w14:paraId="5F223EAF" w14:textId="77777777" w:rsidR="00812D16" w:rsidRPr="007944F8" w:rsidRDefault="00CA3E92" w:rsidP="00BE7F7C">
      <w:pPr>
        <w:keepNext/>
        <w:widowControl w:val="0"/>
        <w:tabs>
          <w:tab w:val="clear" w:pos="567"/>
        </w:tabs>
        <w:spacing w:line="240" w:lineRule="auto"/>
        <w:outlineLvl w:val="0"/>
        <w:rPr>
          <w:szCs w:val="22"/>
          <w:u w:val="single"/>
        </w:rPr>
      </w:pPr>
      <w:r w:rsidRPr="007944F8">
        <w:rPr>
          <w:u w:val="single"/>
        </w:rPr>
        <w:t>Mode d’administration</w:t>
      </w:r>
    </w:p>
    <w:p w14:paraId="3FCBACBF" w14:textId="77777777" w:rsidR="00CA3E92" w:rsidRPr="007944F8" w:rsidRDefault="00CA3E92" w:rsidP="00E96874">
      <w:pPr>
        <w:keepNext/>
        <w:widowControl w:val="0"/>
        <w:tabs>
          <w:tab w:val="clear" w:pos="567"/>
        </w:tabs>
        <w:spacing w:line="240" w:lineRule="auto"/>
        <w:rPr>
          <w:szCs w:val="22"/>
        </w:rPr>
      </w:pPr>
    </w:p>
    <w:p w14:paraId="03AEE7D1" w14:textId="77777777" w:rsidR="00334631" w:rsidRPr="007944F8" w:rsidRDefault="00E612B3" w:rsidP="00E96874">
      <w:pPr>
        <w:widowControl w:val="0"/>
        <w:tabs>
          <w:tab w:val="clear" w:pos="567"/>
        </w:tabs>
        <w:spacing w:line="240" w:lineRule="auto"/>
        <w:rPr>
          <w:noProof/>
          <w:szCs w:val="22"/>
        </w:rPr>
      </w:pPr>
      <w:r w:rsidRPr="007944F8">
        <w:t xml:space="preserve">Odomzo doit être administré par voie orale. Les gélules doivent être avalées entières. Elles ne doivent pas être mâchées ou écrasées. Les gélules ne doivent pas être ouvertes en raison du risque </w:t>
      </w:r>
      <w:r w:rsidR="007A6117" w:rsidRPr="007944F8">
        <w:t>de tératog</w:t>
      </w:r>
      <w:r w:rsidR="0091047A">
        <w:t>é</w:t>
      </w:r>
      <w:r w:rsidR="00B56846" w:rsidRPr="007944F8">
        <w:t>nicité</w:t>
      </w:r>
      <w:r w:rsidRPr="007944F8">
        <w:t xml:space="preserve"> (voir rubrique 5.3).</w:t>
      </w:r>
    </w:p>
    <w:p w14:paraId="67FFFAE4" w14:textId="77777777" w:rsidR="00334631" w:rsidRPr="007944F8" w:rsidRDefault="00334631" w:rsidP="00E96874">
      <w:pPr>
        <w:widowControl w:val="0"/>
        <w:tabs>
          <w:tab w:val="clear" w:pos="567"/>
        </w:tabs>
        <w:spacing w:line="240" w:lineRule="auto"/>
        <w:rPr>
          <w:noProof/>
          <w:szCs w:val="22"/>
        </w:rPr>
      </w:pPr>
    </w:p>
    <w:p w14:paraId="6248DEFB" w14:textId="77777777" w:rsidR="00E612B3" w:rsidRPr="007944F8" w:rsidRDefault="003316DD" w:rsidP="00E96874">
      <w:pPr>
        <w:widowControl w:val="0"/>
        <w:tabs>
          <w:tab w:val="clear" w:pos="567"/>
        </w:tabs>
        <w:spacing w:line="240" w:lineRule="auto"/>
        <w:rPr>
          <w:noProof/>
          <w:szCs w:val="22"/>
        </w:rPr>
      </w:pPr>
      <w:r w:rsidRPr="007944F8">
        <w:t>Odomzo doit être pris au moins deux heures après un repas et au moins une heure avant le repas suivant</w:t>
      </w:r>
      <w:r w:rsidR="001E7A4C">
        <w:t xml:space="preserve"> </w:t>
      </w:r>
      <w:r w:rsidR="002226AB">
        <w:t xml:space="preserve">afin de </w:t>
      </w:r>
      <w:r w:rsidR="001E7A4C">
        <w:t xml:space="preserve">prévenir l’augmentation du risque d’effets indésirables causée par une exposition plus élevée au </w:t>
      </w:r>
      <w:r w:rsidR="00931E42">
        <w:t xml:space="preserve">sonidégib </w:t>
      </w:r>
      <w:r w:rsidR="001E7A4C">
        <w:t>lorsqu’il est administré avec un repas (voir rubrique 5.2)</w:t>
      </w:r>
      <w:r w:rsidRPr="007944F8">
        <w:t>. En cas de vomissements au cours du traitement, aucune nouvelle prise n’est autorisée avant la prochaine dose prévue.</w:t>
      </w:r>
    </w:p>
    <w:p w14:paraId="209F4171" w14:textId="77777777" w:rsidR="00CA3E92" w:rsidRPr="007944F8" w:rsidRDefault="00CA3E92" w:rsidP="00E96874">
      <w:pPr>
        <w:widowControl w:val="0"/>
        <w:tabs>
          <w:tab w:val="clear" w:pos="567"/>
        </w:tabs>
        <w:spacing w:line="240" w:lineRule="auto"/>
        <w:rPr>
          <w:szCs w:val="22"/>
        </w:rPr>
      </w:pPr>
    </w:p>
    <w:p w14:paraId="189E4200" w14:textId="77777777" w:rsidR="00812D16" w:rsidRPr="007944F8" w:rsidRDefault="00E612B3" w:rsidP="00E96874">
      <w:pPr>
        <w:widowControl w:val="0"/>
        <w:tabs>
          <w:tab w:val="clear" w:pos="567"/>
        </w:tabs>
        <w:spacing w:line="240" w:lineRule="auto"/>
        <w:rPr>
          <w:szCs w:val="22"/>
        </w:rPr>
      </w:pPr>
      <w:r w:rsidRPr="007944F8">
        <w:t>En cas d’oubli d’une dose, celle-ci doit être prise le plus rapidement possible, à moins que plus de six heures se soient écoulées depuis l’heure à laquelle elle aurait dû être prise ; dans ce cas, le patient doit attendre et prendre la prochaine dose prévue.</w:t>
      </w:r>
    </w:p>
    <w:p w14:paraId="0A56CB73" w14:textId="77777777" w:rsidR="00E612B3" w:rsidRPr="007944F8" w:rsidRDefault="00E612B3" w:rsidP="00E96874">
      <w:pPr>
        <w:widowControl w:val="0"/>
        <w:tabs>
          <w:tab w:val="clear" w:pos="567"/>
        </w:tabs>
        <w:spacing w:line="240" w:lineRule="auto"/>
        <w:rPr>
          <w:szCs w:val="22"/>
        </w:rPr>
      </w:pPr>
    </w:p>
    <w:p w14:paraId="3EC7BF43" w14:textId="77777777" w:rsidR="00812D16" w:rsidRPr="007944F8" w:rsidRDefault="00812D16" w:rsidP="00BE7F7C">
      <w:pPr>
        <w:keepNext/>
        <w:widowControl w:val="0"/>
        <w:tabs>
          <w:tab w:val="clear" w:pos="567"/>
        </w:tabs>
        <w:spacing w:line="240" w:lineRule="auto"/>
        <w:ind w:left="567" w:hanging="567"/>
        <w:outlineLvl w:val="0"/>
        <w:rPr>
          <w:noProof/>
          <w:szCs w:val="22"/>
        </w:rPr>
      </w:pPr>
      <w:r w:rsidRPr="007944F8">
        <w:rPr>
          <w:b/>
        </w:rPr>
        <w:t>4.3</w:t>
      </w:r>
      <w:r w:rsidRPr="007944F8">
        <w:tab/>
      </w:r>
      <w:r w:rsidRPr="007944F8">
        <w:rPr>
          <w:b/>
        </w:rPr>
        <w:t>Contre-indications</w:t>
      </w:r>
    </w:p>
    <w:p w14:paraId="100147EE" w14:textId="77777777" w:rsidR="00812D16" w:rsidRPr="007944F8" w:rsidRDefault="00812D16" w:rsidP="00E96874">
      <w:pPr>
        <w:keepNext/>
        <w:widowControl w:val="0"/>
        <w:tabs>
          <w:tab w:val="clear" w:pos="567"/>
        </w:tabs>
        <w:spacing w:line="240" w:lineRule="auto"/>
        <w:rPr>
          <w:noProof/>
          <w:szCs w:val="22"/>
        </w:rPr>
      </w:pPr>
    </w:p>
    <w:p w14:paraId="1C314018" w14:textId="77777777" w:rsidR="00812D16" w:rsidRPr="007944F8" w:rsidRDefault="00812D16" w:rsidP="00BE7F7C">
      <w:pPr>
        <w:widowControl w:val="0"/>
        <w:tabs>
          <w:tab w:val="clear" w:pos="567"/>
        </w:tabs>
        <w:spacing w:line="240" w:lineRule="auto"/>
        <w:outlineLvl w:val="0"/>
        <w:rPr>
          <w:noProof/>
          <w:szCs w:val="22"/>
        </w:rPr>
      </w:pPr>
      <w:r w:rsidRPr="007944F8">
        <w:t xml:space="preserve">Hypersensibilité </w:t>
      </w:r>
      <w:r w:rsidR="005868A7" w:rsidRPr="007944F8">
        <w:t>à la substance active</w:t>
      </w:r>
      <w:r w:rsidR="00B56846" w:rsidRPr="007944F8">
        <w:t xml:space="preserve"> </w:t>
      </w:r>
      <w:r w:rsidRPr="007944F8">
        <w:t>ou à l’un des excipients mentionnés à la rubrique 6.1.</w:t>
      </w:r>
    </w:p>
    <w:p w14:paraId="287488E6" w14:textId="77777777" w:rsidR="00812D16" w:rsidRPr="007944F8" w:rsidRDefault="00812D16" w:rsidP="00E96874">
      <w:pPr>
        <w:widowControl w:val="0"/>
        <w:tabs>
          <w:tab w:val="clear" w:pos="567"/>
        </w:tabs>
        <w:spacing w:line="240" w:lineRule="auto"/>
        <w:rPr>
          <w:noProof/>
          <w:szCs w:val="22"/>
        </w:rPr>
      </w:pPr>
    </w:p>
    <w:p w14:paraId="19B4B187" w14:textId="77777777" w:rsidR="00630518" w:rsidRPr="007944F8" w:rsidRDefault="003316DD" w:rsidP="00BE7F7C">
      <w:pPr>
        <w:widowControl w:val="0"/>
        <w:tabs>
          <w:tab w:val="clear" w:pos="567"/>
        </w:tabs>
        <w:spacing w:line="240" w:lineRule="auto"/>
        <w:outlineLvl w:val="0"/>
      </w:pPr>
      <w:r w:rsidRPr="007944F8">
        <w:t>Grossesse et allaitement (voir rubriques 4.4 et</w:t>
      </w:r>
      <w:r w:rsidR="00A700D3" w:rsidRPr="007944F8">
        <w:t xml:space="preserve"> </w:t>
      </w:r>
      <w:r w:rsidRPr="007944F8">
        <w:t>4.6).</w:t>
      </w:r>
    </w:p>
    <w:p w14:paraId="440B56F1" w14:textId="77777777" w:rsidR="00ED7FE5" w:rsidRPr="007944F8" w:rsidRDefault="00ED7FE5" w:rsidP="00E96874">
      <w:pPr>
        <w:widowControl w:val="0"/>
        <w:tabs>
          <w:tab w:val="clear" w:pos="567"/>
        </w:tabs>
        <w:spacing w:line="240" w:lineRule="auto"/>
      </w:pPr>
    </w:p>
    <w:p w14:paraId="02133FA9" w14:textId="77777777" w:rsidR="00ED7FE5" w:rsidRPr="007944F8" w:rsidRDefault="00CC2118" w:rsidP="00E96874">
      <w:pPr>
        <w:widowControl w:val="0"/>
        <w:tabs>
          <w:tab w:val="clear" w:pos="567"/>
        </w:tabs>
        <w:spacing w:line="240" w:lineRule="auto"/>
      </w:pPr>
      <w:r w:rsidRPr="007944F8">
        <w:t>Les femmes en âge</w:t>
      </w:r>
      <w:r w:rsidR="00ED7FE5" w:rsidRPr="007944F8">
        <w:t xml:space="preserve"> d’avoir des enfants qui ne respectent pas le Programme de Prévention de la Grossesse d’Odomzo </w:t>
      </w:r>
      <w:r w:rsidRPr="007944F8">
        <w:t>(voir</w:t>
      </w:r>
      <w:r w:rsidR="00ED7FE5" w:rsidRPr="007944F8">
        <w:t xml:space="preserve"> </w:t>
      </w:r>
      <w:r w:rsidRPr="007944F8">
        <w:t>rubriques</w:t>
      </w:r>
      <w:r w:rsidR="00ED7FE5" w:rsidRPr="007944F8">
        <w:t> 4.4 et 4.6).</w:t>
      </w:r>
    </w:p>
    <w:p w14:paraId="377DDD48" w14:textId="77777777" w:rsidR="00BF6FCB" w:rsidRPr="007944F8" w:rsidRDefault="00BF6FCB" w:rsidP="00E96874">
      <w:pPr>
        <w:widowControl w:val="0"/>
        <w:tabs>
          <w:tab w:val="clear" w:pos="567"/>
        </w:tabs>
        <w:spacing w:line="240" w:lineRule="auto"/>
      </w:pPr>
    </w:p>
    <w:p w14:paraId="729EF769" w14:textId="77777777" w:rsidR="00812D16" w:rsidRPr="007944F8" w:rsidRDefault="00812D16" w:rsidP="00BE7F7C">
      <w:pPr>
        <w:keepNext/>
        <w:widowControl w:val="0"/>
        <w:tabs>
          <w:tab w:val="clear" w:pos="567"/>
        </w:tabs>
        <w:spacing w:line="240" w:lineRule="auto"/>
        <w:ind w:left="567" w:hanging="567"/>
        <w:outlineLvl w:val="0"/>
        <w:rPr>
          <w:b/>
          <w:noProof/>
          <w:szCs w:val="22"/>
        </w:rPr>
      </w:pPr>
      <w:r w:rsidRPr="007944F8">
        <w:rPr>
          <w:b/>
        </w:rPr>
        <w:t>4.4</w:t>
      </w:r>
      <w:r w:rsidRPr="007944F8">
        <w:tab/>
      </w:r>
      <w:r w:rsidRPr="007944F8">
        <w:rPr>
          <w:b/>
        </w:rPr>
        <w:t>Mises en garde spéciales et précautions d’emploi</w:t>
      </w:r>
    </w:p>
    <w:p w14:paraId="57866956" w14:textId="77777777" w:rsidR="00812D16" w:rsidRPr="007944F8" w:rsidRDefault="00812D16" w:rsidP="00E96874">
      <w:pPr>
        <w:keepNext/>
        <w:widowControl w:val="0"/>
        <w:tabs>
          <w:tab w:val="clear" w:pos="567"/>
        </w:tabs>
        <w:spacing w:line="240" w:lineRule="auto"/>
        <w:ind w:left="567" w:hanging="567"/>
        <w:rPr>
          <w:noProof/>
          <w:szCs w:val="22"/>
        </w:rPr>
      </w:pPr>
    </w:p>
    <w:p w14:paraId="5A83DB30" w14:textId="77777777" w:rsidR="000C2E45" w:rsidRPr="007944F8" w:rsidRDefault="001321E3" w:rsidP="00BE7F7C">
      <w:pPr>
        <w:keepNext/>
        <w:widowControl w:val="0"/>
        <w:tabs>
          <w:tab w:val="clear" w:pos="567"/>
        </w:tabs>
        <w:spacing w:line="240" w:lineRule="auto"/>
        <w:outlineLvl w:val="0"/>
        <w:rPr>
          <w:noProof/>
          <w:szCs w:val="22"/>
          <w:u w:val="single"/>
        </w:rPr>
      </w:pPr>
      <w:r>
        <w:rPr>
          <w:noProof/>
          <w:u w:val="single"/>
        </w:rPr>
        <w:t>Effets</w:t>
      </w:r>
      <w:r w:rsidRPr="007944F8">
        <w:rPr>
          <w:noProof/>
          <w:u w:val="single"/>
        </w:rPr>
        <w:t xml:space="preserve"> </w:t>
      </w:r>
      <w:r w:rsidR="000C2E45" w:rsidRPr="007944F8">
        <w:rPr>
          <w:noProof/>
          <w:u w:val="single"/>
        </w:rPr>
        <w:t>indésirables d’ordre musculaire</w:t>
      </w:r>
      <w:bookmarkStart w:id="2" w:name="_1310029Muscle_related_events"/>
      <w:bookmarkEnd w:id="2"/>
    </w:p>
    <w:p w14:paraId="0F7C9D34" w14:textId="77777777" w:rsidR="00CA3E92" w:rsidRPr="007944F8" w:rsidRDefault="00CA3E92" w:rsidP="00E96874">
      <w:pPr>
        <w:keepNext/>
        <w:widowControl w:val="0"/>
        <w:tabs>
          <w:tab w:val="clear" w:pos="567"/>
        </w:tabs>
        <w:spacing w:line="240" w:lineRule="auto"/>
      </w:pPr>
    </w:p>
    <w:p w14:paraId="3AA7826C" w14:textId="77777777" w:rsidR="000C2E45" w:rsidRPr="007944F8" w:rsidRDefault="000C2E45" w:rsidP="00E96874">
      <w:pPr>
        <w:widowControl w:val="0"/>
        <w:tabs>
          <w:tab w:val="clear" w:pos="567"/>
        </w:tabs>
        <w:spacing w:line="240" w:lineRule="auto"/>
      </w:pPr>
      <w:r w:rsidRPr="007944F8">
        <w:t xml:space="preserve">Dans l’étude pivot de phase II, des cas de spasmes musculaires, de myalgie, de myopathie et d’élévations de la </w:t>
      </w:r>
      <w:r w:rsidR="00B56846" w:rsidRPr="007944F8">
        <w:t>CPK</w:t>
      </w:r>
      <w:r w:rsidRPr="007944F8">
        <w:t xml:space="preserve"> ont été observés. La majorité des patients traités par Odomzo à raison de 200 mg par jour qui présentaient des élévations de la </w:t>
      </w:r>
      <w:r w:rsidR="00B56846" w:rsidRPr="007944F8">
        <w:t>CPK</w:t>
      </w:r>
      <w:r w:rsidRPr="007944F8">
        <w:t xml:space="preserve"> de grade 2 ou supérieur ont manifesté des symptômes musculaires avant les élévations de la </w:t>
      </w:r>
      <w:r w:rsidR="00B56846" w:rsidRPr="007944F8">
        <w:t>CPK</w:t>
      </w:r>
      <w:r w:rsidRPr="007944F8">
        <w:t xml:space="preserve">. Chez la plupart des patients, une prise en charge appropriée a entraîné la disparition des symptômes musculaires et des élévations de la </w:t>
      </w:r>
      <w:r w:rsidR="00B56846" w:rsidRPr="007944F8">
        <w:t>CPK</w:t>
      </w:r>
      <w:r w:rsidRPr="007944F8">
        <w:t>.</w:t>
      </w:r>
    </w:p>
    <w:p w14:paraId="47433B5B" w14:textId="77777777" w:rsidR="00D86F34" w:rsidRPr="007944F8" w:rsidRDefault="00D86F34" w:rsidP="00E96874">
      <w:pPr>
        <w:widowControl w:val="0"/>
        <w:tabs>
          <w:tab w:val="clear" w:pos="567"/>
        </w:tabs>
        <w:spacing w:line="240" w:lineRule="auto"/>
      </w:pPr>
    </w:p>
    <w:p w14:paraId="7948EEE4" w14:textId="77777777" w:rsidR="000C2E45" w:rsidRPr="007944F8" w:rsidRDefault="000C2E45" w:rsidP="00E96874">
      <w:pPr>
        <w:widowControl w:val="0"/>
        <w:tabs>
          <w:tab w:val="clear" w:pos="567"/>
        </w:tabs>
        <w:spacing w:line="240" w:lineRule="auto"/>
      </w:pPr>
      <w:r w:rsidRPr="007944F8">
        <w:t xml:space="preserve">Tous les patients démarrant un traitement par Odomzo doivent être informés du risque </w:t>
      </w:r>
      <w:r w:rsidR="001321E3">
        <w:t>d’effets</w:t>
      </w:r>
      <w:r w:rsidR="001321E3" w:rsidRPr="007944F8">
        <w:t xml:space="preserve"> </w:t>
      </w:r>
      <w:r w:rsidRPr="007944F8">
        <w:t xml:space="preserve">indésirables d’ordre musculaire, </w:t>
      </w:r>
      <w:r w:rsidR="00B56846" w:rsidRPr="007944F8">
        <w:t xml:space="preserve">incluant la possibilité d’une </w:t>
      </w:r>
      <w:r w:rsidRPr="007944F8">
        <w:t xml:space="preserve">rhabdomyolyse. Ils doivent être informés de la nécessité de signaler immédiatement toute douleur, sensibilité ou faiblesse musculaire inexpliquée survenant au cours du traitement par Odomzo ou </w:t>
      </w:r>
      <w:r w:rsidR="00B56846" w:rsidRPr="007944F8">
        <w:t>leur persistance</w:t>
      </w:r>
      <w:r w:rsidRPr="007944F8">
        <w:t xml:space="preserve"> après l’arrêt du traitement.</w:t>
      </w:r>
    </w:p>
    <w:p w14:paraId="7E01A30D" w14:textId="77777777" w:rsidR="00F85CFF" w:rsidRPr="007944F8" w:rsidRDefault="00F85CFF" w:rsidP="00E96874">
      <w:pPr>
        <w:widowControl w:val="0"/>
        <w:tabs>
          <w:tab w:val="clear" w:pos="567"/>
        </w:tabs>
        <w:spacing w:line="240" w:lineRule="auto"/>
      </w:pPr>
    </w:p>
    <w:p w14:paraId="1FD91E3D" w14:textId="77777777" w:rsidR="000C2E45" w:rsidRPr="007944F8" w:rsidRDefault="000C2E45" w:rsidP="00E96874">
      <w:pPr>
        <w:widowControl w:val="0"/>
        <w:tabs>
          <w:tab w:val="clear" w:pos="567"/>
        </w:tabs>
        <w:spacing w:line="240" w:lineRule="auto"/>
      </w:pPr>
      <w:r w:rsidRPr="007944F8">
        <w:t xml:space="preserve">Le taux de </w:t>
      </w:r>
      <w:r w:rsidR="00B56846" w:rsidRPr="007944F8">
        <w:t>CPK</w:t>
      </w:r>
      <w:r w:rsidRPr="007944F8">
        <w:t xml:space="preserve"> doit être contrôlé avant le début du traitement, puis lorsque le contexte clinique le justifie, par exemple en cas de symptômes musculaires. Si une élévation cliniquement importante de la </w:t>
      </w:r>
      <w:r w:rsidR="00B56846" w:rsidRPr="007944F8">
        <w:t>CPK</w:t>
      </w:r>
      <w:r w:rsidRPr="007944F8">
        <w:t xml:space="preserve"> est décelée, la fonction rénale doit être évaluée (voir rubrique 4.2).</w:t>
      </w:r>
    </w:p>
    <w:p w14:paraId="6769CF04" w14:textId="77777777" w:rsidR="00D86F34" w:rsidRPr="007944F8" w:rsidRDefault="00D86F34" w:rsidP="00E93E8B">
      <w:pPr>
        <w:widowControl w:val="0"/>
        <w:tabs>
          <w:tab w:val="clear" w:pos="567"/>
        </w:tabs>
        <w:spacing w:line="240" w:lineRule="auto"/>
      </w:pPr>
    </w:p>
    <w:p w14:paraId="6137C9E2" w14:textId="77777777" w:rsidR="000C2E45" w:rsidRPr="007944F8" w:rsidRDefault="000C2E45" w:rsidP="00E96874">
      <w:pPr>
        <w:widowControl w:val="0"/>
        <w:tabs>
          <w:tab w:val="clear" w:pos="567"/>
        </w:tabs>
        <w:spacing w:line="240" w:lineRule="auto"/>
      </w:pPr>
      <w:r w:rsidRPr="007944F8">
        <w:t xml:space="preserve">Les recommandations relatives aux modifications de posologie ou à l’arrêt du traitement doivent être respectées (voir rubrique 4.2). La prise en charge d’une élévation de la </w:t>
      </w:r>
      <w:r w:rsidR="00B56846" w:rsidRPr="007944F8">
        <w:t xml:space="preserve">CPK de haut grade au moyen </w:t>
      </w:r>
      <w:r w:rsidR="00EF04E5" w:rsidRPr="007944F8">
        <w:t>de soins de support</w:t>
      </w:r>
      <w:r w:rsidRPr="007944F8">
        <w:t>, et notamment d’une hydratation appropriée, doit être envisagée conformément aux</w:t>
      </w:r>
      <w:r w:rsidR="00EF04E5" w:rsidRPr="007944F8">
        <w:t xml:space="preserve"> recommandations locales pour la pratique clinique</w:t>
      </w:r>
      <w:r w:rsidRPr="007944F8">
        <w:t>.</w:t>
      </w:r>
    </w:p>
    <w:p w14:paraId="3448BF7D" w14:textId="77777777" w:rsidR="00F53983" w:rsidRPr="007944F8" w:rsidRDefault="00F53983" w:rsidP="00E96874">
      <w:pPr>
        <w:widowControl w:val="0"/>
        <w:tabs>
          <w:tab w:val="clear" w:pos="567"/>
        </w:tabs>
        <w:spacing w:line="240" w:lineRule="auto"/>
      </w:pPr>
    </w:p>
    <w:p w14:paraId="65E6F6D3" w14:textId="77777777" w:rsidR="000C2E45" w:rsidRPr="007944F8" w:rsidRDefault="003653BC" w:rsidP="00E96874">
      <w:pPr>
        <w:widowControl w:val="0"/>
        <w:tabs>
          <w:tab w:val="clear" w:pos="567"/>
        </w:tabs>
        <w:spacing w:line="240" w:lineRule="auto"/>
      </w:pPr>
      <w:r w:rsidRPr="007944F8">
        <w:t>L’apparition de tout symptôme musculaire doit être étroitement surveillée chez les patients qui utilisent Odomzo en association avec certains médicaments pouvant augmenter le risque potentiel de toxicité musculaire (par exemple, inhibiteurs du CYP3A4, chloroquine, hydroxychloroqu</w:t>
      </w:r>
      <w:r w:rsidR="00B56846" w:rsidRPr="007944F8">
        <w:t>ine, fibrates</w:t>
      </w:r>
      <w:r w:rsidRPr="007944F8">
        <w:t>, pénicillamine, zidovudine, niacine et inhibiteurs de la HMG</w:t>
      </w:r>
      <w:r w:rsidRPr="007944F8">
        <w:noBreakHyphen/>
        <w:t>CoA réductase) (voir rubrique 4.5).</w:t>
      </w:r>
    </w:p>
    <w:p w14:paraId="6897E360" w14:textId="77777777" w:rsidR="00F53983" w:rsidRPr="007944F8" w:rsidRDefault="00F53983" w:rsidP="00E96874">
      <w:pPr>
        <w:widowControl w:val="0"/>
        <w:tabs>
          <w:tab w:val="clear" w:pos="567"/>
        </w:tabs>
        <w:spacing w:line="240" w:lineRule="auto"/>
      </w:pPr>
    </w:p>
    <w:p w14:paraId="25FADB34" w14:textId="77777777" w:rsidR="000C2E45" w:rsidRPr="007944F8" w:rsidRDefault="00FE3214" w:rsidP="00E96874">
      <w:pPr>
        <w:widowControl w:val="0"/>
        <w:tabs>
          <w:tab w:val="clear" w:pos="567"/>
        </w:tabs>
        <w:spacing w:line="240" w:lineRule="auto"/>
      </w:pPr>
      <w:r w:rsidRPr="007944F8">
        <w:t xml:space="preserve">Les patients atteints de troubles neuromusculaires (par exemple, myopathies inflammatoires, dystrophie musculaire, sclérose latérale amyotrophique, amyotrophie spinale) doivent faire l’objet d’une surveillance </w:t>
      </w:r>
      <w:r w:rsidR="00EF04E5" w:rsidRPr="007944F8">
        <w:t xml:space="preserve">rapprochée </w:t>
      </w:r>
      <w:r w:rsidRPr="007944F8">
        <w:t>en raison d’un risque accru de toxicité musculaire.</w:t>
      </w:r>
    </w:p>
    <w:p w14:paraId="23B82100" w14:textId="77777777" w:rsidR="00E62D66" w:rsidRPr="007944F8" w:rsidRDefault="00E62D66" w:rsidP="00E96874">
      <w:pPr>
        <w:widowControl w:val="0"/>
        <w:tabs>
          <w:tab w:val="clear" w:pos="567"/>
        </w:tabs>
        <w:spacing w:line="240" w:lineRule="auto"/>
        <w:rPr>
          <w:noProof/>
          <w:szCs w:val="22"/>
        </w:rPr>
      </w:pPr>
      <w:bookmarkStart w:id="3" w:name="_Toc259706915"/>
      <w:bookmarkStart w:id="4" w:name="_Toc259707086"/>
      <w:bookmarkStart w:id="5" w:name="_Toc259707149"/>
      <w:bookmarkStart w:id="6" w:name="_Toc259713090"/>
    </w:p>
    <w:p w14:paraId="69D6BEEF" w14:textId="77777777" w:rsidR="00C85D91" w:rsidRPr="007944F8" w:rsidRDefault="00C85D91" w:rsidP="00BE7F7C">
      <w:pPr>
        <w:keepNext/>
        <w:widowControl w:val="0"/>
        <w:tabs>
          <w:tab w:val="clear" w:pos="567"/>
        </w:tabs>
        <w:spacing w:line="240" w:lineRule="auto"/>
        <w:outlineLvl w:val="0"/>
        <w:rPr>
          <w:u w:val="single"/>
        </w:rPr>
      </w:pPr>
      <w:r w:rsidRPr="007944F8">
        <w:rPr>
          <w:u w:val="single"/>
        </w:rPr>
        <w:t>Mort embryofœtale ou anomalies congénitales sévères</w:t>
      </w:r>
    </w:p>
    <w:p w14:paraId="6E67D108" w14:textId="77777777" w:rsidR="003650BA" w:rsidRPr="007944F8" w:rsidRDefault="003650BA" w:rsidP="00E96874">
      <w:pPr>
        <w:keepNext/>
        <w:widowControl w:val="0"/>
        <w:tabs>
          <w:tab w:val="clear" w:pos="567"/>
        </w:tabs>
        <w:spacing w:line="240" w:lineRule="auto"/>
      </w:pPr>
    </w:p>
    <w:p w14:paraId="1FCB0390" w14:textId="77777777" w:rsidR="000C2E45" w:rsidRPr="007944F8" w:rsidRDefault="00B05465" w:rsidP="00E96874">
      <w:pPr>
        <w:widowControl w:val="0"/>
        <w:tabs>
          <w:tab w:val="clear" w:pos="567"/>
        </w:tabs>
        <w:spacing w:line="240" w:lineRule="auto"/>
      </w:pPr>
      <w:r w:rsidRPr="007944F8">
        <w:t xml:space="preserve">Odomzo peut entraîner la mort embryofœtale ou des anomalies congénitales sévères lorsqu’il est administré à une femme enceinte. </w:t>
      </w:r>
      <w:r w:rsidR="00B56846" w:rsidRPr="007944F8">
        <w:t>En se basant</w:t>
      </w:r>
      <w:r w:rsidR="00697034" w:rsidRPr="007944F8">
        <w:t xml:space="preserve"> sur</w:t>
      </w:r>
      <w:r w:rsidRPr="007944F8">
        <w:t xml:space="preserve"> son mécanisme d’action, dans les études m</w:t>
      </w:r>
      <w:r w:rsidR="00B56846" w:rsidRPr="007944F8">
        <w:t>enées chez l’animal, il a été montré que</w:t>
      </w:r>
      <w:r w:rsidRPr="007944F8">
        <w:t xml:space="preserve"> sonidégib avait des effets tératogènes et fœtotoxiques. Les femmes traitées par Odomzo ne doivent pas être enceintes ou </w:t>
      </w:r>
      <w:r w:rsidR="00B56846" w:rsidRPr="007944F8">
        <w:t xml:space="preserve">débuter une grossesse </w:t>
      </w:r>
      <w:r w:rsidRPr="007944F8">
        <w:t>au cours du traitement et pendant les 20 mois qui suivent la fin du traitement.</w:t>
      </w:r>
    </w:p>
    <w:p w14:paraId="4A547544" w14:textId="77777777" w:rsidR="00A779EA" w:rsidRPr="007944F8" w:rsidRDefault="00A779EA" w:rsidP="00E96874">
      <w:pPr>
        <w:widowControl w:val="0"/>
        <w:tabs>
          <w:tab w:val="clear" w:pos="567"/>
        </w:tabs>
        <w:spacing w:line="240" w:lineRule="auto"/>
      </w:pPr>
    </w:p>
    <w:p w14:paraId="25239642" w14:textId="77777777" w:rsidR="00A779EA" w:rsidRPr="007944F8" w:rsidRDefault="00A779EA" w:rsidP="00BE7F7C">
      <w:pPr>
        <w:pStyle w:val="Default"/>
        <w:keepNext/>
        <w:widowControl w:val="0"/>
        <w:outlineLvl w:val="0"/>
        <w:rPr>
          <w:color w:val="auto"/>
          <w:sz w:val="22"/>
          <w:szCs w:val="22"/>
          <w:u w:val="single"/>
        </w:rPr>
      </w:pPr>
      <w:r w:rsidRPr="007944F8">
        <w:rPr>
          <w:color w:val="auto"/>
          <w:sz w:val="22"/>
          <w:u w:val="single"/>
        </w:rPr>
        <w:t xml:space="preserve">Critères de définition d’une </w:t>
      </w:r>
      <w:r w:rsidR="00B56846" w:rsidRPr="007944F8">
        <w:rPr>
          <w:color w:val="auto"/>
          <w:sz w:val="22"/>
          <w:u w:val="single"/>
        </w:rPr>
        <w:t>femme en âge d’avoir des enfants</w:t>
      </w:r>
    </w:p>
    <w:p w14:paraId="614832AC" w14:textId="77777777" w:rsidR="00A779EA" w:rsidRPr="007944F8" w:rsidRDefault="00A779EA" w:rsidP="00E96874">
      <w:pPr>
        <w:pStyle w:val="Default"/>
        <w:keepNext/>
        <w:widowControl w:val="0"/>
        <w:rPr>
          <w:color w:val="auto"/>
        </w:rPr>
      </w:pPr>
    </w:p>
    <w:p w14:paraId="29CCE261" w14:textId="77777777" w:rsidR="00A779EA" w:rsidRPr="007944F8" w:rsidRDefault="00B56846" w:rsidP="00E96874">
      <w:pPr>
        <w:pStyle w:val="Default"/>
        <w:keepNext/>
        <w:widowControl w:val="0"/>
        <w:rPr>
          <w:color w:val="auto"/>
          <w:sz w:val="22"/>
          <w:szCs w:val="22"/>
        </w:rPr>
      </w:pPr>
      <w:r w:rsidRPr="007944F8">
        <w:rPr>
          <w:color w:val="auto"/>
          <w:sz w:val="22"/>
        </w:rPr>
        <w:t>Le Programme de Prévention de la G</w:t>
      </w:r>
      <w:r w:rsidR="00A779EA" w:rsidRPr="007944F8">
        <w:rPr>
          <w:color w:val="auto"/>
          <w:sz w:val="22"/>
        </w:rPr>
        <w:t xml:space="preserve">rossesse d’Odomzo définit une </w:t>
      </w:r>
      <w:r w:rsidRPr="007944F8">
        <w:rPr>
          <w:color w:val="auto"/>
          <w:sz w:val="22"/>
        </w:rPr>
        <w:t>femme en âge d’avoir des enfants</w:t>
      </w:r>
      <w:r w:rsidR="00A779EA" w:rsidRPr="007944F8">
        <w:rPr>
          <w:color w:val="auto"/>
          <w:sz w:val="22"/>
        </w:rPr>
        <w:t xml:space="preserve"> comme une femme sexuellement mature qui :</w:t>
      </w:r>
    </w:p>
    <w:p w14:paraId="34155A50" w14:textId="77777777" w:rsidR="00A779EA" w:rsidRPr="007944F8" w:rsidRDefault="00A779EA" w:rsidP="00E96874">
      <w:pPr>
        <w:pStyle w:val="Default"/>
        <w:widowControl w:val="0"/>
        <w:numPr>
          <w:ilvl w:val="0"/>
          <w:numId w:val="24"/>
        </w:numPr>
        <w:ind w:left="567" w:hanging="567"/>
        <w:rPr>
          <w:color w:val="auto"/>
          <w:sz w:val="22"/>
          <w:szCs w:val="22"/>
        </w:rPr>
      </w:pPr>
      <w:r w:rsidRPr="007944F8">
        <w:rPr>
          <w:color w:val="auto"/>
          <w:sz w:val="22"/>
        </w:rPr>
        <w:t xml:space="preserve">a eu </w:t>
      </w:r>
      <w:r w:rsidR="00B56846" w:rsidRPr="007944F8">
        <w:rPr>
          <w:color w:val="auto"/>
          <w:sz w:val="22"/>
        </w:rPr>
        <w:t>une ou des menstruations</w:t>
      </w:r>
      <w:r w:rsidRPr="007944F8">
        <w:rPr>
          <w:color w:val="auto"/>
          <w:sz w:val="22"/>
        </w:rPr>
        <w:t xml:space="preserve"> au cours des 12 derniers mois ;</w:t>
      </w:r>
    </w:p>
    <w:p w14:paraId="323675F2" w14:textId="6C88EC4B" w:rsidR="00A779EA" w:rsidRPr="007944F8" w:rsidRDefault="00A779EA" w:rsidP="00E96874">
      <w:pPr>
        <w:pStyle w:val="Default"/>
        <w:widowControl w:val="0"/>
        <w:numPr>
          <w:ilvl w:val="0"/>
          <w:numId w:val="24"/>
        </w:numPr>
        <w:ind w:left="567" w:hanging="567"/>
        <w:rPr>
          <w:color w:val="auto"/>
          <w:sz w:val="22"/>
          <w:szCs w:val="22"/>
        </w:rPr>
      </w:pPr>
      <w:r w:rsidRPr="007944F8">
        <w:rPr>
          <w:color w:val="auto"/>
          <w:sz w:val="22"/>
        </w:rPr>
        <w:t xml:space="preserve">n’a pas </w:t>
      </w:r>
      <w:r w:rsidR="00B56846" w:rsidRPr="007944F8">
        <w:rPr>
          <w:color w:val="auto"/>
          <w:sz w:val="22"/>
        </w:rPr>
        <w:t>subi</w:t>
      </w:r>
      <w:r w:rsidR="007A6117" w:rsidRPr="007944F8">
        <w:rPr>
          <w:color w:val="auto"/>
          <w:sz w:val="22"/>
        </w:rPr>
        <w:t xml:space="preserve"> une </w:t>
      </w:r>
      <w:r w:rsidRPr="007944F8">
        <w:rPr>
          <w:color w:val="auto"/>
          <w:sz w:val="22"/>
        </w:rPr>
        <w:t xml:space="preserve">hystérectomie ou </w:t>
      </w:r>
      <w:r w:rsidR="00B56846" w:rsidRPr="007944F8">
        <w:rPr>
          <w:color w:val="auto"/>
          <w:sz w:val="22"/>
        </w:rPr>
        <w:t>une</w:t>
      </w:r>
      <w:r w:rsidRPr="007944F8">
        <w:rPr>
          <w:color w:val="auto"/>
          <w:sz w:val="22"/>
        </w:rPr>
        <w:t xml:space="preserve"> ovariectomie bilatérale, ou qui ne présente pas de ménopa</w:t>
      </w:r>
      <w:r w:rsidR="00B56846" w:rsidRPr="007944F8">
        <w:rPr>
          <w:color w:val="auto"/>
          <w:sz w:val="22"/>
        </w:rPr>
        <w:t>use</w:t>
      </w:r>
      <w:r w:rsidR="00842043">
        <w:rPr>
          <w:color w:val="auto"/>
          <w:sz w:val="22"/>
        </w:rPr>
        <w:t>.</w:t>
      </w:r>
      <w:r w:rsidR="00B56846" w:rsidRPr="007944F8">
        <w:rPr>
          <w:color w:val="auto"/>
          <w:sz w:val="22"/>
        </w:rPr>
        <w:t xml:space="preserve"> précoce permanente</w:t>
      </w:r>
      <w:r w:rsidRPr="007944F8">
        <w:rPr>
          <w:color w:val="auto"/>
          <w:sz w:val="22"/>
        </w:rPr>
        <w:t xml:space="preserve"> </w:t>
      </w:r>
      <w:r w:rsidR="00B56846" w:rsidRPr="007944F8">
        <w:rPr>
          <w:color w:val="auto"/>
          <w:sz w:val="22"/>
        </w:rPr>
        <w:t>médicalement confirmée ;</w:t>
      </w:r>
    </w:p>
    <w:p w14:paraId="6E57984F" w14:textId="77777777" w:rsidR="00A779EA" w:rsidRPr="007944F8" w:rsidRDefault="00A779EA" w:rsidP="00E96874">
      <w:pPr>
        <w:pStyle w:val="Default"/>
        <w:widowControl w:val="0"/>
        <w:numPr>
          <w:ilvl w:val="0"/>
          <w:numId w:val="24"/>
        </w:numPr>
        <w:ind w:left="567" w:hanging="567"/>
        <w:rPr>
          <w:color w:val="auto"/>
          <w:sz w:val="22"/>
          <w:szCs w:val="22"/>
        </w:rPr>
      </w:pPr>
      <w:r w:rsidRPr="007944F8">
        <w:rPr>
          <w:color w:val="auto"/>
          <w:sz w:val="22"/>
        </w:rPr>
        <w:t>n’a pas de génotype XY, de syndrome de Turner, ou d’agénésie utérine ;</w:t>
      </w:r>
    </w:p>
    <w:p w14:paraId="317AEEE9" w14:textId="77777777" w:rsidR="00A779EA" w:rsidRPr="007944F8" w:rsidRDefault="00A779EA" w:rsidP="00E96874">
      <w:pPr>
        <w:pStyle w:val="Default"/>
        <w:widowControl w:val="0"/>
        <w:numPr>
          <w:ilvl w:val="0"/>
          <w:numId w:val="24"/>
        </w:numPr>
        <w:ind w:left="567" w:hanging="567"/>
        <w:rPr>
          <w:color w:val="auto"/>
          <w:sz w:val="22"/>
          <w:szCs w:val="22"/>
        </w:rPr>
      </w:pPr>
      <w:r w:rsidRPr="007944F8">
        <w:rPr>
          <w:color w:val="auto"/>
          <w:sz w:val="22"/>
        </w:rPr>
        <w:t>est en aménorrhée à la suite d’un traitement anticancéreux</w:t>
      </w:r>
      <w:r w:rsidR="00ED7FE5" w:rsidRPr="007944F8">
        <w:rPr>
          <w:color w:val="auto"/>
          <w:sz w:val="22"/>
        </w:rPr>
        <w:t>, dont notamment un traitement par Odomzo</w:t>
      </w:r>
      <w:r w:rsidRPr="007944F8">
        <w:rPr>
          <w:color w:val="auto"/>
          <w:sz w:val="22"/>
        </w:rPr>
        <w:t>.</w:t>
      </w:r>
    </w:p>
    <w:p w14:paraId="542C1CD0" w14:textId="77777777" w:rsidR="005B702E" w:rsidRPr="007944F8" w:rsidRDefault="005B702E" w:rsidP="00E96874">
      <w:pPr>
        <w:widowControl w:val="0"/>
        <w:tabs>
          <w:tab w:val="clear" w:pos="567"/>
        </w:tabs>
        <w:spacing w:line="240" w:lineRule="auto"/>
      </w:pPr>
    </w:p>
    <w:p w14:paraId="3B5A2BEF" w14:textId="77777777" w:rsidR="00C849EC" w:rsidRPr="007944F8" w:rsidRDefault="00C849EC" w:rsidP="00BE7F7C">
      <w:pPr>
        <w:pStyle w:val="Default"/>
        <w:keepNext/>
        <w:widowControl w:val="0"/>
        <w:outlineLvl w:val="0"/>
        <w:rPr>
          <w:sz w:val="22"/>
          <w:szCs w:val="22"/>
          <w:u w:val="single"/>
        </w:rPr>
      </w:pPr>
      <w:r w:rsidRPr="007944F8">
        <w:rPr>
          <w:sz w:val="22"/>
          <w:u w:val="single"/>
        </w:rPr>
        <w:t>Conseils</w:t>
      </w:r>
    </w:p>
    <w:p w14:paraId="0D543789" w14:textId="77777777" w:rsidR="00A779EA" w:rsidRPr="007944F8" w:rsidRDefault="00A779EA" w:rsidP="00E96874">
      <w:pPr>
        <w:pStyle w:val="Default"/>
        <w:keepNext/>
        <w:widowControl w:val="0"/>
        <w:rPr>
          <w:color w:val="auto"/>
          <w:sz w:val="22"/>
          <w:szCs w:val="22"/>
        </w:rPr>
      </w:pPr>
    </w:p>
    <w:p w14:paraId="72E32FB9" w14:textId="77777777" w:rsidR="00A779EA" w:rsidRPr="007944F8" w:rsidRDefault="00A779EA" w:rsidP="00BE7F7C">
      <w:pPr>
        <w:pStyle w:val="Default"/>
        <w:keepNext/>
        <w:widowControl w:val="0"/>
        <w:outlineLvl w:val="0"/>
        <w:rPr>
          <w:i/>
          <w:color w:val="auto"/>
          <w:sz w:val="22"/>
          <w:u w:val="single"/>
        </w:rPr>
      </w:pPr>
      <w:r w:rsidRPr="007944F8">
        <w:rPr>
          <w:i/>
          <w:color w:val="auto"/>
          <w:sz w:val="22"/>
          <w:u w:val="single"/>
        </w:rPr>
        <w:t>Pour les</w:t>
      </w:r>
      <w:r w:rsidR="00B56846" w:rsidRPr="007944F8">
        <w:rPr>
          <w:i/>
          <w:color w:val="auto"/>
          <w:sz w:val="22"/>
          <w:u w:val="single"/>
        </w:rPr>
        <w:t xml:space="preserve"> femmes en âge d'avoir des enfants</w:t>
      </w:r>
    </w:p>
    <w:p w14:paraId="10AACBD0" w14:textId="77777777" w:rsidR="00A779EA" w:rsidRPr="007944F8" w:rsidRDefault="00ED7FE5" w:rsidP="00E96874">
      <w:pPr>
        <w:pStyle w:val="Default"/>
        <w:keepNext/>
        <w:widowControl w:val="0"/>
        <w:rPr>
          <w:color w:val="auto"/>
          <w:sz w:val="22"/>
          <w:szCs w:val="22"/>
        </w:rPr>
      </w:pPr>
      <w:r w:rsidRPr="007944F8">
        <w:rPr>
          <w:color w:val="auto"/>
          <w:sz w:val="22"/>
        </w:rPr>
        <w:t>Odomzo est contre</w:t>
      </w:r>
      <w:r w:rsidR="005E051C" w:rsidRPr="007944F8">
        <w:rPr>
          <w:color w:val="auto"/>
          <w:sz w:val="22"/>
        </w:rPr>
        <w:t>-</w:t>
      </w:r>
      <w:r w:rsidRPr="007944F8">
        <w:rPr>
          <w:color w:val="auto"/>
          <w:sz w:val="22"/>
        </w:rPr>
        <w:t>indiqué chez les femmes en âge d’avoir des enfants qui ne respectent pas le Programme de Prévention de la Grossesse d’Odomzo.</w:t>
      </w:r>
      <w:r w:rsidR="005E051C" w:rsidRPr="007944F8">
        <w:rPr>
          <w:color w:val="auto"/>
          <w:sz w:val="22"/>
        </w:rPr>
        <w:t xml:space="preserve"> </w:t>
      </w:r>
      <w:r w:rsidR="00A779EA" w:rsidRPr="007944F8">
        <w:rPr>
          <w:color w:val="auto"/>
          <w:sz w:val="22"/>
        </w:rPr>
        <w:t>Une</w:t>
      </w:r>
      <w:r w:rsidR="00B56846" w:rsidRPr="007944F8">
        <w:rPr>
          <w:color w:val="auto"/>
          <w:sz w:val="22"/>
        </w:rPr>
        <w:t xml:space="preserve"> femme en âge d'avoir des enfants</w:t>
      </w:r>
      <w:r w:rsidR="00A779EA" w:rsidRPr="007944F8">
        <w:rPr>
          <w:color w:val="auto"/>
          <w:sz w:val="22"/>
        </w:rPr>
        <w:t xml:space="preserve"> doit </w:t>
      </w:r>
      <w:r w:rsidR="00B56846" w:rsidRPr="007944F8">
        <w:rPr>
          <w:color w:val="auto"/>
          <w:sz w:val="22"/>
        </w:rPr>
        <w:t>savoir</w:t>
      </w:r>
      <w:r w:rsidR="00A779EA" w:rsidRPr="007944F8">
        <w:rPr>
          <w:color w:val="auto"/>
          <w:sz w:val="22"/>
        </w:rPr>
        <w:t xml:space="preserve"> que :</w:t>
      </w:r>
    </w:p>
    <w:p w14:paraId="0359AAEE" w14:textId="77777777" w:rsidR="00A779EA" w:rsidRPr="007944F8" w:rsidRDefault="00A779EA" w:rsidP="00E96874">
      <w:pPr>
        <w:pStyle w:val="Default"/>
        <w:widowControl w:val="0"/>
        <w:numPr>
          <w:ilvl w:val="0"/>
          <w:numId w:val="25"/>
        </w:numPr>
        <w:ind w:left="567" w:hanging="567"/>
        <w:rPr>
          <w:color w:val="auto"/>
          <w:sz w:val="22"/>
          <w:szCs w:val="22"/>
        </w:rPr>
      </w:pPr>
      <w:r w:rsidRPr="007944F8">
        <w:rPr>
          <w:color w:val="auto"/>
          <w:sz w:val="22"/>
        </w:rPr>
        <w:t>Odomzo expose l’enfant à naître à un risque tératogène.</w:t>
      </w:r>
    </w:p>
    <w:p w14:paraId="21FF2110" w14:textId="77777777" w:rsidR="00A779EA" w:rsidRPr="007944F8" w:rsidRDefault="00A779EA" w:rsidP="00E96874">
      <w:pPr>
        <w:pStyle w:val="Default"/>
        <w:widowControl w:val="0"/>
        <w:numPr>
          <w:ilvl w:val="0"/>
          <w:numId w:val="25"/>
        </w:numPr>
        <w:ind w:left="567" w:hanging="567"/>
        <w:rPr>
          <w:color w:val="auto"/>
          <w:sz w:val="22"/>
          <w:szCs w:val="22"/>
        </w:rPr>
      </w:pPr>
      <w:r w:rsidRPr="007944F8">
        <w:rPr>
          <w:color w:val="auto"/>
          <w:sz w:val="22"/>
        </w:rPr>
        <w:t>Elle ne doit pas prendre Odomzo si elle est enceinte ou envisage une grossesse.</w:t>
      </w:r>
    </w:p>
    <w:p w14:paraId="53A429EB" w14:textId="77777777" w:rsidR="00A779EA" w:rsidRPr="007944F8" w:rsidRDefault="00A779EA" w:rsidP="00E96874">
      <w:pPr>
        <w:pStyle w:val="Default"/>
        <w:widowControl w:val="0"/>
        <w:numPr>
          <w:ilvl w:val="0"/>
          <w:numId w:val="25"/>
        </w:numPr>
        <w:ind w:left="567" w:hanging="567"/>
        <w:rPr>
          <w:color w:val="auto"/>
          <w:sz w:val="22"/>
          <w:szCs w:val="22"/>
        </w:rPr>
      </w:pPr>
      <w:r w:rsidRPr="007944F8">
        <w:rPr>
          <w:color w:val="auto"/>
          <w:sz w:val="22"/>
        </w:rPr>
        <w:t xml:space="preserve">Elle doit </w:t>
      </w:r>
      <w:r w:rsidR="00B56846" w:rsidRPr="007944F8">
        <w:rPr>
          <w:color w:val="auto"/>
          <w:sz w:val="22"/>
        </w:rPr>
        <w:t>avoir</w:t>
      </w:r>
      <w:r w:rsidRPr="007944F8">
        <w:rPr>
          <w:color w:val="auto"/>
          <w:sz w:val="22"/>
        </w:rPr>
        <w:t xml:space="preserve"> un test de grossesse négatif, réalisé par un professionnel de santé, dans les 7 jours précédant le début du traitement par Odomzo.</w:t>
      </w:r>
    </w:p>
    <w:p w14:paraId="5BE904AB" w14:textId="77777777" w:rsidR="00A779EA" w:rsidRPr="007944F8" w:rsidRDefault="00A779EA" w:rsidP="00E96874">
      <w:pPr>
        <w:pStyle w:val="Default"/>
        <w:widowControl w:val="0"/>
        <w:numPr>
          <w:ilvl w:val="0"/>
          <w:numId w:val="25"/>
        </w:numPr>
        <w:ind w:left="567" w:hanging="567"/>
        <w:rPr>
          <w:color w:val="auto"/>
          <w:sz w:val="22"/>
          <w:szCs w:val="22"/>
        </w:rPr>
      </w:pPr>
      <w:r w:rsidRPr="007944F8">
        <w:rPr>
          <w:color w:val="auto"/>
          <w:sz w:val="22"/>
        </w:rPr>
        <w:t xml:space="preserve">Elle doit </w:t>
      </w:r>
      <w:r w:rsidR="00B56846" w:rsidRPr="007944F8">
        <w:rPr>
          <w:color w:val="auto"/>
          <w:sz w:val="22"/>
        </w:rPr>
        <w:t>avoir</w:t>
      </w:r>
      <w:r w:rsidRPr="007944F8">
        <w:rPr>
          <w:color w:val="auto"/>
          <w:sz w:val="22"/>
        </w:rPr>
        <w:t xml:space="preserve"> un test de</w:t>
      </w:r>
      <w:r w:rsidR="00B56846" w:rsidRPr="007944F8">
        <w:rPr>
          <w:color w:val="auto"/>
          <w:sz w:val="22"/>
        </w:rPr>
        <w:t xml:space="preserve"> grossesse négatif chaque mois</w:t>
      </w:r>
      <w:r w:rsidRPr="007944F8">
        <w:rPr>
          <w:color w:val="auto"/>
          <w:sz w:val="22"/>
        </w:rPr>
        <w:t xml:space="preserve"> pendant toute </w:t>
      </w:r>
      <w:r w:rsidR="00B56846" w:rsidRPr="007944F8">
        <w:rPr>
          <w:color w:val="auto"/>
          <w:sz w:val="22"/>
        </w:rPr>
        <w:t>la durée du traitement, même en cas</w:t>
      </w:r>
      <w:r w:rsidRPr="007944F8">
        <w:rPr>
          <w:color w:val="auto"/>
          <w:sz w:val="22"/>
        </w:rPr>
        <w:t xml:space="preserve"> </w:t>
      </w:r>
      <w:r w:rsidR="00B56846" w:rsidRPr="007944F8">
        <w:rPr>
          <w:color w:val="auto"/>
          <w:sz w:val="22"/>
        </w:rPr>
        <w:t>d’</w:t>
      </w:r>
      <w:r w:rsidRPr="007944F8">
        <w:rPr>
          <w:color w:val="auto"/>
          <w:sz w:val="22"/>
        </w:rPr>
        <w:t>aménorrhée.</w:t>
      </w:r>
    </w:p>
    <w:p w14:paraId="15650E55" w14:textId="77777777" w:rsidR="00A779EA" w:rsidRPr="007944F8" w:rsidRDefault="00B56846" w:rsidP="00E96874">
      <w:pPr>
        <w:pStyle w:val="Default"/>
        <w:widowControl w:val="0"/>
        <w:numPr>
          <w:ilvl w:val="0"/>
          <w:numId w:val="25"/>
        </w:numPr>
        <w:ind w:left="567" w:hanging="567"/>
        <w:rPr>
          <w:color w:val="auto"/>
          <w:sz w:val="22"/>
          <w:szCs w:val="22"/>
        </w:rPr>
      </w:pPr>
      <w:r w:rsidRPr="007944F8">
        <w:rPr>
          <w:color w:val="auto"/>
          <w:sz w:val="22"/>
        </w:rPr>
        <w:t xml:space="preserve">Elle ne doit pas débuter une grossesse </w:t>
      </w:r>
      <w:r w:rsidR="00A779EA" w:rsidRPr="007944F8">
        <w:rPr>
          <w:color w:val="auto"/>
          <w:sz w:val="22"/>
        </w:rPr>
        <w:t>au cours du traitement par Odomzo et p</w:t>
      </w:r>
      <w:r w:rsidRPr="007944F8">
        <w:rPr>
          <w:color w:val="auto"/>
          <w:sz w:val="22"/>
        </w:rPr>
        <w:t>endant les 20 mois qui suivent l</w:t>
      </w:r>
      <w:r w:rsidR="00A779EA" w:rsidRPr="007944F8">
        <w:rPr>
          <w:color w:val="auto"/>
          <w:sz w:val="22"/>
        </w:rPr>
        <w:t xml:space="preserve">a dernière </w:t>
      </w:r>
      <w:r w:rsidRPr="007944F8">
        <w:rPr>
          <w:color w:val="auto"/>
          <w:sz w:val="22"/>
        </w:rPr>
        <w:t>prise</w:t>
      </w:r>
      <w:r w:rsidR="00A779EA" w:rsidRPr="007944F8">
        <w:rPr>
          <w:color w:val="auto"/>
          <w:sz w:val="22"/>
        </w:rPr>
        <w:t>.</w:t>
      </w:r>
    </w:p>
    <w:p w14:paraId="60E3902B" w14:textId="77777777" w:rsidR="00A779EA" w:rsidRPr="007944F8" w:rsidRDefault="00B56846" w:rsidP="00E96874">
      <w:pPr>
        <w:pStyle w:val="Default"/>
        <w:widowControl w:val="0"/>
        <w:numPr>
          <w:ilvl w:val="0"/>
          <w:numId w:val="25"/>
        </w:numPr>
        <w:ind w:left="567" w:hanging="567"/>
        <w:rPr>
          <w:color w:val="auto"/>
          <w:sz w:val="22"/>
          <w:szCs w:val="22"/>
        </w:rPr>
      </w:pPr>
      <w:r w:rsidRPr="007944F8">
        <w:rPr>
          <w:color w:val="auto"/>
          <w:sz w:val="22"/>
        </w:rPr>
        <w:t>La femme en âge d'avoir des enfants</w:t>
      </w:r>
      <w:r w:rsidRPr="007944F8" w:rsidDel="004D2087">
        <w:rPr>
          <w:color w:val="auto"/>
          <w:sz w:val="22"/>
        </w:rPr>
        <w:t xml:space="preserve"> </w:t>
      </w:r>
      <w:r w:rsidR="00A779EA" w:rsidRPr="007944F8">
        <w:rPr>
          <w:color w:val="auto"/>
          <w:sz w:val="22"/>
        </w:rPr>
        <w:t>doit être capable de se conformer à des mesures de contraception efficaces.</w:t>
      </w:r>
    </w:p>
    <w:p w14:paraId="151EB1CB" w14:textId="77777777" w:rsidR="00A779EA" w:rsidRPr="007944F8" w:rsidRDefault="00A779EA" w:rsidP="00E96874">
      <w:pPr>
        <w:pStyle w:val="Default"/>
        <w:widowControl w:val="0"/>
        <w:numPr>
          <w:ilvl w:val="0"/>
          <w:numId w:val="25"/>
        </w:numPr>
        <w:ind w:left="567" w:hanging="567"/>
        <w:rPr>
          <w:color w:val="auto"/>
          <w:sz w:val="22"/>
          <w:szCs w:val="22"/>
        </w:rPr>
      </w:pPr>
      <w:r w:rsidRPr="007944F8">
        <w:rPr>
          <w:color w:val="auto"/>
          <w:sz w:val="22"/>
        </w:rPr>
        <w:t>Elle doit utiliser 2 méthodes de contraception recommandées (voir rubrique « Contraception » ci-dessous et rubrique 4.6) pendant toute la durée de son traitement par Odomzo, à moins qu’elle ne s’engage à ne pas avoir de rapports sexuels (abstinence).</w:t>
      </w:r>
    </w:p>
    <w:p w14:paraId="55976900" w14:textId="77777777" w:rsidR="00A779EA" w:rsidRPr="007944F8" w:rsidRDefault="00A779EA" w:rsidP="00E96874">
      <w:pPr>
        <w:pStyle w:val="Default"/>
        <w:keepNext/>
        <w:widowControl w:val="0"/>
        <w:numPr>
          <w:ilvl w:val="0"/>
          <w:numId w:val="25"/>
        </w:numPr>
        <w:ind w:left="567" w:hanging="567"/>
        <w:rPr>
          <w:color w:val="auto"/>
          <w:sz w:val="22"/>
          <w:szCs w:val="22"/>
        </w:rPr>
      </w:pPr>
      <w:r w:rsidRPr="007944F8">
        <w:rPr>
          <w:color w:val="auto"/>
          <w:sz w:val="22"/>
        </w:rPr>
        <w:t>Elle doit informer son professionnel de santé si l’un des événements suivants survient pendant le traitement et au</w:t>
      </w:r>
      <w:r w:rsidR="00B56846" w:rsidRPr="007944F8">
        <w:rPr>
          <w:color w:val="auto"/>
          <w:sz w:val="22"/>
        </w:rPr>
        <w:t xml:space="preserve"> cours des 20 mois qui suivent l</w:t>
      </w:r>
      <w:r w:rsidRPr="007944F8">
        <w:rPr>
          <w:color w:val="auto"/>
          <w:sz w:val="22"/>
        </w:rPr>
        <w:t xml:space="preserve">a dernière </w:t>
      </w:r>
      <w:r w:rsidR="00B56846" w:rsidRPr="007944F8">
        <w:rPr>
          <w:color w:val="auto"/>
          <w:sz w:val="22"/>
        </w:rPr>
        <w:t>prise</w:t>
      </w:r>
      <w:r w:rsidRPr="007944F8">
        <w:rPr>
          <w:color w:val="auto"/>
          <w:sz w:val="22"/>
        </w:rPr>
        <w:t> :</w:t>
      </w:r>
    </w:p>
    <w:p w14:paraId="2CA3FDF1" w14:textId="77777777" w:rsidR="00A779EA" w:rsidRPr="007944F8" w:rsidRDefault="00A779EA" w:rsidP="00E96874">
      <w:pPr>
        <w:widowControl w:val="0"/>
        <w:numPr>
          <w:ilvl w:val="1"/>
          <w:numId w:val="25"/>
        </w:numPr>
        <w:tabs>
          <w:tab w:val="clear" w:pos="567"/>
        </w:tabs>
        <w:autoSpaceDE w:val="0"/>
        <w:autoSpaceDN w:val="0"/>
        <w:adjustRightInd w:val="0"/>
        <w:spacing w:line="240" w:lineRule="auto"/>
        <w:ind w:left="1134" w:hanging="567"/>
        <w:rPr>
          <w:rFonts w:eastAsia="SimSun"/>
          <w:szCs w:val="22"/>
        </w:rPr>
      </w:pPr>
      <w:r w:rsidRPr="007944F8">
        <w:t>elle est enceinte ou pense, pour une raison quelconque, qu’elle pourrait l’être ;</w:t>
      </w:r>
    </w:p>
    <w:p w14:paraId="2A51D155" w14:textId="77777777" w:rsidR="00A779EA" w:rsidRPr="007944F8" w:rsidRDefault="00A779EA" w:rsidP="00E96874">
      <w:pPr>
        <w:widowControl w:val="0"/>
        <w:numPr>
          <w:ilvl w:val="1"/>
          <w:numId w:val="25"/>
        </w:numPr>
        <w:tabs>
          <w:tab w:val="clear" w:pos="567"/>
        </w:tabs>
        <w:autoSpaceDE w:val="0"/>
        <w:autoSpaceDN w:val="0"/>
        <w:adjustRightInd w:val="0"/>
        <w:spacing w:line="240" w:lineRule="auto"/>
        <w:ind w:left="1134" w:hanging="567"/>
        <w:rPr>
          <w:rFonts w:eastAsia="SimSun"/>
          <w:szCs w:val="22"/>
        </w:rPr>
      </w:pPr>
      <w:r w:rsidRPr="007944F8">
        <w:t xml:space="preserve">elle n’a </w:t>
      </w:r>
      <w:r w:rsidR="00B56846" w:rsidRPr="007944F8">
        <w:t>pas</w:t>
      </w:r>
      <w:r w:rsidRPr="007944F8">
        <w:t xml:space="preserve"> ses règles ;</w:t>
      </w:r>
    </w:p>
    <w:p w14:paraId="1FD867FF" w14:textId="77777777" w:rsidR="00A779EA" w:rsidRPr="007944F8" w:rsidRDefault="00A779EA" w:rsidP="00E96874">
      <w:pPr>
        <w:widowControl w:val="0"/>
        <w:numPr>
          <w:ilvl w:val="1"/>
          <w:numId w:val="25"/>
        </w:numPr>
        <w:tabs>
          <w:tab w:val="clear" w:pos="567"/>
        </w:tabs>
        <w:autoSpaceDE w:val="0"/>
        <w:autoSpaceDN w:val="0"/>
        <w:adjustRightInd w:val="0"/>
        <w:spacing w:line="240" w:lineRule="auto"/>
        <w:ind w:left="1134" w:hanging="567"/>
        <w:rPr>
          <w:rFonts w:eastAsia="SimSun"/>
          <w:szCs w:val="22"/>
        </w:rPr>
      </w:pPr>
      <w:r w:rsidRPr="007944F8">
        <w:t>elle cesse de recourir à la contraception, à moins qu’elle ne s’engage à ne pas avoir de rapports sexuels (abstinence) ;</w:t>
      </w:r>
    </w:p>
    <w:p w14:paraId="4C1A6B5E" w14:textId="77777777" w:rsidR="00A779EA" w:rsidRPr="007944F8" w:rsidRDefault="00A779EA" w:rsidP="00E96874">
      <w:pPr>
        <w:widowControl w:val="0"/>
        <w:numPr>
          <w:ilvl w:val="1"/>
          <w:numId w:val="25"/>
        </w:numPr>
        <w:tabs>
          <w:tab w:val="clear" w:pos="567"/>
        </w:tabs>
        <w:autoSpaceDE w:val="0"/>
        <w:autoSpaceDN w:val="0"/>
        <w:adjustRightInd w:val="0"/>
        <w:spacing w:line="240" w:lineRule="auto"/>
        <w:ind w:left="1134" w:hanging="567"/>
        <w:rPr>
          <w:rFonts w:eastAsia="SimSun"/>
          <w:szCs w:val="22"/>
        </w:rPr>
      </w:pPr>
      <w:r w:rsidRPr="007944F8">
        <w:t>elle a besoin de changer de contraception.</w:t>
      </w:r>
    </w:p>
    <w:p w14:paraId="2C95C4CC" w14:textId="77777777" w:rsidR="00A779EA" w:rsidRPr="007944F8" w:rsidRDefault="00A779EA" w:rsidP="00E96874">
      <w:pPr>
        <w:widowControl w:val="0"/>
        <w:numPr>
          <w:ilvl w:val="0"/>
          <w:numId w:val="25"/>
        </w:numPr>
        <w:tabs>
          <w:tab w:val="clear" w:pos="567"/>
        </w:tabs>
        <w:autoSpaceDE w:val="0"/>
        <w:autoSpaceDN w:val="0"/>
        <w:adjustRightInd w:val="0"/>
        <w:spacing w:line="240" w:lineRule="auto"/>
        <w:ind w:left="567" w:hanging="567"/>
        <w:rPr>
          <w:rFonts w:eastAsia="SimSun"/>
          <w:szCs w:val="22"/>
        </w:rPr>
      </w:pPr>
      <w:r w:rsidRPr="007944F8">
        <w:t xml:space="preserve">Elle ne doit pas allaiter durant son traitement par Odomzo et pendant les 20 mois qui suivent </w:t>
      </w:r>
      <w:r w:rsidR="007A6117" w:rsidRPr="007944F8">
        <w:t>l</w:t>
      </w:r>
      <w:r w:rsidRPr="007944F8">
        <w:t xml:space="preserve">a dernière </w:t>
      </w:r>
      <w:r w:rsidR="00B56846" w:rsidRPr="007944F8">
        <w:t>prise</w:t>
      </w:r>
      <w:r w:rsidRPr="007944F8">
        <w:t>.</w:t>
      </w:r>
    </w:p>
    <w:p w14:paraId="08ABA32D" w14:textId="77777777" w:rsidR="00A779EA" w:rsidRPr="007944F8" w:rsidRDefault="00A779EA" w:rsidP="00E96874">
      <w:pPr>
        <w:widowControl w:val="0"/>
        <w:tabs>
          <w:tab w:val="clear" w:pos="567"/>
        </w:tabs>
        <w:autoSpaceDE w:val="0"/>
        <w:autoSpaceDN w:val="0"/>
        <w:adjustRightInd w:val="0"/>
        <w:spacing w:line="240" w:lineRule="auto"/>
        <w:ind w:left="567" w:hanging="568"/>
        <w:rPr>
          <w:rFonts w:eastAsia="SimSun"/>
          <w:szCs w:val="22"/>
        </w:rPr>
      </w:pPr>
    </w:p>
    <w:p w14:paraId="3B9F9964" w14:textId="77777777" w:rsidR="00A779EA" w:rsidRPr="007944F8" w:rsidRDefault="00A779EA" w:rsidP="00BE7F7C">
      <w:pPr>
        <w:keepNext/>
        <w:widowControl w:val="0"/>
        <w:tabs>
          <w:tab w:val="clear" w:pos="567"/>
        </w:tabs>
        <w:autoSpaceDE w:val="0"/>
        <w:autoSpaceDN w:val="0"/>
        <w:adjustRightInd w:val="0"/>
        <w:spacing w:line="240" w:lineRule="auto"/>
        <w:outlineLvl w:val="0"/>
        <w:rPr>
          <w:rFonts w:eastAsia="SimSun"/>
          <w:szCs w:val="22"/>
          <w:u w:val="single"/>
        </w:rPr>
      </w:pPr>
      <w:r w:rsidRPr="007944F8">
        <w:rPr>
          <w:i/>
          <w:u w:val="single"/>
        </w:rPr>
        <w:t>Pour les hommes</w:t>
      </w:r>
    </w:p>
    <w:p w14:paraId="74CC52F6" w14:textId="77777777" w:rsidR="00A779EA" w:rsidRPr="007944F8" w:rsidRDefault="00B56846" w:rsidP="00E96874">
      <w:pPr>
        <w:keepNext/>
        <w:widowControl w:val="0"/>
        <w:tabs>
          <w:tab w:val="clear" w:pos="567"/>
        </w:tabs>
        <w:autoSpaceDE w:val="0"/>
        <w:autoSpaceDN w:val="0"/>
        <w:adjustRightInd w:val="0"/>
        <w:spacing w:line="240" w:lineRule="auto"/>
        <w:rPr>
          <w:rFonts w:eastAsia="SimSun"/>
          <w:szCs w:val="22"/>
        </w:rPr>
      </w:pPr>
      <w:r w:rsidRPr="007944F8">
        <w:t>S</w:t>
      </w:r>
      <w:r w:rsidR="00A779EA" w:rsidRPr="007944F8">
        <w:t>onidégib peut passer dans le sperme. Pour éviter tout</w:t>
      </w:r>
      <w:r w:rsidR="00507932" w:rsidRPr="007944F8">
        <w:t>e</w:t>
      </w:r>
      <w:r w:rsidR="00A779EA" w:rsidRPr="007944F8">
        <w:t xml:space="preserve"> exposition </w:t>
      </w:r>
      <w:r w:rsidR="00507932" w:rsidRPr="007944F8">
        <w:t xml:space="preserve">potentielle </w:t>
      </w:r>
      <w:r w:rsidR="00A779EA" w:rsidRPr="007944F8">
        <w:t xml:space="preserve">du fœtus pendant la grossesse, un patient de sexe masculin doit </w:t>
      </w:r>
      <w:r w:rsidRPr="007944F8">
        <w:t>savoir</w:t>
      </w:r>
      <w:r w:rsidR="00A779EA" w:rsidRPr="007944F8">
        <w:t xml:space="preserve"> que :</w:t>
      </w:r>
    </w:p>
    <w:p w14:paraId="5D97AC10" w14:textId="77777777" w:rsidR="00A779EA" w:rsidRPr="007944F8" w:rsidRDefault="00A779EA" w:rsidP="00E96874">
      <w:pPr>
        <w:widowControl w:val="0"/>
        <w:numPr>
          <w:ilvl w:val="0"/>
          <w:numId w:val="26"/>
        </w:numPr>
        <w:tabs>
          <w:tab w:val="clear" w:pos="567"/>
        </w:tabs>
        <w:autoSpaceDE w:val="0"/>
        <w:autoSpaceDN w:val="0"/>
        <w:adjustRightInd w:val="0"/>
        <w:spacing w:line="240" w:lineRule="auto"/>
        <w:ind w:left="567" w:hanging="567"/>
        <w:rPr>
          <w:rFonts w:eastAsia="SimSun"/>
          <w:szCs w:val="22"/>
        </w:rPr>
      </w:pPr>
      <w:r w:rsidRPr="007944F8">
        <w:t>Odomzo expose l’enfant à naître à un risque tératogène en cas de rapports sexuels non protégés avec une femme enceinte.</w:t>
      </w:r>
    </w:p>
    <w:p w14:paraId="1EB0D607" w14:textId="77777777" w:rsidR="00A779EA" w:rsidRPr="007944F8" w:rsidRDefault="00A779EA" w:rsidP="00E96874">
      <w:pPr>
        <w:widowControl w:val="0"/>
        <w:numPr>
          <w:ilvl w:val="0"/>
          <w:numId w:val="26"/>
        </w:numPr>
        <w:tabs>
          <w:tab w:val="clear" w:pos="567"/>
        </w:tabs>
        <w:autoSpaceDE w:val="0"/>
        <w:autoSpaceDN w:val="0"/>
        <w:adjustRightInd w:val="0"/>
        <w:spacing w:line="240" w:lineRule="auto"/>
        <w:ind w:left="567" w:hanging="567"/>
        <w:rPr>
          <w:rFonts w:eastAsia="SimSun"/>
          <w:szCs w:val="22"/>
        </w:rPr>
      </w:pPr>
      <w:r w:rsidRPr="007944F8">
        <w:t>Il doit toujours utiliser le moyen de contraception recommandé (voir rubrique « Contraception » ci-dessous et rubrique 4.6).</w:t>
      </w:r>
    </w:p>
    <w:p w14:paraId="010F99D2" w14:textId="77777777" w:rsidR="00A779EA" w:rsidRPr="007944F8" w:rsidRDefault="00A779EA" w:rsidP="00E96874">
      <w:pPr>
        <w:widowControl w:val="0"/>
        <w:numPr>
          <w:ilvl w:val="0"/>
          <w:numId w:val="26"/>
        </w:numPr>
        <w:tabs>
          <w:tab w:val="clear" w:pos="567"/>
        </w:tabs>
        <w:autoSpaceDE w:val="0"/>
        <w:autoSpaceDN w:val="0"/>
        <w:adjustRightInd w:val="0"/>
        <w:spacing w:line="240" w:lineRule="auto"/>
        <w:ind w:left="567" w:hanging="567"/>
        <w:rPr>
          <w:rFonts w:eastAsia="SimSun"/>
          <w:szCs w:val="22"/>
        </w:rPr>
      </w:pPr>
      <w:r w:rsidRPr="007944F8">
        <w:t xml:space="preserve">Il devra informer son professionnel de santé si sa partenaire </w:t>
      </w:r>
      <w:r w:rsidR="00B56846" w:rsidRPr="007944F8">
        <w:t>débute une grossesse</w:t>
      </w:r>
      <w:r w:rsidRPr="007944F8">
        <w:t xml:space="preserve"> au cours de son traitement par Odomzo ou </w:t>
      </w:r>
      <w:r w:rsidR="00B56846" w:rsidRPr="007944F8">
        <w:t>pendant les 6 mois qui suivent l</w:t>
      </w:r>
      <w:r w:rsidRPr="007944F8">
        <w:t xml:space="preserve">a dernière </w:t>
      </w:r>
      <w:r w:rsidR="00B56846" w:rsidRPr="007944F8">
        <w:t>prise</w:t>
      </w:r>
      <w:r w:rsidRPr="007944F8">
        <w:t>.</w:t>
      </w:r>
    </w:p>
    <w:p w14:paraId="4E8CC782" w14:textId="77777777" w:rsidR="00A779EA" w:rsidRPr="007944F8" w:rsidRDefault="00A779EA" w:rsidP="00E96874">
      <w:pPr>
        <w:widowControl w:val="0"/>
        <w:tabs>
          <w:tab w:val="clear" w:pos="567"/>
        </w:tabs>
        <w:autoSpaceDE w:val="0"/>
        <w:autoSpaceDN w:val="0"/>
        <w:adjustRightInd w:val="0"/>
        <w:spacing w:line="240" w:lineRule="auto"/>
        <w:rPr>
          <w:rFonts w:eastAsia="SimSun"/>
          <w:szCs w:val="22"/>
        </w:rPr>
      </w:pPr>
    </w:p>
    <w:p w14:paraId="09CEA53E" w14:textId="77777777" w:rsidR="00A779EA" w:rsidRPr="007944F8" w:rsidRDefault="00A779EA" w:rsidP="00BE7F7C">
      <w:pPr>
        <w:keepNext/>
        <w:widowControl w:val="0"/>
        <w:tabs>
          <w:tab w:val="clear" w:pos="567"/>
        </w:tabs>
        <w:autoSpaceDE w:val="0"/>
        <w:autoSpaceDN w:val="0"/>
        <w:adjustRightInd w:val="0"/>
        <w:spacing w:line="240" w:lineRule="auto"/>
        <w:outlineLvl w:val="0"/>
        <w:rPr>
          <w:rFonts w:eastAsia="SimSun"/>
          <w:szCs w:val="22"/>
          <w:u w:val="single"/>
        </w:rPr>
      </w:pPr>
      <w:r w:rsidRPr="007944F8">
        <w:rPr>
          <w:i/>
          <w:u w:val="single"/>
        </w:rPr>
        <w:t>Pour les professionnels de santé</w:t>
      </w:r>
    </w:p>
    <w:p w14:paraId="57A5E063" w14:textId="77777777" w:rsidR="00A779EA" w:rsidRPr="007944F8" w:rsidRDefault="00A779EA" w:rsidP="00E96874">
      <w:pPr>
        <w:pStyle w:val="Default"/>
        <w:widowControl w:val="0"/>
        <w:rPr>
          <w:color w:val="auto"/>
          <w:sz w:val="22"/>
          <w:szCs w:val="22"/>
        </w:rPr>
      </w:pPr>
      <w:r w:rsidRPr="007944F8">
        <w:rPr>
          <w:color w:val="auto"/>
          <w:sz w:val="22"/>
        </w:rPr>
        <w:t xml:space="preserve">Les </w:t>
      </w:r>
      <w:r w:rsidR="00ED7FE5" w:rsidRPr="007944F8">
        <w:rPr>
          <w:color w:val="auto"/>
          <w:sz w:val="22"/>
        </w:rPr>
        <w:t>professionnels de santé</w:t>
      </w:r>
      <w:r w:rsidRPr="007944F8">
        <w:rPr>
          <w:color w:val="auto"/>
          <w:sz w:val="22"/>
        </w:rPr>
        <w:t xml:space="preserve"> doivent informer les patients de façon à ce qu’ils comprennent et acceptent toutes les condi</w:t>
      </w:r>
      <w:r w:rsidR="00B56846" w:rsidRPr="007944F8">
        <w:rPr>
          <w:color w:val="auto"/>
          <w:sz w:val="22"/>
        </w:rPr>
        <w:t>tions du Programme de Prévention de la G</w:t>
      </w:r>
      <w:r w:rsidRPr="007944F8">
        <w:rPr>
          <w:color w:val="auto"/>
          <w:sz w:val="22"/>
        </w:rPr>
        <w:t>rossesse</w:t>
      </w:r>
      <w:r w:rsidR="00B56846" w:rsidRPr="007944F8">
        <w:rPr>
          <w:color w:val="auto"/>
          <w:sz w:val="22"/>
        </w:rPr>
        <w:t xml:space="preserve"> lors de la prise</w:t>
      </w:r>
      <w:r w:rsidRPr="007944F8">
        <w:rPr>
          <w:color w:val="auto"/>
          <w:sz w:val="22"/>
        </w:rPr>
        <w:t xml:space="preserve"> d’Odomzo.</w:t>
      </w:r>
    </w:p>
    <w:p w14:paraId="119E1DE5" w14:textId="77777777" w:rsidR="00C849EC" w:rsidRPr="007944F8" w:rsidRDefault="00C849EC" w:rsidP="00E96874">
      <w:pPr>
        <w:pStyle w:val="Default"/>
        <w:widowControl w:val="0"/>
        <w:rPr>
          <w:iCs/>
          <w:sz w:val="22"/>
          <w:szCs w:val="22"/>
        </w:rPr>
      </w:pPr>
    </w:p>
    <w:p w14:paraId="79ED8B31" w14:textId="77777777" w:rsidR="00A87001" w:rsidRPr="007944F8" w:rsidRDefault="00A87001" w:rsidP="00BE7F7C">
      <w:pPr>
        <w:pStyle w:val="Default"/>
        <w:keepNext/>
        <w:widowControl w:val="0"/>
        <w:outlineLvl w:val="0"/>
      </w:pPr>
      <w:r w:rsidRPr="007944F8">
        <w:rPr>
          <w:sz w:val="22"/>
          <w:u w:val="single"/>
        </w:rPr>
        <w:t>Contraception</w:t>
      </w:r>
    </w:p>
    <w:p w14:paraId="2901CF10" w14:textId="77777777" w:rsidR="00E12937" w:rsidRPr="007944F8" w:rsidRDefault="00E12937" w:rsidP="00E96874">
      <w:pPr>
        <w:pStyle w:val="Default"/>
        <w:keepNext/>
        <w:widowControl w:val="0"/>
        <w:rPr>
          <w:iCs/>
          <w:sz w:val="22"/>
          <w:szCs w:val="22"/>
        </w:rPr>
      </w:pPr>
    </w:p>
    <w:p w14:paraId="457160D2" w14:textId="77777777" w:rsidR="00B56846" w:rsidRPr="007944F8" w:rsidRDefault="00B56846" w:rsidP="00BE7F7C">
      <w:pPr>
        <w:pStyle w:val="Default"/>
        <w:widowControl w:val="0"/>
        <w:outlineLvl w:val="0"/>
        <w:rPr>
          <w:i/>
          <w:sz w:val="22"/>
          <w:u w:val="single"/>
        </w:rPr>
      </w:pPr>
      <w:r w:rsidRPr="007944F8">
        <w:rPr>
          <w:i/>
          <w:sz w:val="22"/>
          <w:u w:val="single"/>
        </w:rPr>
        <w:t>Femme en âge d'avoir des enfants</w:t>
      </w:r>
    </w:p>
    <w:p w14:paraId="299C211F" w14:textId="77777777" w:rsidR="00A87001" w:rsidRPr="007944F8" w:rsidRDefault="00A87001" w:rsidP="00E96874">
      <w:pPr>
        <w:pStyle w:val="Default"/>
        <w:widowControl w:val="0"/>
        <w:rPr>
          <w:sz w:val="22"/>
          <w:szCs w:val="22"/>
        </w:rPr>
      </w:pPr>
      <w:r w:rsidRPr="007944F8">
        <w:rPr>
          <w:sz w:val="22"/>
        </w:rPr>
        <w:t xml:space="preserve">Les </w:t>
      </w:r>
      <w:r w:rsidR="00B56846" w:rsidRPr="007944F8">
        <w:rPr>
          <w:color w:val="auto"/>
          <w:sz w:val="22"/>
        </w:rPr>
        <w:t>femmes en âge d'avoir des enfants</w:t>
      </w:r>
      <w:r w:rsidR="00B56846" w:rsidRPr="007944F8" w:rsidDel="00A56E2D">
        <w:rPr>
          <w:color w:val="auto"/>
          <w:sz w:val="22"/>
        </w:rPr>
        <w:t xml:space="preserve"> </w:t>
      </w:r>
      <w:r w:rsidRPr="007944F8">
        <w:rPr>
          <w:sz w:val="22"/>
        </w:rPr>
        <w:t>doivent utiliser deux méthodes de contraception</w:t>
      </w:r>
      <w:r w:rsidR="00ED7FE5" w:rsidRPr="007944F8">
        <w:rPr>
          <w:sz w:val="22"/>
        </w:rPr>
        <w:t xml:space="preserve"> recommandées</w:t>
      </w:r>
      <w:r w:rsidRPr="007944F8">
        <w:rPr>
          <w:sz w:val="22"/>
        </w:rPr>
        <w:t xml:space="preserve">, dont une méthode </w:t>
      </w:r>
      <w:r w:rsidR="00B56846" w:rsidRPr="007944F8">
        <w:rPr>
          <w:sz w:val="22"/>
        </w:rPr>
        <w:t>hautement efficace et une méthode</w:t>
      </w:r>
      <w:r w:rsidRPr="007944F8">
        <w:rPr>
          <w:sz w:val="22"/>
        </w:rPr>
        <w:t xml:space="preserve"> barrière</w:t>
      </w:r>
      <w:r w:rsidR="00B56846" w:rsidRPr="007944F8">
        <w:rPr>
          <w:sz w:val="22"/>
        </w:rPr>
        <w:t xml:space="preserve"> de contraception</w:t>
      </w:r>
      <w:r w:rsidRPr="007944F8">
        <w:rPr>
          <w:sz w:val="22"/>
        </w:rPr>
        <w:t>, pendant toute la durée de leur traitement par Odomzo</w:t>
      </w:r>
      <w:r w:rsidR="00ED7FE5" w:rsidRPr="007944F8">
        <w:rPr>
          <w:sz w:val="22"/>
        </w:rPr>
        <w:t xml:space="preserve"> et</w:t>
      </w:r>
      <w:r w:rsidRPr="007944F8">
        <w:rPr>
          <w:sz w:val="22"/>
        </w:rPr>
        <w:t xml:space="preserve"> pendant les 20 mois qui suivent la fin du traitement (voir rubrique 4.6).</w:t>
      </w:r>
    </w:p>
    <w:p w14:paraId="65AF6B04" w14:textId="77777777" w:rsidR="00A87001" w:rsidRPr="007944F8" w:rsidRDefault="00A87001" w:rsidP="00E96874">
      <w:pPr>
        <w:pStyle w:val="Default"/>
        <w:widowControl w:val="0"/>
        <w:rPr>
          <w:iCs/>
          <w:sz w:val="22"/>
          <w:szCs w:val="22"/>
        </w:rPr>
      </w:pPr>
    </w:p>
    <w:p w14:paraId="15A9609B" w14:textId="77777777" w:rsidR="003650BA" w:rsidRPr="007944F8" w:rsidRDefault="00A87001" w:rsidP="00BE7F7C">
      <w:pPr>
        <w:pStyle w:val="Default"/>
        <w:keepNext/>
        <w:widowControl w:val="0"/>
        <w:outlineLvl w:val="0"/>
        <w:rPr>
          <w:i/>
          <w:iCs/>
          <w:sz w:val="22"/>
          <w:szCs w:val="22"/>
          <w:u w:val="single"/>
        </w:rPr>
      </w:pPr>
      <w:r w:rsidRPr="007944F8">
        <w:rPr>
          <w:i/>
          <w:sz w:val="22"/>
          <w:u w:val="single"/>
        </w:rPr>
        <w:t>Hommes</w:t>
      </w:r>
    </w:p>
    <w:p w14:paraId="1DEBE038" w14:textId="77777777" w:rsidR="00A87001" w:rsidRPr="007944F8" w:rsidRDefault="00A87001" w:rsidP="00E96874">
      <w:pPr>
        <w:widowControl w:val="0"/>
        <w:tabs>
          <w:tab w:val="clear" w:pos="567"/>
        </w:tabs>
        <w:spacing w:line="240" w:lineRule="auto"/>
        <w:rPr>
          <w:szCs w:val="22"/>
        </w:rPr>
      </w:pPr>
      <w:r w:rsidRPr="007944F8">
        <w:t xml:space="preserve">Les patients de sexe masculin, même ceux ayant </w:t>
      </w:r>
      <w:r w:rsidR="00F04D2C" w:rsidRPr="007944F8">
        <w:t xml:space="preserve">subi </w:t>
      </w:r>
      <w:r w:rsidRPr="007944F8">
        <w:t xml:space="preserve">une vasectomie, doivent </w:t>
      </w:r>
      <w:r w:rsidR="00ED7FE5" w:rsidRPr="007944F8">
        <w:t xml:space="preserve">toujours </w:t>
      </w:r>
      <w:r w:rsidRPr="007944F8">
        <w:t>utiliser un préservatif</w:t>
      </w:r>
      <w:r w:rsidR="00ED7FE5" w:rsidRPr="007944F8">
        <w:t xml:space="preserve"> (avec spermicide</w:t>
      </w:r>
      <w:r w:rsidR="002E00B5" w:rsidRPr="007944F8">
        <w:t>,</w:t>
      </w:r>
      <w:r w:rsidR="00ED7FE5" w:rsidRPr="007944F8">
        <w:t xml:space="preserve"> si possible)</w:t>
      </w:r>
      <w:r w:rsidRPr="007944F8">
        <w:t xml:space="preserve"> lors de leurs rapports sexuels avec </w:t>
      </w:r>
      <w:r w:rsidR="00F04D2C" w:rsidRPr="007944F8">
        <w:t xml:space="preserve">leur </w:t>
      </w:r>
      <w:r w:rsidRPr="007944F8">
        <w:t>partenaire, et ce, pendant toute la durée de leur traitement par Odomzo et pendant les 6 mois qui suivent la fin du traitement (voir rubriques 4.6 et 5.3).</w:t>
      </w:r>
    </w:p>
    <w:p w14:paraId="7D0589E0" w14:textId="77777777" w:rsidR="00A87001" w:rsidRPr="007944F8" w:rsidRDefault="00A87001" w:rsidP="00E96874">
      <w:pPr>
        <w:widowControl w:val="0"/>
        <w:tabs>
          <w:tab w:val="clear" w:pos="567"/>
        </w:tabs>
        <w:spacing w:line="240" w:lineRule="auto"/>
        <w:rPr>
          <w:noProof/>
          <w:szCs w:val="22"/>
        </w:rPr>
      </w:pPr>
    </w:p>
    <w:p w14:paraId="588745CB" w14:textId="77777777" w:rsidR="003650BA" w:rsidRPr="007944F8" w:rsidRDefault="00A87001" w:rsidP="00BE7F7C">
      <w:pPr>
        <w:pStyle w:val="Default"/>
        <w:keepNext/>
        <w:widowControl w:val="0"/>
        <w:outlineLvl w:val="0"/>
        <w:rPr>
          <w:sz w:val="22"/>
          <w:szCs w:val="22"/>
          <w:u w:val="single"/>
        </w:rPr>
      </w:pPr>
      <w:r w:rsidRPr="007944F8">
        <w:rPr>
          <w:sz w:val="22"/>
          <w:u w:val="single"/>
        </w:rPr>
        <w:t>Test de grossesse</w:t>
      </w:r>
    </w:p>
    <w:p w14:paraId="588D5A7B" w14:textId="77777777" w:rsidR="003650BA" w:rsidRPr="007944F8" w:rsidRDefault="003650BA" w:rsidP="00E96874">
      <w:pPr>
        <w:pStyle w:val="Default"/>
        <w:keepNext/>
        <w:widowControl w:val="0"/>
        <w:rPr>
          <w:sz w:val="22"/>
          <w:szCs w:val="22"/>
        </w:rPr>
      </w:pPr>
    </w:p>
    <w:p w14:paraId="41D50370" w14:textId="77777777" w:rsidR="00CC0B59" w:rsidRPr="007944F8" w:rsidRDefault="00845AA0" w:rsidP="00E96874">
      <w:pPr>
        <w:pStyle w:val="Default"/>
        <w:widowControl w:val="0"/>
        <w:rPr>
          <w:sz w:val="22"/>
          <w:szCs w:val="22"/>
        </w:rPr>
      </w:pPr>
      <w:r w:rsidRPr="007944F8">
        <w:rPr>
          <w:sz w:val="22"/>
        </w:rPr>
        <w:t xml:space="preserve">Pour </w:t>
      </w:r>
      <w:r w:rsidR="007A6117" w:rsidRPr="007944F8">
        <w:rPr>
          <w:sz w:val="22"/>
        </w:rPr>
        <w:t xml:space="preserve">les </w:t>
      </w:r>
      <w:r w:rsidR="007A6117" w:rsidRPr="007944F8">
        <w:rPr>
          <w:color w:val="auto"/>
          <w:sz w:val="22"/>
        </w:rPr>
        <w:t>femmes</w:t>
      </w:r>
      <w:r w:rsidR="00B23363" w:rsidRPr="007944F8">
        <w:rPr>
          <w:color w:val="auto"/>
          <w:sz w:val="22"/>
        </w:rPr>
        <w:t xml:space="preserve"> en âge d'avoir des enfants</w:t>
      </w:r>
      <w:r w:rsidRPr="007944F8">
        <w:rPr>
          <w:sz w:val="22"/>
        </w:rPr>
        <w:t>, un test de grossesse doit être réalisé par un professionnel de santé dans les 7 jours précédant l’instauration du traitement par Odomzo, puis tous les mois pendant toute la durée du traitement. Les tests de grossesse doivent avoir une sensibilité minimale de 25 mUI/ml selon la disponibilité locale. En cas de grossesse, le traitement ne doit pas être instauré. En cas de grossesse survenant au cours du traitement, la prise d’Odomzo doit être arrêtée immédiatement (voir rubrique 5.3).</w:t>
      </w:r>
      <w:r w:rsidR="00545C94" w:rsidRPr="007944F8">
        <w:rPr>
          <w:sz w:val="22"/>
        </w:rPr>
        <w:t xml:space="preserve"> L</w:t>
      </w:r>
      <w:r w:rsidR="00ED7FE5" w:rsidRPr="007944F8">
        <w:rPr>
          <w:sz w:val="22"/>
        </w:rPr>
        <w:t xml:space="preserve">es patientes présentant une </w:t>
      </w:r>
      <w:r w:rsidR="00545C94" w:rsidRPr="007944F8">
        <w:rPr>
          <w:sz w:val="22"/>
        </w:rPr>
        <w:t>aménorrhée</w:t>
      </w:r>
      <w:r w:rsidR="00ED7FE5" w:rsidRPr="007944F8">
        <w:rPr>
          <w:sz w:val="22"/>
        </w:rPr>
        <w:t xml:space="preserve"> durant le traitement </w:t>
      </w:r>
      <w:r w:rsidR="00FB3477" w:rsidRPr="007944F8">
        <w:rPr>
          <w:sz w:val="22"/>
        </w:rPr>
        <w:t>par</w:t>
      </w:r>
      <w:r w:rsidR="00ED7FE5" w:rsidRPr="007944F8">
        <w:rPr>
          <w:sz w:val="22"/>
        </w:rPr>
        <w:t xml:space="preserve"> Odomzo doivent continuer</w:t>
      </w:r>
      <w:r w:rsidR="00545C94" w:rsidRPr="007944F8">
        <w:rPr>
          <w:sz w:val="22"/>
        </w:rPr>
        <w:t xml:space="preserve"> à réaliser des tests de grossesse mensuels</w:t>
      </w:r>
      <w:r w:rsidR="00FB3477" w:rsidRPr="007944F8">
        <w:rPr>
          <w:sz w:val="22"/>
        </w:rPr>
        <w:t xml:space="preserve"> pendant toute la durée du traitement.</w:t>
      </w:r>
    </w:p>
    <w:p w14:paraId="23F1C8F7" w14:textId="77777777" w:rsidR="00D718EF" w:rsidRPr="007944F8" w:rsidRDefault="00D718EF" w:rsidP="00E96874">
      <w:pPr>
        <w:pStyle w:val="Default"/>
        <w:widowControl w:val="0"/>
        <w:rPr>
          <w:sz w:val="22"/>
          <w:szCs w:val="22"/>
        </w:rPr>
      </w:pPr>
    </w:p>
    <w:p w14:paraId="0DB76714" w14:textId="77777777" w:rsidR="00D718EF" w:rsidRPr="007944F8" w:rsidRDefault="00D718EF" w:rsidP="00BE7F7C">
      <w:pPr>
        <w:pStyle w:val="Default"/>
        <w:keepNext/>
        <w:widowControl w:val="0"/>
        <w:outlineLvl w:val="0"/>
        <w:rPr>
          <w:color w:val="auto"/>
          <w:sz w:val="22"/>
          <w:szCs w:val="22"/>
          <w:u w:val="single"/>
        </w:rPr>
      </w:pPr>
      <w:r w:rsidRPr="007944F8">
        <w:rPr>
          <w:color w:val="auto"/>
          <w:sz w:val="22"/>
          <w:u w:val="single"/>
        </w:rPr>
        <w:t>Restrictions de prescription et de délivrance pour les femmes en âge d</w:t>
      </w:r>
      <w:r w:rsidR="00561ED8" w:rsidRPr="007944F8">
        <w:rPr>
          <w:color w:val="auto"/>
          <w:sz w:val="22"/>
          <w:u w:val="single"/>
        </w:rPr>
        <w:t>’avoir des enfants</w:t>
      </w:r>
    </w:p>
    <w:p w14:paraId="4FFA1859" w14:textId="77777777" w:rsidR="00D718EF" w:rsidRPr="007944F8" w:rsidRDefault="00D718EF" w:rsidP="00E96874">
      <w:pPr>
        <w:pStyle w:val="Default"/>
        <w:keepNext/>
        <w:widowControl w:val="0"/>
        <w:rPr>
          <w:color w:val="auto"/>
          <w:sz w:val="22"/>
          <w:szCs w:val="22"/>
        </w:rPr>
      </w:pPr>
    </w:p>
    <w:p w14:paraId="4884DD02" w14:textId="77777777" w:rsidR="00D718EF" w:rsidRPr="007944F8" w:rsidRDefault="00D718EF" w:rsidP="00E96874">
      <w:pPr>
        <w:pStyle w:val="Default"/>
        <w:widowControl w:val="0"/>
        <w:rPr>
          <w:color w:val="auto"/>
          <w:sz w:val="22"/>
          <w:szCs w:val="22"/>
        </w:rPr>
      </w:pPr>
      <w:r w:rsidRPr="007944F8">
        <w:rPr>
          <w:color w:val="auto"/>
          <w:sz w:val="22"/>
        </w:rPr>
        <w:t>La prescription initiale d’Odomzo et sa délivrance doivent avoir lieu dans les 7 jours qui suivent un test de grossesse négatif. Les prescriptions d’Odomzo doivent être limitées à 30 jours de traitement, une nouvelle prescription étant nécessaire pour poursuivre le traitement.</w:t>
      </w:r>
    </w:p>
    <w:p w14:paraId="2C1F64ED" w14:textId="77777777" w:rsidR="00A87001" w:rsidRPr="007944F8" w:rsidRDefault="00A87001" w:rsidP="00E96874">
      <w:pPr>
        <w:pStyle w:val="Default"/>
        <w:widowControl w:val="0"/>
        <w:rPr>
          <w:sz w:val="22"/>
          <w:szCs w:val="22"/>
        </w:rPr>
      </w:pPr>
    </w:p>
    <w:p w14:paraId="4B6FB1B6" w14:textId="77777777" w:rsidR="003650BA" w:rsidRPr="007944F8" w:rsidRDefault="00A87001" w:rsidP="00BE7F7C">
      <w:pPr>
        <w:pStyle w:val="Default"/>
        <w:keepNext/>
        <w:widowControl w:val="0"/>
        <w:outlineLvl w:val="0"/>
        <w:rPr>
          <w:sz w:val="22"/>
          <w:szCs w:val="22"/>
          <w:u w:val="single"/>
        </w:rPr>
      </w:pPr>
      <w:r w:rsidRPr="007944F8">
        <w:rPr>
          <w:sz w:val="22"/>
          <w:u w:val="single"/>
        </w:rPr>
        <w:t>Matériel éducatif</w:t>
      </w:r>
    </w:p>
    <w:p w14:paraId="17017640" w14:textId="77777777" w:rsidR="003650BA" w:rsidRPr="007944F8" w:rsidRDefault="003650BA" w:rsidP="00E96874">
      <w:pPr>
        <w:keepNext/>
        <w:widowControl w:val="0"/>
        <w:tabs>
          <w:tab w:val="clear" w:pos="567"/>
        </w:tabs>
        <w:spacing w:line="240" w:lineRule="auto"/>
        <w:rPr>
          <w:szCs w:val="22"/>
        </w:rPr>
      </w:pPr>
    </w:p>
    <w:p w14:paraId="2E2234A4" w14:textId="77777777" w:rsidR="003650BA" w:rsidRPr="007944F8" w:rsidRDefault="00A87001" w:rsidP="00E96874">
      <w:pPr>
        <w:widowControl w:val="0"/>
        <w:tabs>
          <w:tab w:val="clear" w:pos="567"/>
        </w:tabs>
        <w:spacing w:line="240" w:lineRule="auto"/>
        <w:rPr>
          <w:szCs w:val="22"/>
        </w:rPr>
      </w:pPr>
      <w:r w:rsidRPr="007944F8">
        <w:t>Afin d’aider les professionnels de santé et les patients à éviter toute exposition embryonnaire et fœtale à Odomzo, le titulaire de l’autorisation de mise sur le marché fournira du m</w:t>
      </w:r>
      <w:r w:rsidR="00B23363" w:rsidRPr="007944F8">
        <w:t>atériel éducatif (Programme de Prévention de la G</w:t>
      </w:r>
      <w:r w:rsidRPr="007944F8">
        <w:t>rossesse</w:t>
      </w:r>
      <w:r w:rsidR="00B23363" w:rsidRPr="007944F8">
        <w:t xml:space="preserve"> lors de la prise</w:t>
      </w:r>
      <w:r w:rsidRPr="007944F8">
        <w:t xml:space="preserve"> d’Odomzo) </w:t>
      </w:r>
      <w:r w:rsidR="00B23363" w:rsidRPr="007944F8">
        <w:t>afin</w:t>
      </w:r>
      <w:r w:rsidRPr="007944F8">
        <w:t xml:space="preserve"> </w:t>
      </w:r>
      <w:r w:rsidR="00B23363" w:rsidRPr="007944F8">
        <w:t>de</w:t>
      </w:r>
      <w:r w:rsidRPr="007944F8">
        <w:t xml:space="preserve"> renforcer les mises en garde relatives aux risques potentiels liés à l’utilisation de ce médicament.</w:t>
      </w:r>
    </w:p>
    <w:p w14:paraId="714A44AD" w14:textId="77777777" w:rsidR="00C85D91" w:rsidRPr="007944F8" w:rsidRDefault="00C85D91" w:rsidP="00E93E8B">
      <w:pPr>
        <w:widowControl w:val="0"/>
        <w:tabs>
          <w:tab w:val="clear" w:pos="567"/>
        </w:tabs>
        <w:spacing w:line="240" w:lineRule="auto"/>
        <w:rPr>
          <w:noProof/>
          <w:szCs w:val="22"/>
        </w:rPr>
      </w:pPr>
    </w:p>
    <w:p w14:paraId="49399D87" w14:textId="77777777" w:rsidR="000C2E45" w:rsidRPr="007944F8" w:rsidRDefault="000C2E45" w:rsidP="00BE7F7C">
      <w:pPr>
        <w:keepNext/>
        <w:widowControl w:val="0"/>
        <w:tabs>
          <w:tab w:val="clear" w:pos="567"/>
        </w:tabs>
        <w:spacing w:line="240" w:lineRule="auto"/>
        <w:outlineLvl w:val="0"/>
        <w:rPr>
          <w:noProof/>
          <w:szCs w:val="22"/>
          <w:u w:val="single"/>
        </w:rPr>
      </w:pPr>
      <w:r w:rsidRPr="007944F8">
        <w:rPr>
          <w:noProof/>
          <w:u w:val="single"/>
        </w:rPr>
        <w:t>Don de sang</w:t>
      </w:r>
      <w:bookmarkStart w:id="7" w:name="_1613457Blood_donation"/>
      <w:bookmarkEnd w:id="7"/>
    </w:p>
    <w:p w14:paraId="425D2779" w14:textId="77777777" w:rsidR="003650BA" w:rsidRPr="007944F8" w:rsidRDefault="003650BA" w:rsidP="00E96874">
      <w:pPr>
        <w:keepNext/>
        <w:widowControl w:val="0"/>
        <w:tabs>
          <w:tab w:val="clear" w:pos="567"/>
        </w:tabs>
        <w:spacing w:line="240" w:lineRule="auto"/>
      </w:pPr>
    </w:p>
    <w:p w14:paraId="0AC02839" w14:textId="77777777" w:rsidR="000C2E45" w:rsidRPr="007944F8" w:rsidRDefault="000C2E45" w:rsidP="00E96874">
      <w:pPr>
        <w:widowControl w:val="0"/>
        <w:tabs>
          <w:tab w:val="clear" w:pos="567"/>
        </w:tabs>
        <w:spacing w:line="240" w:lineRule="auto"/>
      </w:pPr>
      <w:r w:rsidRPr="007944F8">
        <w:t>Les patients doivent être avertis qu’ils ne doivent pas donner leur sang au cours de leur traitement par Odomzo et pendant au moins 20 mois après la fin du traitement.</w:t>
      </w:r>
    </w:p>
    <w:p w14:paraId="08D3CF54" w14:textId="77777777" w:rsidR="00A87001" w:rsidRPr="007944F8" w:rsidRDefault="00A87001" w:rsidP="00E96874">
      <w:pPr>
        <w:widowControl w:val="0"/>
        <w:tabs>
          <w:tab w:val="clear" w:pos="567"/>
        </w:tabs>
        <w:spacing w:line="240" w:lineRule="auto"/>
      </w:pPr>
    </w:p>
    <w:p w14:paraId="40C57AF8" w14:textId="77777777" w:rsidR="003650BA" w:rsidRPr="007944F8" w:rsidRDefault="00A87001" w:rsidP="00BE7F7C">
      <w:pPr>
        <w:pStyle w:val="Default"/>
        <w:keepNext/>
        <w:widowControl w:val="0"/>
        <w:outlineLvl w:val="0"/>
        <w:rPr>
          <w:sz w:val="22"/>
          <w:szCs w:val="22"/>
          <w:u w:val="single"/>
        </w:rPr>
      </w:pPr>
      <w:r w:rsidRPr="007944F8">
        <w:rPr>
          <w:sz w:val="22"/>
          <w:u w:val="single"/>
        </w:rPr>
        <w:t>Don de sperme</w:t>
      </w:r>
    </w:p>
    <w:p w14:paraId="730B516F" w14:textId="77777777" w:rsidR="003650BA" w:rsidRPr="007944F8" w:rsidRDefault="003650BA" w:rsidP="00E96874">
      <w:pPr>
        <w:keepNext/>
        <w:widowControl w:val="0"/>
        <w:tabs>
          <w:tab w:val="clear" w:pos="567"/>
        </w:tabs>
        <w:spacing w:line="240" w:lineRule="auto"/>
        <w:rPr>
          <w:szCs w:val="22"/>
        </w:rPr>
      </w:pPr>
    </w:p>
    <w:p w14:paraId="14400B42" w14:textId="77777777" w:rsidR="00A87001" w:rsidRDefault="00A87001" w:rsidP="00E96874">
      <w:pPr>
        <w:widowControl w:val="0"/>
        <w:tabs>
          <w:tab w:val="clear" w:pos="567"/>
        </w:tabs>
        <w:spacing w:line="240" w:lineRule="auto"/>
      </w:pPr>
      <w:r w:rsidRPr="007944F8">
        <w:t>Les patients de sexe masculin ne doivent pas donner leur sperme au cours de leur traitement par Odomzo et pendant au moins 6 mois après la fin du traitement.</w:t>
      </w:r>
    </w:p>
    <w:p w14:paraId="77FCA73C" w14:textId="77777777" w:rsidR="001321E3" w:rsidRDefault="001321E3" w:rsidP="00E96874">
      <w:pPr>
        <w:widowControl w:val="0"/>
        <w:tabs>
          <w:tab w:val="clear" w:pos="567"/>
        </w:tabs>
        <w:spacing w:line="240" w:lineRule="auto"/>
      </w:pPr>
    </w:p>
    <w:p w14:paraId="32A894D8" w14:textId="77777777" w:rsidR="001321E3" w:rsidRPr="004E68D0" w:rsidRDefault="003A68BC" w:rsidP="001321E3">
      <w:pPr>
        <w:widowControl w:val="0"/>
        <w:tabs>
          <w:tab w:val="clear" w:pos="567"/>
          <w:tab w:val="left" w:pos="708"/>
        </w:tabs>
        <w:spacing w:line="240" w:lineRule="auto"/>
        <w:rPr>
          <w:iCs/>
          <w:szCs w:val="22"/>
          <w:u w:val="single"/>
          <w:lang w:eastAsia="en-US" w:bidi="ar-SA"/>
        </w:rPr>
      </w:pPr>
      <w:r>
        <w:rPr>
          <w:szCs w:val="22"/>
          <w:u w:val="single"/>
        </w:rPr>
        <w:t>F</w:t>
      </w:r>
      <w:r w:rsidR="00A14D8E" w:rsidRPr="004E68D0">
        <w:rPr>
          <w:szCs w:val="22"/>
          <w:u w:val="single"/>
        </w:rPr>
        <w:t>usion prématurée des épiphyses</w:t>
      </w:r>
    </w:p>
    <w:p w14:paraId="0862F99D" w14:textId="5094BF1B" w:rsidR="001321E3" w:rsidRDefault="003A68BC" w:rsidP="001321E3">
      <w:pPr>
        <w:widowControl w:val="0"/>
        <w:tabs>
          <w:tab w:val="clear" w:pos="567"/>
          <w:tab w:val="left" w:pos="708"/>
        </w:tabs>
        <w:spacing w:line="240" w:lineRule="auto"/>
        <w:rPr>
          <w:szCs w:val="22"/>
        </w:rPr>
      </w:pPr>
      <w:r>
        <w:rPr>
          <w:szCs w:val="22"/>
        </w:rPr>
        <w:t xml:space="preserve">Une fusion prématurée des épiphyses </w:t>
      </w:r>
      <w:r w:rsidR="00E611F3">
        <w:rPr>
          <w:szCs w:val="22"/>
        </w:rPr>
        <w:t xml:space="preserve">a été </w:t>
      </w:r>
      <w:r>
        <w:rPr>
          <w:szCs w:val="22"/>
        </w:rPr>
        <w:t xml:space="preserve">rapportée chez les patients pédiatriques exposés </w:t>
      </w:r>
      <w:r w:rsidR="00A36AA6">
        <w:rPr>
          <w:szCs w:val="22"/>
        </w:rPr>
        <w:t xml:space="preserve">aux </w:t>
      </w:r>
      <w:r>
        <w:rPr>
          <w:szCs w:val="22"/>
        </w:rPr>
        <w:t xml:space="preserve">inhibiteurs de la voie </w:t>
      </w:r>
      <w:r w:rsidR="001321E3">
        <w:rPr>
          <w:szCs w:val="22"/>
        </w:rPr>
        <w:t>Hedgehog</w:t>
      </w:r>
      <w:r>
        <w:rPr>
          <w:szCs w:val="22"/>
        </w:rPr>
        <w:t xml:space="preserve"> </w:t>
      </w:r>
      <w:r w:rsidR="001321E3">
        <w:rPr>
          <w:szCs w:val="22"/>
        </w:rPr>
        <w:t xml:space="preserve">(Hh). </w:t>
      </w:r>
      <w:r>
        <w:rPr>
          <w:szCs w:val="22"/>
        </w:rPr>
        <w:t xml:space="preserve">Dans certains cas, la fusion a progressé après une interruption des médicaments </w:t>
      </w:r>
      <w:r w:rsidR="001321E3">
        <w:rPr>
          <w:szCs w:val="22"/>
        </w:rPr>
        <w:t>(</w:t>
      </w:r>
      <w:r>
        <w:rPr>
          <w:szCs w:val="22"/>
        </w:rPr>
        <w:t xml:space="preserve">voir rubrique </w:t>
      </w:r>
      <w:r w:rsidR="001321E3">
        <w:rPr>
          <w:szCs w:val="22"/>
        </w:rPr>
        <w:t>4.8).</w:t>
      </w:r>
    </w:p>
    <w:p w14:paraId="580EB907" w14:textId="77777777" w:rsidR="00B97DC9" w:rsidRPr="007944F8" w:rsidRDefault="00B97DC9" w:rsidP="00E96874">
      <w:pPr>
        <w:widowControl w:val="0"/>
        <w:tabs>
          <w:tab w:val="clear" w:pos="567"/>
        </w:tabs>
        <w:spacing w:line="240" w:lineRule="auto"/>
      </w:pPr>
    </w:p>
    <w:p w14:paraId="47DD15D6" w14:textId="77777777" w:rsidR="00B97DC9" w:rsidRPr="007944F8" w:rsidRDefault="00B97DC9" w:rsidP="00BE7F7C">
      <w:pPr>
        <w:keepNext/>
        <w:widowControl w:val="0"/>
        <w:tabs>
          <w:tab w:val="clear" w:pos="567"/>
        </w:tabs>
        <w:spacing w:line="240" w:lineRule="auto"/>
        <w:outlineLvl w:val="0"/>
        <w:rPr>
          <w:szCs w:val="22"/>
          <w:u w:val="single"/>
        </w:rPr>
      </w:pPr>
      <w:r w:rsidRPr="007944F8">
        <w:rPr>
          <w:szCs w:val="22"/>
          <w:u w:val="single"/>
        </w:rPr>
        <w:t>Interactions</w:t>
      </w:r>
    </w:p>
    <w:p w14:paraId="079B99D9" w14:textId="77777777" w:rsidR="00B97DC9" w:rsidRPr="007944F8" w:rsidRDefault="00B97DC9" w:rsidP="00E96874">
      <w:pPr>
        <w:keepNext/>
        <w:widowControl w:val="0"/>
        <w:tabs>
          <w:tab w:val="clear" w:pos="567"/>
        </w:tabs>
        <w:spacing w:line="240" w:lineRule="auto"/>
        <w:rPr>
          <w:szCs w:val="22"/>
        </w:rPr>
      </w:pPr>
    </w:p>
    <w:p w14:paraId="7769CAE8" w14:textId="77777777" w:rsidR="00B97DC9" w:rsidRPr="007944F8" w:rsidRDefault="00B97DC9" w:rsidP="00E96874">
      <w:pPr>
        <w:widowControl w:val="0"/>
        <w:tabs>
          <w:tab w:val="clear" w:pos="567"/>
        </w:tabs>
        <w:spacing w:line="240" w:lineRule="auto"/>
        <w:rPr>
          <w:szCs w:val="22"/>
        </w:rPr>
      </w:pPr>
      <w:r w:rsidRPr="007944F8">
        <w:rPr>
          <w:szCs w:val="22"/>
        </w:rPr>
        <w:t xml:space="preserve">Le traitement concomitant par des inducteurs </w:t>
      </w:r>
      <w:r w:rsidR="001F1AEE" w:rsidRPr="007944F8">
        <w:rPr>
          <w:szCs w:val="22"/>
        </w:rPr>
        <w:t>puissant</w:t>
      </w:r>
      <w:r w:rsidRPr="007944F8">
        <w:rPr>
          <w:szCs w:val="22"/>
        </w:rPr>
        <w:t>s des CYP (</w:t>
      </w:r>
      <w:r w:rsidR="001F1AEE" w:rsidRPr="007944F8">
        <w:rPr>
          <w:szCs w:val="22"/>
        </w:rPr>
        <w:t>par exemple</w:t>
      </w:r>
      <w:r w:rsidR="00A16341" w:rsidRPr="007944F8">
        <w:rPr>
          <w:szCs w:val="22"/>
        </w:rPr>
        <w:t>,</w:t>
      </w:r>
      <w:r w:rsidRPr="007944F8">
        <w:rPr>
          <w:szCs w:val="22"/>
        </w:rPr>
        <w:t xml:space="preserve"> rifampicine, carbamazépine ou ph</w:t>
      </w:r>
      <w:r w:rsidR="0091047A">
        <w:rPr>
          <w:szCs w:val="22"/>
        </w:rPr>
        <w:t>é</w:t>
      </w:r>
      <w:r w:rsidRPr="007944F8">
        <w:rPr>
          <w:szCs w:val="22"/>
        </w:rPr>
        <w:t>nytoïne) doit être évité, car un risque de diminution des concentrations plasmatiques et de l’efficacité d</w:t>
      </w:r>
      <w:r w:rsidR="00224145" w:rsidRPr="007944F8">
        <w:rPr>
          <w:szCs w:val="22"/>
        </w:rPr>
        <w:t>e</w:t>
      </w:r>
      <w:r w:rsidRPr="007944F8">
        <w:rPr>
          <w:szCs w:val="22"/>
        </w:rPr>
        <w:t xml:space="preserve"> sonidégib ne peut être exclu (voir aussi rubrique</w:t>
      </w:r>
      <w:r w:rsidR="00762D72" w:rsidRPr="007944F8">
        <w:rPr>
          <w:szCs w:val="22"/>
        </w:rPr>
        <w:t> </w:t>
      </w:r>
      <w:r w:rsidRPr="007944F8">
        <w:rPr>
          <w:szCs w:val="22"/>
        </w:rPr>
        <w:t>4.5).</w:t>
      </w:r>
    </w:p>
    <w:p w14:paraId="309A2583" w14:textId="77777777" w:rsidR="00F570D7" w:rsidRPr="007944F8" w:rsidRDefault="00F570D7" w:rsidP="00E96874">
      <w:pPr>
        <w:widowControl w:val="0"/>
        <w:tabs>
          <w:tab w:val="clear" w:pos="567"/>
        </w:tabs>
        <w:spacing w:line="240" w:lineRule="auto"/>
        <w:rPr>
          <w:szCs w:val="22"/>
        </w:rPr>
      </w:pPr>
    </w:p>
    <w:p w14:paraId="249DD68D" w14:textId="77777777" w:rsidR="00D718EF" w:rsidRPr="007944F8" w:rsidRDefault="00D718EF" w:rsidP="00BE7F7C">
      <w:pPr>
        <w:pStyle w:val="Default"/>
        <w:keepNext/>
        <w:widowControl w:val="0"/>
        <w:outlineLvl w:val="0"/>
        <w:rPr>
          <w:color w:val="auto"/>
          <w:sz w:val="22"/>
          <w:szCs w:val="22"/>
          <w:u w:val="single"/>
        </w:rPr>
      </w:pPr>
      <w:bookmarkStart w:id="8" w:name="_Toc259706917"/>
      <w:bookmarkStart w:id="9" w:name="_Toc259707088"/>
      <w:bookmarkStart w:id="10" w:name="_Toc259707151"/>
      <w:bookmarkStart w:id="11" w:name="_Toc259713092"/>
      <w:bookmarkEnd w:id="3"/>
      <w:bookmarkEnd w:id="4"/>
      <w:bookmarkEnd w:id="5"/>
      <w:bookmarkEnd w:id="6"/>
      <w:r w:rsidRPr="007944F8">
        <w:rPr>
          <w:color w:val="auto"/>
          <w:sz w:val="22"/>
          <w:u w:val="single"/>
        </w:rPr>
        <w:t>Carcinome épidermoïde cutané (CEC)</w:t>
      </w:r>
    </w:p>
    <w:p w14:paraId="563CAF65" w14:textId="77777777" w:rsidR="00D718EF" w:rsidRPr="007944F8" w:rsidRDefault="00D718EF" w:rsidP="00E96874">
      <w:pPr>
        <w:keepNext/>
        <w:widowControl w:val="0"/>
        <w:tabs>
          <w:tab w:val="clear" w:pos="567"/>
        </w:tabs>
        <w:autoSpaceDE w:val="0"/>
        <w:autoSpaceDN w:val="0"/>
        <w:adjustRightInd w:val="0"/>
        <w:spacing w:line="240" w:lineRule="auto"/>
        <w:rPr>
          <w:rFonts w:ascii="TimesNewRomanPSMT" w:eastAsia="SimSun" w:hAnsi="TimesNewRomanPSMT" w:cs="TimesNewRomanPSMT"/>
          <w:szCs w:val="22"/>
        </w:rPr>
      </w:pPr>
    </w:p>
    <w:p w14:paraId="71219D2A" w14:textId="77777777" w:rsidR="00D718EF" w:rsidRPr="007944F8" w:rsidRDefault="00D718EF" w:rsidP="00E96874">
      <w:pPr>
        <w:widowControl w:val="0"/>
        <w:tabs>
          <w:tab w:val="clear" w:pos="567"/>
        </w:tabs>
        <w:spacing w:line="240" w:lineRule="auto"/>
        <w:rPr>
          <w:szCs w:val="22"/>
        </w:rPr>
      </w:pPr>
      <w:r w:rsidRPr="007944F8">
        <w:t xml:space="preserve">Les patients atteints d’un CBC avancé présentent un risque accru de développer un CEC. Des cas de CEC ont été rapportés chez des patients atteints d’un CBC avancé traités par Odomzo. </w:t>
      </w:r>
      <w:r w:rsidR="00B23363" w:rsidRPr="007944F8">
        <w:t>Il n’a pas été déterminé si la survenue de CEC était reliée au traitement par Odomzo</w:t>
      </w:r>
      <w:r w:rsidRPr="007944F8">
        <w:t xml:space="preserve">. Par conséquent, tous les patients traités par Odomzo doivent faire l’objet d’une surveillance systématique et les CEC doivent être traités conformément au traitement </w:t>
      </w:r>
      <w:r w:rsidR="000751AD" w:rsidRPr="007944F8">
        <w:t>de référence</w:t>
      </w:r>
      <w:r w:rsidRPr="007944F8">
        <w:t>.</w:t>
      </w:r>
    </w:p>
    <w:p w14:paraId="31974E8B" w14:textId="77777777" w:rsidR="00D718EF" w:rsidRPr="007944F8" w:rsidRDefault="00D718EF" w:rsidP="00E96874">
      <w:pPr>
        <w:widowControl w:val="0"/>
        <w:tabs>
          <w:tab w:val="clear" w:pos="567"/>
        </w:tabs>
        <w:spacing w:line="240" w:lineRule="auto"/>
        <w:rPr>
          <w:noProof/>
          <w:szCs w:val="22"/>
        </w:rPr>
      </w:pPr>
    </w:p>
    <w:p w14:paraId="14ACEEC2" w14:textId="77777777" w:rsidR="00545C94" w:rsidRPr="007944F8" w:rsidRDefault="00545C94" w:rsidP="00BE7F7C">
      <w:pPr>
        <w:widowControl w:val="0"/>
        <w:tabs>
          <w:tab w:val="clear" w:pos="567"/>
        </w:tabs>
        <w:spacing w:line="240" w:lineRule="auto"/>
        <w:outlineLvl w:val="0"/>
        <w:rPr>
          <w:noProof/>
          <w:szCs w:val="22"/>
          <w:u w:val="single"/>
        </w:rPr>
      </w:pPr>
      <w:r w:rsidRPr="007944F8">
        <w:rPr>
          <w:noProof/>
          <w:szCs w:val="22"/>
          <w:u w:val="single"/>
        </w:rPr>
        <w:t>Précautions supplémentaires</w:t>
      </w:r>
    </w:p>
    <w:p w14:paraId="49504E29" w14:textId="77777777" w:rsidR="00545C94" w:rsidRPr="007944F8" w:rsidRDefault="00545C94" w:rsidP="00E96874">
      <w:pPr>
        <w:widowControl w:val="0"/>
        <w:tabs>
          <w:tab w:val="clear" w:pos="567"/>
        </w:tabs>
        <w:spacing w:line="240" w:lineRule="auto"/>
        <w:rPr>
          <w:noProof/>
          <w:szCs w:val="22"/>
        </w:rPr>
      </w:pPr>
    </w:p>
    <w:p w14:paraId="28D351E3" w14:textId="77777777" w:rsidR="00545C94" w:rsidRPr="007944F8" w:rsidRDefault="00545C94" w:rsidP="00E96874">
      <w:pPr>
        <w:widowControl w:val="0"/>
        <w:tabs>
          <w:tab w:val="clear" w:pos="567"/>
        </w:tabs>
        <w:spacing w:line="240" w:lineRule="auto"/>
        <w:rPr>
          <w:noProof/>
          <w:szCs w:val="22"/>
        </w:rPr>
      </w:pPr>
      <w:r w:rsidRPr="007944F8">
        <w:rPr>
          <w:noProof/>
          <w:szCs w:val="22"/>
        </w:rPr>
        <w:t xml:space="preserve">Les patients doivent être informés de ne jamais donner ce médicament à une autre personne. </w:t>
      </w:r>
      <w:r w:rsidR="0041645F">
        <w:rPr>
          <w:noProof/>
          <w:szCs w:val="22"/>
        </w:rPr>
        <w:t>A</w:t>
      </w:r>
      <w:r w:rsidR="0009376C" w:rsidRPr="007944F8">
        <w:rPr>
          <w:noProof/>
          <w:szCs w:val="22"/>
        </w:rPr>
        <w:t xml:space="preserve"> la fin du traitement, l</w:t>
      </w:r>
      <w:r w:rsidR="00802E5C" w:rsidRPr="007944F8">
        <w:rPr>
          <w:noProof/>
          <w:szCs w:val="22"/>
        </w:rPr>
        <w:t xml:space="preserve">a gestion </w:t>
      </w:r>
      <w:r w:rsidR="0009376C" w:rsidRPr="007944F8">
        <w:rPr>
          <w:noProof/>
          <w:szCs w:val="22"/>
        </w:rPr>
        <w:t>par le</w:t>
      </w:r>
      <w:r w:rsidR="009F63ED" w:rsidRPr="007944F8">
        <w:rPr>
          <w:noProof/>
          <w:szCs w:val="22"/>
        </w:rPr>
        <w:t>s</w:t>
      </w:r>
      <w:r w:rsidR="0009376C" w:rsidRPr="007944F8">
        <w:rPr>
          <w:noProof/>
          <w:szCs w:val="22"/>
        </w:rPr>
        <w:t xml:space="preserve"> patient</w:t>
      </w:r>
      <w:r w:rsidR="009F63ED" w:rsidRPr="007944F8">
        <w:rPr>
          <w:noProof/>
          <w:szCs w:val="22"/>
        </w:rPr>
        <w:t>s</w:t>
      </w:r>
      <w:r w:rsidR="0009376C" w:rsidRPr="007944F8">
        <w:rPr>
          <w:noProof/>
          <w:szCs w:val="22"/>
        </w:rPr>
        <w:t xml:space="preserve"> </w:t>
      </w:r>
      <w:r w:rsidR="00802E5C" w:rsidRPr="007944F8">
        <w:rPr>
          <w:noProof/>
          <w:szCs w:val="22"/>
        </w:rPr>
        <w:t>de t</w:t>
      </w:r>
      <w:r w:rsidRPr="007944F8">
        <w:rPr>
          <w:noProof/>
          <w:szCs w:val="22"/>
        </w:rPr>
        <w:t xml:space="preserve">oute gélule non utilisée doit être </w:t>
      </w:r>
      <w:r w:rsidR="00802E5C" w:rsidRPr="007944F8">
        <w:rPr>
          <w:noProof/>
          <w:szCs w:val="22"/>
        </w:rPr>
        <w:t xml:space="preserve">réalisée </w:t>
      </w:r>
      <w:r w:rsidRPr="007944F8">
        <w:rPr>
          <w:noProof/>
          <w:szCs w:val="22"/>
        </w:rPr>
        <w:t xml:space="preserve">immédiatement </w:t>
      </w:r>
      <w:r w:rsidRPr="007944F8">
        <w:rPr>
          <w:szCs w:val="22"/>
          <w:lang w:eastAsia="en-US" w:bidi="ar-SA"/>
        </w:rPr>
        <w:t>conformément à la réglementation en vigueur</w:t>
      </w:r>
      <w:r w:rsidRPr="007944F8">
        <w:rPr>
          <w:noProof/>
          <w:szCs w:val="22"/>
        </w:rPr>
        <w:t xml:space="preserve"> (</w:t>
      </w:r>
      <w:r w:rsidR="00FB3477" w:rsidRPr="007944F8">
        <w:rPr>
          <w:noProof/>
          <w:szCs w:val="22"/>
        </w:rPr>
        <w:t xml:space="preserve">par </w:t>
      </w:r>
      <w:r w:rsidRPr="007944F8">
        <w:rPr>
          <w:noProof/>
          <w:szCs w:val="22"/>
        </w:rPr>
        <w:t>ex</w:t>
      </w:r>
      <w:r w:rsidR="00FB3477" w:rsidRPr="007944F8">
        <w:rPr>
          <w:noProof/>
          <w:szCs w:val="22"/>
        </w:rPr>
        <w:t>emple</w:t>
      </w:r>
      <w:r w:rsidRPr="007944F8">
        <w:rPr>
          <w:noProof/>
          <w:szCs w:val="22"/>
        </w:rPr>
        <w:t xml:space="preserve"> en retournant les gélules à leur pharmacien ou médecin).</w:t>
      </w:r>
    </w:p>
    <w:p w14:paraId="4DF946E2" w14:textId="77777777" w:rsidR="00545C94" w:rsidRPr="007944F8" w:rsidRDefault="00545C94" w:rsidP="00E96874">
      <w:pPr>
        <w:widowControl w:val="0"/>
        <w:tabs>
          <w:tab w:val="clear" w:pos="567"/>
        </w:tabs>
        <w:spacing w:line="240" w:lineRule="auto"/>
        <w:rPr>
          <w:noProof/>
          <w:szCs w:val="22"/>
        </w:rPr>
      </w:pPr>
    </w:p>
    <w:p w14:paraId="6F2128A3" w14:textId="77777777" w:rsidR="00A87001" w:rsidRPr="007944F8" w:rsidRDefault="00A87001" w:rsidP="00BE7F7C">
      <w:pPr>
        <w:keepNext/>
        <w:widowControl w:val="0"/>
        <w:tabs>
          <w:tab w:val="clear" w:pos="567"/>
        </w:tabs>
        <w:spacing w:line="240" w:lineRule="auto"/>
        <w:outlineLvl w:val="0"/>
        <w:rPr>
          <w:noProof/>
          <w:szCs w:val="22"/>
          <w:u w:val="single"/>
        </w:rPr>
      </w:pPr>
      <w:r w:rsidRPr="007944F8">
        <w:rPr>
          <w:noProof/>
          <w:u w:val="single"/>
        </w:rPr>
        <w:t>Excipients</w:t>
      </w:r>
    </w:p>
    <w:p w14:paraId="6620DB91" w14:textId="77777777" w:rsidR="003650BA" w:rsidRPr="007944F8" w:rsidRDefault="003650BA" w:rsidP="00E96874">
      <w:pPr>
        <w:keepNext/>
        <w:widowControl w:val="0"/>
        <w:tabs>
          <w:tab w:val="clear" w:pos="567"/>
        </w:tabs>
        <w:spacing w:line="240" w:lineRule="auto"/>
        <w:rPr>
          <w:noProof/>
          <w:szCs w:val="22"/>
        </w:rPr>
      </w:pPr>
    </w:p>
    <w:p w14:paraId="15942850" w14:textId="75744054" w:rsidR="00A87001" w:rsidRPr="007944F8" w:rsidRDefault="00A87001" w:rsidP="00E96874">
      <w:pPr>
        <w:widowControl w:val="0"/>
        <w:tabs>
          <w:tab w:val="clear" w:pos="567"/>
        </w:tabs>
        <w:spacing w:line="240" w:lineRule="auto"/>
        <w:rPr>
          <w:noProof/>
          <w:szCs w:val="22"/>
        </w:rPr>
      </w:pPr>
      <w:r w:rsidRPr="007944F8">
        <w:t xml:space="preserve">Les gélules d’Odomzo contiennent du lactose monohydraté. </w:t>
      </w:r>
      <w:r w:rsidR="00507D0D" w:rsidRPr="007944F8">
        <w:t>Ce médicament est contre-indiqué chez les patients présentant une intolérance au galactose, un</w:t>
      </w:r>
      <w:r w:rsidR="00CD78D0">
        <w:t xml:space="preserve"> déficit </w:t>
      </w:r>
      <w:r w:rsidR="00B533DC">
        <w:t xml:space="preserve">total </w:t>
      </w:r>
      <w:r w:rsidR="00CD78D0">
        <w:t xml:space="preserve">en </w:t>
      </w:r>
      <w:r w:rsidR="00B533DC" w:rsidRPr="007944F8">
        <w:t xml:space="preserve">lactase </w:t>
      </w:r>
      <w:r w:rsidR="00507D0D" w:rsidRPr="007944F8">
        <w:t>ou un syndrome de malabsorption du glucose et du galactose (maladies héréditaires rares).</w:t>
      </w:r>
    </w:p>
    <w:p w14:paraId="6FDB4858" w14:textId="77777777" w:rsidR="00A87001" w:rsidRPr="007944F8" w:rsidRDefault="00A87001" w:rsidP="00E93E8B">
      <w:pPr>
        <w:widowControl w:val="0"/>
        <w:tabs>
          <w:tab w:val="clear" w:pos="567"/>
        </w:tabs>
        <w:spacing w:line="240" w:lineRule="auto"/>
        <w:rPr>
          <w:noProof/>
          <w:szCs w:val="22"/>
        </w:rPr>
      </w:pPr>
    </w:p>
    <w:bookmarkEnd w:id="8"/>
    <w:bookmarkEnd w:id="9"/>
    <w:bookmarkEnd w:id="10"/>
    <w:bookmarkEnd w:id="11"/>
    <w:p w14:paraId="4A735C84" w14:textId="77777777" w:rsidR="00812D16" w:rsidRPr="007944F8" w:rsidRDefault="00812D16" w:rsidP="00BE7F7C">
      <w:pPr>
        <w:keepNext/>
        <w:widowControl w:val="0"/>
        <w:outlineLvl w:val="0"/>
        <w:rPr>
          <w:b/>
          <w:noProof/>
        </w:rPr>
      </w:pPr>
      <w:r w:rsidRPr="007944F8">
        <w:rPr>
          <w:b/>
        </w:rPr>
        <w:t>4.5</w:t>
      </w:r>
      <w:r w:rsidRPr="007944F8">
        <w:tab/>
      </w:r>
      <w:r w:rsidRPr="007944F8">
        <w:rPr>
          <w:b/>
        </w:rPr>
        <w:t>Interactions avec d’autres médicaments et autres formes d’interactions</w:t>
      </w:r>
    </w:p>
    <w:p w14:paraId="46B11A3B" w14:textId="77777777" w:rsidR="00812D16" w:rsidRPr="007944F8" w:rsidRDefault="00812D16" w:rsidP="00E93E8B">
      <w:pPr>
        <w:keepNext/>
        <w:widowControl w:val="0"/>
        <w:tabs>
          <w:tab w:val="clear" w:pos="567"/>
        </w:tabs>
        <w:spacing w:line="240" w:lineRule="auto"/>
        <w:rPr>
          <w:noProof/>
          <w:szCs w:val="22"/>
        </w:rPr>
      </w:pPr>
    </w:p>
    <w:p w14:paraId="134820F4" w14:textId="77777777" w:rsidR="00895E1A" w:rsidRPr="007944F8" w:rsidRDefault="00B23363" w:rsidP="00E96874">
      <w:pPr>
        <w:widowControl w:val="0"/>
        <w:tabs>
          <w:tab w:val="clear" w:pos="567"/>
        </w:tabs>
        <w:spacing w:line="240" w:lineRule="auto"/>
      </w:pPr>
      <w:bookmarkStart w:id="12" w:name="_Toc259706931"/>
      <w:bookmarkStart w:id="13" w:name="_Toc259707102"/>
      <w:bookmarkStart w:id="14" w:name="_Toc259707165"/>
      <w:bookmarkStart w:id="15" w:name="_Toc259713111"/>
      <w:r w:rsidRPr="007944F8">
        <w:t>S</w:t>
      </w:r>
      <w:r w:rsidR="00895E1A" w:rsidRPr="007944F8">
        <w:t>onidégib est principalement métabolisé par le CYP3A4, et l’administration concomitante d’inhibiteurs ou d’inducteurs puissants du CYP3A4 peut augmenter ou diminuer les concentrations de sonidégib de manière significative.</w:t>
      </w:r>
    </w:p>
    <w:p w14:paraId="5124EA1C" w14:textId="77777777" w:rsidR="00895E1A" w:rsidRPr="007944F8" w:rsidRDefault="00895E1A" w:rsidP="00E96874">
      <w:pPr>
        <w:widowControl w:val="0"/>
        <w:tabs>
          <w:tab w:val="clear" w:pos="567"/>
        </w:tabs>
        <w:spacing w:line="240" w:lineRule="auto"/>
      </w:pPr>
    </w:p>
    <w:p w14:paraId="10361A3A" w14:textId="77777777" w:rsidR="00895E1A" w:rsidRPr="007944F8" w:rsidRDefault="00895E1A" w:rsidP="00BE7F7C">
      <w:pPr>
        <w:keepNext/>
        <w:widowControl w:val="0"/>
        <w:tabs>
          <w:tab w:val="clear" w:pos="567"/>
        </w:tabs>
        <w:spacing w:line="240" w:lineRule="auto"/>
        <w:outlineLvl w:val="0"/>
        <w:rPr>
          <w:noProof/>
          <w:szCs w:val="22"/>
          <w:u w:val="single"/>
        </w:rPr>
      </w:pPr>
      <w:r w:rsidRPr="007944F8">
        <w:rPr>
          <w:noProof/>
          <w:u w:val="single"/>
        </w:rPr>
        <w:t>Agents susceptibles d’augmenter la concentration plasmatique d</w:t>
      </w:r>
      <w:r w:rsidR="00B23363" w:rsidRPr="007944F8">
        <w:rPr>
          <w:noProof/>
          <w:u w:val="single"/>
        </w:rPr>
        <w:t>e</w:t>
      </w:r>
      <w:r w:rsidRPr="007944F8">
        <w:rPr>
          <w:noProof/>
          <w:u w:val="single"/>
        </w:rPr>
        <w:t xml:space="preserve"> sonidégib</w:t>
      </w:r>
      <w:bookmarkStart w:id="16" w:name="_2522392Agents_that_may_increase_s"/>
      <w:bookmarkEnd w:id="16"/>
    </w:p>
    <w:p w14:paraId="0698E5AF" w14:textId="77777777" w:rsidR="003650BA" w:rsidRPr="007944F8" w:rsidRDefault="003650BA" w:rsidP="00E96874">
      <w:pPr>
        <w:keepNext/>
        <w:widowControl w:val="0"/>
        <w:tabs>
          <w:tab w:val="clear" w:pos="567"/>
        </w:tabs>
        <w:spacing w:line="240" w:lineRule="auto"/>
      </w:pPr>
    </w:p>
    <w:p w14:paraId="32B03069" w14:textId="77777777" w:rsidR="00895E1A" w:rsidRPr="007944F8" w:rsidRDefault="00895E1A" w:rsidP="00E96874">
      <w:pPr>
        <w:widowControl w:val="0"/>
        <w:tabs>
          <w:tab w:val="clear" w:pos="567"/>
        </w:tabs>
        <w:spacing w:line="240" w:lineRule="auto"/>
      </w:pPr>
      <w:r w:rsidRPr="007944F8">
        <w:t>Chez des sujets sains, l’administration concomitante d’une dose unique de 800 mg de sonidégib et de kétoconazole (200 mg deux fois par jour pendant 14 jours), un inhibiteur puissant du CYP3A, a entraîné une multiplication par 2,25 et 1,49 de l’ASC et de la C</w:t>
      </w:r>
      <w:r w:rsidRPr="007944F8">
        <w:rPr>
          <w:vertAlign w:val="subscript"/>
        </w:rPr>
        <w:t>max</w:t>
      </w:r>
      <w:r w:rsidR="00561ED8" w:rsidRPr="007944F8">
        <w:t xml:space="preserve"> de</w:t>
      </w:r>
      <w:r w:rsidRPr="007944F8">
        <w:t xml:space="preserve"> sonidégib, respectivement, par rapport aux valeurs </w:t>
      </w:r>
      <w:r w:rsidR="00C22527" w:rsidRPr="007944F8">
        <w:t xml:space="preserve">observées pour </w:t>
      </w:r>
      <w:r w:rsidRPr="007944F8">
        <w:t>sonidégib seul.</w:t>
      </w:r>
      <w:r w:rsidR="00C22527" w:rsidRPr="007944F8">
        <w:t xml:space="preserve"> </w:t>
      </w:r>
      <w:r w:rsidR="00BE7ABE" w:rsidRPr="007944F8">
        <w:t xml:space="preserve">Une durée plus longue d’utilisation </w:t>
      </w:r>
      <w:r w:rsidR="000B42B8" w:rsidRPr="007944F8">
        <w:t>concomitante d’</w:t>
      </w:r>
      <w:r w:rsidR="006A71CE" w:rsidRPr="007944F8">
        <w:t>inhibiteurs puissants</w:t>
      </w:r>
      <w:r w:rsidR="000B42B8" w:rsidRPr="007944F8">
        <w:t xml:space="preserve"> du</w:t>
      </w:r>
      <w:r w:rsidR="006A71CE" w:rsidRPr="007944F8">
        <w:t xml:space="preserve"> CYP3A4 </w:t>
      </w:r>
      <w:r w:rsidR="001F1AEE" w:rsidRPr="007944F8">
        <w:t>(par exemple</w:t>
      </w:r>
      <w:r w:rsidR="006A71CE" w:rsidRPr="007944F8">
        <w:t xml:space="preserve"> plus de 14</w:t>
      </w:r>
      <w:r w:rsidR="00762D72" w:rsidRPr="007944F8">
        <w:t> </w:t>
      </w:r>
      <w:r w:rsidR="006A71CE" w:rsidRPr="007944F8">
        <w:t xml:space="preserve">jours) </w:t>
      </w:r>
      <w:r w:rsidR="000B42B8" w:rsidRPr="007944F8">
        <w:t>entra</w:t>
      </w:r>
      <w:r w:rsidR="0091047A">
        <w:t>î</w:t>
      </w:r>
      <w:r w:rsidR="000B42B8" w:rsidRPr="007944F8">
        <w:t>ner</w:t>
      </w:r>
      <w:r w:rsidR="006A71CE" w:rsidRPr="007944F8">
        <w:t>a un</w:t>
      </w:r>
      <w:r w:rsidR="000B42B8" w:rsidRPr="007944F8">
        <w:t>e modification</w:t>
      </w:r>
      <w:r w:rsidR="006A71CE" w:rsidRPr="007944F8">
        <w:t xml:space="preserve"> plus</w:t>
      </w:r>
      <w:r w:rsidR="000B42B8" w:rsidRPr="007944F8">
        <w:t xml:space="preserve"> importante de </w:t>
      </w:r>
      <w:r w:rsidR="006A71CE" w:rsidRPr="007944F8">
        <w:t xml:space="preserve">l’exposition </w:t>
      </w:r>
      <w:r w:rsidR="002436AD" w:rsidRPr="007944F8">
        <w:t>au</w:t>
      </w:r>
      <w:r w:rsidR="006A71CE" w:rsidRPr="007944F8">
        <w:t xml:space="preserve"> sonidégib</w:t>
      </w:r>
      <w:r w:rsidR="00BE7ABE" w:rsidRPr="007944F8">
        <w:t xml:space="preserve"> d’après une simulation</w:t>
      </w:r>
      <w:r w:rsidR="000B42B8" w:rsidRPr="007944F8">
        <w:t>.</w:t>
      </w:r>
      <w:r w:rsidR="006A71CE" w:rsidRPr="007944F8">
        <w:t xml:space="preserve"> </w:t>
      </w:r>
      <w:r w:rsidR="00C22527" w:rsidRPr="007944F8">
        <w:t>Si l</w:t>
      </w:r>
      <w:r w:rsidRPr="007944F8">
        <w:t>’utilisation concomitante d’inhibiteurs puissants du CYP3A</w:t>
      </w:r>
      <w:r w:rsidR="00C22527" w:rsidRPr="007944F8">
        <w:t xml:space="preserve"> est nécessaire</w:t>
      </w:r>
      <w:r w:rsidRPr="007944F8">
        <w:t xml:space="preserve">, </w:t>
      </w:r>
      <w:r w:rsidR="00C22527" w:rsidRPr="007944F8">
        <w:t>la dose de sonidégib doit être diminué</w:t>
      </w:r>
      <w:r w:rsidR="003A4ACA" w:rsidRPr="007944F8">
        <w:t>e</w:t>
      </w:r>
      <w:r w:rsidR="00C22527" w:rsidRPr="007944F8">
        <w:t xml:space="preserve"> à 200 mg </w:t>
      </w:r>
      <w:r w:rsidR="0029295C" w:rsidRPr="007944F8">
        <w:t xml:space="preserve">tous </w:t>
      </w:r>
      <w:r w:rsidR="00C22527" w:rsidRPr="007944F8">
        <w:t xml:space="preserve">les </w:t>
      </w:r>
      <w:r w:rsidR="0029295C" w:rsidRPr="007944F8">
        <w:t>2</w:t>
      </w:r>
      <w:r w:rsidR="00B44C69" w:rsidRPr="007944F8">
        <w:t> </w:t>
      </w:r>
      <w:r w:rsidR="00C22527" w:rsidRPr="007944F8">
        <w:t>jours. Les inhibiteurs de CYP3A4</w:t>
      </w:r>
      <w:r w:rsidR="00FB3477" w:rsidRPr="007944F8">
        <w:t xml:space="preserve"> </w:t>
      </w:r>
      <w:r w:rsidR="00C22527" w:rsidRPr="007944F8">
        <w:t>s</w:t>
      </w:r>
      <w:r w:rsidR="00B23363" w:rsidRPr="007944F8">
        <w:t>ont</w:t>
      </w:r>
      <w:r w:rsidR="002436AD" w:rsidRPr="007944F8">
        <w:t>,</w:t>
      </w:r>
      <w:r w:rsidR="00B23363" w:rsidRPr="007944F8">
        <w:t xml:space="preserve"> entre autre</w:t>
      </w:r>
      <w:r w:rsidR="0091047A">
        <w:t>s</w:t>
      </w:r>
      <w:r w:rsidR="002436AD" w:rsidRPr="007944F8">
        <w:t>,</w:t>
      </w:r>
      <w:r w:rsidR="00B23363" w:rsidRPr="007944F8">
        <w:t xml:space="preserve"> le</w:t>
      </w:r>
      <w:r w:rsidRPr="007944F8">
        <w:t xml:space="preserve"> ritonavir, saquinavir, télithromycine, kétoconazole, itraconazole, voriconazole, posaconazole et néfazodone. L’apparition d’événements indésirables doit être surveillée attentivement chez les patients recevant l’un de c</w:t>
      </w:r>
      <w:r w:rsidR="00561ED8" w:rsidRPr="007944F8">
        <w:t>es agents en association avec</w:t>
      </w:r>
      <w:r w:rsidRPr="007944F8">
        <w:t xml:space="preserve"> sonidégib.</w:t>
      </w:r>
    </w:p>
    <w:p w14:paraId="2C3DEAB6" w14:textId="77777777" w:rsidR="00895E1A" w:rsidRPr="007944F8" w:rsidRDefault="00895E1A" w:rsidP="00E96874">
      <w:pPr>
        <w:widowControl w:val="0"/>
        <w:tabs>
          <w:tab w:val="clear" w:pos="567"/>
        </w:tabs>
        <w:spacing w:line="240" w:lineRule="auto"/>
      </w:pPr>
    </w:p>
    <w:p w14:paraId="5E62154B" w14:textId="77777777" w:rsidR="00895E1A" w:rsidRPr="007944F8" w:rsidRDefault="00895E1A" w:rsidP="00BE7F7C">
      <w:pPr>
        <w:keepNext/>
        <w:widowControl w:val="0"/>
        <w:tabs>
          <w:tab w:val="clear" w:pos="567"/>
        </w:tabs>
        <w:spacing w:line="240" w:lineRule="auto"/>
        <w:outlineLvl w:val="0"/>
      </w:pPr>
      <w:r w:rsidRPr="007944F8">
        <w:rPr>
          <w:noProof/>
          <w:u w:val="single"/>
        </w:rPr>
        <w:t>Agents susceptibles de diminuer</w:t>
      </w:r>
      <w:r w:rsidR="00561ED8" w:rsidRPr="007944F8">
        <w:rPr>
          <w:noProof/>
          <w:u w:val="single"/>
        </w:rPr>
        <w:t xml:space="preserve"> la concentration plasmatique de</w:t>
      </w:r>
      <w:r w:rsidRPr="007944F8">
        <w:rPr>
          <w:noProof/>
          <w:u w:val="single"/>
        </w:rPr>
        <w:t xml:space="preserve"> sonidégib</w:t>
      </w:r>
      <w:bookmarkStart w:id="17" w:name="_2623140Agents_that_may_decrease_s"/>
      <w:bookmarkEnd w:id="17"/>
    </w:p>
    <w:p w14:paraId="73D7BB87" w14:textId="77777777" w:rsidR="003650BA" w:rsidRPr="007944F8" w:rsidRDefault="003650BA" w:rsidP="00E96874">
      <w:pPr>
        <w:keepNext/>
        <w:widowControl w:val="0"/>
        <w:tabs>
          <w:tab w:val="clear" w:pos="567"/>
        </w:tabs>
        <w:spacing w:line="240" w:lineRule="auto"/>
      </w:pPr>
    </w:p>
    <w:p w14:paraId="36422FB7" w14:textId="77777777" w:rsidR="003650BA" w:rsidRPr="007944F8" w:rsidRDefault="00895E1A" w:rsidP="00E96874">
      <w:pPr>
        <w:widowControl w:val="0"/>
        <w:tabs>
          <w:tab w:val="clear" w:pos="567"/>
        </w:tabs>
        <w:spacing w:line="240" w:lineRule="auto"/>
      </w:pPr>
      <w:r w:rsidRPr="007944F8">
        <w:t>Chez des sujets sains, l’administration concomitante d’une dose unique de 800 mg de sonidégib et de rifampicine (600 mg par jour pendant 14 jours), un inducteur puissant du CYP3A, a entraîné une diminution de 72 % et 54 % de l’ASC et de la C</w:t>
      </w:r>
      <w:r w:rsidRPr="007944F8">
        <w:rPr>
          <w:vertAlign w:val="subscript"/>
        </w:rPr>
        <w:t>max</w:t>
      </w:r>
      <w:r w:rsidR="00561ED8" w:rsidRPr="007944F8">
        <w:t xml:space="preserve"> de</w:t>
      </w:r>
      <w:r w:rsidRPr="007944F8">
        <w:t xml:space="preserve"> sonidégib, respectivement, par rapport </w:t>
      </w:r>
      <w:r w:rsidR="00561ED8" w:rsidRPr="007944F8">
        <w:t>aux valeurs observées lorsque</w:t>
      </w:r>
      <w:r w:rsidRPr="007944F8">
        <w:t xml:space="preserve"> sonidégib a été administré seul. </w:t>
      </w:r>
      <w:r w:rsidR="00561ED8" w:rsidRPr="007944F8">
        <w:t>L’administration concomitante de</w:t>
      </w:r>
      <w:r w:rsidRPr="007944F8">
        <w:t xml:space="preserve"> sonidégib avec des inducteurs puissants du CYP3A diminue</w:t>
      </w:r>
      <w:r w:rsidR="00561ED8" w:rsidRPr="007944F8">
        <w:t xml:space="preserve"> la concentration plasmatique de</w:t>
      </w:r>
      <w:r w:rsidRPr="007944F8">
        <w:t xml:space="preserve"> sonidégib. L’utilisation concomitante d’inducteurs puissants du CYP3A, </w:t>
      </w:r>
      <w:r w:rsidR="00B23363" w:rsidRPr="007944F8">
        <w:t>dont entre autre</w:t>
      </w:r>
      <w:r w:rsidR="0091047A">
        <w:t>s</w:t>
      </w:r>
      <w:r w:rsidRPr="007944F8">
        <w:t xml:space="preserve"> carbamazépine, phénobarbital, phénytoïne, rifabutine, rifampicine et millepertuis (</w:t>
      </w:r>
      <w:r w:rsidRPr="007944F8">
        <w:rPr>
          <w:i/>
        </w:rPr>
        <w:t>Hypericum perforatum</w:t>
      </w:r>
      <w:r w:rsidRPr="007944F8">
        <w:t>), doit être évitée. Si un inducteur puissant du CYP3A4 doit être utili</w:t>
      </w:r>
      <w:r w:rsidR="00B23363" w:rsidRPr="007944F8">
        <w:t>sé de façon concomitante avec</w:t>
      </w:r>
      <w:r w:rsidRPr="007944F8">
        <w:t xml:space="preserve"> sonidégib, il faudra envisager d’augmenter la dose </w:t>
      </w:r>
      <w:r w:rsidR="006A71CE" w:rsidRPr="007944F8">
        <w:t xml:space="preserve">quotidienne </w:t>
      </w:r>
      <w:r w:rsidRPr="007944F8">
        <w:t>de sonidégib</w:t>
      </w:r>
      <w:r w:rsidR="000B42B8" w:rsidRPr="007944F8">
        <w:t xml:space="preserve"> à</w:t>
      </w:r>
      <w:r w:rsidR="006A71CE" w:rsidRPr="007944F8">
        <w:t xml:space="preserve"> 400</w:t>
      </w:r>
      <w:r w:rsidR="00762D72" w:rsidRPr="007944F8">
        <w:noBreakHyphen/>
      </w:r>
      <w:r w:rsidR="006A71CE" w:rsidRPr="007944F8">
        <w:t>800</w:t>
      </w:r>
      <w:r w:rsidR="00762D72" w:rsidRPr="007944F8">
        <w:t> </w:t>
      </w:r>
      <w:r w:rsidR="006A71CE" w:rsidRPr="007944F8">
        <w:t>mg</w:t>
      </w:r>
      <w:r w:rsidRPr="007944F8">
        <w:t xml:space="preserve">. </w:t>
      </w:r>
      <w:r w:rsidR="00B23363" w:rsidRPr="007944F8">
        <w:t>Sur la base des</w:t>
      </w:r>
      <w:r w:rsidRPr="007944F8">
        <w:t xml:space="preserve"> données pharmacocinétiques, cette dose de sonidégib devrait permettre de maintenir l’ASC dans l’intervalle observé sans les inducteurs</w:t>
      </w:r>
      <w:r w:rsidR="00404F84" w:rsidRPr="007944F8">
        <w:t xml:space="preserve"> lorsque le traitement concomitant par les inducteurs ne d</w:t>
      </w:r>
      <w:r w:rsidR="00FB3477" w:rsidRPr="007944F8">
        <w:t>ure</w:t>
      </w:r>
      <w:r w:rsidR="00404F84" w:rsidRPr="007944F8">
        <w:t xml:space="preserve"> pas</w:t>
      </w:r>
      <w:r w:rsidR="00FB3477" w:rsidRPr="007944F8">
        <w:t xml:space="preserve"> plus de</w:t>
      </w:r>
      <w:r w:rsidR="00404F84" w:rsidRPr="007944F8">
        <w:t xml:space="preserve"> 14 jours</w:t>
      </w:r>
      <w:r w:rsidRPr="007944F8">
        <w:t xml:space="preserve">. </w:t>
      </w:r>
      <w:r w:rsidR="00404F84" w:rsidRPr="007944F8">
        <w:t xml:space="preserve">Un traitement </w:t>
      </w:r>
      <w:r w:rsidR="00391AE3" w:rsidRPr="007944F8">
        <w:t xml:space="preserve">concomitant </w:t>
      </w:r>
      <w:r w:rsidR="00FB3477" w:rsidRPr="007944F8">
        <w:t xml:space="preserve">de longue durée </w:t>
      </w:r>
      <w:r w:rsidR="00404F84" w:rsidRPr="007944F8">
        <w:t>avec des inducteurs n’est pas recommandé</w:t>
      </w:r>
      <w:r w:rsidR="0091047A">
        <w:t>,</w:t>
      </w:r>
      <w:r w:rsidR="00404F84" w:rsidRPr="007944F8">
        <w:t xml:space="preserve"> car l’exposition </w:t>
      </w:r>
      <w:r w:rsidR="002436AD" w:rsidRPr="007944F8">
        <w:t xml:space="preserve">au </w:t>
      </w:r>
      <w:r w:rsidR="00E03054" w:rsidRPr="007944F8">
        <w:t>sonidé</w:t>
      </w:r>
      <w:r w:rsidR="00404F84" w:rsidRPr="007944F8">
        <w:t xml:space="preserve">gib diminuera </w:t>
      </w:r>
      <w:r w:rsidR="00E03054" w:rsidRPr="007944F8">
        <w:t>ce qui</w:t>
      </w:r>
      <w:r w:rsidR="00404F84" w:rsidRPr="007944F8">
        <w:t xml:space="preserve"> pourrait compromettre son efficacité. </w:t>
      </w:r>
      <w:r w:rsidRPr="007944F8">
        <w:t>En cas d’arrêt du traitement par l’inducteur puissant, la dose de sonidégib utilisée avant l’instauration du traitement par l’inducteur puissant doit être rétablie.</w:t>
      </w:r>
    </w:p>
    <w:p w14:paraId="242D5B1F" w14:textId="77777777" w:rsidR="00EB3A70" w:rsidRPr="007944F8" w:rsidRDefault="00EB3A70" w:rsidP="00E96874">
      <w:pPr>
        <w:widowControl w:val="0"/>
        <w:tabs>
          <w:tab w:val="clear" w:pos="567"/>
        </w:tabs>
        <w:spacing w:line="240" w:lineRule="auto"/>
      </w:pPr>
    </w:p>
    <w:p w14:paraId="7B0D6D5B" w14:textId="77777777" w:rsidR="00EB3A70" w:rsidRPr="007944F8" w:rsidRDefault="00EB3A70" w:rsidP="00E96874">
      <w:pPr>
        <w:widowControl w:val="0"/>
        <w:tabs>
          <w:tab w:val="clear" w:pos="567"/>
        </w:tabs>
        <w:spacing w:line="240" w:lineRule="auto"/>
      </w:pPr>
      <w:r w:rsidRPr="007944F8">
        <w:t xml:space="preserve">Les résultats </w:t>
      </w:r>
      <w:r w:rsidR="00F66E43" w:rsidRPr="007944F8">
        <w:t xml:space="preserve">issus </w:t>
      </w:r>
      <w:r w:rsidRPr="007944F8">
        <w:t xml:space="preserve">des essais cliniques ont démontré une modification de </w:t>
      </w:r>
      <w:r w:rsidR="003058DA" w:rsidRPr="007944F8">
        <w:t>l’exposition au sonidégib (diminution de 32 % et 38 % de l’ASC et de la C</w:t>
      </w:r>
      <w:r w:rsidR="003058DA" w:rsidRPr="007944F8">
        <w:rPr>
          <w:vertAlign w:val="subscript"/>
        </w:rPr>
        <w:t xml:space="preserve">max </w:t>
      </w:r>
      <w:r w:rsidR="003058DA" w:rsidRPr="007944F8">
        <w:t xml:space="preserve">) après l’administration concomitante d’une dose unique d’Odomzo 200 mg et de 40 mg </w:t>
      </w:r>
      <w:r w:rsidR="00F66E43" w:rsidRPr="007944F8">
        <w:t xml:space="preserve">par jour </w:t>
      </w:r>
      <w:r w:rsidR="003058DA" w:rsidRPr="007944F8">
        <w:t>d’esoméprazole (un inhibiteur de la pompe à protons) pendant 6</w:t>
      </w:r>
      <w:r w:rsidR="006D74FE" w:rsidRPr="007944F8">
        <w:t> </w:t>
      </w:r>
      <w:r w:rsidR="003058DA" w:rsidRPr="007944F8">
        <w:t>jours chez des sujets sains.</w:t>
      </w:r>
      <w:r w:rsidR="00393ADF" w:rsidRPr="007944F8">
        <w:t xml:space="preserve"> Il n’est pas attendu que cette interaction soit cliniquement significative.</w:t>
      </w:r>
    </w:p>
    <w:p w14:paraId="4D2925A2" w14:textId="77777777" w:rsidR="00895E1A" w:rsidRPr="007944F8" w:rsidRDefault="00895E1A" w:rsidP="00E96874">
      <w:pPr>
        <w:widowControl w:val="0"/>
        <w:tabs>
          <w:tab w:val="clear" w:pos="567"/>
        </w:tabs>
        <w:spacing w:line="240" w:lineRule="auto"/>
      </w:pPr>
    </w:p>
    <w:p w14:paraId="3E958F25" w14:textId="77777777" w:rsidR="00895E1A" w:rsidRPr="007944F8" w:rsidRDefault="00981C07" w:rsidP="00BE7F7C">
      <w:pPr>
        <w:keepNext/>
        <w:widowControl w:val="0"/>
        <w:tabs>
          <w:tab w:val="clear" w:pos="567"/>
        </w:tabs>
        <w:spacing w:line="240" w:lineRule="auto"/>
        <w:outlineLvl w:val="0"/>
        <w:rPr>
          <w:noProof/>
          <w:szCs w:val="22"/>
          <w:u w:val="single"/>
        </w:rPr>
      </w:pPr>
      <w:bookmarkStart w:id="18" w:name="_2723852Anticipated_interactions_t"/>
      <w:bookmarkEnd w:id="12"/>
      <w:bookmarkEnd w:id="13"/>
      <w:bookmarkEnd w:id="14"/>
      <w:bookmarkEnd w:id="15"/>
      <w:bookmarkEnd w:id="18"/>
      <w:r w:rsidRPr="007944F8">
        <w:rPr>
          <w:noProof/>
          <w:u w:val="single"/>
        </w:rPr>
        <w:t>Effets d</w:t>
      </w:r>
      <w:r w:rsidR="002436AD" w:rsidRPr="007944F8">
        <w:rPr>
          <w:noProof/>
          <w:u w:val="single"/>
        </w:rPr>
        <w:t>e</w:t>
      </w:r>
      <w:r w:rsidRPr="007944F8">
        <w:rPr>
          <w:noProof/>
          <w:u w:val="single"/>
        </w:rPr>
        <w:t xml:space="preserve"> sonidégib sur d’autres médicaments</w:t>
      </w:r>
    </w:p>
    <w:p w14:paraId="0AA14960" w14:textId="77777777" w:rsidR="003650BA" w:rsidRPr="007944F8" w:rsidRDefault="003650BA" w:rsidP="00E96874">
      <w:pPr>
        <w:keepNext/>
        <w:widowControl w:val="0"/>
        <w:tabs>
          <w:tab w:val="clear" w:pos="567"/>
        </w:tabs>
        <w:spacing w:line="240" w:lineRule="auto"/>
      </w:pPr>
    </w:p>
    <w:p w14:paraId="68888D90" w14:textId="77777777" w:rsidR="00895E1A" w:rsidRPr="007944F8" w:rsidRDefault="00561ED8" w:rsidP="00E96874">
      <w:pPr>
        <w:widowControl w:val="0"/>
        <w:tabs>
          <w:tab w:val="clear" w:pos="567"/>
        </w:tabs>
        <w:spacing w:line="240" w:lineRule="auto"/>
      </w:pPr>
      <w:r w:rsidRPr="007944F8">
        <w:t>S</w:t>
      </w:r>
      <w:r w:rsidR="00895E1A" w:rsidRPr="007944F8">
        <w:t xml:space="preserve">onidégib est un inhibiteur compétitif du CYP2B6 et du CYP2C9 </w:t>
      </w:r>
      <w:r w:rsidR="00895E1A" w:rsidRPr="007944F8">
        <w:rPr>
          <w:i/>
        </w:rPr>
        <w:t>in vitro</w:t>
      </w:r>
      <w:r w:rsidR="00895E1A" w:rsidRPr="007944F8">
        <w:t>.</w:t>
      </w:r>
      <w:r w:rsidRPr="007944F8">
        <w:t xml:space="preserve"> </w:t>
      </w:r>
      <w:r w:rsidR="000A5620">
        <w:t>Cependant, les résultats d</w:t>
      </w:r>
      <w:r w:rsidR="002219BE">
        <w:t>’une étude</w:t>
      </w:r>
      <w:r w:rsidR="000A5620">
        <w:t xml:space="preserve"> d’</w:t>
      </w:r>
      <w:r w:rsidR="000141FA">
        <w:t>interaction</w:t>
      </w:r>
      <w:r w:rsidR="000A5620">
        <w:t xml:space="preserve"> médicamenteuse chez des patients </w:t>
      </w:r>
      <w:r w:rsidR="000141FA">
        <w:t>ayant un</w:t>
      </w:r>
      <w:r w:rsidR="000A5620">
        <w:t xml:space="preserve"> cancer ont démontré que l’exposition systémique </w:t>
      </w:r>
      <w:r w:rsidR="002219BE">
        <w:t>au</w:t>
      </w:r>
      <w:r w:rsidR="000A5620">
        <w:t xml:space="preserve"> bupropion (un substrat du CYP2B6) et </w:t>
      </w:r>
      <w:r w:rsidR="002219BE">
        <w:t>à</w:t>
      </w:r>
      <w:r w:rsidR="000A5620">
        <w:t xml:space="preserve"> la warfarine (un substrat du CYP2C9) n’étai</w:t>
      </w:r>
      <w:r w:rsidR="000141FA">
        <w:t>t</w:t>
      </w:r>
      <w:r w:rsidR="000A5620">
        <w:t xml:space="preserve"> pas altérée par l’administration concomitante de sonidégib. </w:t>
      </w:r>
      <w:r w:rsidRPr="007944F8">
        <w:t>S</w:t>
      </w:r>
      <w:r w:rsidR="00895E1A" w:rsidRPr="007944F8">
        <w:t>onidégib est également un inhibiteur de la protéine BCRP (Breast Cancer Resistance Protein) (</w:t>
      </w:r>
      <w:r w:rsidR="002219BE">
        <w:t>CI</w:t>
      </w:r>
      <w:r w:rsidR="00895E1A" w:rsidRPr="00471A67">
        <w:rPr>
          <w:vertAlign w:val="subscript"/>
        </w:rPr>
        <w:t>50</w:t>
      </w:r>
      <w:r w:rsidR="00895E1A" w:rsidRPr="007944F8">
        <w:t> ~ 1,5 µM). Les patients utilisant de façon concomitante des substrats du transporteur BCRP doivent faire l’objet d’un</w:t>
      </w:r>
      <w:r w:rsidR="00482343" w:rsidRPr="007944F8">
        <w:t>e</w:t>
      </w:r>
      <w:r w:rsidR="00895E1A" w:rsidRPr="007944F8">
        <w:t xml:space="preserve"> surveillance attentive afin de déceler tout effet indésirable. Les substrats </w:t>
      </w:r>
      <w:r w:rsidR="00A129E1" w:rsidRPr="007944F8">
        <w:t xml:space="preserve">du BCRP </w:t>
      </w:r>
      <w:r w:rsidR="00207341" w:rsidRPr="007944F8">
        <w:t>ayant</w:t>
      </w:r>
      <w:r w:rsidR="00A129E1" w:rsidRPr="007944F8">
        <w:t xml:space="preserve"> une marge thérapeutique étroite </w:t>
      </w:r>
      <w:r w:rsidR="004046B9" w:rsidRPr="007944F8">
        <w:t>(par</w:t>
      </w:r>
      <w:r w:rsidR="00A129E1" w:rsidRPr="007944F8">
        <w:t xml:space="preserve"> exemple, méthotrexate, </w:t>
      </w:r>
      <w:r w:rsidR="00731AF3" w:rsidRPr="007944F8">
        <w:t>mitoxantrone</w:t>
      </w:r>
      <w:r w:rsidR="00A129E1" w:rsidRPr="007944F8">
        <w:t>, irinotecan, topotecan)</w:t>
      </w:r>
      <w:r w:rsidR="00895E1A" w:rsidRPr="007944F8">
        <w:t xml:space="preserve"> doivent être évités.</w:t>
      </w:r>
    </w:p>
    <w:p w14:paraId="59ABB529" w14:textId="77777777" w:rsidR="000576CD" w:rsidRPr="007944F8" w:rsidRDefault="000576CD" w:rsidP="00E96874">
      <w:pPr>
        <w:widowControl w:val="0"/>
        <w:tabs>
          <w:tab w:val="clear" w:pos="567"/>
        </w:tabs>
        <w:spacing w:line="240" w:lineRule="auto"/>
      </w:pPr>
    </w:p>
    <w:p w14:paraId="2B51DCA8" w14:textId="77777777" w:rsidR="00895E1A" w:rsidRPr="007944F8" w:rsidRDefault="00895E1A" w:rsidP="00BE7F7C">
      <w:pPr>
        <w:keepNext/>
        <w:widowControl w:val="0"/>
        <w:tabs>
          <w:tab w:val="clear" w:pos="567"/>
        </w:tabs>
        <w:spacing w:line="240" w:lineRule="auto"/>
        <w:outlineLvl w:val="0"/>
        <w:rPr>
          <w:noProof/>
          <w:szCs w:val="22"/>
          <w:u w:val="single"/>
        </w:rPr>
      </w:pPr>
      <w:r w:rsidRPr="007944F8">
        <w:rPr>
          <w:noProof/>
          <w:u w:val="single"/>
        </w:rPr>
        <w:t xml:space="preserve">Agents susceptibles d’augmenter le risque </w:t>
      </w:r>
      <w:r w:rsidR="002B53BC">
        <w:rPr>
          <w:noProof/>
          <w:u w:val="single"/>
        </w:rPr>
        <w:t xml:space="preserve">d’effets </w:t>
      </w:r>
      <w:r w:rsidR="002B53BC" w:rsidRPr="004E68D0">
        <w:rPr>
          <w:u w:val="single"/>
        </w:rPr>
        <w:t xml:space="preserve">indésirables </w:t>
      </w:r>
      <w:r w:rsidRPr="007944F8">
        <w:rPr>
          <w:noProof/>
          <w:u w:val="single"/>
        </w:rPr>
        <w:t>d’ordre musculaire</w:t>
      </w:r>
      <w:bookmarkStart w:id="19" w:name="_2824334Agents_that_may_increase_C"/>
      <w:bookmarkEnd w:id="19"/>
    </w:p>
    <w:p w14:paraId="7E8AEF0C" w14:textId="77777777" w:rsidR="003650BA" w:rsidRPr="007944F8" w:rsidRDefault="003650BA" w:rsidP="00E96874">
      <w:pPr>
        <w:keepNext/>
        <w:widowControl w:val="0"/>
        <w:tabs>
          <w:tab w:val="clear" w:pos="567"/>
        </w:tabs>
        <w:spacing w:line="240" w:lineRule="auto"/>
      </w:pPr>
    </w:p>
    <w:p w14:paraId="33018D48" w14:textId="77777777" w:rsidR="003650BA" w:rsidRPr="007944F8" w:rsidRDefault="00375AFA" w:rsidP="00E96874">
      <w:pPr>
        <w:widowControl w:val="0"/>
        <w:tabs>
          <w:tab w:val="clear" w:pos="567"/>
        </w:tabs>
        <w:spacing w:line="240" w:lineRule="auto"/>
      </w:pPr>
      <w:r w:rsidRPr="007944F8">
        <w:t xml:space="preserve">Du fait de l’accumulation des effets toxiques, les patients traités par Odomzo qui prennent également des médicaments connus pour accroître le risque de toxicité musculaire peuvent être exposés à un risque accru de présenter des </w:t>
      </w:r>
      <w:r w:rsidR="002B53BC">
        <w:t xml:space="preserve">effets </w:t>
      </w:r>
      <w:r w:rsidRPr="007944F8">
        <w:t>indésirables d’ordre musculaire. Les patients doivent faire l’objet d’une étroite surveillance et des adaptations posologiques doivent être envisagées en cas de symptômes musculaires.</w:t>
      </w:r>
    </w:p>
    <w:p w14:paraId="5D95C89D" w14:textId="77777777" w:rsidR="00375AFA" w:rsidRPr="007944F8" w:rsidRDefault="00375AFA" w:rsidP="00E96874">
      <w:pPr>
        <w:widowControl w:val="0"/>
        <w:tabs>
          <w:tab w:val="clear" w:pos="567"/>
        </w:tabs>
        <w:spacing w:line="240" w:lineRule="auto"/>
      </w:pPr>
    </w:p>
    <w:p w14:paraId="563E177C" w14:textId="77777777" w:rsidR="003650BA" w:rsidRPr="007944F8" w:rsidRDefault="00895E1A" w:rsidP="00E96874">
      <w:pPr>
        <w:widowControl w:val="0"/>
        <w:tabs>
          <w:tab w:val="clear" w:pos="567"/>
        </w:tabs>
        <w:spacing w:line="240" w:lineRule="auto"/>
      </w:pPr>
      <w:r w:rsidRPr="007944F8">
        <w:t>Dans l’essai pivot de phase II, 12 (15,2 %) patients traités par Odomzo 200 mg ont pris des inhibiteurs de la HMG</w:t>
      </w:r>
      <w:r w:rsidRPr="007944F8">
        <w:noBreakHyphen/>
        <w:t>CoA réductase de façon concomitante (9 ont pris de la pravastatine et 3 ont pris des inhibiteurs de la HMG</w:t>
      </w:r>
      <w:r w:rsidRPr="007944F8">
        <w:noBreakHyphen/>
        <w:t>CoA réductase autres que la pravastatine, dont la rosuvastatine et la simvastatine). Parmi ces patients, 7 (58,3 %) ont présenté des symptômes musculaires allant jusqu’au grade 1 tandis que 43 (64,1 %) patients non traités par des inhibiteurs de la HMG</w:t>
      </w:r>
      <w:r w:rsidRPr="007944F8">
        <w:noBreakHyphen/>
        <w:t>CoA réductase ont manifesté des symptômes allant jusqu’au grade 3. Aucun des patients traités par des inhibiteurs de la HMG</w:t>
      </w:r>
      <w:r w:rsidRPr="007944F8">
        <w:noBreakHyphen/>
        <w:t xml:space="preserve">CoA réductase n’a présenté d’élévation de la </w:t>
      </w:r>
      <w:r w:rsidR="00B56846" w:rsidRPr="007944F8">
        <w:t>CPK</w:t>
      </w:r>
      <w:r w:rsidRPr="007944F8">
        <w:t xml:space="preserve"> de grade 3 ou 4, contre 6 (9,0 %) patients non traités par des inhibiteurs de la HMG</w:t>
      </w:r>
      <w:r w:rsidRPr="007944F8">
        <w:noBreakHyphen/>
        <w:t>CoA réductase.</w:t>
      </w:r>
    </w:p>
    <w:p w14:paraId="2717D1D5" w14:textId="77777777" w:rsidR="00895E1A" w:rsidRPr="007944F8" w:rsidRDefault="00895E1A" w:rsidP="00E96874">
      <w:pPr>
        <w:widowControl w:val="0"/>
        <w:tabs>
          <w:tab w:val="clear" w:pos="567"/>
        </w:tabs>
        <w:spacing w:line="240" w:lineRule="auto"/>
      </w:pPr>
    </w:p>
    <w:p w14:paraId="57D98D6D" w14:textId="77777777" w:rsidR="00895E1A" w:rsidRPr="007944F8" w:rsidRDefault="00FE4EC3" w:rsidP="00BE7F7C">
      <w:pPr>
        <w:keepNext/>
        <w:widowControl w:val="0"/>
        <w:tabs>
          <w:tab w:val="clear" w:pos="567"/>
        </w:tabs>
        <w:spacing w:line="240" w:lineRule="auto"/>
        <w:outlineLvl w:val="0"/>
        <w:rPr>
          <w:noProof/>
          <w:szCs w:val="22"/>
          <w:u w:val="single"/>
        </w:rPr>
      </w:pPr>
      <w:r w:rsidRPr="007944F8">
        <w:rPr>
          <w:noProof/>
          <w:u w:val="single"/>
        </w:rPr>
        <w:t>Interactions avec les aliments</w:t>
      </w:r>
      <w:bookmarkStart w:id="20" w:name="_2925258Drug45food_interaction"/>
      <w:bookmarkEnd w:id="20"/>
    </w:p>
    <w:p w14:paraId="50137F84" w14:textId="77777777" w:rsidR="003650BA" w:rsidRPr="007944F8" w:rsidRDefault="003650BA" w:rsidP="00E96874">
      <w:pPr>
        <w:keepNext/>
        <w:widowControl w:val="0"/>
        <w:tabs>
          <w:tab w:val="clear" w:pos="567"/>
        </w:tabs>
        <w:spacing w:line="240" w:lineRule="auto"/>
      </w:pPr>
      <w:bookmarkStart w:id="21" w:name="_Toc259706932"/>
      <w:bookmarkStart w:id="22" w:name="_Toc259707103"/>
      <w:bookmarkStart w:id="23" w:name="_Toc259707166"/>
      <w:bookmarkStart w:id="24" w:name="_Toc259713112"/>
      <w:bookmarkStart w:id="25" w:name="_Toc260745243"/>
      <w:bookmarkStart w:id="26" w:name="_Toc266784434"/>
      <w:bookmarkStart w:id="27" w:name="_Toc266880198"/>
    </w:p>
    <w:p w14:paraId="170FBA88" w14:textId="77777777" w:rsidR="00895E1A" w:rsidRPr="007944F8" w:rsidRDefault="00895E1A" w:rsidP="00E96874">
      <w:pPr>
        <w:widowControl w:val="0"/>
        <w:tabs>
          <w:tab w:val="clear" w:pos="567"/>
        </w:tabs>
        <w:spacing w:line="240" w:lineRule="auto"/>
      </w:pPr>
      <w:r w:rsidRPr="007944F8">
        <w:t xml:space="preserve">La biodisponibilité </w:t>
      </w:r>
      <w:r w:rsidR="00561ED8" w:rsidRPr="007944F8">
        <w:t>de sonidégib</w:t>
      </w:r>
      <w:r w:rsidRPr="007944F8">
        <w:t xml:space="preserve"> augmente en présence d’aliments (voir rubrique 5.2). Odomzo doit être pris au moins deux heures après un repas et au moins une heure avant le repas suivant.</w:t>
      </w:r>
      <w:bookmarkEnd w:id="21"/>
      <w:bookmarkEnd w:id="22"/>
      <w:bookmarkEnd w:id="23"/>
      <w:bookmarkEnd w:id="24"/>
      <w:bookmarkEnd w:id="25"/>
      <w:bookmarkEnd w:id="26"/>
      <w:bookmarkEnd w:id="27"/>
    </w:p>
    <w:p w14:paraId="5173A323" w14:textId="77777777" w:rsidR="00812D16" w:rsidRPr="007944F8" w:rsidRDefault="00812D16" w:rsidP="00E93E8B">
      <w:pPr>
        <w:widowControl w:val="0"/>
        <w:tabs>
          <w:tab w:val="clear" w:pos="567"/>
        </w:tabs>
        <w:spacing w:line="240" w:lineRule="auto"/>
      </w:pPr>
    </w:p>
    <w:p w14:paraId="5C46443D" w14:textId="77777777" w:rsidR="00812D16" w:rsidRPr="007944F8" w:rsidRDefault="00812D16" w:rsidP="00BE7F7C">
      <w:pPr>
        <w:keepNext/>
        <w:widowControl w:val="0"/>
        <w:outlineLvl w:val="0"/>
        <w:rPr>
          <w:b/>
          <w:noProof/>
        </w:rPr>
      </w:pPr>
      <w:r w:rsidRPr="007944F8">
        <w:rPr>
          <w:b/>
        </w:rPr>
        <w:t>4.6</w:t>
      </w:r>
      <w:r w:rsidRPr="007944F8">
        <w:tab/>
      </w:r>
      <w:r w:rsidRPr="007944F8">
        <w:rPr>
          <w:b/>
        </w:rPr>
        <w:t>Fertilité, grossesse et allaitement</w:t>
      </w:r>
    </w:p>
    <w:p w14:paraId="0EB4BFCA" w14:textId="77777777" w:rsidR="00812D16" w:rsidRPr="007944F8" w:rsidRDefault="00812D16" w:rsidP="00E93E8B">
      <w:pPr>
        <w:keepNext/>
        <w:widowControl w:val="0"/>
        <w:tabs>
          <w:tab w:val="clear" w:pos="567"/>
        </w:tabs>
        <w:spacing w:line="240" w:lineRule="auto"/>
        <w:rPr>
          <w:noProof/>
          <w:szCs w:val="22"/>
        </w:rPr>
      </w:pPr>
    </w:p>
    <w:p w14:paraId="472E63E0" w14:textId="77777777" w:rsidR="00BB06DB" w:rsidRPr="007944F8" w:rsidRDefault="00BB06DB" w:rsidP="00BE7F7C">
      <w:pPr>
        <w:keepNext/>
        <w:widowControl w:val="0"/>
        <w:tabs>
          <w:tab w:val="clear" w:pos="567"/>
        </w:tabs>
        <w:spacing w:line="240" w:lineRule="auto"/>
        <w:outlineLvl w:val="0"/>
        <w:rPr>
          <w:noProof/>
          <w:szCs w:val="22"/>
          <w:u w:val="single"/>
        </w:rPr>
      </w:pPr>
      <w:r w:rsidRPr="007944F8">
        <w:rPr>
          <w:noProof/>
          <w:u w:val="single"/>
        </w:rPr>
        <w:t>Femmes en âge d</w:t>
      </w:r>
      <w:r w:rsidR="00561ED8" w:rsidRPr="007944F8">
        <w:rPr>
          <w:noProof/>
          <w:u w:val="single"/>
        </w:rPr>
        <w:t>’avoir des enfants</w:t>
      </w:r>
    </w:p>
    <w:p w14:paraId="59BA6AC1" w14:textId="77777777" w:rsidR="00BB06DB" w:rsidRPr="007944F8" w:rsidRDefault="00BB06DB" w:rsidP="00E93E8B">
      <w:pPr>
        <w:keepNext/>
        <w:widowControl w:val="0"/>
        <w:tabs>
          <w:tab w:val="clear" w:pos="567"/>
        </w:tabs>
        <w:spacing w:line="240" w:lineRule="auto"/>
        <w:rPr>
          <w:noProof/>
          <w:szCs w:val="22"/>
        </w:rPr>
      </w:pPr>
    </w:p>
    <w:p w14:paraId="5F9E5AE8" w14:textId="77777777" w:rsidR="005F24F8" w:rsidRPr="007944F8" w:rsidRDefault="00BB06DB" w:rsidP="00E96874">
      <w:pPr>
        <w:widowControl w:val="0"/>
        <w:tabs>
          <w:tab w:val="clear" w:pos="567"/>
        </w:tabs>
        <w:spacing w:line="240" w:lineRule="auto"/>
      </w:pPr>
      <w:r w:rsidRPr="007944F8">
        <w:t>Compte</w:t>
      </w:r>
      <w:r w:rsidR="00482343" w:rsidRPr="007944F8">
        <w:t xml:space="preserve"> </w:t>
      </w:r>
      <w:r w:rsidRPr="007944F8">
        <w:t>tenu du risque de mort embryof</w:t>
      </w:r>
      <w:r w:rsidR="00697034" w:rsidRPr="007944F8">
        <w:t>œ</w:t>
      </w:r>
      <w:r w:rsidRPr="007944F8">
        <w:t xml:space="preserve">tale ou d’anomalies congénitales sévères causé par </w:t>
      </w:r>
      <w:r w:rsidR="00561ED8" w:rsidRPr="007944F8">
        <w:t xml:space="preserve">sonidégib, les femmes </w:t>
      </w:r>
      <w:r w:rsidR="00FC1910" w:rsidRPr="007944F8">
        <w:t>traité</w:t>
      </w:r>
      <w:r w:rsidR="003A4ACA" w:rsidRPr="007944F8">
        <w:t>e</w:t>
      </w:r>
      <w:r w:rsidR="00FC1910" w:rsidRPr="007944F8">
        <w:t>s avec Odomzo ne doivent pas être enceinte</w:t>
      </w:r>
      <w:r w:rsidR="003A4ACA" w:rsidRPr="007944F8">
        <w:t>s</w:t>
      </w:r>
      <w:r w:rsidR="00FC1910" w:rsidRPr="007944F8">
        <w:t xml:space="preserve"> ou débuter </w:t>
      </w:r>
      <w:r w:rsidR="00731AF3" w:rsidRPr="007944F8">
        <w:t xml:space="preserve">une </w:t>
      </w:r>
      <w:r w:rsidR="00FC1910" w:rsidRPr="007944F8">
        <w:t>grossesse au cours du traitement</w:t>
      </w:r>
      <w:r w:rsidRPr="007944F8">
        <w:t xml:space="preserve"> et pendant les 20 mois qui suivent la fin du traitement</w:t>
      </w:r>
      <w:r w:rsidR="00180AA7" w:rsidRPr="007944F8">
        <w:t xml:space="preserve"> (voir rubrique</w:t>
      </w:r>
      <w:r w:rsidR="00762D72" w:rsidRPr="007944F8">
        <w:t> </w:t>
      </w:r>
      <w:r w:rsidR="00180AA7" w:rsidRPr="007944F8">
        <w:t>4.4)</w:t>
      </w:r>
      <w:r w:rsidRPr="007944F8">
        <w:t>.</w:t>
      </w:r>
    </w:p>
    <w:p w14:paraId="59126C98" w14:textId="77777777" w:rsidR="00FC1910" w:rsidRPr="007944F8" w:rsidRDefault="00FC1910" w:rsidP="00E96874">
      <w:pPr>
        <w:widowControl w:val="0"/>
        <w:tabs>
          <w:tab w:val="clear" w:pos="567"/>
        </w:tabs>
        <w:spacing w:line="240" w:lineRule="auto"/>
      </w:pPr>
    </w:p>
    <w:p w14:paraId="32DCD5CA" w14:textId="77777777" w:rsidR="00FC1910" w:rsidRPr="007944F8" w:rsidRDefault="00FC1910" w:rsidP="00E96874">
      <w:pPr>
        <w:widowControl w:val="0"/>
        <w:tabs>
          <w:tab w:val="clear" w:pos="567"/>
        </w:tabs>
        <w:spacing w:line="240" w:lineRule="auto"/>
        <w:rPr>
          <w:noProof/>
          <w:szCs w:val="22"/>
        </w:rPr>
      </w:pPr>
      <w:r w:rsidRPr="007944F8">
        <w:rPr>
          <w:noProof/>
          <w:szCs w:val="22"/>
        </w:rPr>
        <w:t>Odomzo est contre</w:t>
      </w:r>
      <w:r w:rsidR="003A4ACA" w:rsidRPr="007944F8">
        <w:rPr>
          <w:noProof/>
          <w:szCs w:val="22"/>
        </w:rPr>
        <w:t>-</w:t>
      </w:r>
      <w:r w:rsidRPr="007944F8">
        <w:rPr>
          <w:noProof/>
          <w:szCs w:val="22"/>
        </w:rPr>
        <w:t>indiqué chez les femmes en âge d’avoir des enfants qui ne respectent pas le Progr</w:t>
      </w:r>
      <w:r w:rsidR="00B74D6D" w:rsidRPr="007944F8">
        <w:rPr>
          <w:noProof/>
          <w:szCs w:val="22"/>
        </w:rPr>
        <w:t>amme de Prévention de la Grossesse</w:t>
      </w:r>
      <w:r w:rsidRPr="007944F8">
        <w:rPr>
          <w:noProof/>
          <w:szCs w:val="22"/>
        </w:rPr>
        <w:t xml:space="preserve"> d’Odomzo</w:t>
      </w:r>
      <w:r w:rsidR="00180AA7" w:rsidRPr="007944F8">
        <w:rPr>
          <w:noProof/>
          <w:szCs w:val="22"/>
        </w:rPr>
        <w:t xml:space="preserve"> (voir rubrique</w:t>
      </w:r>
      <w:r w:rsidR="00762D72" w:rsidRPr="007944F8">
        <w:rPr>
          <w:noProof/>
          <w:szCs w:val="22"/>
        </w:rPr>
        <w:t> </w:t>
      </w:r>
      <w:r w:rsidR="00180AA7" w:rsidRPr="007944F8">
        <w:rPr>
          <w:noProof/>
          <w:szCs w:val="22"/>
        </w:rPr>
        <w:t>4.3)</w:t>
      </w:r>
      <w:r w:rsidRPr="007944F8">
        <w:rPr>
          <w:noProof/>
          <w:szCs w:val="22"/>
        </w:rPr>
        <w:t>.</w:t>
      </w:r>
    </w:p>
    <w:p w14:paraId="5D0286AA" w14:textId="77777777" w:rsidR="00FC1910" w:rsidRPr="007944F8" w:rsidRDefault="00FC1910" w:rsidP="00E93E8B">
      <w:pPr>
        <w:widowControl w:val="0"/>
        <w:tabs>
          <w:tab w:val="clear" w:pos="567"/>
        </w:tabs>
        <w:spacing w:line="240" w:lineRule="auto"/>
        <w:rPr>
          <w:noProof/>
          <w:szCs w:val="22"/>
        </w:rPr>
      </w:pPr>
    </w:p>
    <w:p w14:paraId="44F51142" w14:textId="77777777" w:rsidR="00B74D6D" w:rsidRPr="007944F8" w:rsidRDefault="00B74D6D" w:rsidP="00BE7F7C">
      <w:pPr>
        <w:keepNext/>
        <w:widowControl w:val="0"/>
        <w:tabs>
          <w:tab w:val="clear" w:pos="567"/>
        </w:tabs>
        <w:spacing w:line="240" w:lineRule="auto"/>
        <w:outlineLvl w:val="0"/>
        <w:rPr>
          <w:i/>
          <w:noProof/>
          <w:szCs w:val="22"/>
          <w:u w:val="single"/>
        </w:rPr>
      </w:pPr>
      <w:r w:rsidRPr="007944F8">
        <w:rPr>
          <w:i/>
          <w:noProof/>
          <w:szCs w:val="22"/>
          <w:u w:val="single"/>
        </w:rPr>
        <w:t>En cas de grossesse ou d’absence de menstruations</w:t>
      </w:r>
    </w:p>
    <w:p w14:paraId="08A3E13A" w14:textId="77777777" w:rsidR="00B74D6D" w:rsidRPr="007944F8" w:rsidRDefault="00B74D6D" w:rsidP="00E96874">
      <w:pPr>
        <w:widowControl w:val="0"/>
        <w:tabs>
          <w:tab w:val="clear" w:pos="567"/>
        </w:tabs>
        <w:spacing w:line="240" w:lineRule="auto"/>
        <w:rPr>
          <w:noProof/>
          <w:szCs w:val="22"/>
        </w:rPr>
      </w:pPr>
      <w:r w:rsidRPr="007944F8">
        <w:rPr>
          <w:noProof/>
          <w:szCs w:val="22"/>
        </w:rPr>
        <w:t>Si la patiente débute une grossesse, n’a pas eu ses menstruations ou su</w:t>
      </w:r>
      <w:r w:rsidR="001F1D0F" w:rsidRPr="007944F8">
        <w:rPr>
          <w:noProof/>
          <w:szCs w:val="22"/>
        </w:rPr>
        <w:t>s</w:t>
      </w:r>
      <w:r w:rsidRPr="007944F8">
        <w:rPr>
          <w:noProof/>
          <w:szCs w:val="22"/>
        </w:rPr>
        <w:t>pecte pour quelques raisons que ce soit qu’elle pourrait être enceinte, elle doit prévenir</w:t>
      </w:r>
      <w:r w:rsidR="006A5848" w:rsidRPr="007944F8">
        <w:rPr>
          <w:noProof/>
          <w:szCs w:val="22"/>
        </w:rPr>
        <w:t xml:space="preserve"> son médecin traitant immédiate</w:t>
      </w:r>
      <w:r w:rsidRPr="007944F8">
        <w:rPr>
          <w:noProof/>
          <w:szCs w:val="22"/>
        </w:rPr>
        <w:t>ment.</w:t>
      </w:r>
    </w:p>
    <w:p w14:paraId="12043628" w14:textId="77777777" w:rsidR="005F24F8" w:rsidRPr="007944F8" w:rsidRDefault="005F24F8" w:rsidP="00E96874">
      <w:pPr>
        <w:widowControl w:val="0"/>
        <w:tabs>
          <w:tab w:val="clear" w:pos="567"/>
        </w:tabs>
        <w:spacing w:line="240" w:lineRule="auto"/>
        <w:rPr>
          <w:noProof/>
          <w:szCs w:val="22"/>
        </w:rPr>
      </w:pPr>
    </w:p>
    <w:p w14:paraId="469E45F7" w14:textId="77777777" w:rsidR="003A4ACA" w:rsidRPr="007944F8" w:rsidRDefault="003A4ACA" w:rsidP="00E96874">
      <w:pPr>
        <w:widowControl w:val="0"/>
        <w:tabs>
          <w:tab w:val="clear" w:pos="567"/>
        </w:tabs>
        <w:spacing w:line="240" w:lineRule="auto"/>
        <w:rPr>
          <w:noProof/>
          <w:szCs w:val="22"/>
        </w:rPr>
      </w:pPr>
      <w:r w:rsidRPr="007944F8">
        <w:rPr>
          <w:noProof/>
          <w:szCs w:val="22"/>
        </w:rPr>
        <w:t>Une absence persist</w:t>
      </w:r>
      <w:r w:rsidR="006A5848" w:rsidRPr="007944F8">
        <w:rPr>
          <w:noProof/>
          <w:szCs w:val="22"/>
        </w:rPr>
        <w:t>a</w:t>
      </w:r>
      <w:r w:rsidRPr="007944F8">
        <w:rPr>
          <w:noProof/>
          <w:szCs w:val="22"/>
        </w:rPr>
        <w:t>nte de menstruations pendant le traitement par Odomzo doit être considérée comme une grossesse jusqu’à évaluation et confirmation médicale</w:t>
      </w:r>
      <w:r w:rsidR="0029295C" w:rsidRPr="007944F8">
        <w:rPr>
          <w:noProof/>
          <w:szCs w:val="22"/>
        </w:rPr>
        <w:t>s</w:t>
      </w:r>
      <w:r w:rsidRPr="007944F8">
        <w:rPr>
          <w:noProof/>
          <w:szCs w:val="22"/>
        </w:rPr>
        <w:t>.</w:t>
      </w:r>
    </w:p>
    <w:p w14:paraId="40EEFFBA" w14:textId="77777777" w:rsidR="003A4ACA" w:rsidRPr="007944F8" w:rsidRDefault="003A4ACA" w:rsidP="00E93E8B">
      <w:pPr>
        <w:widowControl w:val="0"/>
        <w:tabs>
          <w:tab w:val="clear" w:pos="567"/>
        </w:tabs>
        <w:spacing w:line="240" w:lineRule="auto"/>
        <w:rPr>
          <w:noProof/>
          <w:szCs w:val="22"/>
        </w:rPr>
      </w:pPr>
    </w:p>
    <w:p w14:paraId="2BD56B19" w14:textId="77777777" w:rsidR="00BB06DB" w:rsidRPr="007944F8" w:rsidRDefault="00BB06DB" w:rsidP="00BE7F7C">
      <w:pPr>
        <w:keepNext/>
        <w:widowControl w:val="0"/>
        <w:tabs>
          <w:tab w:val="clear" w:pos="567"/>
        </w:tabs>
        <w:spacing w:line="240" w:lineRule="auto"/>
        <w:outlineLvl w:val="0"/>
        <w:rPr>
          <w:noProof/>
          <w:szCs w:val="22"/>
          <w:u w:val="single"/>
        </w:rPr>
      </w:pPr>
      <w:r w:rsidRPr="007944F8">
        <w:rPr>
          <w:noProof/>
          <w:u w:val="single"/>
        </w:rPr>
        <w:t>Contraception chez les hommes et les femmes</w:t>
      </w:r>
    </w:p>
    <w:p w14:paraId="357A6078" w14:textId="77777777" w:rsidR="00BB06DB" w:rsidRPr="007944F8" w:rsidRDefault="00BB06DB" w:rsidP="00E93E8B">
      <w:pPr>
        <w:keepNext/>
        <w:widowControl w:val="0"/>
        <w:tabs>
          <w:tab w:val="clear" w:pos="567"/>
        </w:tabs>
        <w:spacing w:line="240" w:lineRule="auto"/>
        <w:rPr>
          <w:noProof/>
          <w:szCs w:val="22"/>
        </w:rPr>
      </w:pPr>
    </w:p>
    <w:p w14:paraId="32D3B2E3" w14:textId="77777777" w:rsidR="00BB06DB" w:rsidRPr="007944F8" w:rsidRDefault="00BB06DB" w:rsidP="00BE7F7C">
      <w:pPr>
        <w:pStyle w:val="Default"/>
        <w:keepNext/>
        <w:widowControl w:val="0"/>
        <w:outlineLvl w:val="0"/>
        <w:rPr>
          <w:color w:val="auto"/>
          <w:sz w:val="22"/>
          <w:szCs w:val="22"/>
          <w:u w:val="single"/>
        </w:rPr>
      </w:pPr>
      <w:r w:rsidRPr="007944F8">
        <w:rPr>
          <w:i/>
          <w:color w:val="auto"/>
          <w:sz w:val="22"/>
          <w:u w:val="single"/>
        </w:rPr>
        <w:t xml:space="preserve">Femmes en âge </w:t>
      </w:r>
      <w:r w:rsidR="00B23363" w:rsidRPr="007944F8">
        <w:rPr>
          <w:i/>
          <w:color w:val="auto"/>
          <w:sz w:val="22"/>
          <w:u w:val="single"/>
        </w:rPr>
        <w:t>d’avoir des enfants</w:t>
      </w:r>
    </w:p>
    <w:p w14:paraId="7E827964" w14:textId="77777777" w:rsidR="00BB06DB" w:rsidRPr="007944F8" w:rsidRDefault="00BB06DB" w:rsidP="00E96874">
      <w:pPr>
        <w:widowControl w:val="0"/>
        <w:tabs>
          <w:tab w:val="clear" w:pos="567"/>
        </w:tabs>
        <w:spacing w:line="240" w:lineRule="auto"/>
        <w:rPr>
          <w:noProof/>
          <w:szCs w:val="22"/>
        </w:rPr>
      </w:pPr>
      <w:r w:rsidRPr="007944F8">
        <w:t xml:space="preserve">Les </w:t>
      </w:r>
      <w:r w:rsidR="00B23363" w:rsidRPr="007944F8">
        <w:t>femmes en âge d’avoir des enfants</w:t>
      </w:r>
      <w:r w:rsidRPr="007944F8">
        <w:t xml:space="preserve"> doivent être capables de se conformer à des mesures de contraception efficaces. Elles doivent utiliser deux méthodes de contraception recommandées, dont une méthode </w:t>
      </w:r>
      <w:r w:rsidR="00B23363" w:rsidRPr="007944F8">
        <w:t>hautement</w:t>
      </w:r>
      <w:r w:rsidRPr="007944F8">
        <w:t xml:space="preserve"> efficace et une méthode barrière</w:t>
      </w:r>
      <w:r w:rsidR="00B23363" w:rsidRPr="007944F8">
        <w:t xml:space="preserve"> de contraception</w:t>
      </w:r>
      <w:r w:rsidRPr="007944F8">
        <w:t xml:space="preserve">, et ce, pendant toute la durée du traitement par Odomzo et pendant les 20 mois qui suivent la dernière dose. Les </w:t>
      </w:r>
      <w:r w:rsidR="00B23363" w:rsidRPr="007944F8">
        <w:t>femmes en âge d’avoir des enfants</w:t>
      </w:r>
      <w:r w:rsidRPr="007944F8">
        <w:t xml:space="preserve"> dont les règles son</w:t>
      </w:r>
      <w:r w:rsidR="00482343" w:rsidRPr="007944F8">
        <w:t>t</w:t>
      </w:r>
      <w:r w:rsidRPr="007944F8">
        <w:t xml:space="preserve"> irrégulières ou absentes doivent suivre toutes les recommandations relatives aux mesures de contraception efficaces.</w:t>
      </w:r>
    </w:p>
    <w:p w14:paraId="6E77E3BE" w14:textId="77777777" w:rsidR="00BB06DB" w:rsidRPr="007944F8" w:rsidRDefault="00BB06DB" w:rsidP="00E93E8B">
      <w:pPr>
        <w:widowControl w:val="0"/>
        <w:tabs>
          <w:tab w:val="clear" w:pos="567"/>
        </w:tabs>
        <w:spacing w:line="240" w:lineRule="auto"/>
      </w:pPr>
    </w:p>
    <w:p w14:paraId="0868D7F4" w14:textId="77777777" w:rsidR="00BB06DB" w:rsidRPr="007944F8" w:rsidRDefault="00BB06DB" w:rsidP="00BE7F7C">
      <w:pPr>
        <w:pStyle w:val="Default"/>
        <w:keepNext/>
        <w:widowControl w:val="0"/>
        <w:outlineLvl w:val="0"/>
        <w:rPr>
          <w:i/>
          <w:iCs/>
          <w:color w:val="auto"/>
          <w:sz w:val="22"/>
          <w:szCs w:val="22"/>
          <w:u w:val="single"/>
        </w:rPr>
      </w:pPr>
      <w:r w:rsidRPr="007944F8">
        <w:rPr>
          <w:i/>
          <w:color w:val="auto"/>
          <w:sz w:val="22"/>
          <w:u w:val="single"/>
        </w:rPr>
        <w:t>Hommes</w:t>
      </w:r>
    </w:p>
    <w:p w14:paraId="39315CB8" w14:textId="77777777" w:rsidR="0059741C" w:rsidRPr="007944F8" w:rsidRDefault="00B74D6D" w:rsidP="00E96874">
      <w:pPr>
        <w:widowControl w:val="0"/>
        <w:tabs>
          <w:tab w:val="clear" w:pos="567"/>
        </w:tabs>
        <w:spacing w:line="240" w:lineRule="auto"/>
        <w:rPr>
          <w:noProof/>
          <w:szCs w:val="22"/>
        </w:rPr>
      </w:pPr>
      <w:r w:rsidRPr="007944F8">
        <w:t xml:space="preserve">Il n’a pas été déterminé si le sonidégib </w:t>
      </w:r>
      <w:r w:rsidR="00E03054" w:rsidRPr="007944F8">
        <w:t>est présent</w:t>
      </w:r>
      <w:r w:rsidRPr="007944F8">
        <w:t xml:space="preserve"> dans le sperme. </w:t>
      </w:r>
      <w:r w:rsidR="00834B7C" w:rsidRPr="007944F8">
        <w:t xml:space="preserve">Les hommes ne doivent pas concevoir d’enfant ou donner leur sperme au cours de leur traitement par Odomzo et pendant au moins 6 mois après la fin du traitement. </w:t>
      </w:r>
      <w:r w:rsidRPr="007944F8">
        <w:t>Afin d’éviter une exposition potentielle du fœtus durant la grossesse, l</w:t>
      </w:r>
      <w:r w:rsidR="00834B7C" w:rsidRPr="007944F8">
        <w:t>es patients de sexe</w:t>
      </w:r>
      <w:r w:rsidR="00B23363" w:rsidRPr="007944F8">
        <w:t xml:space="preserve"> masculin, même ceux ayant subi </w:t>
      </w:r>
      <w:r w:rsidR="00834B7C" w:rsidRPr="007944F8">
        <w:t xml:space="preserve">une vasectomie, doivent </w:t>
      </w:r>
      <w:r w:rsidRPr="007944F8">
        <w:t xml:space="preserve">toujours </w:t>
      </w:r>
      <w:r w:rsidR="00834B7C" w:rsidRPr="007944F8">
        <w:t xml:space="preserve">utiliser un préservatif </w:t>
      </w:r>
      <w:r w:rsidRPr="007944F8">
        <w:t xml:space="preserve">(avec spermicide si possible) </w:t>
      </w:r>
      <w:r w:rsidR="00834B7C" w:rsidRPr="007944F8">
        <w:t xml:space="preserve">lors de leurs rapports sexuels avec </w:t>
      </w:r>
      <w:r w:rsidR="00B23363" w:rsidRPr="007944F8">
        <w:t>leur</w:t>
      </w:r>
      <w:r w:rsidR="00834B7C" w:rsidRPr="007944F8">
        <w:t xml:space="preserve"> partenaire</w:t>
      </w:r>
      <w:r w:rsidRPr="007944F8">
        <w:t xml:space="preserve"> </w:t>
      </w:r>
      <w:r w:rsidR="004046B9" w:rsidRPr="007944F8">
        <w:t xml:space="preserve">durant toute la durée du traitement par </w:t>
      </w:r>
      <w:r w:rsidRPr="007944F8">
        <w:t>Odomzo</w:t>
      </w:r>
      <w:r w:rsidR="00834B7C" w:rsidRPr="007944F8">
        <w:t xml:space="preserve"> et pendant les 6 mois qui suivent la </w:t>
      </w:r>
      <w:r w:rsidR="009417E1" w:rsidRPr="007944F8">
        <w:t>dernière prise</w:t>
      </w:r>
      <w:r w:rsidR="00834B7C" w:rsidRPr="007944F8">
        <w:t>.</w:t>
      </w:r>
    </w:p>
    <w:p w14:paraId="35BED7B6" w14:textId="77777777" w:rsidR="00BB06DB" w:rsidRPr="007944F8" w:rsidRDefault="00BB06DB" w:rsidP="00E93E8B">
      <w:pPr>
        <w:widowControl w:val="0"/>
        <w:tabs>
          <w:tab w:val="clear" w:pos="567"/>
        </w:tabs>
        <w:spacing w:line="240" w:lineRule="auto"/>
        <w:rPr>
          <w:szCs w:val="22"/>
        </w:rPr>
      </w:pPr>
    </w:p>
    <w:p w14:paraId="756624ED" w14:textId="77777777" w:rsidR="004A59EB" w:rsidRPr="007944F8" w:rsidRDefault="00BB06DB" w:rsidP="00BE7F7C">
      <w:pPr>
        <w:pStyle w:val="Default"/>
        <w:keepNext/>
        <w:widowControl w:val="0"/>
        <w:outlineLvl w:val="0"/>
        <w:rPr>
          <w:color w:val="auto"/>
          <w:sz w:val="22"/>
          <w:szCs w:val="22"/>
        </w:rPr>
      </w:pPr>
      <w:r w:rsidRPr="007944F8">
        <w:rPr>
          <w:i/>
          <w:sz w:val="22"/>
          <w:szCs w:val="22"/>
          <w:u w:val="single"/>
        </w:rPr>
        <w:t xml:space="preserve">Les méthodes </w:t>
      </w:r>
      <w:r w:rsidR="00B23363" w:rsidRPr="007944F8">
        <w:rPr>
          <w:i/>
          <w:sz w:val="22"/>
          <w:szCs w:val="22"/>
          <w:u w:val="single"/>
        </w:rPr>
        <w:t>hautement</w:t>
      </w:r>
      <w:r w:rsidRPr="007944F8">
        <w:rPr>
          <w:i/>
          <w:sz w:val="22"/>
          <w:szCs w:val="22"/>
          <w:u w:val="single"/>
        </w:rPr>
        <w:t xml:space="preserve"> efficaces recommandées sont les suivantes</w:t>
      </w:r>
    </w:p>
    <w:p w14:paraId="6AA380B2" w14:textId="77777777" w:rsidR="004A59EB" w:rsidRPr="007944F8" w:rsidRDefault="004A59EB" w:rsidP="00DD4857">
      <w:pPr>
        <w:pStyle w:val="Default"/>
        <w:numPr>
          <w:ilvl w:val="0"/>
          <w:numId w:val="27"/>
        </w:numPr>
        <w:ind w:left="567" w:hanging="567"/>
        <w:rPr>
          <w:sz w:val="22"/>
          <w:szCs w:val="22"/>
        </w:rPr>
      </w:pPr>
      <w:r w:rsidRPr="007944F8">
        <w:rPr>
          <w:sz w:val="22"/>
          <w:szCs w:val="22"/>
        </w:rPr>
        <w:t>Stérilisation tubaire</w:t>
      </w:r>
    </w:p>
    <w:p w14:paraId="1D8D1C62" w14:textId="77777777" w:rsidR="00BB06DB" w:rsidRPr="007944F8" w:rsidRDefault="00BB06DB" w:rsidP="00E93E8B">
      <w:pPr>
        <w:pStyle w:val="Default"/>
        <w:widowControl w:val="0"/>
        <w:numPr>
          <w:ilvl w:val="0"/>
          <w:numId w:val="27"/>
        </w:numPr>
        <w:ind w:left="567" w:hanging="567"/>
        <w:rPr>
          <w:color w:val="auto"/>
          <w:sz w:val="22"/>
          <w:szCs w:val="22"/>
        </w:rPr>
      </w:pPr>
      <w:r w:rsidRPr="007944F8">
        <w:rPr>
          <w:color w:val="auto"/>
          <w:sz w:val="22"/>
          <w:szCs w:val="22"/>
        </w:rPr>
        <w:t>Vasectomie</w:t>
      </w:r>
    </w:p>
    <w:p w14:paraId="4986AEC6" w14:textId="77777777" w:rsidR="00BB06DB" w:rsidRPr="007944F8" w:rsidRDefault="00BB06DB" w:rsidP="00E93E8B">
      <w:pPr>
        <w:pStyle w:val="Default"/>
        <w:widowControl w:val="0"/>
        <w:numPr>
          <w:ilvl w:val="0"/>
          <w:numId w:val="27"/>
        </w:numPr>
        <w:ind w:left="567" w:hanging="567"/>
        <w:rPr>
          <w:color w:val="auto"/>
          <w:sz w:val="22"/>
          <w:szCs w:val="22"/>
        </w:rPr>
      </w:pPr>
      <w:r w:rsidRPr="007944F8">
        <w:rPr>
          <w:color w:val="auto"/>
          <w:sz w:val="22"/>
          <w:szCs w:val="22"/>
        </w:rPr>
        <w:t>Dispositif intra-utérin (DIU)</w:t>
      </w:r>
    </w:p>
    <w:p w14:paraId="4EEBAD3B" w14:textId="77777777" w:rsidR="00BB06DB" w:rsidRPr="007944F8" w:rsidRDefault="00BB06DB" w:rsidP="00E93E8B">
      <w:pPr>
        <w:pStyle w:val="Default"/>
        <w:widowControl w:val="0"/>
        <w:rPr>
          <w:color w:val="auto"/>
          <w:sz w:val="22"/>
          <w:szCs w:val="22"/>
        </w:rPr>
      </w:pPr>
    </w:p>
    <w:p w14:paraId="42619F54" w14:textId="77777777" w:rsidR="00BB06DB" w:rsidRPr="007944F8" w:rsidRDefault="00BB06DB" w:rsidP="00BE7F7C">
      <w:pPr>
        <w:pStyle w:val="Default"/>
        <w:keepNext/>
        <w:widowControl w:val="0"/>
        <w:outlineLvl w:val="0"/>
        <w:rPr>
          <w:i/>
          <w:iCs/>
          <w:color w:val="auto"/>
          <w:sz w:val="22"/>
          <w:szCs w:val="22"/>
          <w:u w:val="single"/>
        </w:rPr>
      </w:pPr>
      <w:r w:rsidRPr="007944F8">
        <w:rPr>
          <w:i/>
          <w:color w:val="auto"/>
          <w:sz w:val="22"/>
          <w:u w:val="single"/>
        </w:rPr>
        <w:t xml:space="preserve">Les méthodes barrière </w:t>
      </w:r>
      <w:r w:rsidR="00B23363" w:rsidRPr="007944F8">
        <w:rPr>
          <w:i/>
          <w:color w:val="auto"/>
          <w:sz w:val="22"/>
          <w:u w:val="single"/>
        </w:rPr>
        <w:t xml:space="preserve">de contraception </w:t>
      </w:r>
      <w:r w:rsidRPr="007944F8">
        <w:rPr>
          <w:i/>
          <w:color w:val="auto"/>
          <w:sz w:val="22"/>
          <w:u w:val="single"/>
        </w:rPr>
        <w:t>recommandées sont les suivantes</w:t>
      </w:r>
    </w:p>
    <w:p w14:paraId="362A2CC3" w14:textId="77777777" w:rsidR="00BB06DB" w:rsidRPr="007944F8" w:rsidRDefault="00BB06DB" w:rsidP="00E93E8B">
      <w:pPr>
        <w:pStyle w:val="Default"/>
        <w:widowControl w:val="0"/>
        <w:numPr>
          <w:ilvl w:val="0"/>
          <w:numId w:val="27"/>
        </w:numPr>
        <w:ind w:left="567" w:hanging="567"/>
        <w:rPr>
          <w:color w:val="auto"/>
          <w:sz w:val="22"/>
          <w:szCs w:val="22"/>
        </w:rPr>
      </w:pPr>
      <w:r w:rsidRPr="007944F8">
        <w:rPr>
          <w:color w:val="auto"/>
          <w:sz w:val="22"/>
        </w:rPr>
        <w:t>Tout préservatif masculin (avec spermicide, si possible)</w:t>
      </w:r>
    </w:p>
    <w:p w14:paraId="0B04071D" w14:textId="77777777" w:rsidR="00BB06DB" w:rsidRPr="007944F8" w:rsidRDefault="00BB06DB" w:rsidP="00E93E8B">
      <w:pPr>
        <w:pStyle w:val="Default"/>
        <w:widowControl w:val="0"/>
        <w:numPr>
          <w:ilvl w:val="0"/>
          <w:numId w:val="27"/>
        </w:numPr>
        <w:ind w:left="567" w:hanging="567"/>
        <w:rPr>
          <w:color w:val="auto"/>
          <w:sz w:val="22"/>
          <w:szCs w:val="22"/>
        </w:rPr>
      </w:pPr>
      <w:r w:rsidRPr="007944F8">
        <w:rPr>
          <w:color w:val="auto"/>
          <w:sz w:val="22"/>
        </w:rPr>
        <w:t>Diaphragme (avec spermicide, si possible)</w:t>
      </w:r>
    </w:p>
    <w:p w14:paraId="3491A7F2" w14:textId="77777777" w:rsidR="005F24F8" w:rsidRPr="007944F8" w:rsidRDefault="005F24F8" w:rsidP="00E93E8B">
      <w:pPr>
        <w:widowControl w:val="0"/>
        <w:tabs>
          <w:tab w:val="clear" w:pos="567"/>
        </w:tabs>
        <w:spacing w:line="240" w:lineRule="auto"/>
        <w:rPr>
          <w:noProof/>
          <w:szCs w:val="22"/>
        </w:rPr>
      </w:pPr>
    </w:p>
    <w:p w14:paraId="52E4C289" w14:textId="77777777" w:rsidR="003650BA" w:rsidRPr="007944F8" w:rsidRDefault="005F24F8" w:rsidP="00BE7F7C">
      <w:pPr>
        <w:keepNext/>
        <w:widowControl w:val="0"/>
        <w:tabs>
          <w:tab w:val="clear" w:pos="567"/>
        </w:tabs>
        <w:spacing w:line="240" w:lineRule="auto"/>
        <w:outlineLvl w:val="0"/>
        <w:rPr>
          <w:noProof/>
          <w:szCs w:val="22"/>
          <w:u w:val="single"/>
        </w:rPr>
      </w:pPr>
      <w:r w:rsidRPr="007944F8">
        <w:rPr>
          <w:noProof/>
          <w:u w:val="single"/>
        </w:rPr>
        <w:t>Grossesse</w:t>
      </w:r>
    </w:p>
    <w:p w14:paraId="2D07D085" w14:textId="77777777" w:rsidR="003650BA" w:rsidRPr="007944F8" w:rsidRDefault="003650BA" w:rsidP="00E93E8B">
      <w:pPr>
        <w:keepNext/>
        <w:widowControl w:val="0"/>
        <w:tabs>
          <w:tab w:val="clear" w:pos="567"/>
        </w:tabs>
        <w:spacing w:line="240" w:lineRule="auto"/>
        <w:rPr>
          <w:noProof/>
          <w:szCs w:val="22"/>
        </w:rPr>
      </w:pPr>
    </w:p>
    <w:p w14:paraId="1FD7547C" w14:textId="77777777" w:rsidR="005F24F8" w:rsidRPr="007944F8" w:rsidRDefault="005F24F8" w:rsidP="00E96874">
      <w:pPr>
        <w:widowControl w:val="0"/>
        <w:tabs>
          <w:tab w:val="clear" w:pos="567"/>
        </w:tabs>
        <w:spacing w:line="240" w:lineRule="auto"/>
        <w:rPr>
          <w:noProof/>
          <w:szCs w:val="22"/>
        </w:rPr>
      </w:pPr>
      <w:r w:rsidRPr="007944F8">
        <w:t xml:space="preserve">Il n’existe pas de données sur l’utilisation </w:t>
      </w:r>
      <w:r w:rsidR="00561ED8" w:rsidRPr="007944F8">
        <w:t>de sonidégib</w:t>
      </w:r>
      <w:r w:rsidRPr="007944F8">
        <w:t xml:space="preserve"> chez la femme enceinte. Les études effectuées chez l’animal ont mis en évidence des effets tératogènes et fœtotoxiques (voir rubrique 5.3). Odomzo est contre-indiqué pendant la grossesse.</w:t>
      </w:r>
    </w:p>
    <w:p w14:paraId="22D0EE8B" w14:textId="77777777" w:rsidR="005F24F8" w:rsidRPr="007944F8" w:rsidRDefault="005F24F8" w:rsidP="00E93E8B">
      <w:pPr>
        <w:widowControl w:val="0"/>
        <w:tabs>
          <w:tab w:val="clear" w:pos="567"/>
        </w:tabs>
        <w:spacing w:line="240" w:lineRule="auto"/>
        <w:rPr>
          <w:noProof/>
          <w:szCs w:val="22"/>
        </w:rPr>
      </w:pPr>
    </w:p>
    <w:p w14:paraId="445C07A3" w14:textId="77777777" w:rsidR="005F24F8" w:rsidRPr="007944F8" w:rsidRDefault="005F24F8" w:rsidP="00BE7F7C">
      <w:pPr>
        <w:keepNext/>
        <w:widowControl w:val="0"/>
        <w:tabs>
          <w:tab w:val="clear" w:pos="567"/>
        </w:tabs>
        <w:spacing w:line="240" w:lineRule="auto"/>
        <w:outlineLvl w:val="0"/>
        <w:rPr>
          <w:noProof/>
          <w:szCs w:val="22"/>
          <w:u w:val="single"/>
        </w:rPr>
      </w:pPr>
      <w:r w:rsidRPr="007944F8">
        <w:rPr>
          <w:noProof/>
          <w:u w:val="single"/>
        </w:rPr>
        <w:t>Allaitement</w:t>
      </w:r>
      <w:bookmarkStart w:id="28" w:name="_3127283Breast45feeding"/>
      <w:bookmarkEnd w:id="28"/>
    </w:p>
    <w:p w14:paraId="199DDA73" w14:textId="77777777" w:rsidR="00A2400E" w:rsidRPr="007944F8" w:rsidRDefault="00A2400E" w:rsidP="00E96874">
      <w:pPr>
        <w:keepNext/>
        <w:widowControl w:val="0"/>
        <w:tabs>
          <w:tab w:val="clear" w:pos="567"/>
        </w:tabs>
        <w:spacing w:line="240" w:lineRule="auto"/>
        <w:rPr>
          <w:noProof/>
          <w:szCs w:val="22"/>
        </w:rPr>
      </w:pPr>
    </w:p>
    <w:p w14:paraId="57D22646" w14:textId="77777777" w:rsidR="005F24F8" w:rsidRPr="007944F8" w:rsidRDefault="005F24F8" w:rsidP="00E96874">
      <w:pPr>
        <w:widowControl w:val="0"/>
        <w:tabs>
          <w:tab w:val="clear" w:pos="567"/>
        </w:tabs>
        <w:spacing w:line="240" w:lineRule="auto"/>
        <w:rPr>
          <w:noProof/>
          <w:szCs w:val="22"/>
        </w:rPr>
      </w:pPr>
      <w:r w:rsidRPr="007944F8">
        <w:t xml:space="preserve">On ne sait pas si sonidégib est excrété dans le lait maternel. Étant donné </w:t>
      </w:r>
      <w:r w:rsidR="009223FF" w:rsidRPr="007944F8">
        <w:t xml:space="preserve">le </w:t>
      </w:r>
      <w:r w:rsidRPr="007944F8">
        <w:t>risque d’effets indésirables graves</w:t>
      </w:r>
      <w:r w:rsidR="00BB256B" w:rsidRPr="007944F8">
        <w:t>, tel que des anomalies sévères du développement</w:t>
      </w:r>
      <w:r w:rsidRPr="007944F8">
        <w:t xml:space="preserve"> lié au sonidégib chez les nouveau-nés/nourrissons allaités, les femmes ne doivent pas allaiter au cours de leur traitement par Odomzo et pendant les 20 mois qui suivent la fin du traitement (voir rubrique 5.3).</w:t>
      </w:r>
    </w:p>
    <w:p w14:paraId="3413239F" w14:textId="77777777" w:rsidR="005F24F8" w:rsidRPr="007944F8" w:rsidRDefault="005F24F8" w:rsidP="00E93E8B">
      <w:pPr>
        <w:widowControl w:val="0"/>
        <w:tabs>
          <w:tab w:val="clear" w:pos="567"/>
        </w:tabs>
        <w:spacing w:line="240" w:lineRule="auto"/>
        <w:rPr>
          <w:noProof/>
          <w:szCs w:val="22"/>
        </w:rPr>
      </w:pPr>
    </w:p>
    <w:p w14:paraId="5D4A5C95" w14:textId="77777777" w:rsidR="005F24F8" w:rsidRPr="007944F8" w:rsidRDefault="005F24F8" w:rsidP="00BE7F7C">
      <w:pPr>
        <w:keepNext/>
        <w:widowControl w:val="0"/>
        <w:tabs>
          <w:tab w:val="clear" w:pos="567"/>
        </w:tabs>
        <w:spacing w:line="240" w:lineRule="auto"/>
        <w:outlineLvl w:val="0"/>
        <w:rPr>
          <w:noProof/>
          <w:szCs w:val="22"/>
          <w:u w:val="single"/>
        </w:rPr>
      </w:pPr>
      <w:r w:rsidRPr="007944F8">
        <w:rPr>
          <w:noProof/>
          <w:u w:val="single"/>
        </w:rPr>
        <w:t>Fertilité</w:t>
      </w:r>
      <w:bookmarkStart w:id="29" w:name="_3227656Fertility"/>
      <w:bookmarkEnd w:id="29"/>
    </w:p>
    <w:p w14:paraId="08CEA775" w14:textId="77777777" w:rsidR="00A2400E" w:rsidRPr="007944F8" w:rsidRDefault="00A2400E" w:rsidP="00E93E8B">
      <w:pPr>
        <w:keepNext/>
        <w:widowControl w:val="0"/>
        <w:tabs>
          <w:tab w:val="clear" w:pos="567"/>
        </w:tabs>
        <w:spacing w:line="240" w:lineRule="auto"/>
        <w:rPr>
          <w:noProof/>
          <w:szCs w:val="22"/>
        </w:rPr>
      </w:pPr>
    </w:p>
    <w:p w14:paraId="7AFAF97C" w14:textId="77777777" w:rsidR="005F24F8" w:rsidRPr="007944F8" w:rsidRDefault="00BB256B" w:rsidP="00E96874">
      <w:pPr>
        <w:widowControl w:val="0"/>
        <w:tabs>
          <w:tab w:val="clear" w:pos="567"/>
        </w:tabs>
        <w:spacing w:line="240" w:lineRule="auto"/>
        <w:rPr>
          <w:noProof/>
          <w:szCs w:val="22"/>
        </w:rPr>
      </w:pPr>
      <w:r w:rsidRPr="007944F8">
        <w:t xml:space="preserve">Les données provenant d'études chez les rats et les chiens </w:t>
      </w:r>
      <w:r w:rsidR="00B23363" w:rsidRPr="007944F8">
        <w:t xml:space="preserve">montrent que la fertilité chez le </w:t>
      </w:r>
      <w:r w:rsidR="0091047A">
        <w:t xml:space="preserve">mâle </w:t>
      </w:r>
      <w:r w:rsidR="00B23363" w:rsidRPr="007944F8">
        <w:t>ou la femelle</w:t>
      </w:r>
      <w:r w:rsidR="00BB06DB" w:rsidRPr="007944F8">
        <w:t xml:space="preserve"> peut être </w:t>
      </w:r>
      <w:r w:rsidRPr="007944F8">
        <w:t>compromise de manière irréversible</w:t>
      </w:r>
      <w:r w:rsidR="00BB06DB" w:rsidRPr="007944F8">
        <w:t xml:space="preserve"> par la prise d’</w:t>
      </w:r>
      <w:r w:rsidR="009223FF" w:rsidRPr="007944F8">
        <w:t>u</w:t>
      </w:r>
      <w:r w:rsidRPr="007944F8">
        <w:t xml:space="preserve">n traitement avec </w:t>
      </w:r>
      <w:r w:rsidR="00BB06DB" w:rsidRPr="007944F8">
        <w:t xml:space="preserve">Odomzo (voir rubrique 5.3). </w:t>
      </w:r>
      <w:r w:rsidRPr="007944F8">
        <w:t xml:space="preserve">De plus, des aménorrhées ont été observées dans des </w:t>
      </w:r>
      <w:r w:rsidR="00A207BA">
        <w:t>études</w:t>
      </w:r>
      <w:r w:rsidR="00A207BA" w:rsidRPr="007944F8">
        <w:t xml:space="preserve"> </w:t>
      </w:r>
      <w:r w:rsidRPr="007944F8">
        <w:t xml:space="preserve">cliniques chez des femmes en âge </w:t>
      </w:r>
      <w:r w:rsidR="009223FF" w:rsidRPr="007944F8">
        <w:t>d’avoir des enfants</w:t>
      </w:r>
      <w:r w:rsidRPr="007944F8">
        <w:t xml:space="preserve"> (voir rubrique</w:t>
      </w:r>
      <w:r w:rsidR="00762D72" w:rsidRPr="007944F8">
        <w:t> </w:t>
      </w:r>
      <w:r w:rsidRPr="007944F8">
        <w:t>4.8).</w:t>
      </w:r>
      <w:r w:rsidR="00BB06DB" w:rsidRPr="007944F8">
        <w:t xml:space="preserve"> Des stratégies de préservation de la fertilité doivent être discutées </w:t>
      </w:r>
      <w:r w:rsidRPr="007944F8">
        <w:t xml:space="preserve">avec les femmes en âge </w:t>
      </w:r>
      <w:r w:rsidR="009223FF" w:rsidRPr="007944F8">
        <w:t xml:space="preserve">d’avoir des enfants </w:t>
      </w:r>
      <w:r w:rsidR="00BB06DB" w:rsidRPr="007944F8">
        <w:t>avant de démarrer le traitement par Odomzo.</w:t>
      </w:r>
    </w:p>
    <w:p w14:paraId="0941FCEA" w14:textId="77777777" w:rsidR="005F24F8" w:rsidRPr="007944F8" w:rsidRDefault="005F24F8" w:rsidP="00E93E8B">
      <w:pPr>
        <w:widowControl w:val="0"/>
        <w:tabs>
          <w:tab w:val="clear" w:pos="567"/>
        </w:tabs>
        <w:spacing w:line="240" w:lineRule="auto"/>
        <w:rPr>
          <w:noProof/>
          <w:szCs w:val="22"/>
        </w:rPr>
      </w:pPr>
    </w:p>
    <w:p w14:paraId="43906204" w14:textId="77777777" w:rsidR="00812D16" w:rsidRPr="007944F8" w:rsidRDefault="00812D16" w:rsidP="00BE7F7C">
      <w:pPr>
        <w:keepNext/>
        <w:widowControl w:val="0"/>
        <w:outlineLvl w:val="0"/>
        <w:rPr>
          <w:b/>
          <w:noProof/>
        </w:rPr>
      </w:pPr>
      <w:r w:rsidRPr="007944F8">
        <w:rPr>
          <w:b/>
        </w:rPr>
        <w:t>4.7</w:t>
      </w:r>
      <w:r w:rsidRPr="007944F8">
        <w:tab/>
      </w:r>
      <w:r w:rsidRPr="007944F8">
        <w:rPr>
          <w:b/>
        </w:rPr>
        <w:t>Effets sur l’aptitude à conduire des véhicules et à utiliser des machines</w:t>
      </w:r>
    </w:p>
    <w:p w14:paraId="150D1876" w14:textId="77777777" w:rsidR="00812D16" w:rsidRPr="007944F8" w:rsidRDefault="00812D16" w:rsidP="00E93E8B">
      <w:pPr>
        <w:keepNext/>
        <w:widowControl w:val="0"/>
        <w:tabs>
          <w:tab w:val="clear" w:pos="567"/>
        </w:tabs>
        <w:spacing w:line="240" w:lineRule="auto"/>
        <w:rPr>
          <w:noProof/>
          <w:szCs w:val="22"/>
        </w:rPr>
      </w:pPr>
    </w:p>
    <w:p w14:paraId="327014A6" w14:textId="77777777" w:rsidR="003650BA" w:rsidRPr="007944F8" w:rsidRDefault="004F03FB" w:rsidP="00E96874">
      <w:pPr>
        <w:widowControl w:val="0"/>
        <w:tabs>
          <w:tab w:val="clear" w:pos="567"/>
        </w:tabs>
        <w:spacing w:line="240" w:lineRule="auto"/>
        <w:rPr>
          <w:noProof/>
          <w:szCs w:val="22"/>
        </w:rPr>
      </w:pPr>
      <w:r w:rsidRPr="007944F8">
        <w:t>Odomzo n’a aucun effet ou qu’un effet négligeable sur l’aptitude à conduire des véhicules et à utiliser des machines.</w:t>
      </w:r>
    </w:p>
    <w:p w14:paraId="10D4FD79" w14:textId="77777777" w:rsidR="00B64B2F" w:rsidRPr="007944F8" w:rsidRDefault="00B64B2F" w:rsidP="00E93E8B">
      <w:pPr>
        <w:widowControl w:val="0"/>
        <w:tabs>
          <w:tab w:val="clear" w:pos="567"/>
        </w:tabs>
        <w:spacing w:line="240" w:lineRule="auto"/>
        <w:rPr>
          <w:noProof/>
          <w:szCs w:val="22"/>
        </w:rPr>
      </w:pPr>
    </w:p>
    <w:p w14:paraId="560CC447" w14:textId="77777777" w:rsidR="00812D16" w:rsidRPr="007944F8" w:rsidRDefault="00855481" w:rsidP="00BE7F7C">
      <w:pPr>
        <w:keepNext/>
        <w:widowControl w:val="0"/>
        <w:outlineLvl w:val="0"/>
        <w:rPr>
          <w:b/>
          <w:noProof/>
        </w:rPr>
      </w:pPr>
      <w:r w:rsidRPr="007944F8">
        <w:rPr>
          <w:b/>
        </w:rPr>
        <w:t>4.8</w:t>
      </w:r>
      <w:r w:rsidRPr="007944F8">
        <w:tab/>
      </w:r>
      <w:r w:rsidRPr="007944F8">
        <w:rPr>
          <w:b/>
        </w:rPr>
        <w:t>Effets indésirables</w:t>
      </w:r>
    </w:p>
    <w:p w14:paraId="42D2AFE9" w14:textId="77777777" w:rsidR="00812D16" w:rsidRPr="007944F8" w:rsidRDefault="00812D16" w:rsidP="00E93E8B">
      <w:pPr>
        <w:keepNext/>
        <w:widowControl w:val="0"/>
        <w:tabs>
          <w:tab w:val="clear" w:pos="567"/>
        </w:tabs>
        <w:autoSpaceDE w:val="0"/>
        <w:autoSpaceDN w:val="0"/>
        <w:adjustRightInd w:val="0"/>
        <w:spacing w:line="240" w:lineRule="auto"/>
        <w:jc w:val="both"/>
        <w:rPr>
          <w:noProof/>
          <w:szCs w:val="22"/>
        </w:rPr>
      </w:pPr>
    </w:p>
    <w:p w14:paraId="27B34880" w14:textId="77777777" w:rsidR="00E05C57" w:rsidRPr="007944F8" w:rsidRDefault="00E05C57" w:rsidP="00BE7F7C">
      <w:pPr>
        <w:keepNext/>
        <w:widowControl w:val="0"/>
        <w:tabs>
          <w:tab w:val="clear" w:pos="567"/>
        </w:tabs>
        <w:autoSpaceDE w:val="0"/>
        <w:autoSpaceDN w:val="0"/>
        <w:adjustRightInd w:val="0"/>
        <w:spacing w:line="240" w:lineRule="auto"/>
        <w:jc w:val="both"/>
        <w:outlineLvl w:val="0"/>
        <w:rPr>
          <w:szCs w:val="22"/>
          <w:u w:val="single"/>
        </w:rPr>
      </w:pPr>
      <w:r w:rsidRPr="007944F8">
        <w:rPr>
          <w:u w:val="single"/>
        </w:rPr>
        <w:t>Résumé du profil de sécurité</w:t>
      </w:r>
      <w:bookmarkStart w:id="30" w:name="_1813733Summary_of_the_safety_prof"/>
      <w:bookmarkEnd w:id="30"/>
    </w:p>
    <w:p w14:paraId="23F11B96" w14:textId="77777777" w:rsidR="00A2400E" w:rsidRPr="007944F8" w:rsidRDefault="00A2400E" w:rsidP="00E96874">
      <w:pPr>
        <w:keepNext/>
        <w:widowControl w:val="0"/>
        <w:tabs>
          <w:tab w:val="clear" w:pos="567"/>
        </w:tabs>
        <w:autoSpaceDE w:val="0"/>
        <w:autoSpaceDN w:val="0"/>
        <w:adjustRightInd w:val="0"/>
        <w:spacing w:line="240" w:lineRule="auto"/>
        <w:rPr>
          <w:szCs w:val="22"/>
        </w:rPr>
      </w:pPr>
    </w:p>
    <w:p w14:paraId="73BC0F19" w14:textId="34F27035" w:rsidR="00295E0E" w:rsidRPr="007944F8" w:rsidRDefault="00E05C57" w:rsidP="00E96874">
      <w:pPr>
        <w:widowControl w:val="0"/>
        <w:tabs>
          <w:tab w:val="clear" w:pos="567"/>
        </w:tabs>
        <w:autoSpaceDE w:val="0"/>
        <w:autoSpaceDN w:val="0"/>
        <w:adjustRightInd w:val="0"/>
        <w:spacing w:line="240" w:lineRule="auto"/>
        <w:rPr>
          <w:lang w:val="x-none"/>
        </w:rPr>
      </w:pPr>
      <w:r w:rsidRPr="007944F8">
        <w:t xml:space="preserve">L’étude pivot de phase II a évalué la </w:t>
      </w:r>
      <w:r w:rsidR="00B23363" w:rsidRPr="007944F8">
        <w:t>tolérance</w:t>
      </w:r>
      <w:r w:rsidRPr="007944F8">
        <w:t xml:space="preserve"> d’Odomzo chez un total de 229 patients adultes atteints d’un CBC localement avancé ou métastatique. Les patients ont été traités par Odomzo à </w:t>
      </w:r>
      <w:r w:rsidR="00B23363" w:rsidRPr="007944F8">
        <w:t>la dose</w:t>
      </w:r>
      <w:r w:rsidRPr="007944F8">
        <w:t xml:space="preserve"> de 200 mg par jour (n = 79) ou à </w:t>
      </w:r>
      <w:r w:rsidR="00B23363" w:rsidRPr="007944F8">
        <w:t>la dose</w:t>
      </w:r>
      <w:r w:rsidRPr="007944F8">
        <w:t xml:space="preserve"> de 800 mg par jour (n = 150). La durée médiane du traitement a été de 11,0 mois pour les patients traités par Odomzo à la dose recommandée de 200 mg (étendue : de 1,3 à </w:t>
      </w:r>
      <w:r w:rsidR="0003494F" w:rsidRPr="007944F8">
        <w:t>41,3 </w:t>
      </w:r>
      <w:r w:rsidRPr="007944F8">
        <w:t xml:space="preserve">mois). </w:t>
      </w:r>
      <w:r w:rsidR="00B23363" w:rsidRPr="007944F8">
        <w:t xml:space="preserve">Un décès est survenu au cours du traitement et un autre dans les 30 jours suivant la </w:t>
      </w:r>
      <w:r w:rsidR="005733A9">
        <w:t xml:space="preserve">prise de la dernière dose chez </w:t>
      </w:r>
      <w:r w:rsidR="00B23363" w:rsidRPr="007944F8">
        <w:t>un patient atteint d’un CBC métastatique et un autre patient atteint d’un CBC localement avancé, tous deux traités par Odomzo 200 mg.</w:t>
      </w:r>
    </w:p>
    <w:p w14:paraId="109C2879" w14:textId="77777777" w:rsidR="00295E0E" w:rsidRPr="007944F8" w:rsidRDefault="00295E0E" w:rsidP="00E93E8B">
      <w:pPr>
        <w:widowControl w:val="0"/>
        <w:tabs>
          <w:tab w:val="clear" w:pos="567"/>
        </w:tabs>
        <w:autoSpaceDE w:val="0"/>
        <w:autoSpaceDN w:val="0"/>
        <w:adjustRightInd w:val="0"/>
        <w:spacing w:line="240" w:lineRule="auto"/>
      </w:pPr>
    </w:p>
    <w:p w14:paraId="51C95D22" w14:textId="77777777" w:rsidR="00295E0E" w:rsidRPr="007944F8" w:rsidRDefault="00295E0E" w:rsidP="00E96874">
      <w:pPr>
        <w:widowControl w:val="0"/>
        <w:tabs>
          <w:tab w:val="clear" w:pos="567"/>
        </w:tabs>
        <w:autoSpaceDE w:val="0"/>
        <w:autoSpaceDN w:val="0"/>
        <w:adjustRightInd w:val="0"/>
        <w:spacing w:line="240" w:lineRule="auto"/>
      </w:pPr>
      <w:bookmarkStart w:id="31" w:name="_206142179Table_114579Number_and_p"/>
      <w:bookmarkStart w:id="32" w:name="_207142195Table_114579Number_and_p"/>
      <w:bookmarkStart w:id="33" w:name="_207142278Table_114579Number_and_p"/>
      <w:bookmarkStart w:id="34" w:name="_207142384Table_114579Number_and_p"/>
      <w:bookmarkStart w:id="35" w:name="_207142514Table_114579Number_and_p"/>
      <w:bookmarkStart w:id="36" w:name="_207142470Table_114579Number_and_p"/>
      <w:bookmarkStart w:id="37" w:name="_207142496Table_114579Number_and_p"/>
      <w:bookmarkStart w:id="38" w:name="_206142531Table_114579Number_and_p"/>
      <w:bookmarkStart w:id="39" w:name="_206142341Table_114579Number_and_p"/>
      <w:bookmarkStart w:id="40" w:name="_206141981Table_114579Number_and_p"/>
      <w:bookmarkStart w:id="41" w:name="_206141949Table_114579Number_and_p"/>
      <w:bookmarkStart w:id="42" w:name="_206141905Table_114579Number_and_p"/>
      <w:bookmarkStart w:id="43" w:name="_206141963Table_114579Number_and_p"/>
      <w:bookmarkStart w:id="44" w:name="_205142466Table_114579Number_and_p"/>
      <w:bookmarkStart w:id="45" w:name="_205142522Table_114579Number_and_p"/>
      <w:bookmarkStart w:id="46" w:name="_205142570Table_114579Number_and_p"/>
      <w:bookmarkStart w:id="47" w:name="_205142508Table_104579Number_and_p"/>
      <w:bookmarkStart w:id="48" w:name="_184142508Table_104579Number_and_p"/>
      <w:bookmarkStart w:id="49" w:name="_205142535Table_104579Number_and_p"/>
      <w:bookmarkStart w:id="50" w:name="_205142524Table_104579Number_and_p"/>
      <w:bookmarkStart w:id="51" w:name="_205142569Table_104579Number_and_p"/>
      <w:bookmarkStart w:id="52" w:name="_205142601Table_104579Number_and_p"/>
      <w:bookmarkStart w:id="53" w:name="_205142591Table_104579Number_and_p"/>
      <w:bookmarkStart w:id="54" w:name="_205142821Table_104579Number_and_p"/>
      <w:bookmarkStart w:id="55" w:name="_205142994Table_104579Number_and_p"/>
      <w:bookmarkStart w:id="56" w:name="_139194610Table_54549Number_and_pe"/>
      <w:bookmarkStart w:id="57" w:name="_155225074Table_54549Number_and_pe"/>
      <w:bookmarkStart w:id="58" w:name="_148219794Table_54549Number_and_pe"/>
      <w:bookmarkStart w:id="59" w:name="_150220179Table_54549Number_and_pe"/>
      <w:bookmarkStart w:id="60" w:name="_151220263Table_545549Number_and_p"/>
      <w:bookmarkStart w:id="61" w:name="_151220260Table_54559Number_and_pe"/>
      <w:bookmarkStart w:id="62" w:name="_151220832Table_54559Number_and_pe"/>
      <w:bookmarkStart w:id="63" w:name="_151220888Table_54559Number_and_pe"/>
      <w:bookmarkStart w:id="64" w:name="_151220945Table_54559Number_and_pe"/>
      <w:bookmarkStart w:id="65" w:name="_151221235Table_54559Number_and_pe"/>
      <w:bookmarkStart w:id="66" w:name="_151221291Table_54559Number_and_pe"/>
      <w:bookmarkStart w:id="67" w:name="_151221330Table_54559Number_and_pe"/>
      <w:bookmarkStart w:id="68" w:name="_151221347Table_54559Number_and_pe"/>
      <w:bookmarkStart w:id="69" w:name="_151221403Table_54559Number_and_pe"/>
      <w:bookmarkStart w:id="70" w:name="_151221459Table_54559Number_and_pe"/>
      <w:bookmarkStart w:id="71" w:name="_151221515Table_54559Number_and_pe"/>
      <w:bookmarkStart w:id="72" w:name="_151221571Table_54559Number_and_pe"/>
      <w:bookmarkStart w:id="73" w:name="_151221627Table_54559Number_and_pe"/>
      <w:bookmarkStart w:id="74" w:name="_151221683Table_54559Number_and_pe"/>
      <w:bookmarkStart w:id="75" w:name="_151221722Table_54559Number_and_pe"/>
      <w:bookmarkStart w:id="76" w:name="_151221739Table_54559Number_and_pe"/>
      <w:bookmarkStart w:id="77" w:name="_151221795Table_54559Number_and_pe"/>
      <w:bookmarkStart w:id="78" w:name="_151221851Table_54559Number_and_pe"/>
      <w:bookmarkStart w:id="79" w:name="_151221907Table_54559Number_and_pe"/>
      <w:bookmarkStart w:id="80" w:name="_151221963Table_54559Number_and_pe"/>
      <w:bookmarkStart w:id="81" w:name="_151222019Table_54559Number_and_pe"/>
      <w:bookmarkStart w:id="82" w:name="_151222075Table_54559Number_and_pe"/>
      <w:bookmarkStart w:id="83" w:name="_151222131Table_54559Number_and_pe"/>
      <w:bookmarkStart w:id="84" w:name="_151222187Table_54559Number_and_pe"/>
      <w:bookmarkStart w:id="85" w:name="_151222243Table_54559Number_and_pe"/>
      <w:bookmarkStart w:id="86" w:name="_151222299Table_54559Number_and_pe"/>
      <w:bookmarkStart w:id="87" w:name="_151222355Table_54559Number_and_pe"/>
      <w:bookmarkStart w:id="88" w:name="_151222411Table_54559Number_and_pe"/>
      <w:bookmarkStart w:id="89" w:name="_151222467Table_54559Number_and_pe"/>
      <w:bookmarkStart w:id="90" w:name="_151222523Table_54559Number_and_pe"/>
      <w:bookmarkStart w:id="91" w:name="_151222579Table_54559Number_and_pe"/>
      <w:bookmarkStart w:id="92" w:name="_151222635Table_54559Number_and_pe"/>
      <w:bookmarkStart w:id="93" w:name="_151222691Table_54559Number_and_pe"/>
      <w:bookmarkStart w:id="94" w:name="_151222747Table_54559Number_and_pe"/>
      <w:bookmarkStart w:id="95" w:name="_151222803Table_54559Number_and_pe"/>
      <w:bookmarkStart w:id="96" w:name="_151222859Table_54559Number_and_pe"/>
      <w:bookmarkStart w:id="97" w:name="_151224549Table_54559Number_and_pe"/>
      <w:bookmarkStart w:id="98" w:name="_149225686Table_54559Number_and_pe"/>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sidRPr="007944F8">
        <w:t>Les effets indésirables les plus fréquents, survenus chez au moins 10 % des patients traités par Odomzo 200 mg ont été les suivants : spasmes musculaires, alopécie, dysgue</w:t>
      </w:r>
      <w:r w:rsidR="00B23363" w:rsidRPr="007944F8">
        <w:t>usie, fatigue, nausées, douleur</w:t>
      </w:r>
      <w:r w:rsidRPr="007944F8">
        <w:t xml:space="preserve"> musculo-squelettique, diarrhée, perte de poids, diminution</w:t>
      </w:r>
      <w:r w:rsidR="00B23363" w:rsidRPr="007944F8">
        <w:t xml:space="preserve"> de l’appétit, myalgie, douleur abdominale</w:t>
      </w:r>
      <w:r w:rsidRPr="007944F8">
        <w:t>, maux de tête, douleur, vomissements et prurit.</w:t>
      </w:r>
    </w:p>
    <w:p w14:paraId="3506BD84" w14:textId="77777777" w:rsidR="002345F0" w:rsidRPr="007944F8" w:rsidRDefault="002345F0" w:rsidP="00E93E8B">
      <w:pPr>
        <w:widowControl w:val="0"/>
        <w:tabs>
          <w:tab w:val="clear" w:pos="567"/>
        </w:tabs>
        <w:autoSpaceDE w:val="0"/>
        <w:autoSpaceDN w:val="0"/>
        <w:adjustRightInd w:val="0"/>
        <w:spacing w:line="240" w:lineRule="auto"/>
      </w:pPr>
    </w:p>
    <w:p w14:paraId="5EA13476" w14:textId="77777777" w:rsidR="006F5645" w:rsidRPr="007944F8" w:rsidRDefault="00A2400E" w:rsidP="00E96874">
      <w:pPr>
        <w:widowControl w:val="0"/>
        <w:tabs>
          <w:tab w:val="clear" w:pos="567"/>
        </w:tabs>
        <w:autoSpaceDE w:val="0"/>
        <w:autoSpaceDN w:val="0"/>
        <w:adjustRightInd w:val="0"/>
        <w:spacing w:line="240" w:lineRule="auto"/>
      </w:pPr>
      <w:r w:rsidRPr="007944F8">
        <w:t>Les effets indésirables de grade 3 ou 4 les plus fréquents, survenus chez au moins 2 % des patients traités par Odomzo 200 mg ont été les suivants : fatigue, perte de poids et spasmes musculaires.</w:t>
      </w:r>
    </w:p>
    <w:p w14:paraId="696685F4" w14:textId="77777777" w:rsidR="0022670E" w:rsidRPr="007944F8" w:rsidRDefault="0022670E" w:rsidP="00E93E8B">
      <w:pPr>
        <w:widowControl w:val="0"/>
        <w:tabs>
          <w:tab w:val="clear" w:pos="567"/>
        </w:tabs>
        <w:autoSpaceDE w:val="0"/>
        <w:autoSpaceDN w:val="0"/>
        <w:adjustRightInd w:val="0"/>
        <w:spacing w:line="240" w:lineRule="auto"/>
      </w:pPr>
    </w:p>
    <w:p w14:paraId="1D2DE1D8" w14:textId="77777777" w:rsidR="00832200" w:rsidRPr="007944F8" w:rsidRDefault="00A60FCA" w:rsidP="00E96874">
      <w:pPr>
        <w:widowControl w:val="0"/>
        <w:tabs>
          <w:tab w:val="clear" w:pos="567"/>
        </w:tabs>
        <w:autoSpaceDE w:val="0"/>
        <w:autoSpaceDN w:val="0"/>
        <w:adjustRightInd w:val="0"/>
        <w:spacing w:line="240" w:lineRule="auto"/>
      </w:pPr>
      <w:r w:rsidRPr="007944F8">
        <w:t>Parmi les effets indésirables rapportés (tableau 2), la fréquence était plus élevée chez les patients traités par Odomzo 800 mg que chez ceux traités par Odomzo 200 mg, sauf pour les douleurs musculo-squelettiques, la diarrhée, les douleurs abdominales, les maux de tête et le prurit. Ceci était également vrai pour les effets indésirables de grade 3 ou 4, sauf pour la fatigue.</w:t>
      </w:r>
    </w:p>
    <w:p w14:paraId="043DED25" w14:textId="77777777" w:rsidR="00832200" w:rsidRPr="007944F8" w:rsidRDefault="00832200" w:rsidP="00E93E8B">
      <w:pPr>
        <w:widowControl w:val="0"/>
        <w:tabs>
          <w:tab w:val="clear" w:pos="567"/>
        </w:tabs>
        <w:autoSpaceDE w:val="0"/>
        <w:autoSpaceDN w:val="0"/>
        <w:adjustRightInd w:val="0"/>
        <w:spacing w:line="240" w:lineRule="auto"/>
        <w:rPr>
          <w:szCs w:val="22"/>
        </w:rPr>
      </w:pPr>
    </w:p>
    <w:p w14:paraId="56BF5777" w14:textId="77777777" w:rsidR="00FD75B1" w:rsidRPr="007944F8" w:rsidRDefault="00837011" w:rsidP="00BE7F7C">
      <w:pPr>
        <w:keepNext/>
        <w:widowControl w:val="0"/>
        <w:tabs>
          <w:tab w:val="clear" w:pos="567"/>
        </w:tabs>
        <w:autoSpaceDE w:val="0"/>
        <w:autoSpaceDN w:val="0"/>
        <w:adjustRightInd w:val="0"/>
        <w:spacing w:line="240" w:lineRule="auto"/>
        <w:jc w:val="both"/>
        <w:outlineLvl w:val="0"/>
        <w:rPr>
          <w:szCs w:val="22"/>
          <w:u w:val="single"/>
        </w:rPr>
      </w:pPr>
      <w:r w:rsidRPr="007944F8">
        <w:rPr>
          <w:u w:val="single"/>
        </w:rPr>
        <w:t>Liste tabulée</w:t>
      </w:r>
      <w:r w:rsidR="00FD75B1" w:rsidRPr="007944F8">
        <w:rPr>
          <w:u w:val="single"/>
        </w:rPr>
        <w:t xml:space="preserve"> des effets indésirables</w:t>
      </w:r>
      <w:bookmarkStart w:id="99" w:name="_1916317Tabulated_summary_of_adver"/>
      <w:bookmarkEnd w:id="99"/>
    </w:p>
    <w:p w14:paraId="058B64D3" w14:textId="77777777" w:rsidR="00A2400E" w:rsidRPr="007944F8" w:rsidRDefault="00A2400E" w:rsidP="00E93E8B">
      <w:pPr>
        <w:keepNext/>
        <w:widowControl w:val="0"/>
        <w:tabs>
          <w:tab w:val="clear" w:pos="567"/>
        </w:tabs>
        <w:autoSpaceDE w:val="0"/>
        <w:autoSpaceDN w:val="0"/>
        <w:adjustRightInd w:val="0"/>
        <w:spacing w:line="240" w:lineRule="auto"/>
        <w:rPr>
          <w:szCs w:val="22"/>
        </w:rPr>
      </w:pPr>
    </w:p>
    <w:p w14:paraId="4FA7980A" w14:textId="77777777" w:rsidR="00E05C57" w:rsidRPr="007944F8" w:rsidRDefault="00E05C57" w:rsidP="00E96874">
      <w:pPr>
        <w:widowControl w:val="0"/>
        <w:tabs>
          <w:tab w:val="clear" w:pos="567"/>
        </w:tabs>
        <w:autoSpaceDE w:val="0"/>
        <w:autoSpaceDN w:val="0"/>
        <w:adjustRightInd w:val="0"/>
        <w:spacing w:line="240" w:lineRule="auto"/>
        <w:rPr>
          <w:szCs w:val="22"/>
        </w:rPr>
      </w:pPr>
      <w:r w:rsidRPr="007944F8">
        <w:t>Les effets indésirables observés lors de l’étude clinique pivot de phase II (tableau 2) pour la dose recommandée sont répertoriés par classe de systèmes d’organes selon le dictionnaire MedDRA (Medical Dictionary for Regulatory Activities) version</w:t>
      </w:r>
      <w:r w:rsidR="00697034" w:rsidRPr="007944F8">
        <w:t> </w:t>
      </w:r>
      <w:r w:rsidR="0003494F" w:rsidRPr="007944F8">
        <w:t>18</w:t>
      </w:r>
      <w:r w:rsidRPr="007944F8">
        <w:t>. Dans chaque classe de sy</w:t>
      </w:r>
      <w:r w:rsidR="00B23363" w:rsidRPr="007944F8">
        <w:t>stèmes d’organe</w:t>
      </w:r>
      <w:r w:rsidRPr="007944F8">
        <w:t>, les effets indésirables sont classés par ordre décroissant de fréquence. Dans chaque catégorie de fréquence, les effets indésirables sont classés par ordre décroissant de gravité. De plus, la catégorie de fréquence correspondant à chaque effet indésirable repose sur la convention suivante (CIOMS III) : très fréquent (≥ 1/10) ; fréquent (≥ 1/100, &lt; 1/10) ; peu fréquent (≥ 1/1 000, &lt; 1/100) ; rare (≥ 1/10 000, &lt; 1/1 000) ; très rare (&lt; 1/10 000) ; fréquence indéterminée (ne peut être estimée sur la base des données disponibles).</w:t>
      </w:r>
    </w:p>
    <w:p w14:paraId="6B80A9F9" w14:textId="77777777" w:rsidR="006F5645" w:rsidRPr="007944F8" w:rsidRDefault="006F5645" w:rsidP="00E93E8B">
      <w:pPr>
        <w:widowControl w:val="0"/>
        <w:tabs>
          <w:tab w:val="clear" w:pos="567"/>
        </w:tabs>
        <w:autoSpaceDE w:val="0"/>
        <w:autoSpaceDN w:val="0"/>
        <w:adjustRightInd w:val="0"/>
        <w:spacing w:line="240" w:lineRule="auto"/>
      </w:pPr>
    </w:p>
    <w:p w14:paraId="42059657" w14:textId="77777777" w:rsidR="00666C11" w:rsidRPr="007944F8" w:rsidRDefault="00E05C57" w:rsidP="00E93E8B">
      <w:pPr>
        <w:keepNext/>
        <w:widowControl w:val="0"/>
        <w:tabs>
          <w:tab w:val="clear" w:pos="567"/>
        </w:tabs>
        <w:autoSpaceDE w:val="0"/>
        <w:autoSpaceDN w:val="0"/>
        <w:adjustRightInd w:val="0"/>
        <w:spacing w:line="240" w:lineRule="auto"/>
        <w:rPr>
          <w:b/>
          <w:szCs w:val="22"/>
        </w:rPr>
      </w:pPr>
      <w:r w:rsidRPr="007944F8">
        <w:rPr>
          <w:b/>
        </w:rPr>
        <w:t>Tableau 2</w:t>
      </w:r>
      <w:r w:rsidRPr="007944F8">
        <w:tab/>
      </w:r>
      <w:r w:rsidRPr="007944F8">
        <w:rPr>
          <w:b/>
        </w:rPr>
        <w:t xml:space="preserve">Effets indésirables observés dans l’étude pivot </w:t>
      </w:r>
      <w:bookmarkStart w:id="100" w:name="_7017047Table_74519Adverse_reactio"/>
      <w:bookmarkEnd w:id="100"/>
      <w:r w:rsidRPr="007944F8">
        <w:rPr>
          <w:b/>
        </w:rPr>
        <w:t>de phase II</w:t>
      </w:r>
    </w:p>
    <w:p w14:paraId="6B655C32" w14:textId="77777777" w:rsidR="008F5A55" w:rsidRPr="007944F8" w:rsidRDefault="008F5A55" w:rsidP="00E93E8B">
      <w:pPr>
        <w:keepNext/>
        <w:widowControl w:val="0"/>
        <w:tabs>
          <w:tab w:val="clear" w:pos="567"/>
        </w:tabs>
        <w:autoSpaceDE w:val="0"/>
        <w:autoSpaceDN w:val="0"/>
        <w:adjustRightInd w:val="0"/>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4"/>
        <w:gridCol w:w="4805"/>
      </w:tblGrid>
      <w:tr w:rsidR="008F5A55" w:rsidRPr="007944F8" w14:paraId="1F4C9818" w14:textId="77777777" w:rsidTr="00311782">
        <w:tc>
          <w:tcPr>
            <w:tcW w:w="4927" w:type="dxa"/>
            <w:shd w:val="clear" w:color="auto" w:fill="auto"/>
            <w:vAlign w:val="center"/>
          </w:tcPr>
          <w:p w14:paraId="2A8EED24" w14:textId="77777777" w:rsidR="008F5A55" w:rsidRPr="007944F8" w:rsidRDefault="008F5A55" w:rsidP="00E93E8B">
            <w:pPr>
              <w:pStyle w:val="Table"/>
              <w:keepNext/>
              <w:keepLines w:val="0"/>
              <w:widowControl w:val="0"/>
              <w:tabs>
                <w:tab w:val="clear" w:pos="284"/>
              </w:tabs>
              <w:spacing w:before="0" w:after="0"/>
              <w:jc w:val="center"/>
              <w:rPr>
                <w:rFonts w:ascii="Times New Roman" w:hAnsi="Times New Roman"/>
                <w:b/>
                <w:sz w:val="22"/>
                <w:szCs w:val="22"/>
                <w:lang w:val="fr-FR" w:bidi="fr-FR"/>
              </w:rPr>
            </w:pPr>
            <w:r w:rsidRPr="007944F8">
              <w:rPr>
                <w:rFonts w:ascii="Times New Roman" w:hAnsi="Times New Roman"/>
                <w:b/>
                <w:sz w:val="22"/>
                <w:lang w:val="fr-FR" w:bidi="fr-FR"/>
              </w:rPr>
              <w:t xml:space="preserve">Classe </w:t>
            </w:r>
            <w:r w:rsidR="00B23363" w:rsidRPr="007944F8">
              <w:rPr>
                <w:rFonts w:ascii="Times New Roman" w:hAnsi="Times New Roman"/>
                <w:b/>
                <w:sz w:val="22"/>
                <w:lang w:val="fr-FR" w:bidi="fr-FR"/>
              </w:rPr>
              <w:t>principale de systèmes d’organe</w:t>
            </w:r>
          </w:p>
          <w:p w14:paraId="482C4509" w14:textId="77777777" w:rsidR="008F5A55" w:rsidRPr="007944F8" w:rsidRDefault="008F5A55" w:rsidP="00E93E8B">
            <w:pPr>
              <w:pStyle w:val="Table"/>
              <w:keepNext/>
              <w:keepLines w:val="0"/>
              <w:widowControl w:val="0"/>
              <w:tabs>
                <w:tab w:val="clear" w:pos="284"/>
              </w:tabs>
              <w:spacing w:before="0" w:after="0"/>
              <w:jc w:val="center"/>
              <w:rPr>
                <w:rFonts w:ascii="Times New Roman" w:hAnsi="Times New Roman"/>
                <w:sz w:val="22"/>
                <w:szCs w:val="22"/>
                <w:lang w:val="fr-FR" w:bidi="fr-FR"/>
              </w:rPr>
            </w:pPr>
            <w:r w:rsidRPr="007944F8">
              <w:rPr>
                <w:rFonts w:ascii="Times New Roman" w:hAnsi="Times New Roman"/>
                <w:sz w:val="22"/>
                <w:lang w:val="fr-FR" w:bidi="fr-FR"/>
              </w:rPr>
              <w:t>Terme privilégié</w:t>
            </w:r>
          </w:p>
        </w:tc>
        <w:tc>
          <w:tcPr>
            <w:tcW w:w="4928" w:type="dxa"/>
            <w:shd w:val="clear" w:color="auto" w:fill="auto"/>
            <w:vAlign w:val="center"/>
          </w:tcPr>
          <w:p w14:paraId="656144A2" w14:textId="77777777" w:rsidR="008F5A55" w:rsidRPr="007944F8" w:rsidRDefault="008F5A55" w:rsidP="00E93E8B">
            <w:pPr>
              <w:pStyle w:val="Table"/>
              <w:keepNext/>
              <w:keepLines w:val="0"/>
              <w:widowControl w:val="0"/>
              <w:tabs>
                <w:tab w:val="clear" w:pos="284"/>
              </w:tabs>
              <w:spacing w:before="0" w:after="0"/>
              <w:jc w:val="center"/>
              <w:rPr>
                <w:rFonts w:ascii="Times New Roman" w:hAnsi="Times New Roman"/>
                <w:b/>
                <w:sz w:val="22"/>
                <w:szCs w:val="22"/>
                <w:lang w:val="fr-FR" w:bidi="fr-FR"/>
              </w:rPr>
            </w:pPr>
            <w:r w:rsidRPr="007944F8">
              <w:rPr>
                <w:rFonts w:ascii="Times New Roman" w:hAnsi="Times New Roman"/>
                <w:b/>
                <w:sz w:val="22"/>
                <w:lang w:val="fr-FR" w:bidi="fr-FR"/>
              </w:rPr>
              <w:t xml:space="preserve">Fréquence, </w:t>
            </w:r>
            <w:r w:rsidR="004A59EB" w:rsidRPr="007944F8">
              <w:rPr>
                <w:rFonts w:ascii="Times New Roman" w:hAnsi="Times New Roman"/>
                <w:b/>
                <w:sz w:val="22"/>
                <w:lang w:val="fr-FR" w:bidi="fr-FR"/>
              </w:rPr>
              <w:t>t</w:t>
            </w:r>
            <w:r w:rsidRPr="007944F8">
              <w:rPr>
                <w:rFonts w:ascii="Times New Roman" w:hAnsi="Times New Roman"/>
                <w:b/>
                <w:sz w:val="22"/>
                <w:lang w:val="fr-FR" w:bidi="fr-FR"/>
              </w:rPr>
              <w:t>ous grades confondus</w:t>
            </w:r>
          </w:p>
          <w:p w14:paraId="5F92D6F0" w14:textId="77777777" w:rsidR="008F5A55" w:rsidRPr="007944F8" w:rsidRDefault="008F5A55" w:rsidP="00E93E8B">
            <w:pPr>
              <w:pStyle w:val="Table"/>
              <w:keepNext/>
              <w:keepLines w:val="0"/>
              <w:widowControl w:val="0"/>
              <w:tabs>
                <w:tab w:val="clear" w:pos="284"/>
              </w:tabs>
              <w:spacing w:before="0" w:after="0"/>
              <w:jc w:val="center"/>
              <w:rPr>
                <w:rFonts w:ascii="Times New Roman" w:hAnsi="Times New Roman"/>
                <w:sz w:val="22"/>
                <w:szCs w:val="22"/>
                <w:lang w:val="fr-FR" w:bidi="fr-FR"/>
              </w:rPr>
            </w:pPr>
            <w:r w:rsidRPr="007944F8">
              <w:rPr>
                <w:rFonts w:ascii="Times New Roman" w:hAnsi="Times New Roman"/>
                <w:sz w:val="22"/>
                <w:lang w:val="fr-FR" w:bidi="fr-FR"/>
              </w:rPr>
              <w:t>200 mg</w:t>
            </w:r>
          </w:p>
        </w:tc>
      </w:tr>
      <w:tr w:rsidR="008F5A55" w:rsidRPr="007944F8" w14:paraId="670A1123" w14:textId="77777777" w:rsidTr="00311782">
        <w:tc>
          <w:tcPr>
            <w:tcW w:w="9855" w:type="dxa"/>
            <w:gridSpan w:val="2"/>
            <w:shd w:val="clear" w:color="auto" w:fill="auto"/>
          </w:tcPr>
          <w:p w14:paraId="5873A191" w14:textId="77777777" w:rsidR="008F5A55" w:rsidRPr="007944F8" w:rsidRDefault="008F5A55" w:rsidP="00E93E8B">
            <w:pPr>
              <w:pStyle w:val="Table"/>
              <w:keepNext/>
              <w:keepLines w:val="0"/>
              <w:widowControl w:val="0"/>
              <w:tabs>
                <w:tab w:val="clear" w:pos="284"/>
              </w:tabs>
              <w:spacing w:before="0" w:after="0"/>
              <w:rPr>
                <w:rFonts w:ascii="Times New Roman" w:hAnsi="Times New Roman"/>
                <w:sz w:val="22"/>
                <w:szCs w:val="22"/>
                <w:lang w:val="fr-FR" w:bidi="fr-FR"/>
              </w:rPr>
            </w:pPr>
            <w:r w:rsidRPr="007944F8">
              <w:rPr>
                <w:rFonts w:ascii="Times New Roman" w:hAnsi="Times New Roman"/>
                <w:b/>
                <w:sz w:val="22"/>
                <w:lang w:val="fr-FR" w:bidi="fr-FR"/>
              </w:rPr>
              <w:t>Troubles du métabolisme et de la nutrition</w:t>
            </w:r>
          </w:p>
        </w:tc>
      </w:tr>
      <w:tr w:rsidR="008F5A55" w:rsidRPr="007944F8" w14:paraId="465D222A" w14:textId="77777777" w:rsidTr="00311782">
        <w:tc>
          <w:tcPr>
            <w:tcW w:w="4927" w:type="dxa"/>
            <w:shd w:val="clear" w:color="auto" w:fill="auto"/>
          </w:tcPr>
          <w:p w14:paraId="08406746" w14:textId="77777777" w:rsidR="008F5A55" w:rsidRPr="007944F8" w:rsidRDefault="008F5A55" w:rsidP="00E93E8B">
            <w:pPr>
              <w:pStyle w:val="Table"/>
              <w:keepLines w:val="0"/>
              <w:widowControl w:val="0"/>
              <w:tabs>
                <w:tab w:val="clear" w:pos="284"/>
              </w:tabs>
              <w:spacing w:before="0" w:after="0"/>
              <w:rPr>
                <w:rFonts w:ascii="Times New Roman" w:hAnsi="Times New Roman"/>
                <w:sz w:val="22"/>
                <w:szCs w:val="22"/>
                <w:lang w:val="fr-FR" w:bidi="fr-FR"/>
              </w:rPr>
            </w:pPr>
            <w:r w:rsidRPr="007944F8">
              <w:rPr>
                <w:rFonts w:ascii="Times New Roman" w:hAnsi="Times New Roman"/>
                <w:sz w:val="22"/>
                <w:lang w:val="fr-FR" w:bidi="fr-FR"/>
              </w:rPr>
              <w:t>Diminution de l’appétit</w:t>
            </w:r>
          </w:p>
        </w:tc>
        <w:tc>
          <w:tcPr>
            <w:tcW w:w="4928" w:type="dxa"/>
            <w:shd w:val="clear" w:color="auto" w:fill="auto"/>
          </w:tcPr>
          <w:p w14:paraId="29C6B010" w14:textId="77777777" w:rsidR="008F5A55" w:rsidRPr="007944F8" w:rsidRDefault="008F5A55" w:rsidP="00E93E8B">
            <w:pPr>
              <w:pStyle w:val="Table"/>
              <w:keepLines w:val="0"/>
              <w:widowControl w:val="0"/>
              <w:tabs>
                <w:tab w:val="clear" w:pos="284"/>
              </w:tabs>
              <w:spacing w:before="0" w:after="0"/>
              <w:rPr>
                <w:rFonts w:ascii="Times New Roman" w:hAnsi="Times New Roman"/>
                <w:sz w:val="22"/>
                <w:szCs w:val="22"/>
                <w:lang w:val="fr-FR" w:bidi="fr-FR"/>
              </w:rPr>
            </w:pPr>
            <w:r w:rsidRPr="007944F8">
              <w:rPr>
                <w:rFonts w:ascii="Times New Roman" w:hAnsi="Times New Roman"/>
                <w:sz w:val="22"/>
                <w:lang w:val="fr-FR" w:bidi="fr-FR"/>
              </w:rPr>
              <w:t>Très fréquent</w:t>
            </w:r>
          </w:p>
        </w:tc>
      </w:tr>
      <w:tr w:rsidR="00A60FCA" w:rsidRPr="007944F8" w14:paraId="4C363D70" w14:textId="77777777" w:rsidTr="00311782">
        <w:tc>
          <w:tcPr>
            <w:tcW w:w="4927" w:type="dxa"/>
            <w:shd w:val="clear" w:color="auto" w:fill="auto"/>
          </w:tcPr>
          <w:p w14:paraId="7DF4829D" w14:textId="77777777" w:rsidR="00A60FCA" w:rsidRPr="007944F8" w:rsidRDefault="00A60FCA" w:rsidP="00E93E8B">
            <w:pPr>
              <w:pStyle w:val="Table"/>
              <w:keepLines w:val="0"/>
              <w:widowControl w:val="0"/>
              <w:tabs>
                <w:tab w:val="clear" w:pos="284"/>
              </w:tabs>
              <w:spacing w:before="0" w:after="0"/>
              <w:rPr>
                <w:rFonts w:ascii="Times New Roman" w:hAnsi="Times New Roman"/>
                <w:sz w:val="22"/>
                <w:szCs w:val="22"/>
                <w:lang w:val="fr-FR" w:bidi="fr-FR"/>
              </w:rPr>
            </w:pPr>
            <w:r w:rsidRPr="007944F8">
              <w:rPr>
                <w:rFonts w:ascii="Times New Roman" w:hAnsi="Times New Roman"/>
                <w:sz w:val="22"/>
                <w:lang w:val="fr-FR" w:bidi="fr-FR"/>
              </w:rPr>
              <w:t>Déshydratation</w:t>
            </w:r>
          </w:p>
        </w:tc>
        <w:tc>
          <w:tcPr>
            <w:tcW w:w="4928" w:type="dxa"/>
            <w:shd w:val="clear" w:color="auto" w:fill="auto"/>
          </w:tcPr>
          <w:p w14:paraId="2843CDAD" w14:textId="77777777" w:rsidR="00A60FCA" w:rsidRPr="007944F8" w:rsidRDefault="00A60FCA" w:rsidP="00E93E8B">
            <w:pPr>
              <w:pStyle w:val="Table"/>
              <w:keepLines w:val="0"/>
              <w:widowControl w:val="0"/>
              <w:tabs>
                <w:tab w:val="clear" w:pos="284"/>
              </w:tabs>
              <w:spacing w:before="0" w:after="0"/>
              <w:rPr>
                <w:rFonts w:ascii="Times New Roman" w:hAnsi="Times New Roman"/>
                <w:sz w:val="22"/>
                <w:szCs w:val="22"/>
                <w:lang w:val="fr-FR" w:bidi="fr-FR"/>
              </w:rPr>
            </w:pPr>
            <w:r w:rsidRPr="007944F8">
              <w:rPr>
                <w:rFonts w:ascii="Times New Roman" w:hAnsi="Times New Roman"/>
                <w:sz w:val="22"/>
                <w:lang w:val="fr-FR" w:bidi="fr-FR"/>
              </w:rPr>
              <w:t>Fréquent</w:t>
            </w:r>
          </w:p>
        </w:tc>
      </w:tr>
      <w:tr w:rsidR="000A65D4" w:rsidRPr="007944F8" w14:paraId="41811557" w14:textId="77777777" w:rsidTr="00311782">
        <w:tc>
          <w:tcPr>
            <w:tcW w:w="9855" w:type="dxa"/>
            <w:gridSpan w:val="2"/>
            <w:shd w:val="clear" w:color="auto" w:fill="auto"/>
          </w:tcPr>
          <w:p w14:paraId="57DFD87D" w14:textId="77777777" w:rsidR="000A65D4" w:rsidRPr="007944F8" w:rsidRDefault="000A65D4" w:rsidP="00E93E8B">
            <w:pPr>
              <w:pStyle w:val="Table"/>
              <w:keepNext/>
              <w:keepLines w:val="0"/>
              <w:widowControl w:val="0"/>
              <w:tabs>
                <w:tab w:val="clear" w:pos="284"/>
              </w:tabs>
              <w:spacing w:before="0" w:after="0"/>
              <w:rPr>
                <w:rFonts w:ascii="Times New Roman" w:hAnsi="Times New Roman"/>
                <w:sz w:val="22"/>
                <w:szCs w:val="22"/>
                <w:lang w:val="fr-FR" w:bidi="fr-FR"/>
              </w:rPr>
            </w:pPr>
            <w:r w:rsidRPr="007944F8">
              <w:rPr>
                <w:rFonts w:ascii="Times New Roman" w:hAnsi="Times New Roman"/>
                <w:b/>
                <w:sz w:val="22"/>
                <w:lang w:val="fr-FR" w:bidi="fr-FR"/>
              </w:rPr>
              <w:t>Affections du système nerveux</w:t>
            </w:r>
          </w:p>
        </w:tc>
      </w:tr>
      <w:tr w:rsidR="008F5A55" w:rsidRPr="007944F8" w14:paraId="3FFE53C0" w14:textId="77777777" w:rsidTr="00311782">
        <w:tc>
          <w:tcPr>
            <w:tcW w:w="4927" w:type="dxa"/>
            <w:shd w:val="clear" w:color="auto" w:fill="auto"/>
          </w:tcPr>
          <w:p w14:paraId="101C93F5" w14:textId="77777777" w:rsidR="008F5A55" w:rsidRPr="007944F8" w:rsidRDefault="008F5A55" w:rsidP="00E93E8B">
            <w:pPr>
              <w:pStyle w:val="Table"/>
              <w:keepNext/>
              <w:keepLines w:val="0"/>
              <w:widowControl w:val="0"/>
              <w:tabs>
                <w:tab w:val="clear" w:pos="284"/>
              </w:tabs>
              <w:spacing w:before="0" w:after="0"/>
              <w:rPr>
                <w:rFonts w:ascii="Times New Roman" w:hAnsi="Times New Roman"/>
                <w:sz w:val="22"/>
                <w:szCs w:val="22"/>
                <w:lang w:val="fr-FR" w:bidi="fr-FR"/>
              </w:rPr>
            </w:pPr>
            <w:r w:rsidRPr="007944F8">
              <w:rPr>
                <w:rFonts w:ascii="Times New Roman" w:hAnsi="Times New Roman"/>
                <w:sz w:val="22"/>
                <w:lang w:val="fr-FR" w:bidi="fr-FR"/>
              </w:rPr>
              <w:t>Dysgueusie</w:t>
            </w:r>
          </w:p>
        </w:tc>
        <w:tc>
          <w:tcPr>
            <w:tcW w:w="4928" w:type="dxa"/>
            <w:shd w:val="clear" w:color="auto" w:fill="auto"/>
          </w:tcPr>
          <w:p w14:paraId="3364E051" w14:textId="77777777" w:rsidR="008F5A55" w:rsidRPr="007944F8" w:rsidRDefault="008F5A55" w:rsidP="00E93E8B">
            <w:pPr>
              <w:pStyle w:val="Table"/>
              <w:keepNext/>
              <w:keepLines w:val="0"/>
              <w:widowControl w:val="0"/>
              <w:tabs>
                <w:tab w:val="clear" w:pos="284"/>
              </w:tabs>
              <w:spacing w:before="0" w:after="0"/>
              <w:rPr>
                <w:rFonts w:ascii="Times New Roman" w:hAnsi="Times New Roman"/>
                <w:sz w:val="22"/>
                <w:szCs w:val="22"/>
                <w:lang w:val="fr-FR" w:bidi="fr-FR"/>
              </w:rPr>
            </w:pPr>
            <w:r w:rsidRPr="007944F8">
              <w:rPr>
                <w:rFonts w:ascii="Times New Roman" w:hAnsi="Times New Roman"/>
                <w:sz w:val="22"/>
                <w:lang w:val="fr-FR" w:bidi="fr-FR"/>
              </w:rPr>
              <w:t>Très fréquent</w:t>
            </w:r>
          </w:p>
        </w:tc>
      </w:tr>
      <w:tr w:rsidR="008F5A55" w:rsidRPr="007944F8" w14:paraId="3B32642D" w14:textId="77777777" w:rsidTr="00311782">
        <w:tc>
          <w:tcPr>
            <w:tcW w:w="4927" w:type="dxa"/>
            <w:shd w:val="clear" w:color="auto" w:fill="auto"/>
          </w:tcPr>
          <w:p w14:paraId="1ADFBBCD" w14:textId="77777777" w:rsidR="008F5A55" w:rsidRPr="007944F8" w:rsidRDefault="008F5A55" w:rsidP="00E93E8B">
            <w:pPr>
              <w:pStyle w:val="Table"/>
              <w:keepLines w:val="0"/>
              <w:widowControl w:val="0"/>
              <w:tabs>
                <w:tab w:val="clear" w:pos="284"/>
              </w:tabs>
              <w:spacing w:before="0" w:after="0"/>
              <w:rPr>
                <w:rFonts w:ascii="Times New Roman" w:hAnsi="Times New Roman"/>
                <w:sz w:val="22"/>
                <w:szCs w:val="22"/>
                <w:lang w:val="fr-FR" w:bidi="fr-FR"/>
              </w:rPr>
            </w:pPr>
            <w:r w:rsidRPr="007944F8">
              <w:rPr>
                <w:rFonts w:ascii="Times New Roman" w:hAnsi="Times New Roman"/>
                <w:sz w:val="22"/>
                <w:lang w:val="fr-FR" w:bidi="fr-FR"/>
              </w:rPr>
              <w:t>Maux de tête</w:t>
            </w:r>
          </w:p>
        </w:tc>
        <w:tc>
          <w:tcPr>
            <w:tcW w:w="4928" w:type="dxa"/>
            <w:shd w:val="clear" w:color="auto" w:fill="auto"/>
          </w:tcPr>
          <w:p w14:paraId="14347327" w14:textId="77777777" w:rsidR="008F5A55" w:rsidRPr="007944F8" w:rsidRDefault="008F5A55" w:rsidP="00E93E8B">
            <w:pPr>
              <w:pStyle w:val="Table"/>
              <w:keepLines w:val="0"/>
              <w:widowControl w:val="0"/>
              <w:tabs>
                <w:tab w:val="clear" w:pos="284"/>
              </w:tabs>
              <w:spacing w:before="0" w:after="0"/>
              <w:rPr>
                <w:rFonts w:ascii="Times New Roman" w:hAnsi="Times New Roman"/>
                <w:sz w:val="22"/>
                <w:szCs w:val="22"/>
                <w:lang w:val="fr-FR" w:bidi="fr-FR"/>
              </w:rPr>
            </w:pPr>
            <w:r w:rsidRPr="007944F8">
              <w:rPr>
                <w:rFonts w:ascii="Times New Roman" w:hAnsi="Times New Roman"/>
                <w:sz w:val="22"/>
                <w:lang w:val="fr-FR" w:bidi="fr-FR"/>
              </w:rPr>
              <w:t>Très fréquent</w:t>
            </w:r>
          </w:p>
        </w:tc>
      </w:tr>
      <w:tr w:rsidR="000A65D4" w:rsidRPr="007944F8" w14:paraId="25D30BD7" w14:textId="77777777" w:rsidTr="00311782">
        <w:tc>
          <w:tcPr>
            <w:tcW w:w="9855" w:type="dxa"/>
            <w:gridSpan w:val="2"/>
            <w:shd w:val="clear" w:color="auto" w:fill="auto"/>
          </w:tcPr>
          <w:p w14:paraId="1739F75B" w14:textId="77777777" w:rsidR="000A65D4" w:rsidRPr="007944F8" w:rsidRDefault="000A65D4" w:rsidP="00E93E8B">
            <w:pPr>
              <w:pStyle w:val="Table"/>
              <w:keepNext/>
              <w:keepLines w:val="0"/>
              <w:widowControl w:val="0"/>
              <w:tabs>
                <w:tab w:val="clear" w:pos="284"/>
              </w:tabs>
              <w:spacing w:before="0" w:after="0"/>
              <w:rPr>
                <w:rFonts w:ascii="Times New Roman" w:hAnsi="Times New Roman"/>
                <w:sz w:val="22"/>
                <w:szCs w:val="22"/>
                <w:lang w:val="fr-FR" w:bidi="fr-FR"/>
              </w:rPr>
            </w:pPr>
            <w:r w:rsidRPr="007944F8">
              <w:rPr>
                <w:rFonts w:ascii="Times New Roman" w:hAnsi="Times New Roman"/>
                <w:b/>
                <w:sz w:val="22"/>
                <w:lang w:val="fr-FR" w:bidi="fr-FR"/>
              </w:rPr>
              <w:t>Affections gastro-intestinales</w:t>
            </w:r>
          </w:p>
        </w:tc>
      </w:tr>
      <w:tr w:rsidR="008F5A55" w:rsidRPr="007944F8" w14:paraId="5E42CBDD" w14:textId="77777777" w:rsidTr="00311782">
        <w:tc>
          <w:tcPr>
            <w:tcW w:w="4927" w:type="dxa"/>
            <w:shd w:val="clear" w:color="auto" w:fill="auto"/>
          </w:tcPr>
          <w:p w14:paraId="2C7A1046" w14:textId="77777777" w:rsidR="008F5A55" w:rsidRPr="007944F8" w:rsidRDefault="008F5A55" w:rsidP="00E93E8B">
            <w:pPr>
              <w:pStyle w:val="Table"/>
              <w:keepNext/>
              <w:keepLines w:val="0"/>
              <w:widowControl w:val="0"/>
              <w:tabs>
                <w:tab w:val="clear" w:pos="284"/>
              </w:tabs>
              <w:spacing w:before="0" w:after="0"/>
              <w:rPr>
                <w:rFonts w:ascii="Times New Roman" w:hAnsi="Times New Roman"/>
                <w:sz w:val="22"/>
                <w:szCs w:val="22"/>
                <w:lang w:val="fr-FR" w:bidi="fr-FR"/>
              </w:rPr>
            </w:pPr>
            <w:r w:rsidRPr="007944F8">
              <w:rPr>
                <w:rFonts w:ascii="Times New Roman" w:hAnsi="Times New Roman"/>
                <w:sz w:val="22"/>
                <w:lang w:val="fr-FR" w:bidi="fr-FR"/>
              </w:rPr>
              <w:t>Nausées</w:t>
            </w:r>
          </w:p>
        </w:tc>
        <w:tc>
          <w:tcPr>
            <w:tcW w:w="4928" w:type="dxa"/>
            <w:shd w:val="clear" w:color="auto" w:fill="auto"/>
          </w:tcPr>
          <w:p w14:paraId="61CF06C0" w14:textId="77777777" w:rsidR="008F5A55" w:rsidRPr="007944F8" w:rsidRDefault="008F5A55" w:rsidP="00E93E8B">
            <w:pPr>
              <w:pStyle w:val="Table"/>
              <w:keepNext/>
              <w:keepLines w:val="0"/>
              <w:widowControl w:val="0"/>
              <w:tabs>
                <w:tab w:val="clear" w:pos="284"/>
              </w:tabs>
              <w:spacing w:before="0" w:after="0"/>
              <w:rPr>
                <w:rFonts w:ascii="Times New Roman" w:hAnsi="Times New Roman"/>
                <w:sz w:val="22"/>
                <w:szCs w:val="22"/>
                <w:lang w:val="fr-FR" w:bidi="fr-FR"/>
              </w:rPr>
            </w:pPr>
            <w:r w:rsidRPr="007944F8">
              <w:rPr>
                <w:rFonts w:ascii="Times New Roman" w:hAnsi="Times New Roman"/>
                <w:sz w:val="22"/>
                <w:lang w:val="fr-FR" w:bidi="fr-FR"/>
              </w:rPr>
              <w:t>Très fréquent</w:t>
            </w:r>
          </w:p>
        </w:tc>
      </w:tr>
      <w:tr w:rsidR="008F5A55" w:rsidRPr="007944F8" w14:paraId="19B302E3" w14:textId="77777777" w:rsidTr="00311782">
        <w:tc>
          <w:tcPr>
            <w:tcW w:w="4927" w:type="dxa"/>
            <w:shd w:val="clear" w:color="auto" w:fill="auto"/>
          </w:tcPr>
          <w:p w14:paraId="4393CE80" w14:textId="77777777" w:rsidR="008F5A55" w:rsidRPr="007944F8" w:rsidRDefault="008F5A55" w:rsidP="00E93E8B">
            <w:pPr>
              <w:pStyle w:val="Table"/>
              <w:keepNext/>
              <w:keepLines w:val="0"/>
              <w:widowControl w:val="0"/>
              <w:tabs>
                <w:tab w:val="clear" w:pos="284"/>
              </w:tabs>
              <w:spacing w:before="0" w:after="0"/>
              <w:rPr>
                <w:rFonts w:ascii="Times New Roman" w:hAnsi="Times New Roman"/>
                <w:sz w:val="22"/>
                <w:szCs w:val="22"/>
                <w:lang w:val="fr-FR" w:bidi="fr-FR"/>
              </w:rPr>
            </w:pPr>
            <w:r w:rsidRPr="007944F8">
              <w:rPr>
                <w:rFonts w:ascii="Times New Roman" w:hAnsi="Times New Roman"/>
                <w:sz w:val="22"/>
                <w:lang w:val="fr-FR" w:bidi="fr-FR"/>
              </w:rPr>
              <w:t>Diarrhée</w:t>
            </w:r>
          </w:p>
        </w:tc>
        <w:tc>
          <w:tcPr>
            <w:tcW w:w="4928" w:type="dxa"/>
            <w:shd w:val="clear" w:color="auto" w:fill="auto"/>
          </w:tcPr>
          <w:p w14:paraId="1865EFF3" w14:textId="77777777" w:rsidR="008F5A55" w:rsidRPr="007944F8" w:rsidRDefault="008F5A55" w:rsidP="00E93E8B">
            <w:pPr>
              <w:pStyle w:val="Table"/>
              <w:keepNext/>
              <w:keepLines w:val="0"/>
              <w:widowControl w:val="0"/>
              <w:tabs>
                <w:tab w:val="clear" w:pos="284"/>
              </w:tabs>
              <w:spacing w:before="0" w:after="0"/>
              <w:rPr>
                <w:rFonts w:ascii="Times New Roman" w:hAnsi="Times New Roman"/>
                <w:sz w:val="22"/>
                <w:szCs w:val="22"/>
                <w:lang w:val="fr-FR" w:bidi="fr-FR"/>
              </w:rPr>
            </w:pPr>
            <w:r w:rsidRPr="007944F8">
              <w:rPr>
                <w:rFonts w:ascii="Times New Roman" w:hAnsi="Times New Roman"/>
                <w:sz w:val="22"/>
                <w:lang w:val="fr-FR" w:bidi="fr-FR"/>
              </w:rPr>
              <w:t>Très fréquent</w:t>
            </w:r>
          </w:p>
        </w:tc>
      </w:tr>
      <w:tr w:rsidR="008F5A55" w:rsidRPr="007944F8" w14:paraId="3BF98871" w14:textId="77777777" w:rsidTr="00311782">
        <w:tc>
          <w:tcPr>
            <w:tcW w:w="4927" w:type="dxa"/>
            <w:shd w:val="clear" w:color="auto" w:fill="auto"/>
          </w:tcPr>
          <w:p w14:paraId="03828E7E" w14:textId="77777777" w:rsidR="008F5A55" w:rsidRPr="007944F8" w:rsidRDefault="00B23363" w:rsidP="00B23363">
            <w:pPr>
              <w:pStyle w:val="Table"/>
              <w:keepNext/>
              <w:keepLines w:val="0"/>
              <w:widowControl w:val="0"/>
              <w:tabs>
                <w:tab w:val="clear" w:pos="284"/>
              </w:tabs>
              <w:spacing w:before="0" w:after="0"/>
              <w:rPr>
                <w:rFonts w:ascii="Times New Roman" w:hAnsi="Times New Roman"/>
                <w:sz w:val="22"/>
                <w:szCs w:val="22"/>
                <w:lang w:val="fr-FR" w:bidi="fr-FR"/>
              </w:rPr>
            </w:pPr>
            <w:r w:rsidRPr="007944F8">
              <w:rPr>
                <w:rFonts w:ascii="Times New Roman" w:hAnsi="Times New Roman"/>
                <w:sz w:val="22"/>
                <w:lang w:val="fr-FR" w:bidi="fr-FR"/>
              </w:rPr>
              <w:t>Douleur</w:t>
            </w:r>
            <w:r w:rsidR="008F5A55" w:rsidRPr="007944F8">
              <w:rPr>
                <w:rFonts w:ascii="Times New Roman" w:hAnsi="Times New Roman"/>
                <w:sz w:val="22"/>
                <w:lang w:val="fr-FR" w:bidi="fr-FR"/>
              </w:rPr>
              <w:t xml:space="preserve"> abdominale</w:t>
            </w:r>
          </w:p>
        </w:tc>
        <w:tc>
          <w:tcPr>
            <w:tcW w:w="4928" w:type="dxa"/>
            <w:shd w:val="clear" w:color="auto" w:fill="auto"/>
          </w:tcPr>
          <w:p w14:paraId="42A12AF3" w14:textId="77777777" w:rsidR="008F5A55" w:rsidRPr="007944F8" w:rsidRDefault="008F5A55" w:rsidP="00E93E8B">
            <w:pPr>
              <w:pStyle w:val="Table"/>
              <w:keepNext/>
              <w:keepLines w:val="0"/>
              <w:widowControl w:val="0"/>
              <w:tabs>
                <w:tab w:val="clear" w:pos="284"/>
              </w:tabs>
              <w:spacing w:before="0" w:after="0"/>
              <w:rPr>
                <w:rFonts w:ascii="Times New Roman" w:hAnsi="Times New Roman"/>
                <w:sz w:val="22"/>
                <w:szCs w:val="22"/>
                <w:lang w:val="fr-FR" w:bidi="fr-FR"/>
              </w:rPr>
            </w:pPr>
            <w:r w:rsidRPr="007944F8">
              <w:rPr>
                <w:rFonts w:ascii="Times New Roman" w:hAnsi="Times New Roman"/>
                <w:sz w:val="22"/>
                <w:lang w:val="fr-FR" w:bidi="fr-FR"/>
              </w:rPr>
              <w:t>Très fréquent</w:t>
            </w:r>
          </w:p>
        </w:tc>
      </w:tr>
      <w:tr w:rsidR="00E4648B" w:rsidRPr="007944F8" w14:paraId="4BCC0079" w14:textId="77777777" w:rsidTr="00311782">
        <w:tc>
          <w:tcPr>
            <w:tcW w:w="4927" w:type="dxa"/>
            <w:shd w:val="clear" w:color="auto" w:fill="auto"/>
          </w:tcPr>
          <w:p w14:paraId="6EF41A8F" w14:textId="77777777" w:rsidR="00E4648B" w:rsidRPr="007944F8" w:rsidRDefault="00E4648B" w:rsidP="00E93E8B">
            <w:pPr>
              <w:pStyle w:val="Table"/>
              <w:keepNext/>
              <w:keepLines w:val="0"/>
              <w:widowControl w:val="0"/>
              <w:tabs>
                <w:tab w:val="clear" w:pos="284"/>
              </w:tabs>
              <w:spacing w:before="0" w:after="0"/>
              <w:rPr>
                <w:rFonts w:ascii="Times New Roman" w:hAnsi="Times New Roman"/>
                <w:sz w:val="22"/>
                <w:szCs w:val="22"/>
                <w:lang w:val="fr-FR" w:bidi="fr-FR"/>
              </w:rPr>
            </w:pPr>
            <w:r w:rsidRPr="007944F8">
              <w:rPr>
                <w:rFonts w:ascii="Times New Roman" w:hAnsi="Times New Roman"/>
                <w:sz w:val="22"/>
                <w:lang w:val="fr-FR" w:bidi="fr-FR"/>
              </w:rPr>
              <w:t>Vomissement</w:t>
            </w:r>
          </w:p>
        </w:tc>
        <w:tc>
          <w:tcPr>
            <w:tcW w:w="4928" w:type="dxa"/>
            <w:shd w:val="clear" w:color="auto" w:fill="auto"/>
          </w:tcPr>
          <w:p w14:paraId="25ABD30A" w14:textId="77777777" w:rsidR="00E4648B" w:rsidRPr="007944F8" w:rsidRDefault="00E4648B" w:rsidP="00E93E8B">
            <w:pPr>
              <w:pStyle w:val="Table"/>
              <w:keepNext/>
              <w:keepLines w:val="0"/>
              <w:widowControl w:val="0"/>
              <w:tabs>
                <w:tab w:val="clear" w:pos="284"/>
              </w:tabs>
              <w:spacing w:before="0" w:after="0"/>
              <w:rPr>
                <w:rFonts w:ascii="Times New Roman" w:hAnsi="Times New Roman"/>
                <w:sz w:val="22"/>
                <w:szCs w:val="22"/>
                <w:lang w:val="fr-FR" w:bidi="fr-FR"/>
              </w:rPr>
            </w:pPr>
            <w:r w:rsidRPr="007944F8">
              <w:rPr>
                <w:rFonts w:ascii="Times New Roman" w:hAnsi="Times New Roman"/>
                <w:sz w:val="22"/>
                <w:lang w:val="fr-FR" w:bidi="fr-FR"/>
              </w:rPr>
              <w:t>Très fréquent</w:t>
            </w:r>
          </w:p>
        </w:tc>
      </w:tr>
      <w:tr w:rsidR="008F5A55" w:rsidRPr="007944F8" w14:paraId="4142C60A" w14:textId="77777777" w:rsidTr="00311782">
        <w:tc>
          <w:tcPr>
            <w:tcW w:w="4927" w:type="dxa"/>
            <w:shd w:val="clear" w:color="auto" w:fill="auto"/>
          </w:tcPr>
          <w:p w14:paraId="6C3AF3A0" w14:textId="77777777" w:rsidR="008F5A55" w:rsidRPr="007944F8" w:rsidRDefault="007B1220" w:rsidP="00E93E8B">
            <w:pPr>
              <w:pStyle w:val="Table"/>
              <w:keepNext/>
              <w:keepLines w:val="0"/>
              <w:widowControl w:val="0"/>
              <w:tabs>
                <w:tab w:val="clear" w:pos="284"/>
              </w:tabs>
              <w:spacing w:before="0" w:after="0"/>
              <w:rPr>
                <w:rFonts w:ascii="Times New Roman" w:hAnsi="Times New Roman"/>
                <w:sz w:val="22"/>
                <w:szCs w:val="22"/>
                <w:lang w:val="fr-FR" w:bidi="fr-FR"/>
              </w:rPr>
            </w:pPr>
            <w:r w:rsidRPr="007944F8">
              <w:rPr>
                <w:rFonts w:ascii="Times New Roman" w:hAnsi="Times New Roman"/>
                <w:sz w:val="22"/>
                <w:lang w:val="fr-FR" w:bidi="fr-FR"/>
              </w:rPr>
              <w:t>Dyspepsie</w:t>
            </w:r>
          </w:p>
        </w:tc>
        <w:tc>
          <w:tcPr>
            <w:tcW w:w="4928" w:type="dxa"/>
            <w:shd w:val="clear" w:color="auto" w:fill="auto"/>
          </w:tcPr>
          <w:p w14:paraId="2CA140E1" w14:textId="77777777" w:rsidR="008F5A55" w:rsidRPr="007944F8" w:rsidRDefault="008F5A55" w:rsidP="00E93E8B">
            <w:pPr>
              <w:pStyle w:val="Table"/>
              <w:keepNext/>
              <w:keepLines w:val="0"/>
              <w:widowControl w:val="0"/>
              <w:tabs>
                <w:tab w:val="clear" w:pos="284"/>
              </w:tabs>
              <w:spacing w:before="0" w:after="0"/>
              <w:rPr>
                <w:rFonts w:ascii="Times New Roman" w:hAnsi="Times New Roman"/>
                <w:sz w:val="22"/>
                <w:szCs w:val="22"/>
                <w:lang w:val="fr-FR" w:bidi="fr-FR"/>
              </w:rPr>
            </w:pPr>
            <w:r w:rsidRPr="007944F8">
              <w:rPr>
                <w:rFonts w:ascii="Times New Roman" w:hAnsi="Times New Roman"/>
                <w:sz w:val="22"/>
                <w:lang w:val="fr-FR" w:bidi="fr-FR"/>
              </w:rPr>
              <w:t>Fréquent</w:t>
            </w:r>
          </w:p>
        </w:tc>
      </w:tr>
      <w:tr w:rsidR="008F5A55" w:rsidRPr="007944F8" w14:paraId="014AB445" w14:textId="77777777" w:rsidTr="00311782">
        <w:tc>
          <w:tcPr>
            <w:tcW w:w="4927" w:type="dxa"/>
            <w:shd w:val="clear" w:color="auto" w:fill="auto"/>
          </w:tcPr>
          <w:p w14:paraId="39B4405B" w14:textId="77777777" w:rsidR="008F5A55" w:rsidRPr="007944F8" w:rsidRDefault="007B1220" w:rsidP="00E93E8B">
            <w:pPr>
              <w:pStyle w:val="Table"/>
              <w:keepNext/>
              <w:keepLines w:val="0"/>
              <w:widowControl w:val="0"/>
              <w:tabs>
                <w:tab w:val="clear" w:pos="284"/>
              </w:tabs>
              <w:spacing w:before="0" w:after="0"/>
              <w:rPr>
                <w:rFonts w:ascii="Times New Roman" w:hAnsi="Times New Roman"/>
                <w:sz w:val="22"/>
                <w:szCs w:val="22"/>
                <w:lang w:val="fr-FR" w:bidi="fr-FR"/>
              </w:rPr>
            </w:pPr>
            <w:r w:rsidRPr="007944F8">
              <w:rPr>
                <w:rFonts w:ascii="Times New Roman" w:hAnsi="Times New Roman"/>
                <w:sz w:val="22"/>
                <w:lang w:val="fr-FR" w:bidi="fr-FR"/>
              </w:rPr>
              <w:t>Constipation</w:t>
            </w:r>
          </w:p>
        </w:tc>
        <w:tc>
          <w:tcPr>
            <w:tcW w:w="4928" w:type="dxa"/>
            <w:shd w:val="clear" w:color="auto" w:fill="auto"/>
          </w:tcPr>
          <w:p w14:paraId="5315AAEA" w14:textId="77777777" w:rsidR="008F5A55" w:rsidRPr="007944F8" w:rsidRDefault="008F5A55" w:rsidP="00E93E8B">
            <w:pPr>
              <w:pStyle w:val="Table"/>
              <w:keepNext/>
              <w:keepLines w:val="0"/>
              <w:widowControl w:val="0"/>
              <w:tabs>
                <w:tab w:val="clear" w:pos="284"/>
              </w:tabs>
              <w:spacing w:before="0" w:after="0"/>
              <w:rPr>
                <w:rFonts w:ascii="Times New Roman" w:hAnsi="Times New Roman"/>
                <w:sz w:val="22"/>
                <w:szCs w:val="22"/>
                <w:lang w:val="fr-FR" w:bidi="fr-FR"/>
              </w:rPr>
            </w:pPr>
            <w:r w:rsidRPr="007944F8">
              <w:rPr>
                <w:rFonts w:ascii="Times New Roman" w:hAnsi="Times New Roman"/>
                <w:sz w:val="22"/>
                <w:lang w:val="fr-FR" w:bidi="fr-FR"/>
              </w:rPr>
              <w:t>Fréquent</w:t>
            </w:r>
          </w:p>
        </w:tc>
      </w:tr>
      <w:tr w:rsidR="008F5A55" w:rsidRPr="007944F8" w14:paraId="1D0A336B" w14:textId="77777777" w:rsidTr="00311782">
        <w:tc>
          <w:tcPr>
            <w:tcW w:w="4927" w:type="dxa"/>
            <w:shd w:val="clear" w:color="auto" w:fill="auto"/>
          </w:tcPr>
          <w:p w14:paraId="29F265B4" w14:textId="77777777" w:rsidR="008F5A55" w:rsidRPr="007944F8" w:rsidRDefault="008F5A55" w:rsidP="00E93E8B">
            <w:pPr>
              <w:pStyle w:val="Table"/>
              <w:keepLines w:val="0"/>
              <w:widowControl w:val="0"/>
              <w:tabs>
                <w:tab w:val="clear" w:pos="284"/>
              </w:tabs>
              <w:spacing w:before="0" w:after="0"/>
              <w:rPr>
                <w:rFonts w:ascii="Times New Roman" w:hAnsi="Times New Roman"/>
                <w:sz w:val="22"/>
                <w:szCs w:val="22"/>
                <w:lang w:val="fr-FR" w:bidi="fr-FR"/>
              </w:rPr>
            </w:pPr>
            <w:r w:rsidRPr="007944F8">
              <w:rPr>
                <w:rFonts w:ascii="Times New Roman" w:hAnsi="Times New Roman"/>
                <w:sz w:val="22"/>
                <w:lang w:val="fr-FR" w:bidi="fr-FR"/>
              </w:rPr>
              <w:t>Reflux gastro</w:t>
            </w:r>
            <w:r w:rsidRPr="007944F8">
              <w:rPr>
                <w:lang w:val="fr-FR" w:bidi="fr-FR"/>
              </w:rPr>
              <w:noBreakHyphen/>
            </w:r>
            <w:r w:rsidRPr="007944F8">
              <w:rPr>
                <w:rFonts w:ascii="Times New Roman" w:hAnsi="Times New Roman"/>
                <w:sz w:val="22"/>
                <w:lang w:val="fr-FR" w:bidi="fr-FR"/>
              </w:rPr>
              <w:t>œsophagien</w:t>
            </w:r>
          </w:p>
        </w:tc>
        <w:tc>
          <w:tcPr>
            <w:tcW w:w="4928" w:type="dxa"/>
            <w:shd w:val="clear" w:color="auto" w:fill="auto"/>
          </w:tcPr>
          <w:p w14:paraId="53346B6E" w14:textId="77777777" w:rsidR="008F5A55" w:rsidRPr="007944F8" w:rsidRDefault="008F5A55" w:rsidP="00E93E8B">
            <w:pPr>
              <w:pStyle w:val="Table"/>
              <w:keepLines w:val="0"/>
              <w:widowControl w:val="0"/>
              <w:tabs>
                <w:tab w:val="clear" w:pos="284"/>
              </w:tabs>
              <w:spacing w:before="0" w:after="0"/>
              <w:rPr>
                <w:rFonts w:ascii="Times New Roman" w:hAnsi="Times New Roman"/>
                <w:sz w:val="22"/>
                <w:szCs w:val="22"/>
                <w:lang w:val="fr-FR" w:bidi="fr-FR"/>
              </w:rPr>
            </w:pPr>
            <w:r w:rsidRPr="007944F8">
              <w:rPr>
                <w:rFonts w:ascii="Times New Roman" w:hAnsi="Times New Roman"/>
                <w:sz w:val="22"/>
                <w:lang w:val="fr-FR" w:bidi="fr-FR"/>
              </w:rPr>
              <w:t>Fréquent</w:t>
            </w:r>
          </w:p>
        </w:tc>
      </w:tr>
      <w:tr w:rsidR="000A65D4" w:rsidRPr="007944F8" w14:paraId="19B123CB" w14:textId="77777777" w:rsidTr="00311782">
        <w:tc>
          <w:tcPr>
            <w:tcW w:w="9855" w:type="dxa"/>
            <w:gridSpan w:val="2"/>
            <w:shd w:val="clear" w:color="auto" w:fill="auto"/>
          </w:tcPr>
          <w:p w14:paraId="2B634093" w14:textId="77777777" w:rsidR="000A65D4" w:rsidRPr="007944F8" w:rsidRDefault="000A65D4" w:rsidP="00E93E8B">
            <w:pPr>
              <w:pStyle w:val="Table"/>
              <w:keepNext/>
              <w:keepLines w:val="0"/>
              <w:widowControl w:val="0"/>
              <w:tabs>
                <w:tab w:val="clear" w:pos="284"/>
              </w:tabs>
              <w:spacing w:before="0" w:after="0"/>
              <w:rPr>
                <w:rFonts w:ascii="Times New Roman" w:hAnsi="Times New Roman"/>
                <w:sz w:val="22"/>
                <w:szCs w:val="22"/>
                <w:lang w:val="fr-FR" w:bidi="fr-FR"/>
              </w:rPr>
            </w:pPr>
            <w:r w:rsidRPr="007944F8">
              <w:rPr>
                <w:rFonts w:ascii="Times New Roman" w:hAnsi="Times New Roman"/>
                <w:b/>
                <w:sz w:val="22"/>
                <w:lang w:val="fr-FR" w:bidi="fr-FR"/>
              </w:rPr>
              <w:t>Affections de la peau et du tissu sous-cutané</w:t>
            </w:r>
          </w:p>
        </w:tc>
      </w:tr>
      <w:tr w:rsidR="008F5A55" w:rsidRPr="007944F8" w14:paraId="76D7F8B4" w14:textId="77777777" w:rsidTr="00311782">
        <w:tc>
          <w:tcPr>
            <w:tcW w:w="4927" w:type="dxa"/>
            <w:shd w:val="clear" w:color="auto" w:fill="auto"/>
          </w:tcPr>
          <w:p w14:paraId="3BB6D4CC" w14:textId="77777777" w:rsidR="008F5A55" w:rsidRPr="007944F8" w:rsidRDefault="008F5A55" w:rsidP="00E93E8B">
            <w:pPr>
              <w:pStyle w:val="Table"/>
              <w:keepNext/>
              <w:keepLines w:val="0"/>
              <w:widowControl w:val="0"/>
              <w:tabs>
                <w:tab w:val="clear" w:pos="284"/>
              </w:tabs>
              <w:spacing w:before="0" w:after="0"/>
              <w:rPr>
                <w:rFonts w:ascii="Times New Roman" w:hAnsi="Times New Roman"/>
                <w:sz w:val="22"/>
                <w:szCs w:val="22"/>
                <w:lang w:val="fr-FR" w:bidi="fr-FR"/>
              </w:rPr>
            </w:pPr>
            <w:r w:rsidRPr="007944F8">
              <w:rPr>
                <w:rFonts w:ascii="Times New Roman" w:hAnsi="Times New Roman"/>
                <w:sz w:val="22"/>
                <w:lang w:val="fr-FR" w:bidi="fr-FR"/>
              </w:rPr>
              <w:t>Alopécie</w:t>
            </w:r>
          </w:p>
        </w:tc>
        <w:tc>
          <w:tcPr>
            <w:tcW w:w="4928" w:type="dxa"/>
            <w:shd w:val="clear" w:color="auto" w:fill="auto"/>
          </w:tcPr>
          <w:p w14:paraId="700E7CD5" w14:textId="77777777" w:rsidR="008F5A55" w:rsidRPr="007944F8" w:rsidRDefault="008F5A55" w:rsidP="00E93E8B">
            <w:pPr>
              <w:pStyle w:val="Table"/>
              <w:keepNext/>
              <w:keepLines w:val="0"/>
              <w:widowControl w:val="0"/>
              <w:tabs>
                <w:tab w:val="clear" w:pos="284"/>
              </w:tabs>
              <w:spacing w:before="0" w:after="0"/>
              <w:rPr>
                <w:rFonts w:ascii="Times New Roman" w:hAnsi="Times New Roman"/>
                <w:sz w:val="22"/>
                <w:szCs w:val="22"/>
                <w:lang w:val="fr-FR" w:bidi="fr-FR"/>
              </w:rPr>
            </w:pPr>
            <w:r w:rsidRPr="007944F8">
              <w:rPr>
                <w:rFonts w:ascii="Times New Roman" w:hAnsi="Times New Roman"/>
                <w:sz w:val="22"/>
                <w:lang w:val="fr-FR" w:bidi="fr-FR"/>
              </w:rPr>
              <w:t>Très fréquent</w:t>
            </w:r>
          </w:p>
        </w:tc>
      </w:tr>
      <w:tr w:rsidR="008F5A55" w:rsidRPr="007944F8" w14:paraId="7BA8E033" w14:textId="77777777" w:rsidTr="00311782">
        <w:tc>
          <w:tcPr>
            <w:tcW w:w="4927" w:type="dxa"/>
            <w:shd w:val="clear" w:color="auto" w:fill="auto"/>
          </w:tcPr>
          <w:p w14:paraId="566CFF02" w14:textId="77777777" w:rsidR="008F5A55" w:rsidRPr="007944F8" w:rsidRDefault="008F5A55" w:rsidP="00E93E8B">
            <w:pPr>
              <w:pStyle w:val="Table"/>
              <w:keepNext/>
              <w:keepLines w:val="0"/>
              <w:widowControl w:val="0"/>
              <w:tabs>
                <w:tab w:val="clear" w:pos="284"/>
              </w:tabs>
              <w:spacing w:before="0" w:after="0"/>
              <w:rPr>
                <w:rFonts w:ascii="Times New Roman" w:hAnsi="Times New Roman"/>
                <w:sz w:val="22"/>
                <w:szCs w:val="22"/>
                <w:lang w:val="fr-FR" w:bidi="fr-FR"/>
              </w:rPr>
            </w:pPr>
            <w:r w:rsidRPr="007944F8">
              <w:rPr>
                <w:rFonts w:ascii="Times New Roman" w:hAnsi="Times New Roman"/>
                <w:sz w:val="22"/>
                <w:lang w:val="fr-FR" w:bidi="fr-FR"/>
              </w:rPr>
              <w:t>Prurit</w:t>
            </w:r>
          </w:p>
        </w:tc>
        <w:tc>
          <w:tcPr>
            <w:tcW w:w="4928" w:type="dxa"/>
            <w:shd w:val="clear" w:color="auto" w:fill="auto"/>
          </w:tcPr>
          <w:p w14:paraId="2E7FE60A" w14:textId="77777777" w:rsidR="008F5A55" w:rsidRPr="007944F8" w:rsidRDefault="00E4648B" w:rsidP="00E4648B">
            <w:pPr>
              <w:pStyle w:val="Table"/>
              <w:keepNext/>
              <w:keepLines w:val="0"/>
              <w:widowControl w:val="0"/>
              <w:tabs>
                <w:tab w:val="clear" w:pos="284"/>
              </w:tabs>
              <w:spacing w:before="0" w:after="0"/>
              <w:rPr>
                <w:rFonts w:ascii="Times New Roman" w:hAnsi="Times New Roman"/>
                <w:sz w:val="22"/>
                <w:szCs w:val="22"/>
                <w:lang w:val="fr-FR" w:bidi="fr-FR"/>
              </w:rPr>
            </w:pPr>
            <w:r w:rsidRPr="007944F8">
              <w:rPr>
                <w:rFonts w:ascii="Times New Roman" w:hAnsi="Times New Roman"/>
                <w:sz w:val="22"/>
                <w:lang w:val="fr-FR" w:bidi="fr-FR"/>
              </w:rPr>
              <w:t>Très fréquent</w:t>
            </w:r>
          </w:p>
        </w:tc>
      </w:tr>
      <w:tr w:rsidR="008F5A55" w:rsidRPr="007944F8" w14:paraId="6A23C52A" w14:textId="77777777" w:rsidTr="00311782">
        <w:tc>
          <w:tcPr>
            <w:tcW w:w="4927" w:type="dxa"/>
            <w:shd w:val="clear" w:color="auto" w:fill="auto"/>
          </w:tcPr>
          <w:p w14:paraId="18AE0B2D" w14:textId="77777777" w:rsidR="008F5A55" w:rsidRPr="007944F8" w:rsidRDefault="008F5A55" w:rsidP="00E93E8B">
            <w:pPr>
              <w:pStyle w:val="Table"/>
              <w:keepNext/>
              <w:keepLines w:val="0"/>
              <w:widowControl w:val="0"/>
              <w:tabs>
                <w:tab w:val="clear" w:pos="284"/>
              </w:tabs>
              <w:spacing w:before="0" w:after="0"/>
              <w:rPr>
                <w:rFonts w:ascii="Times New Roman" w:hAnsi="Times New Roman"/>
                <w:sz w:val="22"/>
                <w:szCs w:val="22"/>
                <w:lang w:val="fr-FR" w:bidi="fr-FR"/>
              </w:rPr>
            </w:pPr>
            <w:r w:rsidRPr="007944F8">
              <w:rPr>
                <w:rFonts w:ascii="Times New Roman" w:hAnsi="Times New Roman"/>
                <w:sz w:val="22"/>
                <w:lang w:val="fr-FR" w:bidi="fr-FR"/>
              </w:rPr>
              <w:t>Rash</w:t>
            </w:r>
          </w:p>
        </w:tc>
        <w:tc>
          <w:tcPr>
            <w:tcW w:w="4928" w:type="dxa"/>
            <w:shd w:val="clear" w:color="auto" w:fill="auto"/>
          </w:tcPr>
          <w:p w14:paraId="67EF808E" w14:textId="77777777" w:rsidR="008F5A55" w:rsidRPr="007944F8" w:rsidRDefault="008F5A55" w:rsidP="00E93E8B">
            <w:pPr>
              <w:pStyle w:val="Table"/>
              <w:keepNext/>
              <w:keepLines w:val="0"/>
              <w:widowControl w:val="0"/>
              <w:tabs>
                <w:tab w:val="clear" w:pos="284"/>
              </w:tabs>
              <w:spacing w:before="0" w:after="0"/>
              <w:rPr>
                <w:rFonts w:ascii="Times New Roman" w:hAnsi="Times New Roman"/>
                <w:sz w:val="22"/>
                <w:szCs w:val="22"/>
                <w:lang w:val="fr-FR" w:bidi="fr-FR"/>
              </w:rPr>
            </w:pPr>
            <w:r w:rsidRPr="007944F8">
              <w:rPr>
                <w:rFonts w:ascii="Times New Roman" w:hAnsi="Times New Roman"/>
                <w:sz w:val="22"/>
                <w:lang w:val="fr-FR" w:bidi="fr-FR"/>
              </w:rPr>
              <w:t>Fréquent</w:t>
            </w:r>
          </w:p>
        </w:tc>
      </w:tr>
      <w:tr w:rsidR="008F5A55" w:rsidRPr="007944F8" w14:paraId="0D04FB9A" w14:textId="77777777" w:rsidTr="00311782">
        <w:tc>
          <w:tcPr>
            <w:tcW w:w="4927" w:type="dxa"/>
            <w:shd w:val="clear" w:color="auto" w:fill="auto"/>
          </w:tcPr>
          <w:p w14:paraId="794FC694" w14:textId="77777777" w:rsidR="008F5A55" w:rsidRPr="007944F8" w:rsidRDefault="008F5A55" w:rsidP="00E93E8B">
            <w:pPr>
              <w:pStyle w:val="Table"/>
              <w:keepLines w:val="0"/>
              <w:widowControl w:val="0"/>
              <w:tabs>
                <w:tab w:val="clear" w:pos="284"/>
              </w:tabs>
              <w:spacing w:before="0" w:after="0"/>
              <w:rPr>
                <w:rFonts w:ascii="Times New Roman" w:hAnsi="Times New Roman"/>
                <w:sz w:val="22"/>
                <w:szCs w:val="22"/>
                <w:lang w:val="fr-FR" w:bidi="fr-FR"/>
              </w:rPr>
            </w:pPr>
            <w:r w:rsidRPr="007944F8">
              <w:rPr>
                <w:rFonts w:ascii="Times New Roman" w:hAnsi="Times New Roman"/>
                <w:sz w:val="22"/>
                <w:lang w:val="fr-FR" w:bidi="fr-FR"/>
              </w:rPr>
              <w:t>Pilosité anormale</w:t>
            </w:r>
          </w:p>
        </w:tc>
        <w:tc>
          <w:tcPr>
            <w:tcW w:w="4928" w:type="dxa"/>
            <w:shd w:val="clear" w:color="auto" w:fill="auto"/>
          </w:tcPr>
          <w:p w14:paraId="0482124E" w14:textId="77777777" w:rsidR="008F5A55" w:rsidRPr="007944F8" w:rsidRDefault="008F5A55" w:rsidP="00E93E8B">
            <w:pPr>
              <w:pStyle w:val="Table"/>
              <w:keepLines w:val="0"/>
              <w:widowControl w:val="0"/>
              <w:tabs>
                <w:tab w:val="clear" w:pos="284"/>
              </w:tabs>
              <w:spacing w:before="0" w:after="0"/>
              <w:rPr>
                <w:rFonts w:ascii="Times New Roman" w:hAnsi="Times New Roman"/>
                <w:sz w:val="22"/>
                <w:szCs w:val="22"/>
                <w:lang w:val="fr-FR" w:bidi="fr-FR"/>
              </w:rPr>
            </w:pPr>
            <w:r w:rsidRPr="007944F8">
              <w:rPr>
                <w:rFonts w:ascii="Times New Roman" w:hAnsi="Times New Roman"/>
                <w:sz w:val="22"/>
                <w:lang w:val="fr-FR" w:bidi="fr-FR"/>
              </w:rPr>
              <w:t>Fréquent</w:t>
            </w:r>
          </w:p>
        </w:tc>
      </w:tr>
      <w:tr w:rsidR="000A65D4" w:rsidRPr="007944F8" w14:paraId="7311F111" w14:textId="77777777" w:rsidTr="00311782">
        <w:tc>
          <w:tcPr>
            <w:tcW w:w="9855" w:type="dxa"/>
            <w:gridSpan w:val="2"/>
            <w:shd w:val="clear" w:color="auto" w:fill="auto"/>
          </w:tcPr>
          <w:p w14:paraId="1334FE71" w14:textId="77777777" w:rsidR="000A65D4" w:rsidRPr="007944F8" w:rsidRDefault="000A65D4" w:rsidP="00E93E8B">
            <w:pPr>
              <w:pStyle w:val="Table"/>
              <w:keepNext/>
              <w:keepLines w:val="0"/>
              <w:widowControl w:val="0"/>
              <w:tabs>
                <w:tab w:val="clear" w:pos="284"/>
              </w:tabs>
              <w:spacing w:before="0" w:after="0"/>
              <w:rPr>
                <w:rFonts w:ascii="Times New Roman" w:hAnsi="Times New Roman"/>
                <w:sz w:val="22"/>
                <w:szCs w:val="22"/>
                <w:lang w:val="fr-FR" w:bidi="fr-FR"/>
              </w:rPr>
            </w:pPr>
            <w:r w:rsidRPr="007944F8">
              <w:rPr>
                <w:rFonts w:ascii="Times New Roman" w:hAnsi="Times New Roman"/>
                <w:b/>
                <w:sz w:val="22"/>
                <w:lang w:val="fr-FR" w:bidi="fr-FR"/>
              </w:rPr>
              <w:t>Affections musculo-squelettiques et systémiques</w:t>
            </w:r>
          </w:p>
        </w:tc>
      </w:tr>
      <w:tr w:rsidR="008F5A55" w:rsidRPr="007944F8" w14:paraId="0670F55B" w14:textId="77777777" w:rsidTr="00311782">
        <w:tc>
          <w:tcPr>
            <w:tcW w:w="4927" w:type="dxa"/>
            <w:shd w:val="clear" w:color="auto" w:fill="auto"/>
          </w:tcPr>
          <w:p w14:paraId="125A05FA" w14:textId="77777777" w:rsidR="008F5A55" w:rsidRPr="007944F8" w:rsidRDefault="008F5A55" w:rsidP="00E93E8B">
            <w:pPr>
              <w:pStyle w:val="Table"/>
              <w:keepNext/>
              <w:keepLines w:val="0"/>
              <w:widowControl w:val="0"/>
              <w:tabs>
                <w:tab w:val="clear" w:pos="284"/>
              </w:tabs>
              <w:spacing w:before="0" w:after="0"/>
              <w:rPr>
                <w:rFonts w:ascii="Times New Roman" w:hAnsi="Times New Roman"/>
                <w:sz w:val="22"/>
                <w:szCs w:val="22"/>
                <w:lang w:val="fr-FR" w:bidi="fr-FR"/>
              </w:rPr>
            </w:pPr>
            <w:r w:rsidRPr="007944F8">
              <w:rPr>
                <w:rFonts w:ascii="Times New Roman" w:hAnsi="Times New Roman"/>
                <w:sz w:val="22"/>
                <w:lang w:val="fr-FR" w:bidi="fr-FR"/>
              </w:rPr>
              <w:t>Spasmes musculaires</w:t>
            </w:r>
          </w:p>
        </w:tc>
        <w:tc>
          <w:tcPr>
            <w:tcW w:w="4928" w:type="dxa"/>
            <w:shd w:val="clear" w:color="auto" w:fill="auto"/>
          </w:tcPr>
          <w:p w14:paraId="22A3F168" w14:textId="77777777" w:rsidR="008F5A55" w:rsidRPr="007944F8" w:rsidRDefault="008F5A55" w:rsidP="00E93E8B">
            <w:pPr>
              <w:pStyle w:val="Table"/>
              <w:keepNext/>
              <w:keepLines w:val="0"/>
              <w:widowControl w:val="0"/>
              <w:tabs>
                <w:tab w:val="clear" w:pos="284"/>
              </w:tabs>
              <w:spacing w:before="0" w:after="0"/>
              <w:rPr>
                <w:rFonts w:ascii="Times New Roman" w:hAnsi="Times New Roman"/>
                <w:sz w:val="22"/>
                <w:szCs w:val="22"/>
                <w:lang w:val="fr-FR" w:bidi="fr-FR"/>
              </w:rPr>
            </w:pPr>
            <w:r w:rsidRPr="007944F8">
              <w:rPr>
                <w:rFonts w:ascii="Times New Roman" w:hAnsi="Times New Roman"/>
                <w:sz w:val="22"/>
                <w:lang w:val="fr-FR" w:bidi="fr-FR"/>
              </w:rPr>
              <w:t>Très fréquent</w:t>
            </w:r>
          </w:p>
        </w:tc>
      </w:tr>
      <w:tr w:rsidR="008F5A55" w:rsidRPr="007944F8" w14:paraId="26E0FF0A" w14:textId="77777777" w:rsidTr="00311782">
        <w:tc>
          <w:tcPr>
            <w:tcW w:w="4927" w:type="dxa"/>
            <w:shd w:val="clear" w:color="auto" w:fill="auto"/>
          </w:tcPr>
          <w:p w14:paraId="36815DFB" w14:textId="77777777" w:rsidR="008F5A55" w:rsidRPr="007944F8" w:rsidRDefault="00B23363" w:rsidP="00E93E8B">
            <w:pPr>
              <w:pStyle w:val="Table"/>
              <w:keepNext/>
              <w:keepLines w:val="0"/>
              <w:widowControl w:val="0"/>
              <w:tabs>
                <w:tab w:val="clear" w:pos="284"/>
              </w:tabs>
              <w:spacing w:before="0" w:after="0"/>
              <w:rPr>
                <w:rFonts w:ascii="Times New Roman" w:hAnsi="Times New Roman"/>
                <w:sz w:val="22"/>
                <w:szCs w:val="22"/>
                <w:lang w:val="fr-FR" w:bidi="fr-FR"/>
              </w:rPr>
            </w:pPr>
            <w:r w:rsidRPr="007944F8">
              <w:rPr>
                <w:rFonts w:ascii="Times New Roman" w:hAnsi="Times New Roman"/>
                <w:sz w:val="22"/>
                <w:lang w:val="fr-FR" w:bidi="fr-FR"/>
              </w:rPr>
              <w:t>Douleur</w:t>
            </w:r>
            <w:r w:rsidR="007B1220" w:rsidRPr="007944F8">
              <w:rPr>
                <w:rFonts w:ascii="Times New Roman" w:hAnsi="Times New Roman"/>
                <w:sz w:val="22"/>
                <w:lang w:val="fr-FR" w:bidi="fr-FR"/>
              </w:rPr>
              <w:t xml:space="preserve"> musculo-squelettique</w:t>
            </w:r>
          </w:p>
        </w:tc>
        <w:tc>
          <w:tcPr>
            <w:tcW w:w="4928" w:type="dxa"/>
            <w:shd w:val="clear" w:color="auto" w:fill="auto"/>
          </w:tcPr>
          <w:p w14:paraId="1BFF2952" w14:textId="77777777" w:rsidR="008F5A55" w:rsidRPr="007944F8" w:rsidRDefault="008F5A55" w:rsidP="00E93E8B">
            <w:pPr>
              <w:pStyle w:val="Table"/>
              <w:keepNext/>
              <w:keepLines w:val="0"/>
              <w:widowControl w:val="0"/>
              <w:tabs>
                <w:tab w:val="clear" w:pos="284"/>
              </w:tabs>
              <w:spacing w:before="0" w:after="0"/>
              <w:rPr>
                <w:rFonts w:ascii="Times New Roman" w:hAnsi="Times New Roman"/>
                <w:sz w:val="22"/>
                <w:szCs w:val="22"/>
                <w:lang w:val="fr-FR" w:bidi="fr-FR"/>
              </w:rPr>
            </w:pPr>
            <w:r w:rsidRPr="007944F8">
              <w:rPr>
                <w:rFonts w:ascii="Times New Roman" w:hAnsi="Times New Roman"/>
                <w:sz w:val="22"/>
                <w:lang w:val="fr-FR" w:bidi="fr-FR"/>
              </w:rPr>
              <w:t>Très fréquent</w:t>
            </w:r>
          </w:p>
        </w:tc>
      </w:tr>
      <w:tr w:rsidR="008F5A55" w:rsidRPr="007944F8" w14:paraId="69DB14CA" w14:textId="77777777" w:rsidTr="00311782">
        <w:tc>
          <w:tcPr>
            <w:tcW w:w="4927" w:type="dxa"/>
            <w:shd w:val="clear" w:color="auto" w:fill="auto"/>
          </w:tcPr>
          <w:p w14:paraId="20A4EAB7" w14:textId="77777777" w:rsidR="008F5A55" w:rsidRPr="007944F8" w:rsidRDefault="007B1220" w:rsidP="00E93E8B">
            <w:pPr>
              <w:pStyle w:val="Table"/>
              <w:keepNext/>
              <w:keepLines w:val="0"/>
              <w:widowControl w:val="0"/>
              <w:tabs>
                <w:tab w:val="clear" w:pos="284"/>
              </w:tabs>
              <w:spacing w:before="0" w:after="0"/>
              <w:rPr>
                <w:rFonts w:ascii="Times New Roman" w:hAnsi="Times New Roman"/>
                <w:sz w:val="22"/>
                <w:szCs w:val="22"/>
                <w:lang w:val="fr-FR" w:bidi="fr-FR"/>
              </w:rPr>
            </w:pPr>
            <w:r w:rsidRPr="007944F8">
              <w:rPr>
                <w:rFonts w:ascii="Times New Roman" w:hAnsi="Times New Roman"/>
                <w:sz w:val="22"/>
                <w:lang w:val="fr-FR" w:bidi="fr-FR"/>
              </w:rPr>
              <w:t>Myalgie</w:t>
            </w:r>
          </w:p>
        </w:tc>
        <w:tc>
          <w:tcPr>
            <w:tcW w:w="4928" w:type="dxa"/>
            <w:shd w:val="clear" w:color="auto" w:fill="auto"/>
          </w:tcPr>
          <w:p w14:paraId="71CD3E47" w14:textId="77777777" w:rsidR="008F5A55" w:rsidRPr="007944F8" w:rsidRDefault="008F5A55" w:rsidP="00E93E8B">
            <w:pPr>
              <w:pStyle w:val="Table"/>
              <w:keepNext/>
              <w:keepLines w:val="0"/>
              <w:widowControl w:val="0"/>
              <w:tabs>
                <w:tab w:val="clear" w:pos="284"/>
              </w:tabs>
              <w:spacing w:before="0" w:after="0"/>
              <w:rPr>
                <w:rFonts w:ascii="Times New Roman" w:hAnsi="Times New Roman"/>
                <w:sz w:val="22"/>
                <w:szCs w:val="22"/>
                <w:lang w:val="fr-FR" w:bidi="fr-FR"/>
              </w:rPr>
            </w:pPr>
            <w:r w:rsidRPr="007944F8">
              <w:rPr>
                <w:rFonts w:ascii="Times New Roman" w:hAnsi="Times New Roman"/>
                <w:sz w:val="22"/>
                <w:lang w:val="fr-FR" w:bidi="fr-FR"/>
              </w:rPr>
              <w:t>Très fréquent</w:t>
            </w:r>
          </w:p>
        </w:tc>
      </w:tr>
      <w:tr w:rsidR="008F5A55" w:rsidRPr="007944F8" w14:paraId="0DB91B76" w14:textId="77777777" w:rsidTr="00311782">
        <w:tc>
          <w:tcPr>
            <w:tcW w:w="4927" w:type="dxa"/>
            <w:shd w:val="clear" w:color="auto" w:fill="auto"/>
          </w:tcPr>
          <w:p w14:paraId="14B971E9" w14:textId="77777777" w:rsidR="008F5A55" w:rsidRPr="007944F8" w:rsidRDefault="008F5A55" w:rsidP="00E93E8B">
            <w:pPr>
              <w:pStyle w:val="Table"/>
              <w:keepLines w:val="0"/>
              <w:widowControl w:val="0"/>
              <w:tabs>
                <w:tab w:val="clear" w:pos="284"/>
              </w:tabs>
              <w:spacing w:before="0" w:after="0"/>
              <w:rPr>
                <w:rFonts w:ascii="Times New Roman" w:hAnsi="Times New Roman"/>
                <w:sz w:val="22"/>
                <w:szCs w:val="22"/>
                <w:lang w:val="fr-FR" w:bidi="fr-FR"/>
              </w:rPr>
            </w:pPr>
            <w:r w:rsidRPr="007944F8">
              <w:rPr>
                <w:rFonts w:ascii="Times New Roman" w:hAnsi="Times New Roman"/>
                <w:sz w:val="22"/>
                <w:lang w:val="fr-FR" w:bidi="fr-FR"/>
              </w:rPr>
              <w:t>Myopathie</w:t>
            </w:r>
          </w:p>
          <w:p w14:paraId="2953BA08" w14:textId="77777777" w:rsidR="00BD5903" w:rsidRPr="007944F8" w:rsidRDefault="00BD5903" w:rsidP="00E93E8B">
            <w:pPr>
              <w:pStyle w:val="Table"/>
              <w:keepLines w:val="0"/>
              <w:widowControl w:val="0"/>
              <w:tabs>
                <w:tab w:val="clear" w:pos="284"/>
              </w:tabs>
              <w:spacing w:before="0" w:after="0"/>
              <w:rPr>
                <w:rFonts w:ascii="Times New Roman" w:hAnsi="Times New Roman"/>
                <w:sz w:val="22"/>
                <w:szCs w:val="22"/>
                <w:lang w:val="fr-FR" w:bidi="fr-FR"/>
              </w:rPr>
            </w:pPr>
            <w:r w:rsidRPr="007944F8">
              <w:rPr>
                <w:rFonts w:ascii="Times New Roman" w:hAnsi="Times New Roman"/>
                <w:sz w:val="22"/>
                <w:lang w:val="fr-FR" w:bidi="fr-FR"/>
              </w:rPr>
              <w:t>[fatigue musculaire et faiblesse musculaire]</w:t>
            </w:r>
          </w:p>
        </w:tc>
        <w:tc>
          <w:tcPr>
            <w:tcW w:w="4928" w:type="dxa"/>
            <w:shd w:val="clear" w:color="auto" w:fill="auto"/>
          </w:tcPr>
          <w:p w14:paraId="0C149C34" w14:textId="77777777" w:rsidR="008F5A55" w:rsidRPr="007944F8" w:rsidRDefault="008F5A55" w:rsidP="00E93E8B">
            <w:pPr>
              <w:pStyle w:val="Table"/>
              <w:keepLines w:val="0"/>
              <w:widowControl w:val="0"/>
              <w:tabs>
                <w:tab w:val="clear" w:pos="284"/>
              </w:tabs>
              <w:spacing w:before="0" w:after="0"/>
              <w:rPr>
                <w:rFonts w:ascii="Times New Roman" w:hAnsi="Times New Roman"/>
                <w:sz w:val="22"/>
                <w:szCs w:val="22"/>
                <w:lang w:val="fr-FR" w:bidi="fr-FR"/>
              </w:rPr>
            </w:pPr>
            <w:r w:rsidRPr="007944F8">
              <w:rPr>
                <w:rFonts w:ascii="Times New Roman" w:hAnsi="Times New Roman"/>
                <w:sz w:val="22"/>
                <w:lang w:val="fr-FR" w:bidi="fr-FR"/>
              </w:rPr>
              <w:t>Fréquent</w:t>
            </w:r>
          </w:p>
        </w:tc>
      </w:tr>
      <w:tr w:rsidR="002130C4" w:rsidRPr="007944F8" w14:paraId="070C2717" w14:textId="77777777" w:rsidTr="00311782">
        <w:tc>
          <w:tcPr>
            <w:tcW w:w="4927" w:type="dxa"/>
            <w:shd w:val="clear" w:color="auto" w:fill="auto"/>
          </w:tcPr>
          <w:p w14:paraId="115F238F" w14:textId="77777777" w:rsidR="002130C4" w:rsidRPr="007944F8" w:rsidRDefault="002130C4" w:rsidP="00E93E8B">
            <w:pPr>
              <w:pStyle w:val="Table"/>
              <w:keepLines w:val="0"/>
              <w:widowControl w:val="0"/>
              <w:tabs>
                <w:tab w:val="clear" w:pos="284"/>
              </w:tabs>
              <w:spacing w:before="0" w:after="0"/>
              <w:rPr>
                <w:rFonts w:ascii="Times New Roman" w:hAnsi="Times New Roman"/>
                <w:b/>
                <w:sz w:val="22"/>
                <w:lang w:val="fr-FR" w:bidi="fr-FR"/>
              </w:rPr>
            </w:pPr>
            <w:r w:rsidRPr="007944F8">
              <w:rPr>
                <w:rFonts w:ascii="Times New Roman" w:hAnsi="Times New Roman"/>
                <w:b/>
                <w:sz w:val="22"/>
                <w:lang w:val="fr-FR" w:bidi="fr-FR"/>
              </w:rPr>
              <w:t>Affections des organes de reproduction et du sein</w:t>
            </w:r>
          </w:p>
        </w:tc>
        <w:tc>
          <w:tcPr>
            <w:tcW w:w="4928" w:type="dxa"/>
            <w:shd w:val="clear" w:color="auto" w:fill="auto"/>
          </w:tcPr>
          <w:p w14:paraId="09E3E671" w14:textId="77777777" w:rsidR="002130C4" w:rsidRPr="007944F8" w:rsidRDefault="002130C4" w:rsidP="00E93E8B">
            <w:pPr>
              <w:pStyle w:val="Table"/>
              <w:keepLines w:val="0"/>
              <w:widowControl w:val="0"/>
              <w:tabs>
                <w:tab w:val="clear" w:pos="284"/>
              </w:tabs>
              <w:spacing w:before="0" w:after="0"/>
              <w:rPr>
                <w:rFonts w:ascii="Times New Roman" w:hAnsi="Times New Roman"/>
                <w:sz w:val="22"/>
                <w:lang w:val="fr-FR" w:bidi="fr-FR"/>
              </w:rPr>
            </w:pPr>
          </w:p>
        </w:tc>
      </w:tr>
      <w:tr w:rsidR="002130C4" w:rsidRPr="007944F8" w14:paraId="33092CC4" w14:textId="77777777" w:rsidTr="00311782">
        <w:tc>
          <w:tcPr>
            <w:tcW w:w="4927" w:type="dxa"/>
            <w:shd w:val="clear" w:color="auto" w:fill="auto"/>
          </w:tcPr>
          <w:p w14:paraId="78444D02" w14:textId="77777777" w:rsidR="002130C4" w:rsidRPr="007944F8" w:rsidRDefault="002130C4" w:rsidP="00E93E8B">
            <w:pPr>
              <w:pStyle w:val="Table"/>
              <w:keepLines w:val="0"/>
              <w:widowControl w:val="0"/>
              <w:tabs>
                <w:tab w:val="clear" w:pos="284"/>
              </w:tabs>
              <w:spacing w:before="0" w:after="0"/>
              <w:rPr>
                <w:rFonts w:ascii="Times New Roman" w:hAnsi="Times New Roman"/>
                <w:sz w:val="22"/>
                <w:lang w:val="fr-FR" w:bidi="fr-FR"/>
              </w:rPr>
            </w:pPr>
            <w:r w:rsidRPr="007944F8">
              <w:rPr>
                <w:rFonts w:ascii="Times New Roman" w:hAnsi="Times New Roman"/>
                <w:sz w:val="22"/>
                <w:lang w:val="fr-FR" w:bidi="fr-FR"/>
              </w:rPr>
              <w:t>Aménorrhée*</w:t>
            </w:r>
          </w:p>
        </w:tc>
        <w:tc>
          <w:tcPr>
            <w:tcW w:w="4928" w:type="dxa"/>
            <w:shd w:val="clear" w:color="auto" w:fill="auto"/>
          </w:tcPr>
          <w:p w14:paraId="6F4B33A5" w14:textId="77777777" w:rsidR="002130C4" w:rsidRPr="007944F8" w:rsidRDefault="002130C4" w:rsidP="00E93E8B">
            <w:pPr>
              <w:pStyle w:val="Table"/>
              <w:keepLines w:val="0"/>
              <w:widowControl w:val="0"/>
              <w:tabs>
                <w:tab w:val="clear" w:pos="284"/>
              </w:tabs>
              <w:spacing w:before="0" w:after="0"/>
              <w:rPr>
                <w:rFonts w:ascii="Times New Roman" w:hAnsi="Times New Roman"/>
                <w:sz w:val="22"/>
                <w:lang w:val="fr-FR" w:bidi="fr-FR"/>
              </w:rPr>
            </w:pPr>
            <w:r w:rsidRPr="007944F8">
              <w:rPr>
                <w:rFonts w:ascii="Times New Roman" w:hAnsi="Times New Roman"/>
                <w:sz w:val="22"/>
                <w:lang w:val="fr-FR" w:bidi="fr-FR"/>
              </w:rPr>
              <w:t>Très fréquent</w:t>
            </w:r>
          </w:p>
        </w:tc>
      </w:tr>
      <w:tr w:rsidR="000A65D4" w:rsidRPr="007944F8" w14:paraId="65FE6188" w14:textId="77777777" w:rsidTr="00311782">
        <w:tc>
          <w:tcPr>
            <w:tcW w:w="9855" w:type="dxa"/>
            <w:gridSpan w:val="2"/>
            <w:shd w:val="clear" w:color="auto" w:fill="auto"/>
          </w:tcPr>
          <w:p w14:paraId="02071D5E" w14:textId="77777777" w:rsidR="000A65D4" w:rsidRPr="007944F8" w:rsidRDefault="000A65D4" w:rsidP="00E93E8B">
            <w:pPr>
              <w:pStyle w:val="Table"/>
              <w:keepNext/>
              <w:keepLines w:val="0"/>
              <w:widowControl w:val="0"/>
              <w:tabs>
                <w:tab w:val="clear" w:pos="284"/>
              </w:tabs>
              <w:spacing w:before="0" w:after="0"/>
              <w:rPr>
                <w:rFonts w:ascii="Times New Roman" w:hAnsi="Times New Roman"/>
                <w:sz w:val="22"/>
                <w:szCs w:val="22"/>
                <w:lang w:val="fr-FR" w:bidi="fr-FR"/>
              </w:rPr>
            </w:pPr>
            <w:r w:rsidRPr="007944F8">
              <w:rPr>
                <w:rFonts w:ascii="Times New Roman" w:hAnsi="Times New Roman"/>
                <w:b/>
                <w:sz w:val="22"/>
                <w:lang w:val="fr-FR" w:bidi="fr-FR"/>
              </w:rPr>
              <w:t>Troubles généraux et anomalies au site d’administration</w:t>
            </w:r>
          </w:p>
        </w:tc>
      </w:tr>
      <w:tr w:rsidR="008F5A55" w:rsidRPr="007944F8" w14:paraId="3256A973" w14:textId="77777777" w:rsidTr="00311782">
        <w:tc>
          <w:tcPr>
            <w:tcW w:w="4927" w:type="dxa"/>
            <w:shd w:val="clear" w:color="auto" w:fill="auto"/>
          </w:tcPr>
          <w:p w14:paraId="6AF09C10" w14:textId="77777777" w:rsidR="008F5A55" w:rsidRPr="007944F8" w:rsidRDefault="008F5A55" w:rsidP="00E93E8B">
            <w:pPr>
              <w:pStyle w:val="Table"/>
              <w:keepNext/>
              <w:keepLines w:val="0"/>
              <w:widowControl w:val="0"/>
              <w:tabs>
                <w:tab w:val="clear" w:pos="284"/>
              </w:tabs>
              <w:spacing w:before="0" w:after="0"/>
              <w:rPr>
                <w:rFonts w:ascii="Times New Roman" w:hAnsi="Times New Roman"/>
                <w:sz w:val="22"/>
                <w:szCs w:val="22"/>
                <w:lang w:val="fr-FR" w:bidi="fr-FR"/>
              </w:rPr>
            </w:pPr>
            <w:r w:rsidRPr="007944F8">
              <w:rPr>
                <w:rFonts w:ascii="Times New Roman" w:hAnsi="Times New Roman"/>
                <w:sz w:val="22"/>
                <w:lang w:val="fr-FR" w:bidi="fr-FR"/>
              </w:rPr>
              <w:t>Fatigue</w:t>
            </w:r>
          </w:p>
        </w:tc>
        <w:tc>
          <w:tcPr>
            <w:tcW w:w="4928" w:type="dxa"/>
            <w:shd w:val="clear" w:color="auto" w:fill="auto"/>
          </w:tcPr>
          <w:p w14:paraId="2B9FF3BF" w14:textId="77777777" w:rsidR="008F5A55" w:rsidRPr="007944F8" w:rsidRDefault="008F5A55" w:rsidP="00E93E8B">
            <w:pPr>
              <w:pStyle w:val="Table"/>
              <w:keepNext/>
              <w:keepLines w:val="0"/>
              <w:widowControl w:val="0"/>
              <w:tabs>
                <w:tab w:val="clear" w:pos="284"/>
              </w:tabs>
              <w:spacing w:before="0" w:after="0"/>
              <w:rPr>
                <w:rFonts w:ascii="Times New Roman" w:hAnsi="Times New Roman"/>
                <w:sz w:val="22"/>
                <w:szCs w:val="22"/>
                <w:lang w:val="fr-FR" w:bidi="fr-FR"/>
              </w:rPr>
            </w:pPr>
            <w:r w:rsidRPr="007944F8">
              <w:rPr>
                <w:rFonts w:ascii="Times New Roman" w:hAnsi="Times New Roman"/>
                <w:sz w:val="22"/>
                <w:lang w:val="fr-FR" w:bidi="fr-FR"/>
              </w:rPr>
              <w:t>Très fréquent</w:t>
            </w:r>
          </w:p>
        </w:tc>
      </w:tr>
      <w:tr w:rsidR="008F5A55" w:rsidRPr="007944F8" w14:paraId="553B0F17" w14:textId="77777777" w:rsidTr="00311782">
        <w:tc>
          <w:tcPr>
            <w:tcW w:w="4927" w:type="dxa"/>
            <w:shd w:val="clear" w:color="auto" w:fill="auto"/>
          </w:tcPr>
          <w:p w14:paraId="41AF6A0F" w14:textId="77777777" w:rsidR="008F5A55" w:rsidRPr="007944F8" w:rsidRDefault="008F5A55" w:rsidP="00E93E8B">
            <w:pPr>
              <w:pStyle w:val="Table"/>
              <w:keepLines w:val="0"/>
              <w:widowControl w:val="0"/>
              <w:tabs>
                <w:tab w:val="clear" w:pos="284"/>
              </w:tabs>
              <w:spacing w:before="0" w:after="0"/>
              <w:rPr>
                <w:rFonts w:ascii="Times New Roman" w:hAnsi="Times New Roman"/>
                <w:sz w:val="22"/>
                <w:szCs w:val="22"/>
                <w:lang w:val="fr-FR" w:bidi="fr-FR"/>
              </w:rPr>
            </w:pPr>
            <w:r w:rsidRPr="007944F8">
              <w:rPr>
                <w:rFonts w:ascii="Times New Roman" w:hAnsi="Times New Roman"/>
                <w:sz w:val="22"/>
                <w:lang w:val="fr-FR" w:bidi="fr-FR"/>
              </w:rPr>
              <w:t>Douleur</w:t>
            </w:r>
          </w:p>
        </w:tc>
        <w:tc>
          <w:tcPr>
            <w:tcW w:w="4928" w:type="dxa"/>
            <w:shd w:val="clear" w:color="auto" w:fill="auto"/>
          </w:tcPr>
          <w:p w14:paraId="01848DA8" w14:textId="77777777" w:rsidR="008F5A55" w:rsidRPr="007944F8" w:rsidRDefault="008F5A55" w:rsidP="00E93E8B">
            <w:pPr>
              <w:pStyle w:val="Table"/>
              <w:keepLines w:val="0"/>
              <w:widowControl w:val="0"/>
              <w:tabs>
                <w:tab w:val="clear" w:pos="284"/>
              </w:tabs>
              <w:spacing w:before="0" w:after="0"/>
              <w:rPr>
                <w:rFonts w:ascii="Times New Roman" w:hAnsi="Times New Roman"/>
                <w:sz w:val="22"/>
                <w:szCs w:val="22"/>
                <w:lang w:val="fr-FR" w:bidi="fr-FR"/>
              </w:rPr>
            </w:pPr>
            <w:r w:rsidRPr="007944F8">
              <w:rPr>
                <w:rFonts w:ascii="Times New Roman" w:hAnsi="Times New Roman"/>
                <w:sz w:val="22"/>
                <w:lang w:val="fr-FR" w:bidi="fr-FR"/>
              </w:rPr>
              <w:t>Très fréquent</w:t>
            </w:r>
          </w:p>
        </w:tc>
      </w:tr>
      <w:tr w:rsidR="00847863" w:rsidRPr="007944F8" w14:paraId="14D31A9C" w14:textId="77777777" w:rsidTr="00311782">
        <w:tc>
          <w:tcPr>
            <w:tcW w:w="9855" w:type="dxa"/>
            <w:gridSpan w:val="2"/>
            <w:shd w:val="clear" w:color="auto" w:fill="auto"/>
          </w:tcPr>
          <w:p w14:paraId="55BED3E0" w14:textId="77777777" w:rsidR="00847863" w:rsidRPr="007944F8" w:rsidRDefault="00847863" w:rsidP="00E93E8B">
            <w:pPr>
              <w:pStyle w:val="Table"/>
              <w:keepNext/>
              <w:keepLines w:val="0"/>
              <w:widowControl w:val="0"/>
              <w:tabs>
                <w:tab w:val="clear" w:pos="284"/>
              </w:tabs>
              <w:spacing w:before="0" w:after="0"/>
              <w:rPr>
                <w:rFonts w:ascii="Times New Roman" w:hAnsi="Times New Roman"/>
                <w:sz w:val="22"/>
                <w:szCs w:val="22"/>
                <w:lang w:val="fr-FR" w:bidi="fr-FR"/>
              </w:rPr>
            </w:pPr>
            <w:r w:rsidRPr="007944F8">
              <w:rPr>
                <w:rFonts w:ascii="Times New Roman" w:hAnsi="Times New Roman"/>
                <w:b/>
                <w:sz w:val="22"/>
                <w:lang w:val="fr-FR" w:bidi="fr-FR"/>
              </w:rPr>
              <w:t>Investigations</w:t>
            </w:r>
          </w:p>
        </w:tc>
      </w:tr>
      <w:tr w:rsidR="008F5A55" w:rsidRPr="007944F8" w14:paraId="2D3FA563" w14:textId="77777777" w:rsidTr="00311782">
        <w:tc>
          <w:tcPr>
            <w:tcW w:w="4927" w:type="dxa"/>
            <w:shd w:val="clear" w:color="auto" w:fill="auto"/>
          </w:tcPr>
          <w:p w14:paraId="01B08B2C" w14:textId="77777777" w:rsidR="008F5A55" w:rsidRPr="007944F8" w:rsidRDefault="008F5A55" w:rsidP="00E93E8B">
            <w:pPr>
              <w:pStyle w:val="Table"/>
              <w:keepLines w:val="0"/>
              <w:widowControl w:val="0"/>
              <w:tabs>
                <w:tab w:val="clear" w:pos="284"/>
              </w:tabs>
              <w:spacing w:before="0" w:after="0"/>
              <w:rPr>
                <w:rFonts w:ascii="Times New Roman" w:hAnsi="Times New Roman"/>
                <w:sz w:val="22"/>
                <w:szCs w:val="22"/>
                <w:lang w:val="fr-FR" w:bidi="fr-FR"/>
              </w:rPr>
            </w:pPr>
            <w:r w:rsidRPr="007944F8">
              <w:rPr>
                <w:rFonts w:ascii="Times New Roman" w:hAnsi="Times New Roman"/>
                <w:sz w:val="22"/>
                <w:lang w:val="fr-FR" w:bidi="fr-FR"/>
              </w:rPr>
              <w:t>Perte de poids</w:t>
            </w:r>
          </w:p>
        </w:tc>
        <w:tc>
          <w:tcPr>
            <w:tcW w:w="4928" w:type="dxa"/>
            <w:shd w:val="clear" w:color="auto" w:fill="auto"/>
          </w:tcPr>
          <w:p w14:paraId="6CD7C8CF" w14:textId="77777777" w:rsidR="008F5A55" w:rsidRPr="007944F8" w:rsidRDefault="008F5A55" w:rsidP="00E93E8B">
            <w:pPr>
              <w:pStyle w:val="Table"/>
              <w:keepLines w:val="0"/>
              <w:widowControl w:val="0"/>
              <w:tabs>
                <w:tab w:val="clear" w:pos="284"/>
              </w:tabs>
              <w:spacing w:before="0" w:after="0"/>
              <w:rPr>
                <w:rFonts w:ascii="Times New Roman" w:hAnsi="Times New Roman"/>
                <w:sz w:val="22"/>
                <w:szCs w:val="22"/>
                <w:lang w:val="fr-FR" w:bidi="fr-FR"/>
              </w:rPr>
            </w:pPr>
            <w:r w:rsidRPr="007944F8">
              <w:rPr>
                <w:rFonts w:ascii="Times New Roman" w:hAnsi="Times New Roman"/>
                <w:sz w:val="22"/>
                <w:lang w:val="fr-FR" w:bidi="fr-FR"/>
              </w:rPr>
              <w:t>Très fréquent</w:t>
            </w:r>
          </w:p>
        </w:tc>
      </w:tr>
      <w:tr w:rsidR="002130C4" w:rsidRPr="007944F8" w14:paraId="2EB8D39D" w14:textId="77777777" w:rsidTr="00311782">
        <w:tc>
          <w:tcPr>
            <w:tcW w:w="9855" w:type="dxa"/>
            <w:gridSpan w:val="2"/>
            <w:shd w:val="clear" w:color="auto" w:fill="auto"/>
          </w:tcPr>
          <w:p w14:paraId="7DB89F01" w14:textId="77777777" w:rsidR="002130C4" w:rsidRPr="007944F8" w:rsidRDefault="002130C4" w:rsidP="00762D72">
            <w:pPr>
              <w:pStyle w:val="Table"/>
              <w:keepLines w:val="0"/>
              <w:widowControl w:val="0"/>
              <w:tabs>
                <w:tab w:val="clear" w:pos="284"/>
              </w:tabs>
              <w:spacing w:before="0" w:after="0"/>
              <w:rPr>
                <w:rFonts w:ascii="Times New Roman" w:hAnsi="Times New Roman"/>
                <w:sz w:val="22"/>
                <w:lang w:val="fr-FR" w:bidi="fr-FR"/>
              </w:rPr>
            </w:pPr>
            <w:r w:rsidRPr="007944F8">
              <w:rPr>
                <w:rFonts w:ascii="Times New Roman" w:hAnsi="Times New Roman"/>
                <w:sz w:val="22"/>
                <w:lang w:val="fr-FR" w:bidi="fr-FR"/>
              </w:rPr>
              <w:t>* Parmi les 79</w:t>
            </w:r>
            <w:r w:rsidR="00762D72" w:rsidRPr="007944F8">
              <w:rPr>
                <w:rFonts w:ascii="Times New Roman" w:hAnsi="Times New Roman"/>
                <w:sz w:val="22"/>
                <w:lang w:val="fr-FR" w:bidi="fr-FR"/>
              </w:rPr>
              <w:t> </w:t>
            </w:r>
            <w:r w:rsidRPr="007944F8">
              <w:rPr>
                <w:rFonts w:ascii="Times New Roman" w:hAnsi="Times New Roman"/>
                <w:sz w:val="22"/>
                <w:lang w:val="fr-FR" w:bidi="fr-FR"/>
              </w:rPr>
              <w:t xml:space="preserve">patients recevant Odomzo 200 mg, 5 étaient des femmes en âge </w:t>
            </w:r>
            <w:r w:rsidR="008B28B0" w:rsidRPr="007944F8">
              <w:rPr>
                <w:rFonts w:ascii="Times New Roman" w:hAnsi="Times New Roman"/>
                <w:sz w:val="22"/>
                <w:szCs w:val="22"/>
              </w:rPr>
              <w:t>d’avoir des enfants</w:t>
            </w:r>
            <w:r w:rsidRPr="007944F8">
              <w:rPr>
                <w:rFonts w:ascii="Times New Roman" w:hAnsi="Times New Roman"/>
                <w:sz w:val="22"/>
                <w:lang w:val="fr-FR" w:bidi="fr-FR"/>
              </w:rPr>
              <w:t>. Parmi ces femmes, un</w:t>
            </w:r>
            <w:r w:rsidR="008B28B0" w:rsidRPr="007944F8">
              <w:rPr>
                <w:rFonts w:ascii="Times New Roman" w:hAnsi="Times New Roman"/>
                <w:sz w:val="22"/>
                <w:lang w:val="fr-FR" w:bidi="fr-FR"/>
              </w:rPr>
              <w:t xml:space="preserve"> cas d’</w:t>
            </w:r>
            <w:r w:rsidRPr="007944F8">
              <w:rPr>
                <w:rFonts w:ascii="Times New Roman" w:hAnsi="Times New Roman"/>
                <w:sz w:val="22"/>
                <w:lang w:val="fr-FR" w:bidi="fr-FR"/>
              </w:rPr>
              <w:t>aménorrhée a été observé</w:t>
            </w:r>
            <w:r w:rsidR="00BE7ABE" w:rsidRPr="007944F8">
              <w:rPr>
                <w:rFonts w:ascii="Times New Roman" w:hAnsi="Times New Roman"/>
                <w:sz w:val="22"/>
                <w:lang w:val="fr-FR" w:bidi="fr-FR"/>
              </w:rPr>
              <w:t xml:space="preserve"> </w:t>
            </w:r>
            <w:r w:rsidRPr="007944F8">
              <w:rPr>
                <w:rFonts w:ascii="Times New Roman" w:hAnsi="Times New Roman"/>
                <w:sz w:val="22"/>
                <w:lang w:val="fr-FR" w:bidi="fr-FR"/>
              </w:rPr>
              <w:t>chez 1</w:t>
            </w:r>
            <w:r w:rsidR="00762D72" w:rsidRPr="007944F8">
              <w:rPr>
                <w:rFonts w:ascii="Times New Roman" w:hAnsi="Times New Roman"/>
                <w:sz w:val="22"/>
                <w:lang w:val="fr-FR" w:bidi="fr-FR"/>
              </w:rPr>
              <w:t> </w:t>
            </w:r>
            <w:r w:rsidRPr="007944F8">
              <w:rPr>
                <w:rFonts w:ascii="Times New Roman" w:hAnsi="Times New Roman"/>
                <w:sz w:val="22"/>
                <w:lang w:val="fr-FR" w:bidi="fr-FR"/>
              </w:rPr>
              <w:t>patiente (20%).</w:t>
            </w:r>
          </w:p>
        </w:tc>
      </w:tr>
    </w:tbl>
    <w:p w14:paraId="039AF765" w14:textId="77777777" w:rsidR="000C5747" w:rsidRPr="007944F8" w:rsidRDefault="000C5747" w:rsidP="00E93E8B">
      <w:pPr>
        <w:pStyle w:val="Table"/>
        <w:keepLines w:val="0"/>
        <w:widowControl w:val="0"/>
        <w:spacing w:before="0" w:after="0"/>
        <w:rPr>
          <w:rFonts w:ascii="Times New Roman" w:hAnsi="Times New Roman"/>
          <w:sz w:val="22"/>
          <w:szCs w:val="22"/>
        </w:rPr>
      </w:pPr>
    </w:p>
    <w:p w14:paraId="6B118A7F" w14:textId="77777777" w:rsidR="00E4648B" w:rsidRPr="007944F8" w:rsidRDefault="00E4648B" w:rsidP="00BE7F7C">
      <w:pPr>
        <w:keepNext/>
        <w:widowControl w:val="0"/>
        <w:tabs>
          <w:tab w:val="clear" w:pos="567"/>
        </w:tabs>
        <w:autoSpaceDE w:val="0"/>
        <w:autoSpaceDN w:val="0"/>
        <w:adjustRightInd w:val="0"/>
        <w:spacing w:line="240" w:lineRule="auto"/>
        <w:jc w:val="both"/>
        <w:outlineLvl w:val="0"/>
        <w:rPr>
          <w:szCs w:val="22"/>
          <w:u w:val="single"/>
        </w:rPr>
      </w:pPr>
      <w:r w:rsidRPr="007944F8">
        <w:rPr>
          <w:u w:val="single"/>
        </w:rPr>
        <w:t>Anomalies biologiques cliniquement significatives</w:t>
      </w:r>
    </w:p>
    <w:p w14:paraId="1AFB1BCE" w14:textId="77777777" w:rsidR="00E4648B" w:rsidRPr="007944F8" w:rsidRDefault="00E4648B" w:rsidP="00E4648B">
      <w:pPr>
        <w:keepNext/>
        <w:widowControl w:val="0"/>
        <w:tabs>
          <w:tab w:val="clear" w:pos="567"/>
        </w:tabs>
        <w:autoSpaceDE w:val="0"/>
        <w:autoSpaceDN w:val="0"/>
        <w:adjustRightInd w:val="0"/>
        <w:spacing w:line="240" w:lineRule="auto"/>
        <w:jc w:val="both"/>
        <w:rPr>
          <w:szCs w:val="22"/>
        </w:rPr>
      </w:pPr>
    </w:p>
    <w:p w14:paraId="2E667671" w14:textId="77777777" w:rsidR="00E4648B" w:rsidRPr="007944F8" w:rsidRDefault="00E4648B" w:rsidP="00E4648B">
      <w:pPr>
        <w:widowControl w:val="0"/>
        <w:tabs>
          <w:tab w:val="clear" w:pos="567"/>
        </w:tabs>
        <w:autoSpaceDE w:val="0"/>
        <w:autoSpaceDN w:val="0"/>
        <w:adjustRightInd w:val="0"/>
        <w:spacing w:line="240" w:lineRule="auto"/>
        <w:rPr>
          <w:szCs w:val="22"/>
        </w:rPr>
      </w:pPr>
      <w:r w:rsidRPr="007944F8">
        <w:t xml:space="preserve">Les anomalies biologiques de grade 3 ou 4 les plus fréquemment rapportées, avec une incidence d’au moins 5 %, survenues chez les patients traités par Odomzo 200 mg ont été les suivantes : augmentation de la lipase et augmentation de la </w:t>
      </w:r>
      <w:r w:rsidR="00B56846" w:rsidRPr="007944F8">
        <w:t>CPK</w:t>
      </w:r>
      <w:r w:rsidRPr="007944F8">
        <w:t xml:space="preserve"> </w:t>
      </w:r>
      <w:r w:rsidR="00F218A8" w:rsidRPr="007944F8">
        <w:t>plasmatiques</w:t>
      </w:r>
      <w:r w:rsidRPr="007944F8">
        <w:t xml:space="preserve"> (tableau 3).</w:t>
      </w:r>
    </w:p>
    <w:p w14:paraId="2BDAA744" w14:textId="77777777" w:rsidR="00E4648B" w:rsidRPr="007944F8" w:rsidRDefault="00E4648B" w:rsidP="00E93E8B">
      <w:pPr>
        <w:pStyle w:val="Table"/>
        <w:keepLines w:val="0"/>
        <w:widowControl w:val="0"/>
        <w:spacing w:before="0" w:after="0"/>
        <w:rPr>
          <w:rFonts w:ascii="Times New Roman" w:hAnsi="Times New Roman"/>
          <w:sz w:val="22"/>
          <w:szCs w:val="22"/>
          <w:lang w:val="fr-FR"/>
        </w:rPr>
      </w:pPr>
    </w:p>
    <w:p w14:paraId="7E4FA9DA" w14:textId="77777777" w:rsidR="00E05C57" w:rsidRPr="007944F8" w:rsidRDefault="00BD5903" w:rsidP="00E93E8B">
      <w:pPr>
        <w:keepNext/>
        <w:widowControl w:val="0"/>
        <w:tabs>
          <w:tab w:val="clear" w:pos="567"/>
        </w:tabs>
        <w:autoSpaceDE w:val="0"/>
        <w:autoSpaceDN w:val="0"/>
        <w:adjustRightInd w:val="0"/>
        <w:spacing w:line="240" w:lineRule="auto"/>
        <w:rPr>
          <w:b/>
          <w:szCs w:val="22"/>
        </w:rPr>
      </w:pPr>
      <w:r w:rsidRPr="007944F8">
        <w:rPr>
          <w:b/>
        </w:rPr>
        <w:t>Tableau 3</w:t>
      </w:r>
      <w:r w:rsidRPr="007944F8">
        <w:tab/>
      </w:r>
      <w:r w:rsidRPr="007944F8">
        <w:rPr>
          <w:b/>
        </w:rPr>
        <w:t>Anomalies biologiques</w:t>
      </w:r>
      <w:bookmarkStart w:id="101" w:name="_2020043Clinically_relevant_labora"/>
      <w:bookmarkEnd w:id="101"/>
      <w:r w:rsidRPr="007944F8">
        <w:rPr>
          <w:b/>
        </w:rPr>
        <w:t>*</w:t>
      </w:r>
    </w:p>
    <w:p w14:paraId="5133FB58" w14:textId="77777777" w:rsidR="00A2400E" w:rsidRPr="007944F8" w:rsidRDefault="00A2400E" w:rsidP="00E93E8B">
      <w:pPr>
        <w:keepNext/>
        <w:widowControl w:val="0"/>
        <w:tabs>
          <w:tab w:val="clear" w:pos="567"/>
        </w:tabs>
        <w:autoSpaceDE w:val="0"/>
        <w:autoSpaceDN w:val="0"/>
        <w:adjustRightInd w:val="0"/>
        <w:spacing w:line="240" w:lineRule="auto"/>
        <w:rPr>
          <w:szCs w:val="22"/>
        </w:rPr>
      </w:pPr>
    </w:p>
    <w:tbl>
      <w:tblPr>
        <w:tblW w:w="9747" w:type="dxa"/>
        <w:tblBorders>
          <w:top w:val="single" w:sz="4" w:space="0" w:color="auto"/>
          <w:bottom w:val="single" w:sz="4" w:space="0" w:color="auto"/>
        </w:tblBorders>
        <w:tblLayout w:type="fixed"/>
        <w:tblLook w:val="0000" w:firstRow="0" w:lastRow="0" w:firstColumn="0" w:lastColumn="0" w:noHBand="0" w:noVBand="0"/>
      </w:tblPr>
      <w:tblGrid>
        <w:gridCol w:w="4928"/>
        <w:gridCol w:w="4819"/>
      </w:tblGrid>
      <w:tr w:rsidR="00BD5903" w:rsidRPr="007944F8" w14:paraId="6E3AF5B0" w14:textId="77777777" w:rsidTr="00311782">
        <w:trPr>
          <w:trHeight w:val="313"/>
        </w:trPr>
        <w:tc>
          <w:tcPr>
            <w:tcW w:w="492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23E2F37" w14:textId="77777777" w:rsidR="00446AB5" w:rsidRPr="007944F8" w:rsidRDefault="00BD5903" w:rsidP="00E93E8B">
            <w:pPr>
              <w:pStyle w:val="Table"/>
              <w:keepNext/>
              <w:keepLines w:val="0"/>
              <w:widowControl w:val="0"/>
              <w:spacing w:before="0" w:after="0"/>
              <w:jc w:val="center"/>
              <w:rPr>
                <w:rFonts w:ascii="Times New Roman" w:hAnsi="Times New Roman"/>
                <w:b/>
                <w:sz w:val="22"/>
                <w:szCs w:val="22"/>
                <w:lang w:val="fr-FR" w:bidi="fr-FR"/>
              </w:rPr>
            </w:pPr>
            <w:r w:rsidRPr="007944F8">
              <w:rPr>
                <w:rFonts w:ascii="Times New Roman" w:hAnsi="Times New Roman"/>
                <w:b/>
                <w:sz w:val="22"/>
                <w:lang w:val="fr-FR" w:bidi="fr-FR"/>
              </w:rPr>
              <w:t>Analyses biologiques</w:t>
            </w:r>
          </w:p>
        </w:tc>
        <w:tc>
          <w:tcPr>
            <w:tcW w:w="4819" w:type="dxa"/>
            <w:vMerge w:val="restart"/>
            <w:tcBorders>
              <w:top w:val="single" w:sz="4" w:space="0" w:color="auto"/>
              <w:left w:val="single" w:sz="4" w:space="0" w:color="auto"/>
              <w:bottom w:val="single" w:sz="4" w:space="0" w:color="auto"/>
              <w:right w:val="single" w:sz="4" w:space="0" w:color="auto"/>
            </w:tcBorders>
          </w:tcPr>
          <w:p w14:paraId="36A63F6D" w14:textId="77777777" w:rsidR="00BD5903" w:rsidRPr="007944F8" w:rsidRDefault="00BD5903" w:rsidP="00E93E8B">
            <w:pPr>
              <w:pStyle w:val="Table"/>
              <w:keepNext/>
              <w:keepLines w:val="0"/>
              <w:widowControl w:val="0"/>
              <w:spacing w:before="0" w:after="0"/>
              <w:jc w:val="center"/>
              <w:rPr>
                <w:rFonts w:ascii="Times New Roman" w:hAnsi="Times New Roman"/>
                <w:b/>
                <w:sz w:val="22"/>
                <w:szCs w:val="22"/>
                <w:lang w:val="fr-FR" w:bidi="fr-FR"/>
              </w:rPr>
            </w:pPr>
            <w:r w:rsidRPr="007944F8">
              <w:rPr>
                <w:rFonts w:ascii="Times New Roman" w:hAnsi="Times New Roman"/>
                <w:b/>
                <w:sz w:val="22"/>
                <w:lang w:val="fr-FR" w:bidi="fr-FR"/>
              </w:rPr>
              <w:t xml:space="preserve">Fréquence, </w:t>
            </w:r>
            <w:r w:rsidR="004A59EB" w:rsidRPr="007944F8">
              <w:rPr>
                <w:rFonts w:ascii="Times New Roman" w:hAnsi="Times New Roman"/>
                <w:b/>
                <w:sz w:val="22"/>
                <w:lang w:val="fr-FR" w:bidi="fr-FR"/>
              </w:rPr>
              <w:t>t</w:t>
            </w:r>
            <w:r w:rsidRPr="007944F8">
              <w:rPr>
                <w:rFonts w:ascii="Times New Roman" w:hAnsi="Times New Roman"/>
                <w:b/>
                <w:sz w:val="22"/>
                <w:lang w:val="fr-FR" w:bidi="fr-FR"/>
              </w:rPr>
              <w:t>ous grades confondus</w:t>
            </w:r>
          </w:p>
          <w:p w14:paraId="22DC0866" w14:textId="77777777" w:rsidR="00BD5903" w:rsidRPr="007944F8" w:rsidRDefault="00BD5903" w:rsidP="00E93E8B">
            <w:pPr>
              <w:pStyle w:val="Table"/>
              <w:keepNext/>
              <w:keepLines w:val="0"/>
              <w:widowControl w:val="0"/>
              <w:spacing w:before="0" w:after="0"/>
              <w:jc w:val="center"/>
              <w:rPr>
                <w:rFonts w:ascii="Times New Roman" w:hAnsi="Times New Roman"/>
                <w:sz w:val="22"/>
                <w:szCs w:val="22"/>
                <w:lang w:val="fr-FR" w:bidi="fr-FR"/>
              </w:rPr>
            </w:pPr>
            <w:r w:rsidRPr="007944F8">
              <w:rPr>
                <w:rFonts w:ascii="Times New Roman" w:hAnsi="Times New Roman"/>
                <w:sz w:val="22"/>
                <w:lang w:val="fr-FR" w:bidi="fr-FR"/>
              </w:rPr>
              <w:t>200 mg</w:t>
            </w:r>
          </w:p>
        </w:tc>
      </w:tr>
      <w:tr w:rsidR="00BD5903" w:rsidRPr="007944F8" w14:paraId="2F3C9090" w14:textId="77777777" w:rsidTr="00311782">
        <w:trPr>
          <w:trHeight w:val="313"/>
          <w:tblHeader/>
        </w:trPr>
        <w:tc>
          <w:tcPr>
            <w:tcW w:w="4928" w:type="dxa"/>
            <w:vMerge/>
            <w:tcBorders>
              <w:top w:val="single" w:sz="4" w:space="0" w:color="auto"/>
              <w:left w:val="single" w:sz="4" w:space="0" w:color="auto"/>
              <w:bottom w:val="single" w:sz="4" w:space="0" w:color="auto"/>
              <w:right w:val="single" w:sz="4" w:space="0" w:color="auto"/>
            </w:tcBorders>
            <w:shd w:val="clear" w:color="auto" w:fill="auto"/>
          </w:tcPr>
          <w:p w14:paraId="66F04976" w14:textId="77777777" w:rsidR="00BD5903" w:rsidRPr="007944F8" w:rsidRDefault="00BD5903" w:rsidP="00E93E8B">
            <w:pPr>
              <w:pStyle w:val="Table"/>
              <w:keepNext/>
              <w:keepLines w:val="0"/>
              <w:widowControl w:val="0"/>
              <w:spacing w:before="0" w:after="0"/>
              <w:rPr>
                <w:rFonts w:cs="Arial"/>
                <w:sz w:val="22"/>
                <w:szCs w:val="22"/>
                <w:lang w:val="fr-FR" w:bidi="fr-FR"/>
              </w:rPr>
            </w:pPr>
          </w:p>
        </w:tc>
        <w:tc>
          <w:tcPr>
            <w:tcW w:w="4819" w:type="dxa"/>
            <w:vMerge/>
            <w:tcBorders>
              <w:top w:val="single" w:sz="4" w:space="0" w:color="auto"/>
              <w:left w:val="single" w:sz="4" w:space="0" w:color="auto"/>
              <w:bottom w:val="single" w:sz="4" w:space="0" w:color="auto"/>
              <w:right w:val="single" w:sz="4" w:space="0" w:color="auto"/>
            </w:tcBorders>
          </w:tcPr>
          <w:p w14:paraId="2B3F1CB2" w14:textId="77777777" w:rsidR="00BD5903" w:rsidRPr="007944F8" w:rsidRDefault="00BD5903" w:rsidP="00E93E8B">
            <w:pPr>
              <w:pStyle w:val="Table"/>
              <w:keepNext/>
              <w:keepLines w:val="0"/>
              <w:widowControl w:val="0"/>
              <w:spacing w:before="0" w:after="0"/>
              <w:jc w:val="center"/>
              <w:rPr>
                <w:rFonts w:cs="Arial"/>
                <w:sz w:val="22"/>
                <w:szCs w:val="22"/>
                <w:lang w:val="fr-FR" w:bidi="fr-FR"/>
              </w:rPr>
            </w:pPr>
          </w:p>
        </w:tc>
      </w:tr>
      <w:tr w:rsidR="00446AB5" w:rsidRPr="007944F8" w14:paraId="4CEB90B0" w14:textId="77777777" w:rsidTr="00311782">
        <w:tc>
          <w:tcPr>
            <w:tcW w:w="9747" w:type="dxa"/>
            <w:gridSpan w:val="2"/>
            <w:tcBorders>
              <w:top w:val="single" w:sz="4" w:space="0" w:color="auto"/>
              <w:left w:val="single" w:sz="4" w:space="0" w:color="auto"/>
              <w:bottom w:val="single" w:sz="4" w:space="0" w:color="auto"/>
              <w:right w:val="single" w:sz="4" w:space="0" w:color="auto"/>
            </w:tcBorders>
            <w:shd w:val="clear" w:color="auto" w:fill="auto"/>
          </w:tcPr>
          <w:p w14:paraId="4182AB1F" w14:textId="77777777" w:rsidR="00446AB5" w:rsidRPr="007944F8" w:rsidRDefault="00446AB5" w:rsidP="00E93E8B">
            <w:pPr>
              <w:pStyle w:val="Table"/>
              <w:keepNext/>
              <w:keepLines w:val="0"/>
              <w:widowControl w:val="0"/>
              <w:tabs>
                <w:tab w:val="clear" w:pos="284"/>
              </w:tabs>
              <w:spacing w:before="0" w:after="0"/>
              <w:rPr>
                <w:rFonts w:ascii="Times New Roman" w:hAnsi="Times New Roman"/>
                <w:sz w:val="22"/>
                <w:szCs w:val="22"/>
                <w:lang w:val="fr-FR" w:bidi="fr-FR"/>
              </w:rPr>
            </w:pPr>
            <w:r w:rsidRPr="007944F8">
              <w:rPr>
                <w:rFonts w:ascii="Times New Roman" w:hAnsi="Times New Roman"/>
                <w:b/>
                <w:sz w:val="22"/>
                <w:lang w:val="fr-FR" w:bidi="fr-FR"/>
              </w:rPr>
              <w:t>Paramètres hématologiques</w:t>
            </w:r>
          </w:p>
        </w:tc>
      </w:tr>
      <w:tr w:rsidR="00866377" w:rsidRPr="007944F8" w14:paraId="235D8DD1" w14:textId="77777777" w:rsidTr="00311782">
        <w:tc>
          <w:tcPr>
            <w:tcW w:w="4928" w:type="dxa"/>
            <w:tcBorders>
              <w:top w:val="single" w:sz="4" w:space="0" w:color="auto"/>
              <w:left w:val="single" w:sz="4" w:space="0" w:color="auto"/>
              <w:bottom w:val="single" w:sz="4" w:space="0" w:color="auto"/>
              <w:right w:val="single" w:sz="4" w:space="0" w:color="auto"/>
            </w:tcBorders>
            <w:shd w:val="clear" w:color="auto" w:fill="auto"/>
          </w:tcPr>
          <w:p w14:paraId="041A9445" w14:textId="77777777" w:rsidR="00866377" w:rsidRPr="007944F8" w:rsidRDefault="00866377" w:rsidP="00E93E8B">
            <w:pPr>
              <w:pStyle w:val="Table"/>
              <w:keepNext/>
              <w:keepLines w:val="0"/>
              <w:widowControl w:val="0"/>
              <w:tabs>
                <w:tab w:val="clear" w:pos="284"/>
              </w:tabs>
              <w:spacing w:before="0" w:after="0"/>
              <w:rPr>
                <w:rFonts w:ascii="Times New Roman" w:hAnsi="Times New Roman"/>
                <w:sz w:val="22"/>
                <w:szCs w:val="22"/>
                <w:lang w:val="fr-FR" w:bidi="fr-FR"/>
              </w:rPr>
            </w:pPr>
            <w:r w:rsidRPr="007944F8">
              <w:rPr>
                <w:rFonts w:ascii="Times New Roman" w:hAnsi="Times New Roman"/>
                <w:sz w:val="22"/>
                <w:lang w:val="fr-FR" w:bidi="fr-FR"/>
              </w:rPr>
              <w:t>Diminution de l’hémoglobine</w:t>
            </w:r>
          </w:p>
        </w:tc>
        <w:tc>
          <w:tcPr>
            <w:tcW w:w="4819" w:type="dxa"/>
            <w:tcBorders>
              <w:top w:val="single" w:sz="4" w:space="0" w:color="auto"/>
              <w:left w:val="single" w:sz="4" w:space="0" w:color="auto"/>
              <w:bottom w:val="single" w:sz="4" w:space="0" w:color="auto"/>
              <w:right w:val="single" w:sz="4" w:space="0" w:color="auto"/>
            </w:tcBorders>
            <w:vAlign w:val="center"/>
          </w:tcPr>
          <w:p w14:paraId="0AB6D6DD" w14:textId="77777777" w:rsidR="00866377" w:rsidRPr="007944F8" w:rsidRDefault="000371BF" w:rsidP="00E93E8B">
            <w:pPr>
              <w:pStyle w:val="Table"/>
              <w:keepNext/>
              <w:keepLines w:val="0"/>
              <w:widowControl w:val="0"/>
              <w:spacing w:before="0" w:after="0"/>
              <w:rPr>
                <w:rFonts w:ascii="Times New Roman" w:hAnsi="Times New Roman"/>
                <w:sz w:val="22"/>
                <w:szCs w:val="22"/>
                <w:lang w:val="fr-FR" w:bidi="fr-FR"/>
              </w:rPr>
            </w:pPr>
            <w:r w:rsidRPr="007944F8">
              <w:rPr>
                <w:rFonts w:ascii="Times New Roman" w:hAnsi="Times New Roman"/>
                <w:sz w:val="22"/>
                <w:lang w:val="fr-FR" w:bidi="fr-FR"/>
              </w:rPr>
              <w:t>Très fréquent</w:t>
            </w:r>
          </w:p>
        </w:tc>
      </w:tr>
      <w:tr w:rsidR="00866377" w:rsidRPr="007944F8" w14:paraId="6B4A3D22" w14:textId="77777777" w:rsidTr="00311782">
        <w:tc>
          <w:tcPr>
            <w:tcW w:w="4928" w:type="dxa"/>
            <w:tcBorders>
              <w:top w:val="single" w:sz="4" w:space="0" w:color="auto"/>
              <w:left w:val="single" w:sz="4" w:space="0" w:color="auto"/>
              <w:bottom w:val="single" w:sz="4" w:space="0" w:color="auto"/>
              <w:right w:val="single" w:sz="4" w:space="0" w:color="auto"/>
            </w:tcBorders>
            <w:shd w:val="clear" w:color="auto" w:fill="auto"/>
          </w:tcPr>
          <w:p w14:paraId="571640E0" w14:textId="77777777" w:rsidR="00866377" w:rsidRPr="007944F8" w:rsidRDefault="00866377" w:rsidP="00E93E8B">
            <w:pPr>
              <w:pStyle w:val="Table"/>
              <w:keepNext/>
              <w:keepLines w:val="0"/>
              <w:widowControl w:val="0"/>
              <w:tabs>
                <w:tab w:val="clear" w:pos="284"/>
              </w:tabs>
              <w:spacing w:before="0" w:after="0"/>
              <w:rPr>
                <w:rFonts w:ascii="Times New Roman" w:hAnsi="Times New Roman"/>
                <w:sz w:val="22"/>
                <w:szCs w:val="22"/>
                <w:lang w:val="fr-FR" w:bidi="fr-FR"/>
              </w:rPr>
            </w:pPr>
            <w:r w:rsidRPr="007944F8">
              <w:rPr>
                <w:rFonts w:ascii="Times New Roman" w:hAnsi="Times New Roman"/>
                <w:sz w:val="22"/>
                <w:lang w:val="fr-FR" w:bidi="fr-FR"/>
              </w:rPr>
              <w:t>Diminution du nombre de lymphocytes</w:t>
            </w:r>
          </w:p>
        </w:tc>
        <w:tc>
          <w:tcPr>
            <w:tcW w:w="4819" w:type="dxa"/>
            <w:tcBorders>
              <w:top w:val="single" w:sz="4" w:space="0" w:color="auto"/>
              <w:left w:val="single" w:sz="4" w:space="0" w:color="auto"/>
              <w:bottom w:val="single" w:sz="4" w:space="0" w:color="auto"/>
              <w:right w:val="single" w:sz="4" w:space="0" w:color="auto"/>
            </w:tcBorders>
            <w:vAlign w:val="center"/>
          </w:tcPr>
          <w:p w14:paraId="0BC3A2D3" w14:textId="77777777" w:rsidR="00866377" w:rsidRPr="007944F8" w:rsidRDefault="00866377" w:rsidP="00E93E8B">
            <w:pPr>
              <w:pStyle w:val="Table"/>
              <w:keepNext/>
              <w:keepLines w:val="0"/>
              <w:widowControl w:val="0"/>
              <w:spacing w:before="0" w:after="0"/>
              <w:rPr>
                <w:rFonts w:ascii="Times New Roman" w:hAnsi="Times New Roman"/>
                <w:b/>
                <w:sz w:val="22"/>
                <w:szCs w:val="22"/>
                <w:lang w:val="fr-FR" w:bidi="fr-FR"/>
              </w:rPr>
            </w:pPr>
            <w:r w:rsidRPr="007944F8">
              <w:rPr>
                <w:rFonts w:ascii="Times New Roman" w:hAnsi="Times New Roman"/>
                <w:sz w:val="22"/>
                <w:lang w:val="fr-FR" w:bidi="fr-FR"/>
              </w:rPr>
              <w:t>Très fréquent</w:t>
            </w:r>
          </w:p>
        </w:tc>
      </w:tr>
      <w:tr w:rsidR="00866377" w:rsidRPr="007944F8" w14:paraId="38FADE25" w14:textId="77777777" w:rsidTr="00311782">
        <w:tc>
          <w:tcPr>
            <w:tcW w:w="4928" w:type="dxa"/>
            <w:tcBorders>
              <w:top w:val="single" w:sz="4" w:space="0" w:color="auto"/>
              <w:left w:val="single" w:sz="4" w:space="0" w:color="auto"/>
              <w:bottom w:val="single" w:sz="4" w:space="0" w:color="auto"/>
              <w:right w:val="single" w:sz="4" w:space="0" w:color="auto"/>
            </w:tcBorders>
            <w:shd w:val="clear" w:color="auto" w:fill="auto"/>
          </w:tcPr>
          <w:p w14:paraId="1A18424E" w14:textId="77777777" w:rsidR="00866377" w:rsidRPr="007944F8" w:rsidRDefault="00866377" w:rsidP="00E93E8B">
            <w:pPr>
              <w:pStyle w:val="Table"/>
              <w:keepNext/>
              <w:keepLines w:val="0"/>
              <w:widowControl w:val="0"/>
              <w:tabs>
                <w:tab w:val="clear" w:pos="284"/>
              </w:tabs>
              <w:spacing w:before="0" w:after="0"/>
              <w:rPr>
                <w:rFonts w:ascii="Times New Roman" w:hAnsi="Times New Roman"/>
                <w:sz w:val="22"/>
                <w:szCs w:val="22"/>
                <w:lang w:val="fr-FR" w:bidi="fr-FR"/>
              </w:rPr>
            </w:pPr>
            <w:r w:rsidRPr="007944F8">
              <w:rPr>
                <w:rFonts w:ascii="Times New Roman" w:hAnsi="Times New Roman"/>
                <w:b/>
                <w:sz w:val="22"/>
                <w:lang w:val="fr-FR" w:bidi="fr-FR"/>
              </w:rPr>
              <w:t>Paramètres biochimiques</w:t>
            </w:r>
          </w:p>
        </w:tc>
        <w:tc>
          <w:tcPr>
            <w:tcW w:w="4819" w:type="dxa"/>
            <w:tcBorders>
              <w:top w:val="single" w:sz="4" w:space="0" w:color="auto"/>
              <w:left w:val="single" w:sz="4" w:space="0" w:color="auto"/>
              <w:bottom w:val="single" w:sz="4" w:space="0" w:color="auto"/>
              <w:right w:val="single" w:sz="4" w:space="0" w:color="auto"/>
            </w:tcBorders>
            <w:vAlign w:val="center"/>
          </w:tcPr>
          <w:p w14:paraId="2FB4750A" w14:textId="77777777" w:rsidR="00866377" w:rsidRPr="007944F8" w:rsidRDefault="00866377" w:rsidP="00E93E8B">
            <w:pPr>
              <w:pStyle w:val="Table"/>
              <w:keepNext/>
              <w:keepLines w:val="0"/>
              <w:widowControl w:val="0"/>
              <w:spacing w:before="0" w:after="0"/>
              <w:rPr>
                <w:rFonts w:ascii="Times New Roman" w:hAnsi="Times New Roman"/>
                <w:sz w:val="22"/>
                <w:szCs w:val="22"/>
                <w:lang w:val="fr-FR" w:bidi="fr-FR"/>
              </w:rPr>
            </w:pPr>
          </w:p>
        </w:tc>
      </w:tr>
      <w:tr w:rsidR="005573C6" w:rsidRPr="007944F8" w14:paraId="4D1861E6" w14:textId="77777777" w:rsidTr="00311782">
        <w:tc>
          <w:tcPr>
            <w:tcW w:w="4928" w:type="dxa"/>
            <w:tcBorders>
              <w:top w:val="single" w:sz="4" w:space="0" w:color="auto"/>
              <w:left w:val="single" w:sz="4" w:space="0" w:color="auto"/>
              <w:bottom w:val="single" w:sz="4" w:space="0" w:color="auto"/>
              <w:right w:val="single" w:sz="4" w:space="0" w:color="auto"/>
            </w:tcBorders>
            <w:shd w:val="clear" w:color="auto" w:fill="auto"/>
            <w:vAlign w:val="center"/>
          </w:tcPr>
          <w:p w14:paraId="0B28FF4C" w14:textId="77777777" w:rsidR="005573C6" w:rsidRPr="007944F8" w:rsidRDefault="005573C6" w:rsidP="00E93E8B">
            <w:pPr>
              <w:pStyle w:val="Table"/>
              <w:keepNext/>
              <w:keepLines w:val="0"/>
              <w:widowControl w:val="0"/>
              <w:tabs>
                <w:tab w:val="clear" w:pos="284"/>
              </w:tabs>
              <w:spacing w:before="0" w:after="0"/>
              <w:rPr>
                <w:rFonts w:ascii="Times New Roman" w:hAnsi="Times New Roman"/>
                <w:sz w:val="22"/>
                <w:szCs w:val="22"/>
                <w:lang w:val="fr-FR" w:bidi="fr-FR"/>
              </w:rPr>
            </w:pPr>
            <w:r w:rsidRPr="007944F8">
              <w:rPr>
                <w:rFonts w:ascii="Times New Roman" w:hAnsi="Times New Roman"/>
                <w:sz w:val="22"/>
                <w:lang w:val="fr-FR" w:bidi="fr-FR"/>
              </w:rPr>
              <w:t>Augmentation de la créatinine sérique</w:t>
            </w:r>
          </w:p>
        </w:tc>
        <w:tc>
          <w:tcPr>
            <w:tcW w:w="4819" w:type="dxa"/>
            <w:tcBorders>
              <w:top w:val="single" w:sz="4" w:space="0" w:color="auto"/>
              <w:left w:val="single" w:sz="4" w:space="0" w:color="auto"/>
              <w:bottom w:val="single" w:sz="4" w:space="0" w:color="auto"/>
              <w:right w:val="single" w:sz="4" w:space="0" w:color="auto"/>
            </w:tcBorders>
            <w:vAlign w:val="center"/>
          </w:tcPr>
          <w:p w14:paraId="3ED6AF85" w14:textId="77777777" w:rsidR="005573C6" w:rsidRPr="007944F8" w:rsidRDefault="005573C6" w:rsidP="00E93E8B">
            <w:pPr>
              <w:pStyle w:val="Table"/>
              <w:keepNext/>
              <w:keepLines w:val="0"/>
              <w:widowControl w:val="0"/>
              <w:spacing w:before="0" w:after="0"/>
              <w:rPr>
                <w:rFonts w:ascii="Times New Roman" w:hAnsi="Times New Roman"/>
                <w:sz w:val="22"/>
                <w:szCs w:val="22"/>
                <w:lang w:val="fr-FR" w:bidi="fr-FR"/>
              </w:rPr>
            </w:pPr>
            <w:r w:rsidRPr="007944F8">
              <w:rPr>
                <w:rFonts w:ascii="Times New Roman" w:hAnsi="Times New Roman"/>
                <w:sz w:val="22"/>
                <w:lang w:val="fr-FR" w:bidi="fr-FR"/>
              </w:rPr>
              <w:t>Très fréquent</w:t>
            </w:r>
          </w:p>
        </w:tc>
      </w:tr>
      <w:tr w:rsidR="005573C6" w:rsidRPr="007944F8" w14:paraId="09AA75A2" w14:textId="77777777" w:rsidTr="00311782">
        <w:tc>
          <w:tcPr>
            <w:tcW w:w="4928" w:type="dxa"/>
            <w:tcBorders>
              <w:top w:val="single" w:sz="4" w:space="0" w:color="auto"/>
              <w:left w:val="single" w:sz="4" w:space="0" w:color="auto"/>
              <w:bottom w:val="single" w:sz="4" w:space="0" w:color="auto"/>
              <w:right w:val="single" w:sz="4" w:space="0" w:color="auto"/>
            </w:tcBorders>
            <w:shd w:val="clear" w:color="auto" w:fill="auto"/>
            <w:vAlign w:val="center"/>
          </w:tcPr>
          <w:p w14:paraId="3B709390" w14:textId="77777777" w:rsidR="005573C6" w:rsidRPr="007944F8" w:rsidRDefault="005573C6" w:rsidP="00E93E8B">
            <w:pPr>
              <w:pStyle w:val="Table"/>
              <w:keepNext/>
              <w:keepLines w:val="0"/>
              <w:widowControl w:val="0"/>
              <w:tabs>
                <w:tab w:val="clear" w:pos="284"/>
              </w:tabs>
              <w:spacing w:before="0" w:after="0"/>
              <w:rPr>
                <w:rFonts w:ascii="Times New Roman" w:hAnsi="Times New Roman"/>
                <w:sz w:val="22"/>
                <w:szCs w:val="22"/>
                <w:lang w:val="fr-FR" w:bidi="fr-FR"/>
              </w:rPr>
            </w:pPr>
            <w:r w:rsidRPr="007944F8">
              <w:rPr>
                <w:rFonts w:ascii="Times New Roman" w:hAnsi="Times New Roman"/>
                <w:sz w:val="22"/>
                <w:lang w:val="fr-FR" w:bidi="fr-FR"/>
              </w:rPr>
              <w:t>Augmentation de la créatine phosphokinase (</w:t>
            </w:r>
            <w:r w:rsidR="00B56846" w:rsidRPr="007944F8">
              <w:rPr>
                <w:rFonts w:ascii="Times New Roman" w:hAnsi="Times New Roman"/>
                <w:sz w:val="22"/>
                <w:lang w:val="fr-FR" w:bidi="fr-FR"/>
              </w:rPr>
              <w:t>CPK</w:t>
            </w:r>
            <w:r w:rsidRPr="007944F8">
              <w:rPr>
                <w:rFonts w:ascii="Times New Roman" w:hAnsi="Times New Roman"/>
                <w:sz w:val="22"/>
                <w:lang w:val="fr-FR" w:bidi="fr-FR"/>
              </w:rPr>
              <w:t>) sérique</w:t>
            </w:r>
          </w:p>
        </w:tc>
        <w:tc>
          <w:tcPr>
            <w:tcW w:w="4819" w:type="dxa"/>
            <w:tcBorders>
              <w:top w:val="single" w:sz="4" w:space="0" w:color="auto"/>
              <w:left w:val="single" w:sz="4" w:space="0" w:color="auto"/>
              <w:bottom w:val="single" w:sz="4" w:space="0" w:color="auto"/>
              <w:right w:val="single" w:sz="4" w:space="0" w:color="auto"/>
            </w:tcBorders>
            <w:vAlign w:val="center"/>
          </w:tcPr>
          <w:p w14:paraId="68D9E170" w14:textId="77777777" w:rsidR="005573C6" w:rsidRPr="007944F8" w:rsidRDefault="005573C6" w:rsidP="00E93E8B">
            <w:pPr>
              <w:pStyle w:val="Table"/>
              <w:keepNext/>
              <w:keepLines w:val="0"/>
              <w:widowControl w:val="0"/>
              <w:spacing w:before="0" w:after="0"/>
              <w:rPr>
                <w:rFonts w:ascii="Times New Roman" w:hAnsi="Times New Roman"/>
                <w:sz w:val="22"/>
                <w:szCs w:val="22"/>
                <w:lang w:val="fr-FR" w:bidi="fr-FR"/>
              </w:rPr>
            </w:pPr>
            <w:r w:rsidRPr="007944F8">
              <w:rPr>
                <w:rFonts w:ascii="Times New Roman" w:hAnsi="Times New Roman"/>
                <w:sz w:val="22"/>
                <w:lang w:val="fr-FR" w:bidi="fr-FR"/>
              </w:rPr>
              <w:t>Très fréquent</w:t>
            </w:r>
          </w:p>
        </w:tc>
      </w:tr>
      <w:tr w:rsidR="005573C6" w:rsidRPr="007944F8" w14:paraId="7E57FD0D" w14:textId="77777777" w:rsidTr="00311782">
        <w:tc>
          <w:tcPr>
            <w:tcW w:w="4928" w:type="dxa"/>
            <w:tcBorders>
              <w:top w:val="single" w:sz="4" w:space="0" w:color="auto"/>
              <w:left w:val="single" w:sz="4" w:space="0" w:color="auto"/>
              <w:bottom w:val="single" w:sz="4" w:space="0" w:color="auto"/>
              <w:right w:val="single" w:sz="4" w:space="0" w:color="auto"/>
            </w:tcBorders>
            <w:shd w:val="clear" w:color="auto" w:fill="auto"/>
            <w:vAlign w:val="center"/>
          </w:tcPr>
          <w:p w14:paraId="6B6F8990" w14:textId="77777777" w:rsidR="005573C6" w:rsidRPr="007944F8" w:rsidRDefault="005573C6" w:rsidP="00E93E8B">
            <w:pPr>
              <w:pStyle w:val="Table"/>
              <w:keepNext/>
              <w:keepLines w:val="0"/>
              <w:widowControl w:val="0"/>
              <w:tabs>
                <w:tab w:val="clear" w:pos="284"/>
              </w:tabs>
              <w:spacing w:before="0" w:after="0"/>
              <w:rPr>
                <w:rFonts w:ascii="Times New Roman" w:hAnsi="Times New Roman"/>
                <w:sz w:val="22"/>
                <w:szCs w:val="22"/>
                <w:lang w:val="fr-FR" w:bidi="fr-FR"/>
              </w:rPr>
            </w:pPr>
            <w:r w:rsidRPr="007944F8">
              <w:rPr>
                <w:rFonts w:ascii="Times New Roman" w:hAnsi="Times New Roman"/>
                <w:sz w:val="22"/>
                <w:lang w:val="fr-FR" w:bidi="fr-FR"/>
              </w:rPr>
              <w:t>Augmentation de la glycémie</w:t>
            </w:r>
          </w:p>
        </w:tc>
        <w:tc>
          <w:tcPr>
            <w:tcW w:w="4819" w:type="dxa"/>
            <w:tcBorders>
              <w:top w:val="single" w:sz="4" w:space="0" w:color="auto"/>
              <w:left w:val="single" w:sz="4" w:space="0" w:color="auto"/>
              <w:bottom w:val="single" w:sz="4" w:space="0" w:color="auto"/>
              <w:right w:val="single" w:sz="4" w:space="0" w:color="auto"/>
            </w:tcBorders>
            <w:vAlign w:val="center"/>
          </w:tcPr>
          <w:p w14:paraId="30FD3E9E" w14:textId="77777777" w:rsidR="005573C6" w:rsidRPr="007944F8" w:rsidRDefault="005573C6" w:rsidP="00E93E8B">
            <w:pPr>
              <w:pStyle w:val="Table"/>
              <w:keepNext/>
              <w:keepLines w:val="0"/>
              <w:widowControl w:val="0"/>
              <w:spacing w:before="0" w:after="0"/>
              <w:rPr>
                <w:rFonts w:ascii="Times New Roman" w:hAnsi="Times New Roman"/>
                <w:sz w:val="22"/>
                <w:szCs w:val="22"/>
                <w:lang w:val="fr-FR" w:bidi="fr-FR"/>
              </w:rPr>
            </w:pPr>
            <w:r w:rsidRPr="007944F8">
              <w:rPr>
                <w:rFonts w:ascii="Times New Roman" w:hAnsi="Times New Roman"/>
                <w:sz w:val="22"/>
                <w:lang w:val="fr-FR" w:bidi="fr-FR"/>
              </w:rPr>
              <w:t>Très fréquent</w:t>
            </w:r>
          </w:p>
        </w:tc>
      </w:tr>
      <w:tr w:rsidR="005573C6" w:rsidRPr="007944F8" w14:paraId="152639BD" w14:textId="77777777" w:rsidTr="00311782">
        <w:tc>
          <w:tcPr>
            <w:tcW w:w="4928" w:type="dxa"/>
            <w:tcBorders>
              <w:top w:val="single" w:sz="4" w:space="0" w:color="auto"/>
              <w:left w:val="single" w:sz="4" w:space="0" w:color="auto"/>
              <w:bottom w:val="single" w:sz="4" w:space="0" w:color="auto"/>
              <w:right w:val="single" w:sz="4" w:space="0" w:color="auto"/>
            </w:tcBorders>
            <w:shd w:val="clear" w:color="auto" w:fill="auto"/>
            <w:vAlign w:val="center"/>
          </w:tcPr>
          <w:p w14:paraId="1093CAC5" w14:textId="77777777" w:rsidR="005573C6" w:rsidRPr="007944F8" w:rsidRDefault="005573C6" w:rsidP="00E93E8B">
            <w:pPr>
              <w:pStyle w:val="Table"/>
              <w:keepNext/>
              <w:keepLines w:val="0"/>
              <w:widowControl w:val="0"/>
              <w:tabs>
                <w:tab w:val="clear" w:pos="284"/>
              </w:tabs>
              <w:spacing w:before="0" w:after="0"/>
              <w:rPr>
                <w:rFonts w:ascii="Times New Roman" w:hAnsi="Times New Roman"/>
                <w:sz w:val="22"/>
                <w:szCs w:val="22"/>
                <w:lang w:val="fr-FR" w:bidi="fr-FR"/>
              </w:rPr>
            </w:pPr>
            <w:r w:rsidRPr="007944F8">
              <w:rPr>
                <w:rFonts w:ascii="Times New Roman" w:hAnsi="Times New Roman"/>
                <w:sz w:val="22"/>
                <w:lang w:val="fr-FR" w:bidi="fr-FR"/>
              </w:rPr>
              <w:t>Augmentation de la lipase</w:t>
            </w:r>
          </w:p>
        </w:tc>
        <w:tc>
          <w:tcPr>
            <w:tcW w:w="4819" w:type="dxa"/>
            <w:tcBorders>
              <w:top w:val="single" w:sz="4" w:space="0" w:color="auto"/>
              <w:left w:val="single" w:sz="4" w:space="0" w:color="auto"/>
              <w:bottom w:val="single" w:sz="4" w:space="0" w:color="auto"/>
              <w:right w:val="single" w:sz="4" w:space="0" w:color="auto"/>
            </w:tcBorders>
            <w:vAlign w:val="center"/>
          </w:tcPr>
          <w:p w14:paraId="10D6A28A" w14:textId="77777777" w:rsidR="005573C6" w:rsidRPr="007944F8" w:rsidRDefault="005573C6" w:rsidP="00E93E8B">
            <w:pPr>
              <w:pStyle w:val="Table"/>
              <w:keepNext/>
              <w:keepLines w:val="0"/>
              <w:widowControl w:val="0"/>
              <w:spacing w:before="0" w:after="0"/>
              <w:rPr>
                <w:rFonts w:ascii="Times New Roman" w:hAnsi="Times New Roman"/>
                <w:sz w:val="22"/>
                <w:szCs w:val="22"/>
                <w:lang w:val="fr-FR" w:bidi="fr-FR"/>
              </w:rPr>
            </w:pPr>
            <w:r w:rsidRPr="007944F8">
              <w:rPr>
                <w:rFonts w:ascii="Times New Roman" w:hAnsi="Times New Roman"/>
                <w:sz w:val="22"/>
                <w:lang w:val="fr-FR" w:bidi="fr-FR"/>
              </w:rPr>
              <w:t>Très fréquent</w:t>
            </w:r>
          </w:p>
        </w:tc>
      </w:tr>
      <w:tr w:rsidR="005573C6" w:rsidRPr="007944F8" w14:paraId="3D9E7094" w14:textId="77777777" w:rsidTr="00311782">
        <w:tc>
          <w:tcPr>
            <w:tcW w:w="4928" w:type="dxa"/>
            <w:tcBorders>
              <w:top w:val="single" w:sz="4" w:space="0" w:color="auto"/>
              <w:left w:val="single" w:sz="4" w:space="0" w:color="auto"/>
              <w:bottom w:val="single" w:sz="4" w:space="0" w:color="auto"/>
              <w:right w:val="single" w:sz="4" w:space="0" w:color="auto"/>
            </w:tcBorders>
            <w:shd w:val="clear" w:color="auto" w:fill="auto"/>
            <w:vAlign w:val="center"/>
          </w:tcPr>
          <w:p w14:paraId="7681C493" w14:textId="77777777" w:rsidR="005573C6" w:rsidRPr="007944F8" w:rsidRDefault="005573C6" w:rsidP="00E93E8B">
            <w:pPr>
              <w:pStyle w:val="Table"/>
              <w:keepNext/>
              <w:keepLines w:val="0"/>
              <w:widowControl w:val="0"/>
              <w:tabs>
                <w:tab w:val="clear" w:pos="284"/>
              </w:tabs>
              <w:spacing w:before="0" w:after="0"/>
              <w:rPr>
                <w:rFonts w:ascii="Times New Roman" w:hAnsi="Times New Roman"/>
                <w:sz w:val="22"/>
                <w:szCs w:val="22"/>
                <w:lang w:val="fr-FR" w:bidi="fr-FR"/>
              </w:rPr>
            </w:pPr>
            <w:r w:rsidRPr="007944F8">
              <w:rPr>
                <w:rFonts w:ascii="Times New Roman" w:hAnsi="Times New Roman"/>
                <w:sz w:val="22"/>
                <w:lang w:val="fr-FR" w:bidi="fr-FR"/>
              </w:rPr>
              <w:t>Augmentation de l’alanine aminotransférase (ALAT)</w:t>
            </w:r>
          </w:p>
        </w:tc>
        <w:tc>
          <w:tcPr>
            <w:tcW w:w="4819" w:type="dxa"/>
            <w:tcBorders>
              <w:top w:val="single" w:sz="4" w:space="0" w:color="auto"/>
              <w:left w:val="single" w:sz="4" w:space="0" w:color="auto"/>
              <w:bottom w:val="single" w:sz="4" w:space="0" w:color="auto"/>
              <w:right w:val="single" w:sz="4" w:space="0" w:color="auto"/>
            </w:tcBorders>
            <w:vAlign w:val="center"/>
          </w:tcPr>
          <w:p w14:paraId="6B5F2F17" w14:textId="77777777" w:rsidR="005573C6" w:rsidRPr="007944F8" w:rsidRDefault="005573C6" w:rsidP="00E93E8B">
            <w:pPr>
              <w:pStyle w:val="Table"/>
              <w:keepNext/>
              <w:keepLines w:val="0"/>
              <w:widowControl w:val="0"/>
              <w:spacing w:before="0" w:after="0"/>
              <w:rPr>
                <w:rFonts w:ascii="Times New Roman" w:hAnsi="Times New Roman"/>
                <w:sz w:val="22"/>
                <w:szCs w:val="22"/>
                <w:lang w:val="fr-FR" w:bidi="fr-FR"/>
              </w:rPr>
            </w:pPr>
            <w:r w:rsidRPr="007944F8">
              <w:rPr>
                <w:rFonts w:ascii="Times New Roman" w:hAnsi="Times New Roman"/>
                <w:sz w:val="22"/>
                <w:lang w:val="fr-FR" w:bidi="fr-FR"/>
              </w:rPr>
              <w:t>Très fréquent</w:t>
            </w:r>
          </w:p>
        </w:tc>
      </w:tr>
      <w:tr w:rsidR="005573C6" w:rsidRPr="007944F8" w14:paraId="7E494082" w14:textId="77777777" w:rsidTr="00311782">
        <w:tc>
          <w:tcPr>
            <w:tcW w:w="4928" w:type="dxa"/>
            <w:tcBorders>
              <w:top w:val="single" w:sz="4" w:space="0" w:color="auto"/>
              <w:left w:val="single" w:sz="4" w:space="0" w:color="auto"/>
              <w:bottom w:val="single" w:sz="4" w:space="0" w:color="auto"/>
              <w:right w:val="single" w:sz="4" w:space="0" w:color="auto"/>
            </w:tcBorders>
            <w:shd w:val="clear" w:color="auto" w:fill="auto"/>
            <w:vAlign w:val="center"/>
          </w:tcPr>
          <w:p w14:paraId="0251B4E9" w14:textId="77777777" w:rsidR="005573C6" w:rsidRPr="007944F8" w:rsidRDefault="005573C6" w:rsidP="00E93E8B">
            <w:pPr>
              <w:pStyle w:val="Table"/>
              <w:keepNext/>
              <w:keepLines w:val="0"/>
              <w:widowControl w:val="0"/>
              <w:tabs>
                <w:tab w:val="clear" w:pos="284"/>
              </w:tabs>
              <w:spacing w:before="0" w:after="0"/>
              <w:rPr>
                <w:rFonts w:ascii="Times New Roman" w:hAnsi="Times New Roman"/>
                <w:sz w:val="22"/>
                <w:szCs w:val="22"/>
                <w:lang w:val="fr-FR" w:bidi="fr-FR"/>
              </w:rPr>
            </w:pPr>
            <w:r w:rsidRPr="007944F8">
              <w:rPr>
                <w:rFonts w:ascii="Times New Roman" w:hAnsi="Times New Roman"/>
                <w:sz w:val="22"/>
                <w:lang w:val="fr-FR" w:bidi="fr-FR"/>
              </w:rPr>
              <w:t>Augmentation de l’aspartate aminotransférase (ASAT)</w:t>
            </w:r>
          </w:p>
        </w:tc>
        <w:tc>
          <w:tcPr>
            <w:tcW w:w="4819" w:type="dxa"/>
            <w:tcBorders>
              <w:top w:val="single" w:sz="4" w:space="0" w:color="auto"/>
              <w:left w:val="single" w:sz="4" w:space="0" w:color="auto"/>
              <w:bottom w:val="single" w:sz="4" w:space="0" w:color="auto"/>
              <w:right w:val="single" w:sz="4" w:space="0" w:color="auto"/>
            </w:tcBorders>
            <w:vAlign w:val="center"/>
          </w:tcPr>
          <w:p w14:paraId="13960BA4" w14:textId="77777777" w:rsidR="005573C6" w:rsidRPr="007944F8" w:rsidRDefault="005573C6" w:rsidP="00E93E8B">
            <w:pPr>
              <w:pStyle w:val="Table"/>
              <w:keepNext/>
              <w:keepLines w:val="0"/>
              <w:widowControl w:val="0"/>
              <w:spacing w:before="0" w:after="0"/>
              <w:rPr>
                <w:rFonts w:ascii="Times New Roman" w:hAnsi="Times New Roman"/>
                <w:sz w:val="22"/>
                <w:szCs w:val="22"/>
                <w:lang w:val="fr-FR" w:bidi="fr-FR"/>
              </w:rPr>
            </w:pPr>
            <w:r w:rsidRPr="007944F8">
              <w:rPr>
                <w:rFonts w:ascii="Times New Roman" w:hAnsi="Times New Roman"/>
                <w:sz w:val="22"/>
                <w:lang w:val="fr-FR" w:bidi="fr-FR"/>
              </w:rPr>
              <w:t>Très fréquent</w:t>
            </w:r>
          </w:p>
        </w:tc>
      </w:tr>
      <w:tr w:rsidR="005573C6" w:rsidRPr="007944F8" w14:paraId="3C45372C" w14:textId="77777777" w:rsidTr="00311782">
        <w:tc>
          <w:tcPr>
            <w:tcW w:w="4928" w:type="dxa"/>
            <w:tcBorders>
              <w:top w:val="single" w:sz="4" w:space="0" w:color="auto"/>
              <w:left w:val="single" w:sz="4" w:space="0" w:color="auto"/>
              <w:bottom w:val="single" w:sz="4" w:space="0" w:color="auto"/>
              <w:right w:val="single" w:sz="4" w:space="0" w:color="auto"/>
            </w:tcBorders>
            <w:shd w:val="clear" w:color="auto" w:fill="auto"/>
            <w:vAlign w:val="center"/>
          </w:tcPr>
          <w:p w14:paraId="5B3CB954" w14:textId="77777777" w:rsidR="005573C6" w:rsidRPr="007944F8" w:rsidRDefault="005573C6" w:rsidP="00E93E8B">
            <w:pPr>
              <w:pStyle w:val="Table"/>
              <w:keepNext/>
              <w:keepLines w:val="0"/>
              <w:widowControl w:val="0"/>
              <w:tabs>
                <w:tab w:val="clear" w:pos="284"/>
              </w:tabs>
              <w:spacing w:before="0" w:after="0"/>
              <w:rPr>
                <w:rFonts w:ascii="Times New Roman" w:hAnsi="Times New Roman"/>
                <w:sz w:val="22"/>
                <w:szCs w:val="22"/>
                <w:lang w:val="fr-FR" w:bidi="fr-FR"/>
              </w:rPr>
            </w:pPr>
            <w:r w:rsidRPr="007944F8">
              <w:rPr>
                <w:rFonts w:ascii="Times New Roman" w:hAnsi="Times New Roman"/>
                <w:sz w:val="22"/>
                <w:lang w:val="fr-FR" w:bidi="fr-FR"/>
              </w:rPr>
              <w:t>Augmentation de l’amylase</w:t>
            </w:r>
          </w:p>
        </w:tc>
        <w:tc>
          <w:tcPr>
            <w:tcW w:w="4819" w:type="dxa"/>
            <w:tcBorders>
              <w:top w:val="single" w:sz="4" w:space="0" w:color="auto"/>
              <w:left w:val="single" w:sz="4" w:space="0" w:color="auto"/>
              <w:bottom w:val="single" w:sz="4" w:space="0" w:color="auto"/>
              <w:right w:val="single" w:sz="4" w:space="0" w:color="auto"/>
            </w:tcBorders>
            <w:vAlign w:val="center"/>
          </w:tcPr>
          <w:p w14:paraId="439EC054" w14:textId="77777777" w:rsidR="005573C6" w:rsidRPr="007944F8" w:rsidRDefault="005573C6" w:rsidP="00E93E8B">
            <w:pPr>
              <w:pStyle w:val="Table"/>
              <w:keepNext/>
              <w:keepLines w:val="0"/>
              <w:widowControl w:val="0"/>
              <w:spacing w:before="0" w:after="0"/>
              <w:rPr>
                <w:rFonts w:ascii="Times New Roman" w:hAnsi="Times New Roman"/>
                <w:sz w:val="22"/>
                <w:szCs w:val="22"/>
                <w:lang w:val="fr-FR" w:bidi="fr-FR"/>
              </w:rPr>
            </w:pPr>
            <w:r w:rsidRPr="007944F8">
              <w:rPr>
                <w:rFonts w:ascii="Times New Roman" w:hAnsi="Times New Roman"/>
                <w:sz w:val="22"/>
                <w:lang w:val="fr-FR" w:bidi="fr-FR"/>
              </w:rPr>
              <w:t>Très fréquent</w:t>
            </w:r>
          </w:p>
        </w:tc>
      </w:tr>
      <w:tr w:rsidR="005573C6" w:rsidRPr="007944F8" w14:paraId="4AC75760" w14:textId="77777777" w:rsidTr="00311782">
        <w:tc>
          <w:tcPr>
            <w:tcW w:w="9747" w:type="dxa"/>
            <w:gridSpan w:val="2"/>
            <w:tcBorders>
              <w:top w:val="single" w:sz="4" w:space="0" w:color="auto"/>
              <w:left w:val="single" w:sz="4" w:space="0" w:color="auto"/>
              <w:bottom w:val="single" w:sz="4" w:space="0" w:color="auto"/>
              <w:right w:val="single" w:sz="4" w:space="0" w:color="auto"/>
            </w:tcBorders>
            <w:shd w:val="clear" w:color="auto" w:fill="auto"/>
          </w:tcPr>
          <w:p w14:paraId="466278F6" w14:textId="77777777" w:rsidR="005573C6" w:rsidRPr="007944F8" w:rsidRDefault="005573C6" w:rsidP="00E93E8B">
            <w:pPr>
              <w:pStyle w:val="Table"/>
              <w:keepLines w:val="0"/>
              <w:widowControl w:val="0"/>
              <w:spacing w:before="0" w:after="0"/>
              <w:rPr>
                <w:rFonts w:ascii="Times New Roman" w:hAnsi="Times New Roman"/>
                <w:sz w:val="22"/>
                <w:szCs w:val="22"/>
                <w:lang w:val="fr-FR" w:bidi="fr-FR"/>
              </w:rPr>
            </w:pPr>
            <w:r w:rsidRPr="007944F8">
              <w:rPr>
                <w:rStyle w:val="LegendChar"/>
                <w:rFonts w:ascii="Times New Roman" w:hAnsi="Times New Roman"/>
                <w:sz w:val="22"/>
                <w:lang w:val="fr-FR" w:bidi="fr-FR"/>
              </w:rPr>
              <w:t>* Sur la base du plus mauvais résultat d’analyse observé après le traitement indépendamment de la valeur de référence, selon la classification CTCAE version 4.03.</w:t>
            </w:r>
          </w:p>
        </w:tc>
      </w:tr>
    </w:tbl>
    <w:p w14:paraId="5C6FC7D4" w14:textId="77777777" w:rsidR="00E05C57" w:rsidRPr="007944F8" w:rsidRDefault="00E05C57" w:rsidP="00E93E8B">
      <w:pPr>
        <w:widowControl w:val="0"/>
        <w:tabs>
          <w:tab w:val="clear" w:pos="567"/>
        </w:tabs>
        <w:autoSpaceDE w:val="0"/>
        <w:autoSpaceDN w:val="0"/>
        <w:adjustRightInd w:val="0"/>
        <w:spacing w:line="240" w:lineRule="auto"/>
        <w:rPr>
          <w:szCs w:val="22"/>
        </w:rPr>
      </w:pPr>
    </w:p>
    <w:p w14:paraId="4751F492" w14:textId="77777777" w:rsidR="003650BA" w:rsidRPr="007944F8" w:rsidRDefault="00E05C57" w:rsidP="00BE7F7C">
      <w:pPr>
        <w:keepNext/>
        <w:widowControl w:val="0"/>
        <w:tabs>
          <w:tab w:val="clear" w:pos="567"/>
        </w:tabs>
        <w:autoSpaceDE w:val="0"/>
        <w:autoSpaceDN w:val="0"/>
        <w:adjustRightInd w:val="0"/>
        <w:spacing w:line="240" w:lineRule="auto"/>
        <w:outlineLvl w:val="0"/>
        <w:rPr>
          <w:szCs w:val="22"/>
          <w:u w:val="single"/>
        </w:rPr>
      </w:pPr>
      <w:r w:rsidRPr="007944F8">
        <w:rPr>
          <w:u w:val="single"/>
        </w:rPr>
        <w:t>Description d’effets indésirables sélectionnés</w:t>
      </w:r>
    </w:p>
    <w:p w14:paraId="2E2055BD" w14:textId="77777777" w:rsidR="00847863" w:rsidRPr="007944F8" w:rsidRDefault="00847863" w:rsidP="00E93E8B">
      <w:pPr>
        <w:keepNext/>
        <w:widowControl w:val="0"/>
        <w:tabs>
          <w:tab w:val="clear" w:pos="567"/>
        </w:tabs>
        <w:autoSpaceDE w:val="0"/>
        <w:autoSpaceDN w:val="0"/>
        <w:adjustRightInd w:val="0"/>
        <w:spacing w:line="240" w:lineRule="auto"/>
        <w:rPr>
          <w:szCs w:val="22"/>
        </w:rPr>
      </w:pPr>
    </w:p>
    <w:p w14:paraId="2985FF31" w14:textId="77777777" w:rsidR="003650BA" w:rsidRPr="007944F8" w:rsidRDefault="00263A66" w:rsidP="00BE7F7C">
      <w:pPr>
        <w:keepNext/>
        <w:widowControl w:val="0"/>
        <w:tabs>
          <w:tab w:val="clear" w:pos="567"/>
        </w:tabs>
        <w:autoSpaceDE w:val="0"/>
        <w:autoSpaceDN w:val="0"/>
        <w:adjustRightInd w:val="0"/>
        <w:spacing w:line="240" w:lineRule="auto"/>
        <w:outlineLvl w:val="0"/>
        <w:rPr>
          <w:i/>
          <w:szCs w:val="22"/>
          <w:u w:val="single"/>
        </w:rPr>
      </w:pPr>
      <w:r>
        <w:rPr>
          <w:i/>
          <w:u w:val="single"/>
        </w:rPr>
        <w:t xml:space="preserve">Effets </w:t>
      </w:r>
      <w:r w:rsidR="00A207BA">
        <w:rPr>
          <w:i/>
          <w:u w:val="single"/>
        </w:rPr>
        <w:t xml:space="preserve">indésirables </w:t>
      </w:r>
      <w:r w:rsidR="00E05C57" w:rsidRPr="007944F8">
        <w:rPr>
          <w:i/>
          <w:u w:val="single"/>
        </w:rPr>
        <w:t xml:space="preserve">d’ordre musculaire dont élévation de la </w:t>
      </w:r>
      <w:r w:rsidR="00B56846" w:rsidRPr="007944F8">
        <w:rPr>
          <w:i/>
          <w:u w:val="single"/>
        </w:rPr>
        <w:t>CPK</w:t>
      </w:r>
    </w:p>
    <w:p w14:paraId="149BB1E0" w14:textId="77777777" w:rsidR="00CA429A" w:rsidRPr="007944F8" w:rsidRDefault="00CA429A" w:rsidP="00E93E8B">
      <w:pPr>
        <w:widowControl w:val="0"/>
        <w:tabs>
          <w:tab w:val="clear" w:pos="567"/>
        </w:tabs>
        <w:autoSpaceDE w:val="0"/>
        <w:autoSpaceDN w:val="0"/>
        <w:adjustRightInd w:val="0"/>
        <w:spacing w:line="240" w:lineRule="auto"/>
        <w:rPr>
          <w:szCs w:val="22"/>
        </w:rPr>
      </w:pPr>
      <w:r w:rsidRPr="007944F8">
        <w:t>La toxicité musculaire est l’effet indésirable le plus cliniquement significatif ayant été rapporté chez les patients traités par sonidégib et serait un effet de classe des inhibiteurs de la voie de signalisation</w:t>
      </w:r>
      <w:r w:rsidR="00837011" w:rsidRPr="007944F8">
        <w:t xml:space="preserve"> Hedgehog (</w:t>
      </w:r>
      <w:r w:rsidRPr="007944F8">
        <w:t>Hh</w:t>
      </w:r>
      <w:r w:rsidR="00837011" w:rsidRPr="007944F8">
        <w:t>)</w:t>
      </w:r>
      <w:r w:rsidRPr="007944F8">
        <w:t xml:space="preserve">. Dans l’étude pivot de phase II, les spasmes musculaires ont été les </w:t>
      </w:r>
      <w:r w:rsidR="00263A66">
        <w:t xml:space="preserve">effets </w:t>
      </w:r>
      <w:r w:rsidRPr="007944F8">
        <w:t>indésirables « d’ordre musculaire » les plus fréquents et ont été rapportés chez un nombre de patients moins élevé dans le groupe Odomzo 200 mg (54 %) que dans le groupe Odomzo 800 mg (69 %).</w:t>
      </w:r>
    </w:p>
    <w:p w14:paraId="3403A542" w14:textId="77777777" w:rsidR="00CA429A" w:rsidRPr="007944F8" w:rsidRDefault="00CA429A" w:rsidP="00E93E8B">
      <w:pPr>
        <w:widowControl w:val="0"/>
        <w:tabs>
          <w:tab w:val="clear" w:pos="567"/>
        </w:tabs>
        <w:autoSpaceDE w:val="0"/>
        <w:autoSpaceDN w:val="0"/>
        <w:adjustRightInd w:val="0"/>
        <w:spacing w:line="240" w:lineRule="auto"/>
        <w:rPr>
          <w:szCs w:val="22"/>
        </w:rPr>
      </w:pPr>
    </w:p>
    <w:p w14:paraId="0AE7A860" w14:textId="77777777" w:rsidR="00E05C57" w:rsidRPr="007944F8" w:rsidRDefault="007B1220" w:rsidP="00E96874">
      <w:pPr>
        <w:widowControl w:val="0"/>
        <w:tabs>
          <w:tab w:val="clear" w:pos="567"/>
        </w:tabs>
        <w:autoSpaceDE w:val="0"/>
        <w:autoSpaceDN w:val="0"/>
        <w:adjustRightInd w:val="0"/>
        <w:spacing w:line="240" w:lineRule="auto"/>
        <w:rPr>
          <w:szCs w:val="22"/>
        </w:rPr>
      </w:pPr>
      <w:r w:rsidRPr="007944F8">
        <w:t xml:space="preserve">Une augmentation de grade 3 ou 4 </w:t>
      </w:r>
      <w:r w:rsidR="00F218A8" w:rsidRPr="007944F8">
        <w:t>de la</w:t>
      </w:r>
      <w:r w:rsidRPr="007944F8">
        <w:t xml:space="preserve"> </w:t>
      </w:r>
      <w:r w:rsidR="00B56846" w:rsidRPr="007944F8">
        <w:t>CPK</w:t>
      </w:r>
      <w:r w:rsidR="00F218A8" w:rsidRPr="007944F8">
        <w:t xml:space="preserve"> plasmatique</w:t>
      </w:r>
      <w:r w:rsidRPr="007944F8">
        <w:t xml:space="preserve"> a été rapportée chez 8 % des patients traités par Odomzo 200 mg. La majorité des patients présentant des élévations de la </w:t>
      </w:r>
      <w:r w:rsidR="00B56846" w:rsidRPr="007944F8">
        <w:t>CPK</w:t>
      </w:r>
      <w:r w:rsidRPr="007944F8">
        <w:t xml:space="preserve"> de grade 2 ou supérieur ont </w:t>
      </w:r>
      <w:r w:rsidR="00B23363" w:rsidRPr="007944F8">
        <w:t>développé</w:t>
      </w:r>
      <w:r w:rsidRPr="007944F8">
        <w:t xml:space="preserve"> des symptômes musculaires avant les élévations de la </w:t>
      </w:r>
      <w:r w:rsidR="00B56846" w:rsidRPr="007944F8">
        <w:t>CPK</w:t>
      </w:r>
      <w:r w:rsidRPr="007944F8">
        <w:t xml:space="preserve">. Chez ces patients, le délai d’apparition médian des augmentations du taux de </w:t>
      </w:r>
      <w:r w:rsidR="00B56846" w:rsidRPr="007944F8">
        <w:t>CPK</w:t>
      </w:r>
      <w:r w:rsidRPr="007944F8">
        <w:t xml:space="preserve"> de grade 2 ou supérieur après le début du traitement par Odomzo était de 12,9 semaines (étendue : de 2 à 39 semaines) et le délai de résolution médian (retour à des valeurs normales ou de grade 1) était de 12 jours (étendue : de 8 à 14 jours).</w:t>
      </w:r>
    </w:p>
    <w:p w14:paraId="743324B7" w14:textId="77777777" w:rsidR="004A5602" w:rsidRPr="007944F8" w:rsidRDefault="004A5602" w:rsidP="00E93E8B">
      <w:pPr>
        <w:widowControl w:val="0"/>
        <w:tabs>
          <w:tab w:val="clear" w:pos="567"/>
        </w:tabs>
        <w:autoSpaceDE w:val="0"/>
        <w:autoSpaceDN w:val="0"/>
        <w:adjustRightInd w:val="0"/>
        <w:spacing w:line="240" w:lineRule="auto"/>
        <w:rPr>
          <w:szCs w:val="22"/>
        </w:rPr>
      </w:pPr>
    </w:p>
    <w:p w14:paraId="6914895F" w14:textId="77777777" w:rsidR="00B23363" w:rsidRPr="007944F8" w:rsidRDefault="00B23363" w:rsidP="00B23363">
      <w:pPr>
        <w:widowControl w:val="0"/>
        <w:tabs>
          <w:tab w:val="clear" w:pos="567"/>
        </w:tabs>
        <w:autoSpaceDE w:val="0"/>
        <w:autoSpaceDN w:val="0"/>
        <w:adjustRightInd w:val="0"/>
        <w:spacing w:line="240" w:lineRule="auto"/>
      </w:pPr>
      <w:r w:rsidRPr="007944F8">
        <w:t xml:space="preserve">Un patient traité par Odomzo 200 mg a présenté des symptômes musculaires et des élévations de la CPK supérieures à 10 x LSN nécessitant </w:t>
      </w:r>
      <w:r w:rsidR="00F218A8" w:rsidRPr="007944F8">
        <w:t>un remplissage vasculaire en perfusion intraveineuse</w:t>
      </w:r>
      <w:r w:rsidRPr="007944F8">
        <w:t>, contre 6 patients traités par Odomzo 800 mg.</w:t>
      </w:r>
    </w:p>
    <w:p w14:paraId="53E6FC51" w14:textId="77777777" w:rsidR="00CA429A" w:rsidRPr="007944F8" w:rsidRDefault="00CA429A" w:rsidP="00E93E8B">
      <w:pPr>
        <w:widowControl w:val="0"/>
        <w:tabs>
          <w:tab w:val="clear" w:pos="567"/>
        </w:tabs>
        <w:autoSpaceDE w:val="0"/>
        <w:autoSpaceDN w:val="0"/>
        <w:adjustRightInd w:val="0"/>
        <w:spacing w:line="240" w:lineRule="auto"/>
        <w:rPr>
          <w:szCs w:val="22"/>
        </w:rPr>
      </w:pPr>
    </w:p>
    <w:p w14:paraId="5F6AA476" w14:textId="77777777" w:rsidR="00E05C57" w:rsidRPr="007944F8" w:rsidRDefault="00944167" w:rsidP="00E93E8B">
      <w:pPr>
        <w:widowControl w:val="0"/>
        <w:tabs>
          <w:tab w:val="clear" w:pos="567"/>
        </w:tabs>
        <w:autoSpaceDE w:val="0"/>
        <w:autoSpaceDN w:val="0"/>
        <w:adjustRightInd w:val="0"/>
        <w:spacing w:line="240" w:lineRule="auto"/>
        <w:rPr>
          <w:szCs w:val="22"/>
        </w:rPr>
      </w:pPr>
      <w:r w:rsidRPr="007944F8">
        <w:t xml:space="preserve">Dans l’étude pivot de phase II, aucun des cas rapportés de rhabdomyolyse n’a été confirmé (définie comme un taux de </w:t>
      </w:r>
      <w:r w:rsidR="00B56846" w:rsidRPr="007944F8">
        <w:t>CPK</w:t>
      </w:r>
      <w:r w:rsidRPr="007944F8">
        <w:t xml:space="preserve"> &gt; 10 fois supérieur au taux initial ou mesuré avant le début du traitement ou &gt; 10 x LSN si aucun taux de référence n’est disponible plus une multiplication par 1,5 de la créatinine sérique par rapport au taux initial ou mesuré avant le début du traitement). Toutefois, un cas </w:t>
      </w:r>
      <w:r w:rsidR="0042023E" w:rsidRPr="007944F8">
        <w:t>signalé</w:t>
      </w:r>
      <w:r w:rsidRPr="007944F8">
        <w:t xml:space="preserve"> chez un patient traité par Odomzo 800 mg dans le cadre d’une autre étude complémentaire a été confirmé.</w:t>
      </w:r>
    </w:p>
    <w:p w14:paraId="1934386F" w14:textId="77777777" w:rsidR="00122064" w:rsidRPr="007944F8" w:rsidRDefault="00122064" w:rsidP="00E93E8B">
      <w:pPr>
        <w:widowControl w:val="0"/>
        <w:tabs>
          <w:tab w:val="clear" w:pos="567"/>
        </w:tabs>
        <w:autoSpaceDE w:val="0"/>
        <w:autoSpaceDN w:val="0"/>
        <w:adjustRightInd w:val="0"/>
        <w:spacing w:line="240" w:lineRule="auto"/>
        <w:rPr>
          <w:szCs w:val="22"/>
        </w:rPr>
      </w:pPr>
    </w:p>
    <w:p w14:paraId="0365AD94" w14:textId="77777777" w:rsidR="00122064" w:rsidRPr="007944F8" w:rsidRDefault="00122064" w:rsidP="00BE7F7C">
      <w:pPr>
        <w:keepNext/>
        <w:widowControl w:val="0"/>
        <w:tabs>
          <w:tab w:val="clear" w:pos="567"/>
        </w:tabs>
        <w:autoSpaceDE w:val="0"/>
        <w:autoSpaceDN w:val="0"/>
        <w:adjustRightInd w:val="0"/>
        <w:spacing w:line="240" w:lineRule="auto"/>
        <w:outlineLvl w:val="0"/>
        <w:rPr>
          <w:i/>
          <w:szCs w:val="22"/>
          <w:u w:val="single"/>
        </w:rPr>
      </w:pPr>
      <w:r w:rsidRPr="007944F8">
        <w:rPr>
          <w:i/>
          <w:u w:val="single"/>
        </w:rPr>
        <w:t>Aménorrhée</w:t>
      </w:r>
    </w:p>
    <w:p w14:paraId="6EC0C388" w14:textId="77777777" w:rsidR="00122064" w:rsidRPr="007944F8" w:rsidRDefault="00122064" w:rsidP="00E96874">
      <w:pPr>
        <w:widowControl w:val="0"/>
        <w:tabs>
          <w:tab w:val="clear" w:pos="567"/>
        </w:tabs>
        <w:autoSpaceDE w:val="0"/>
        <w:autoSpaceDN w:val="0"/>
        <w:adjustRightInd w:val="0"/>
        <w:spacing w:line="240" w:lineRule="auto"/>
        <w:rPr>
          <w:szCs w:val="22"/>
        </w:rPr>
      </w:pPr>
      <w:r w:rsidRPr="007944F8">
        <w:t xml:space="preserve">Dans l’étude pivot de phase II, 2 (14,3 %) des 14 femmes en </w:t>
      </w:r>
      <w:r w:rsidR="00561ED8" w:rsidRPr="007944F8">
        <w:t>mesure de procréer ou en âge d’avoir des enfants</w:t>
      </w:r>
      <w:r w:rsidR="0091047A">
        <w:t>,</w:t>
      </w:r>
      <w:r w:rsidRPr="007944F8">
        <w:t xml:space="preserve"> mais ayant fait </w:t>
      </w:r>
      <w:r w:rsidR="00F04D2C" w:rsidRPr="007944F8">
        <w:t xml:space="preserve">subi </w:t>
      </w:r>
      <w:r w:rsidRPr="007944F8">
        <w:t>d’une ligature des trompes ont eu une aménorrhée durant leur traitement par Odomzo 200 mg ou 800 mg une fois par jour.</w:t>
      </w:r>
    </w:p>
    <w:p w14:paraId="741A1E28" w14:textId="77777777" w:rsidR="00CA429A" w:rsidRDefault="00CA429A" w:rsidP="00E93E8B">
      <w:pPr>
        <w:widowControl w:val="0"/>
        <w:tabs>
          <w:tab w:val="clear" w:pos="567"/>
        </w:tabs>
        <w:autoSpaceDE w:val="0"/>
        <w:autoSpaceDN w:val="0"/>
        <w:adjustRightInd w:val="0"/>
        <w:spacing w:line="240" w:lineRule="auto"/>
        <w:rPr>
          <w:szCs w:val="22"/>
        </w:rPr>
      </w:pPr>
    </w:p>
    <w:p w14:paraId="2903D826" w14:textId="77777777" w:rsidR="003917FC" w:rsidRPr="007B5627" w:rsidRDefault="003917FC" w:rsidP="00BE7F7C">
      <w:pPr>
        <w:autoSpaceDE w:val="0"/>
        <w:autoSpaceDN w:val="0"/>
        <w:adjustRightInd w:val="0"/>
        <w:spacing w:line="240" w:lineRule="auto"/>
        <w:jc w:val="both"/>
        <w:outlineLvl w:val="0"/>
        <w:rPr>
          <w:i/>
          <w:szCs w:val="22"/>
          <w:lang w:val="fr-BE"/>
        </w:rPr>
      </w:pPr>
      <w:r w:rsidRPr="007B5627">
        <w:rPr>
          <w:szCs w:val="22"/>
          <w:u w:val="single"/>
          <w:lang w:val="fr-BE"/>
        </w:rPr>
        <w:t>Population pédiatrique</w:t>
      </w:r>
    </w:p>
    <w:p w14:paraId="1387E7C6" w14:textId="77777777" w:rsidR="003917FC" w:rsidRPr="007B5627" w:rsidRDefault="003917FC" w:rsidP="003917FC">
      <w:pPr>
        <w:widowControl w:val="0"/>
        <w:tabs>
          <w:tab w:val="clear" w:pos="567"/>
        </w:tabs>
        <w:autoSpaceDE w:val="0"/>
        <w:autoSpaceDN w:val="0"/>
        <w:adjustRightInd w:val="0"/>
        <w:spacing w:line="240" w:lineRule="auto"/>
        <w:rPr>
          <w:lang w:val="fr-BE"/>
        </w:rPr>
      </w:pPr>
      <w:r w:rsidRPr="007B5627">
        <w:rPr>
          <w:lang w:val="fr-BE"/>
        </w:rPr>
        <w:t>L'évaluation de l'innocuité chez la population pédiatrique s'appuie sur les données de 16 adultes et de 60 patients pédiatriques de l'étude CLDE225X2104 et de 16 adultes et de 2 patients pédiatriques de l'étude CLDE225C2301. La durée moyenne d'exposition au sonid</w:t>
      </w:r>
      <w:r w:rsidR="00931E42">
        <w:rPr>
          <w:lang w:val="fr-BE"/>
        </w:rPr>
        <w:t>é</w:t>
      </w:r>
      <w:r w:rsidRPr="007B5627">
        <w:rPr>
          <w:lang w:val="fr-BE"/>
        </w:rPr>
        <w:t xml:space="preserve">gib au cours de l'étude X2104 était de 97 jours (allant de 34 à 511 jours) pour les patients adultes et de 55 jours (allant de 2 à 289 jours) pour les patients pédiatriques. La durée moyenne d'exposition au </w:t>
      </w:r>
      <w:r w:rsidR="00931E42" w:rsidRPr="007B5627">
        <w:rPr>
          <w:lang w:val="fr-BE"/>
        </w:rPr>
        <w:t>sonid</w:t>
      </w:r>
      <w:r w:rsidR="00931E42">
        <w:rPr>
          <w:lang w:val="fr-BE"/>
        </w:rPr>
        <w:t>é</w:t>
      </w:r>
      <w:r w:rsidR="00931E42" w:rsidRPr="007B5627">
        <w:rPr>
          <w:lang w:val="fr-BE"/>
        </w:rPr>
        <w:t xml:space="preserve">gib </w:t>
      </w:r>
      <w:r w:rsidRPr="007B5627">
        <w:rPr>
          <w:lang w:val="fr-BE"/>
        </w:rPr>
        <w:t>au cours de l'étude C2301 était de 2,8 mois (allant de 0,4 à 33,2 mois) pour les patients adultes et de 3,5 mois (allant de 1,3 à 5,7 mois) pour les patients pédiatriques.</w:t>
      </w:r>
    </w:p>
    <w:p w14:paraId="5FD352B9" w14:textId="77777777" w:rsidR="003917FC" w:rsidRPr="007B5627" w:rsidRDefault="003917FC" w:rsidP="003917FC">
      <w:pPr>
        <w:widowControl w:val="0"/>
        <w:tabs>
          <w:tab w:val="clear" w:pos="567"/>
        </w:tabs>
        <w:autoSpaceDE w:val="0"/>
        <w:autoSpaceDN w:val="0"/>
        <w:adjustRightInd w:val="0"/>
        <w:spacing w:line="240" w:lineRule="auto"/>
        <w:rPr>
          <w:lang w:val="fr-BE"/>
        </w:rPr>
      </w:pPr>
    </w:p>
    <w:p w14:paraId="49195B19" w14:textId="77777777" w:rsidR="003917FC" w:rsidRDefault="003917FC" w:rsidP="003917FC">
      <w:pPr>
        <w:widowControl w:val="0"/>
        <w:tabs>
          <w:tab w:val="clear" w:pos="567"/>
        </w:tabs>
        <w:autoSpaceDE w:val="0"/>
        <w:autoSpaceDN w:val="0"/>
        <w:adjustRightInd w:val="0"/>
        <w:spacing w:line="240" w:lineRule="auto"/>
        <w:rPr>
          <w:lang w:val="fr-BE"/>
        </w:rPr>
      </w:pPr>
      <w:r w:rsidRPr="007B5627">
        <w:rPr>
          <w:lang w:val="fr-BE"/>
        </w:rPr>
        <w:t xml:space="preserve">La toxicité du </w:t>
      </w:r>
      <w:r w:rsidR="00931E42" w:rsidRPr="007B5627">
        <w:rPr>
          <w:lang w:val="fr-BE"/>
        </w:rPr>
        <w:t>sonid</w:t>
      </w:r>
      <w:r w:rsidR="00931E42">
        <w:rPr>
          <w:lang w:val="fr-BE"/>
        </w:rPr>
        <w:t>é</w:t>
      </w:r>
      <w:r w:rsidR="00931E42" w:rsidRPr="007B5627">
        <w:rPr>
          <w:lang w:val="fr-BE"/>
        </w:rPr>
        <w:t xml:space="preserve">gib </w:t>
      </w:r>
      <w:r w:rsidRPr="007B5627">
        <w:rPr>
          <w:lang w:val="fr-BE"/>
        </w:rPr>
        <w:t xml:space="preserve">telle qu'observée dans les études C2301 et X2104 chez l'adulte était conforme à la toxicité liée au traitement déjà connue rapportée chez les patients adultes atteints d'un carcinome basocellulaire. La toxicité associée à </w:t>
      </w:r>
      <w:r w:rsidR="00931E42" w:rsidRPr="007B5627">
        <w:rPr>
          <w:lang w:val="fr-BE"/>
        </w:rPr>
        <w:t>sonid</w:t>
      </w:r>
      <w:r w:rsidR="00931E42">
        <w:rPr>
          <w:lang w:val="fr-BE"/>
        </w:rPr>
        <w:t>é</w:t>
      </w:r>
      <w:r w:rsidR="00931E42" w:rsidRPr="007B5627">
        <w:rPr>
          <w:lang w:val="fr-BE"/>
        </w:rPr>
        <w:t xml:space="preserve">gib </w:t>
      </w:r>
      <w:r w:rsidRPr="007B5627">
        <w:rPr>
          <w:lang w:val="fr-BE"/>
        </w:rPr>
        <w:t xml:space="preserve">rapportée chez les patients pédiatriques était similaire aux résultats rapportés chez les adultes, à l'exception d'une diminution de l'incidence de la toxicité musculaire (par ex., augmentations de la CK observées chez 16,7 % des patients pédiatriques versus 50 % des adultes de l'étude X2104) et de l'observation d'un effet sur le développement postnatal, particulièrement en cas d'exposition prolongée (rapporté comme des cas de trouble de la plaque épiphysaire de la phalange, condensation sous-chondrale au genou de la zone de la plaque de croissance, trouble </w:t>
      </w:r>
      <w:r w:rsidRPr="00D72AB1">
        <w:rPr>
          <w:lang w:val="fr-BE"/>
        </w:rPr>
        <w:t>physaire</w:t>
      </w:r>
      <w:r w:rsidRPr="007B5627">
        <w:rPr>
          <w:lang w:val="fr-BE"/>
        </w:rPr>
        <w:t xml:space="preserve"> du fémur distal, chondropathie et dent fêlée).</w:t>
      </w:r>
    </w:p>
    <w:p w14:paraId="6CC8AA64" w14:textId="77777777" w:rsidR="00263A66" w:rsidRDefault="00263A66" w:rsidP="003917FC">
      <w:pPr>
        <w:widowControl w:val="0"/>
        <w:tabs>
          <w:tab w:val="clear" w:pos="567"/>
        </w:tabs>
        <w:autoSpaceDE w:val="0"/>
        <w:autoSpaceDN w:val="0"/>
        <w:adjustRightInd w:val="0"/>
        <w:spacing w:line="240" w:lineRule="auto"/>
        <w:rPr>
          <w:szCs w:val="22"/>
        </w:rPr>
      </w:pPr>
    </w:p>
    <w:p w14:paraId="693DB623" w14:textId="77777777" w:rsidR="00263A66" w:rsidRPr="004E68D0" w:rsidRDefault="00263A66" w:rsidP="00263A66">
      <w:pPr>
        <w:widowControl w:val="0"/>
        <w:tabs>
          <w:tab w:val="clear" w:pos="567"/>
          <w:tab w:val="left" w:pos="708"/>
        </w:tabs>
        <w:autoSpaceDE w:val="0"/>
        <w:autoSpaceDN w:val="0"/>
        <w:adjustRightInd w:val="0"/>
        <w:spacing w:line="240" w:lineRule="auto"/>
        <w:rPr>
          <w:iCs/>
          <w:szCs w:val="22"/>
          <w:u w:val="single"/>
          <w:lang w:eastAsia="en-US" w:bidi="ar-SA"/>
        </w:rPr>
      </w:pPr>
      <w:r>
        <w:rPr>
          <w:iCs/>
          <w:szCs w:val="22"/>
          <w:u w:val="single"/>
        </w:rPr>
        <w:t>Fusion prématurée des épiphyses</w:t>
      </w:r>
    </w:p>
    <w:p w14:paraId="7F8147A2" w14:textId="53C77027" w:rsidR="00263A66" w:rsidRDefault="00263A66" w:rsidP="0091047A">
      <w:pPr>
        <w:widowControl w:val="0"/>
        <w:tabs>
          <w:tab w:val="clear" w:pos="567"/>
          <w:tab w:val="left" w:pos="708"/>
        </w:tabs>
        <w:autoSpaceDE w:val="0"/>
        <w:autoSpaceDN w:val="0"/>
        <w:adjustRightInd w:val="0"/>
        <w:spacing w:line="240" w:lineRule="auto"/>
        <w:rPr>
          <w:szCs w:val="22"/>
        </w:rPr>
      </w:pPr>
      <w:r>
        <w:rPr>
          <w:szCs w:val="22"/>
        </w:rPr>
        <w:t xml:space="preserve">Trois cas(dont un de </w:t>
      </w:r>
      <w:r w:rsidR="00457F4D">
        <w:rPr>
          <w:szCs w:val="22"/>
        </w:rPr>
        <w:t>lésions cartilagineuses</w:t>
      </w:r>
      <w:r>
        <w:rPr>
          <w:szCs w:val="22"/>
        </w:rPr>
        <w:t>, un de trouble épiphysaire et un de fracture épiphysaire) de troubles au niveau du cartilage de croissance épiphysaire ont été rapportés chez les patients pédiatriques traités par sonid</w:t>
      </w:r>
      <w:r w:rsidR="00931E42">
        <w:rPr>
          <w:szCs w:val="22"/>
        </w:rPr>
        <w:t>é</w:t>
      </w:r>
      <w:r>
        <w:rPr>
          <w:szCs w:val="22"/>
        </w:rPr>
        <w:t>gib au cours des diverses études cliniques, mais un lien causal avec sonid</w:t>
      </w:r>
      <w:r w:rsidR="00931E42">
        <w:rPr>
          <w:szCs w:val="22"/>
        </w:rPr>
        <w:t>é</w:t>
      </w:r>
      <w:r>
        <w:rPr>
          <w:szCs w:val="22"/>
        </w:rPr>
        <w:t>gib ne peut</w:t>
      </w:r>
      <w:r w:rsidR="00457F4D">
        <w:rPr>
          <w:szCs w:val="22"/>
        </w:rPr>
        <w:t xml:space="preserve"> </w:t>
      </w:r>
      <w:r>
        <w:rPr>
          <w:szCs w:val="22"/>
        </w:rPr>
        <w:t xml:space="preserve">être </w:t>
      </w:r>
      <w:r w:rsidR="00457F4D">
        <w:rPr>
          <w:szCs w:val="22"/>
        </w:rPr>
        <w:t>établi de façon concluante</w:t>
      </w:r>
      <w:r>
        <w:rPr>
          <w:szCs w:val="22"/>
        </w:rPr>
        <w:t xml:space="preserve">. </w:t>
      </w:r>
      <w:r w:rsidR="00457F4D">
        <w:rPr>
          <w:szCs w:val="22"/>
        </w:rPr>
        <w:t xml:space="preserve">Une fusion prématurée des épiphyses a été </w:t>
      </w:r>
      <w:r w:rsidR="00D228D5">
        <w:t>rapportée</w:t>
      </w:r>
      <w:r w:rsidR="00D228D5" w:rsidDel="00D228D5">
        <w:rPr>
          <w:szCs w:val="22"/>
        </w:rPr>
        <w:t xml:space="preserve"> </w:t>
      </w:r>
      <w:r w:rsidR="00457F4D">
        <w:rPr>
          <w:szCs w:val="22"/>
        </w:rPr>
        <w:t xml:space="preserve">chez les patients pédiatriques exposés </w:t>
      </w:r>
      <w:r w:rsidR="000C0209">
        <w:rPr>
          <w:szCs w:val="22"/>
        </w:rPr>
        <w:t xml:space="preserve">aux </w:t>
      </w:r>
      <w:r w:rsidR="00457F4D" w:rsidRPr="004E68D0">
        <w:rPr>
          <w:szCs w:val="22"/>
        </w:rPr>
        <w:t>inhibiteurs</w:t>
      </w:r>
      <w:r w:rsidR="006C1C0A">
        <w:t> de la voie </w:t>
      </w:r>
      <w:r>
        <w:rPr>
          <w:szCs w:val="22"/>
        </w:rPr>
        <w:t>Hh (Hedgehog</w:t>
      </w:r>
      <w:r w:rsidR="00457F4D">
        <w:rPr>
          <w:szCs w:val="22"/>
        </w:rPr>
        <w:t>)</w:t>
      </w:r>
      <w:r>
        <w:rPr>
          <w:szCs w:val="22"/>
        </w:rPr>
        <w:t xml:space="preserve">. Odomzo </w:t>
      </w:r>
      <w:r w:rsidR="000C0209" w:rsidRPr="000C0209">
        <w:rPr>
          <w:szCs w:val="22"/>
        </w:rPr>
        <w:t xml:space="preserve">ne doit pas être utilisé </w:t>
      </w:r>
      <w:r w:rsidR="00457F4D">
        <w:rPr>
          <w:szCs w:val="22"/>
        </w:rPr>
        <w:t xml:space="preserve">chez les patients pédiatriques du fait que </w:t>
      </w:r>
      <w:r w:rsidR="000C0209">
        <w:rPr>
          <w:szCs w:val="22"/>
        </w:rPr>
        <w:t xml:space="preserve">la sécurité </w:t>
      </w:r>
      <w:r w:rsidR="00457F4D">
        <w:rPr>
          <w:szCs w:val="22"/>
        </w:rPr>
        <w:t>et l’efficacité n</w:t>
      </w:r>
      <w:r w:rsidR="000C0209">
        <w:rPr>
          <w:szCs w:val="22"/>
        </w:rPr>
        <w:t>e</w:t>
      </w:r>
      <w:r w:rsidR="00457F4D">
        <w:rPr>
          <w:szCs w:val="22"/>
        </w:rPr>
        <w:t xml:space="preserve"> sont pas encore établies dans cette population</w:t>
      </w:r>
      <w:r>
        <w:rPr>
          <w:szCs w:val="22"/>
        </w:rPr>
        <w:t>.</w:t>
      </w:r>
    </w:p>
    <w:p w14:paraId="1DA619C6" w14:textId="77777777" w:rsidR="00263A66" w:rsidRPr="007944F8" w:rsidRDefault="00263A66">
      <w:pPr>
        <w:keepNext/>
        <w:widowControl w:val="0"/>
        <w:autoSpaceDE w:val="0"/>
        <w:autoSpaceDN w:val="0"/>
        <w:adjustRightInd w:val="0"/>
        <w:spacing w:line="240" w:lineRule="auto"/>
        <w:outlineLvl w:val="0"/>
        <w:rPr>
          <w:u w:val="single"/>
        </w:rPr>
      </w:pPr>
    </w:p>
    <w:p w14:paraId="08378797" w14:textId="77777777" w:rsidR="00A2400E" w:rsidRPr="007944F8" w:rsidRDefault="00A2400E" w:rsidP="00BE7F7C">
      <w:pPr>
        <w:keepNext/>
        <w:widowControl w:val="0"/>
        <w:autoSpaceDE w:val="0"/>
        <w:autoSpaceDN w:val="0"/>
        <w:adjustRightInd w:val="0"/>
        <w:spacing w:line="240" w:lineRule="auto"/>
        <w:outlineLvl w:val="0"/>
        <w:rPr>
          <w:szCs w:val="22"/>
          <w:u w:val="single"/>
        </w:rPr>
      </w:pPr>
      <w:r w:rsidRPr="007944F8">
        <w:rPr>
          <w:u w:val="single"/>
        </w:rPr>
        <w:t>Déclaration des effets indésirables suspectés</w:t>
      </w:r>
    </w:p>
    <w:p w14:paraId="55596A58" w14:textId="77777777" w:rsidR="00A2400E" w:rsidRPr="007944F8" w:rsidRDefault="00A2400E" w:rsidP="00E96874">
      <w:pPr>
        <w:keepNext/>
        <w:widowControl w:val="0"/>
        <w:autoSpaceDE w:val="0"/>
        <w:autoSpaceDN w:val="0"/>
        <w:adjustRightInd w:val="0"/>
        <w:spacing w:line="240" w:lineRule="auto"/>
        <w:rPr>
          <w:szCs w:val="22"/>
        </w:rPr>
      </w:pPr>
    </w:p>
    <w:p w14:paraId="62519E8A" w14:textId="77777777" w:rsidR="00A2400E" w:rsidRPr="007944F8" w:rsidRDefault="00A2400E" w:rsidP="00E96874">
      <w:pPr>
        <w:widowControl w:val="0"/>
        <w:autoSpaceDE w:val="0"/>
        <w:autoSpaceDN w:val="0"/>
        <w:adjustRightInd w:val="0"/>
        <w:spacing w:line="240" w:lineRule="auto"/>
        <w:rPr>
          <w:noProof/>
          <w:szCs w:val="22"/>
        </w:rPr>
      </w:pPr>
      <w:r w:rsidRPr="007944F8">
        <w:t xml:space="preserve">La déclaration des effets indésirables suspectés après autorisation du médicament est importante. Elle permet une surveillance continue du rapport bénéfice/risque du médicament. Les professionnels de santé déclarent tout effet indésirable suspecté via </w:t>
      </w:r>
      <w:r w:rsidRPr="007944F8">
        <w:rPr>
          <w:shd w:val="clear" w:color="auto" w:fill="D9D9D9"/>
        </w:rPr>
        <w:t xml:space="preserve">le système national de déclaration – voir </w:t>
      </w:r>
      <w:hyperlink r:id="rId12">
        <w:r w:rsidR="00FE2DEC" w:rsidRPr="007944F8">
          <w:rPr>
            <w:rStyle w:val="Hyperlink"/>
            <w:shd w:val="clear" w:color="auto" w:fill="D9D9D9"/>
          </w:rPr>
          <w:t>A</w:t>
        </w:r>
        <w:r w:rsidRPr="007944F8">
          <w:rPr>
            <w:rStyle w:val="Hyperlink"/>
            <w:shd w:val="clear" w:color="auto" w:fill="D9D9D9"/>
          </w:rPr>
          <w:t>nnexe V</w:t>
        </w:r>
      </w:hyperlink>
      <w:r w:rsidRPr="007944F8">
        <w:t>.</w:t>
      </w:r>
    </w:p>
    <w:p w14:paraId="703BF589" w14:textId="77777777" w:rsidR="00A2400E" w:rsidRPr="007944F8" w:rsidRDefault="00A2400E" w:rsidP="00E93E8B">
      <w:pPr>
        <w:widowControl w:val="0"/>
        <w:autoSpaceDE w:val="0"/>
        <w:autoSpaceDN w:val="0"/>
        <w:adjustRightInd w:val="0"/>
        <w:spacing w:line="240" w:lineRule="auto"/>
        <w:rPr>
          <w:szCs w:val="22"/>
        </w:rPr>
      </w:pPr>
    </w:p>
    <w:p w14:paraId="47478E11" w14:textId="77777777" w:rsidR="00812D16" w:rsidRPr="007944F8" w:rsidRDefault="00812D16" w:rsidP="00BE7F7C">
      <w:pPr>
        <w:keepNext/>
        <w:widowControl w:val="0"/>
        <w:outlineLvl w:val="0"/>
        <w:rPr>
          <w:b/>
          <w:noProof/>
        </w:rPr>
      </w:pPr>
      <w:r w:rsidRPr="007944F8">
        <w:rPr>
          <w:b/>
        </w:rPr>
        <w:t>4.9</w:t>
      </w:r>
      <w:r w:rsidRPr="007944F8">
        <w:tab/>
      </w:r>
      <w:r w:rsidRPr="007944F8">
        <w:rPr>
          <w:b/>
        </w:rPr>
        <w:t>Surdosage</w:t>
      </w:r>
    </w:p>
    <w:p w14:paraId="1F220169" w14:textId="77777777" w:rsidR="00812D16" w:rsidRPr="007944F8" w:rsidRDefault="00812D16" w:rsidP="00E93E8B">
      <w:pPr>
        <w:keepNext/>
        <w:widowControl w:val="0"/>
        <w:tabs>
          <w:tab w:val="clear" w:pos="567"/>
        </w:tabs>
        <w:spacing w:line="240" w:lineRule="auto"/>
        <w:rPr>
          <w:noProof/>
          <w:szCs w:val="22"/>
        </w:rPr>
      </w:pPr>
    </w:p>
    <w:p w14:paraId="769CEDCF" w14:textId="77777777" w:rsidR="003650BA" w:rsidRPr="007944F8" w:rsidRDefault="009F36CE" w:rsidP="00E96874">
      <w:pPr>
        <w:widowControl w:val="0"/>
        <w:spacing w:line="240" w:lineRule="auto"/>
      </w:pPr>
      <w:r w:rsidRPr="007944F8">
        <w:t xml:space="preserve">Dans les études d’escalade de dose, Odomzo a été administré par voie orale à des doses allant jusqu’à 3000 mg une fois par jour. En cas de surdosage, les patients doivent faire l’objet d’une surveillance </w:t>
      </w:r>
      <w:r w:rsidR="00510583" w:rsidRPr="007944F8">
        <w:t xml:space="preserve">rapprochée </w:t>
      </w:r>
      <w:r w:rsidRPr="007944F8">
        <w:t xml:space="preserve">afin de déceler tout événement indésirable et recevoir </w:t>
      </w:r>
      <w:r w:rsidR="00507932" w:rsidRPr="007944F8">
        <w:t>une prise en charge</w:t>
      </w:r>
      <w:r w:rsidRPr="007944F8">
        <w:t xml:space="preserve"> appropriée.</w:t>
      </w:r>
    </w:p>
    <w:p w14:paraId="7D5C2824" w14:textId="77777777" w:rsidR="00812D16" w:rsidRPr="007944F8" w:rsidRDefault="00812D16" w:rsidP="00E93E8B">
      <w:pPr>
        <w:widowControl w:val="0"/>
        <w:tabs>
          <w:tab w:val="clear" w:pos="567"/>
        </w:tabs>
        <w:spacing w:line="240" w:lineRule="auto"/>
      </w:pPr>
    </w:p>
    <w:p w14:paraId="537CD65A" w14:textId="77777777" w:rsidR="00405224" w:rsidRPr="007944F8" w:rsidRDefault="00405224" w:rsidP="00E93E8B">
      <w:pPr>
        <w:widowControl w:val="0"/>
        <w:tabs>
          <w:tab w:val="clear" w:pos="567"/>
        </w:tabs>
        <w:spacing w:line="240" w:lineRule="auto"/>
      </w:pPr>
    </w:p>
    <w:p w14:paraId="77381C79" w14:textId="77777777" w:rsidR="00812D16" w:rsidRPr="007944F8" w:rsidRDefault="00812D16" w:rsidP="00BE7F7C">
      <w:pPr>
        <w:keepNext/>
        <w:widowControl w:val="0"/>
        <w:tabs>
          <w:tab w:val="clear" w:pos="567"/>
        </w:tabs>
        <w:suppressAutoHyphens/>
        <w:spacing w:line="240" w:lineRule="auto"/>
        <w:ind w:left="567" w:hanging="567"/>
        <w:outlineLvl w:val="0"/>
      </w:pPr>
      <w:r w:rsidRPr="007944F8">
        <w:rPr>
          <w:b/>
        </w:rPr>
        <w:t>5.</w:t>
      </w:r>
      <w:r w:rsidRPr="007944F8">
        <w:tab/>
      </w:r>
      <w:r w:rsidRPr="007944F8">
        <w:rPr>
          <w:b/>
        </w:rPr>
        <w:t>PROPRIÉTÉS PHARMACOLOGIQUES</w:t>
      </w:r>
    </w:p>
    <w:p w14:paraId="3EA94FBC" w14:textId="77777777" w:rsidR="00812D16" w:rsidRPr="007944F8" w:rsidRDefault="00812D16" w:rsidP="00E93E8B">
      <w:pPr>
        <w:keepNext/>
        <w:widowControl w:val="0"/>
        <w:tabs>
          <w:tab w:val="clear" w:pos="567"/>
        </w:tabs>
        <w:spacing w:line="240" w:lineRule="auto"/>
      </w:pPr>
    </w:p>
    <w:p w14:paraId="0064A9DB" w14:textId="77777777" w:rsidR="00812D16" w:rsidRPr="007944F8" w:rsidRDefault="00812D16" w:rsidP="00BE7F7C">
      <w:pPr>
        <w:keepNext/>
        <w:widowControl w:val="0"/>
        <w:outlineLvl w:val="0"/>
        <w:rPr>
          <w:b/>
        </w:rPr>
      </w:pPr>
      <w:r w:rsidRPr="007944F8">
        <w:rPr>
          <w:b/>
        </w:rPr>
        <w:t>5.1</w:t>
      </w:r>
      <w:r w:rsidRPr="007944F8">
        <w:tab/>
      </w:r>
      <w:r w:rsidRPr="007944F8">
        <w:rPr>
          <w:b/>
        </w:rPr>
        <w:t>Propriétés pharmacodynamiques</w:t>
      </w:r>
    </w:p>
    <w:p w14:paraId="30D4DFC5" w14:textId="77777777" w:rsidR="00812D16" w:rsidRPr="007944F8" w:rsidRDefault="00812D16" w:rsidP="00E93E8B">
      <w:pPr>
        <w:keepNext/>
        <w:widowControl w:val="0"/>
        <w:tabs>
          <w:tab w:val="clear" w:pos="567"/>
        </w:tabs>
        <w:spacing w:line="240" w:lineRule="auto"/>
      </w:pPr>
    </w:p>
    <w:p w14:paraId="71995EA8" w14:textId="77777777" w:rsidR="00812D16" w:rsidRPr="007944F8" w:rsidRDefault="00812D16" w:rsidP="00E96874">
      <w:pPr>
        <w:keepNext/>
        <w:widowControl w:val="0"/>
        <w:spacing w:line="240" w:lineRule="auto"/>
        <w:rPr>
          <w:noProof/>
        </w:rPr>
      </w:pPr>
      <w:r w:rsidRPr="007944F8">
        <w:t xml:space="preserve">Classe pharmacothérapeutique : agents antinéoplasiques, autres agents antinéoplasiques, code ATC : </w:t>
      </w:r>
      <w:r w:rsidR="00BB473C" w:rsidRPr="00BB473C">
        <w:t>L01XJ02</w:t>
      </w:r>
    </w:p>
    <w:p w14:paraId="23D1564F" w14:textId="77777777" w:rsidR="00812D16" w:rsidRPr="007944F8" w:rsidRDefault="00812D16" w:rsidP="00E96874">
      <w:pPr>
        <w:keepNext/>
        <w:widowControl w:val="0"/>
        <w:tabs>
          <w:tab w:val="clear" w:pos="567"/>
        </w:tabs>
        <w:spacing w:line="240" w:lineRule="auto"/>
        <w:rPr>
          <w:noProof/>
          <w:szCs w:val="22"/>
        </w:rPr>
      </w:pPr>
    </w:p>
    <w:p w14:paraId="30E8D12B" w14:textId="77777777" w:rsidR="00812D16" w:rsidRPr="007944F8" w:rsidRDefault="00812D16" w:rsidP="00BE7F7C">
      <w:pPr>
        <w:keepNext/>
        <w:widowControl w:val="0"/>
        <w:tabs>
          <w:tab w:val="clear" w:pos="567"/>
        </w:tabs>
        <w:autoSpaceDE w:val="0"/>
        <w:autoSpaceDN w:val="0"/>
        <w:adjustRightInd w:val="0"/>
        <w:spacing w:line="240" w:lineRule="auto"/>
        <w:outlineLvl w:val="0"/>
        <w:rPr>
          <w:szCs w:val="22"/>
        </w:rPr>
      </w:pPr>
      <w:r w:rsidRPr="007944F8">
        <w:rPr>
          <w:u w:val="single"/>
        </w:rPr>
        <w:t>Mécanisme d’action</w:t>
      </w:r>
    </w:p>
    <w:p w14:paraId="6EAD287F" w14:textId="77777777" w:rsidR="00405224" w:rsidRPr="007944F8" w:rsidRDefault="00405224" w:rsidP="00E96874">
      <w:pPr>
        <w:keepNext/>
        <w:widowControl w:val="0"/>
        <w:tabs>
          <w:tab w:val="clear" w:pos="567"/>
        </w:tabs>
        <w:spacing w:line="240" w:lineRule="auto"/>
        <w:rPr>
          <w:noProof/>
          <w:szCs w:val="22"/>
        </w:rPr>
      </w:pPr>
    </w:p>
    <w:p w14:paraId="03F79417" w14:textId="77777777" w:rsidR="003650BA" w:rsidRPr="007944F8" w:rsidRDefault="00561ED8" w:rsidP="00E96874">
      <w:pPr>
        <w:widowControl w:val="0"/>
        <w:spacing w:line="240" w:lineRule="auto"/>
      </w:pPr>
      <w:r w:rsidRPr="007944F8">
        <w:t>S</w:t>
      </w:r>
      <w:r w:rsidR="00436AC2" w:rsidRPr="007944F8">
        <w:t xml:space="preserve">onidégib est un </w:t>
      </w:r>
      <w:r w:rsidR="0094413E" w:rsidRPr="007944F8">
        <w:t>inhibiteur de la voie</w:t>
      </w:r>
      <w:r w:rsidR="00BE7ABE" w:rsidRPr="007944F8">
        <w:t xml:space="preserve"> de signalisation</w:t>
      </w:r>
      <w:r w:rsidR="0094413E" w:rsidRPr="007944F8">
        <w:t xml:space="preserve"> Hedgehog </w:t>
      </w:r>
      <w:r w:rsidR="00391AE3" w:rsidRPr="007944F8">
        <w:t xml:space="preserve">biodisponible </w:t>
      </w:r>
      <w:r w:rsidR="00436AC2" w:rsidRPr="007944F8">
        <w:t>oralement</w:t>
      </w:r>
      <w:r w:rsidR="0094413E" w:rsidRPr="007944F8">
        <w:t>.</w:t>
      </w:r>
      <w:r w:rsidR="00436AC2" w:rsidRPr="007944F8">
        <w:t xml:space="preserve"> </w:t>
      </w:r>
      <w:r w:rsidR="0094413E" w:rsidRPr="007944F8">
        <w:t xml:space="preserve">Il se lie au </w:t>
      </w:r>
      <w:r w:rsidR="00436AC2" w:rsidRPr="007944F8">
        <w:t>récepteur Smoothened (Smo)</w:t>
      </w:r>
      <w:r w:rsidR="0094413E" w:rsidRPr="007944F8">
        <w:t>,</w:t>
      </w:r>
      <w:r w:rsidR="00436AC2" w:rsidRPr="007944F8">
        <w:t xml:space="preserve"> une molécule analogue aux récepteurs couplés aux protéines G qui régule positivement la voie Hedgehog (Hh)</w:t>
      </w:r>
      <w:r w:rsidR="00BE7ABE" w:rsidRPr="007944F8">
        <w:t>,</w:t>
      </w:r>
      <w:r w:rsidR="00A17037" w:rsidRPr="007944F8">
        <w:t xml:space="preserve"> et active </w:t>
      </w:r>
      <w:r w:rsidR="00724D19" w:rsidRPr="007944F8">
        <w:t xml:space="preserve">finalement </w:t>
      </w:r>
      <w:r w:rsidR="00A17037" w:rsidRPr="007944F8">
        <w:t>et libère</w:t>
      </w:r>
      <w:r w:rsidR="00BE7ABE" w:rsidRPr="007944F8">
        <w:t xml:space="preserve"> </w:t>
      </w:r>
      <w:r w:rsidR="00A17037" w:rsidRPr="007944F8">
        <w:t>l</w:t>
      </w:r>
      <w:r w:rsidR="00436AC2" w:rsidRPr="007944F8">
        <w:t>es facteurs de transcription GLI (Glioma</w:t>
      </w:r>
      <w:r w:rsidR="00436AC2" w:rsidRPr="007944F8">
        <w:noBreakHyphen/>
        <w:t>Associated Oncogene)</w:t>
      </w:r>
      <w:r w:rsidR="00EE46D3" w:rsidRPr="007944F8">
        <w:t xml:space="preserve"> </w:t>
      </w:r>
      <w:r w:rsidR="00A17037" w:rsidRPr="007944F8">
        <w:t>qui induisent la transcription des gènes cibles</w:t>
      </w:r>
      <w:r w:rsidR="00D123A9" w:rsidRPr="007944F8">
        <w:t xml:space="preserve"> </w:t>
      </w:r>
      <w:r w:rsidR="00F04553" w:rsidRPr="007944F8">
        <w:t>de Hh</w:t>
      </w:r>
      <w:r w:rsidR="00A17037" w:rsidRPr="007944F8">
        <w:t xml:space="preserve"> impliqués dans la prolifération, la différenciation et la survie. Une signalisation aberrante de la voie Hedgehog a été </w:t>
      </w:r>
      <w:r w:rsidR="00436AC2" w:rsidRPr="007944F8">
        <w:t>liée à la pathogenèse de plusieurs types de cancer, dont le carc</w:t>
      </w:r>
      <w:r w:rsidRPr="007944F8">
        <w:t>inome basocellulaire (CBC).</w:t>
      </w:r>
      <w:r w:rsidR="00A17037" w:rsidRPr="007944F8">
        <w:t xml:space="preserve"> </w:t>
      </w:r>
      <w:r w:rsidR="00D123A9" w:rsidRPr="007944F8">
        <w:t>S</w:t>
      </w:r>
      <w:r w:rsidR="00436AC2" w:rsidRPr="007944F8">
        <w:t>onidégib</w:t>
      </w:r>
      <w:r w:rsidR="00A17037" w:rsidRPr="007944F8">
        <w:t xml:space="preserve"> </w:t>
      </w:r>
      <w:r w:rsidR="00F04553" w:rsidRPr="007944F8">
        <w:t>se li</w:t>
      </w:r>
      <w:r w:rsidR="00D123A9" w:rsidRPr="007944F8">
        <w:t>ant</w:t>
      </w:r>
      <w:r w:rsidR="00F04553" w:rsidRPr="007944F8">
        <w:t xml:space="preserve"> à la </w:t>
      </w:r>
      <w:r w:rsidR="00D123A9" w:rsidRPr="007944F8">
        <w:t>molécule</w:t>
      </w:r>
      <w:r w:rsidR="00F04553" w:rsidRPr="007944F8">
        <w:t xml:space="preserve"> Smo</w:t>
      </w:r>
      <w:r w:rsidR="00D123A9" w:rsidRPr="007944F8">
        <w:t>,</w:t>
      </w:r>
      <w:r w:rsidR="00F04553" w:rsidRPr="007944F8">
        <w:t xml:space="preserve"> </w:t>
      </w:r>
      <w:r w:rsidR="00A17037" w:rsidRPr="007944F8">
        <w:t>inhibe</w:t>
      </w:r>
      <w:r w:rsidR="00F04553" w:rsidRPr="007944F8">
        <w:t xml:space="preserve"> </w:t>
      </w:r>
      <w:r w:rsidR="00BE7ABE" w:rsidRPr="007944F8">
        <w:t>la</w:t>
      </w:r>
      <w:r w:rsidR="00F04553" w:rsidRPr="007944F8">
        <w:t xml:space="preserve"> signal</w:t>
      </w:r>
      <w:r w:rsidR="00BE7ABE" w:rsidRPr="007944F8">
        <w:t>isation</w:t>
      </w:r>
      <w:r w:rsidR="00F04553" w:rsidRPr="007944F8">
        <w:t xml:space="preserve"> Hh, ce qui </w:t>
      </w:r>
      <w:r w:rsidR="00A17037" w:rsidRPr="007944F8">
        <w:t>bloqu</w:t>
      </w:r>
      <w:r w:rsidR="00F04553" w:rsidRPr="007944F8">
        <w:t>e</w:t>
      </w:r>
      <w:r w:rsidR="00A17037" w:rsidRPr="007944F8">
        <w:t xml:space="preserve"> </w:t>
      </w:r>
      <w:r w:rsidR="00BE7ABE" w:rsidRPr="007944F8">
        <w:t xml:space="preserve">par conséquent </w:t>
      </w:r>
      <w:r w:rsidR="00A17037" w:rsidRPr="007944F8">
        <w:t>la</w:t>
      </w:r>
      <w:r w:rsidR="00F04553" w:rsidRPr="007944F8">
        <w:t xml:space="preserve"> transduction du signal</w:t>
      </w:r>
      <w:r w:rsidR="00A17037" w:rsidRPr="007944F8">
        <w:t>.</w:t>
      </w:r>
    </w:p>
    <w:p w14:paraId="4BF8E4E3" w14:textId="77777777" w:rsidR="00562201" w:rsidRPr="007944F8" w:rsidRDefault="00562201" w:rsidP="00E96874">
      <w:pPr>
        <w:widowControl w:val="0"/>
        <w:tabs>
          <w:tab w:val="clear" w:pos="567"/>
        </w:tabs>
        <w:autoSpaceDE w:val="0"/>
        <w:autoSpaceDN w:val="0"/>
        <w:adjustRightInd w:val="0"/>
        <w:spacing w:line="240" w:lineRule="auto"/>
        <w:rPr>
          <w:szCs w:val="22"/>
        </w:rPr>
      </w:pPr>
    </w:p>
    <w:p w14:paraId="2671AA97" w14:textId="77777777" w:rsidR="00812D16" w:rsidRPr="007944F8" w:rsidRDefault="00812D16" w:rsidP="00BE7F7C">
      <w:pPr>
        <w:keepNext/>
        <w:widowControl w:val="0"/>
        <w:tabs>
          <w:tab w:val="clear" w:pos="567"/>
        </w:tabs>
        <w:autoSpaceDE w:val="0"/>
        <w:autoSpaceDN w:val="0"/>
        <w:adjustRightInd w:val="0"/>
        <w:spacing w:line="240" w:lineRule="auto"/>
        <w:outlineLvl w:val="0"/>
        <w:rPr>
          <w:szCs w:val="22"/>
        </w:rPr>
      </w:pPr>
      <w:r w:rsidRPr="007944F8">
        <w:rPr>
          <w:u w:val="single"/>
        </w:rPr>
        <w:t>Effets pharmacodynamiques</w:t>
      </w:r>
    </w:p>
    <w:p w14:paraId="71AA1953" w14:textId="77777777" w:rsidR="00405224" w:rsidRPr="007944F8" w:rsidRDefault="00405224" w:rsidP="00E96874">
      <w:pPr>
        <w:keepNext/>
        <w:widowControl w:val="0"/>
        <w:tabs>
          <w:tab w:val="clear" w:pos="567"/>
        </w:tabs>
        <w:spacing w:line="240" w:lineRule="auto"/>
        <w:rPr>
          <w:noProof/>
          <w:szCs w:val="22"/>
        </w:rPr>
      </w:pPr>
    </w:p>
    <w:p w14:paraId="259A8761" w14:textId="77777777" w:rsidR="00436AC2" w:rsidRPr="007944F8" w:rsidRDefault="002A2F6B" w:rsidP="00E96874">
      <w:pPr>
        <w:widowControl w:val="0"/>
        <w:spacing w:line="240" w:lineRule="auto"/>
      </w:pPr>
      <w:r w:rsidRPr="007944F8">
        <w:t xml:space="preserve">L’analyse de la relation concentration plasmatique </w:t>
      </w:r>
      <w:r w:rsidR="00561ED8" w:rsidRPr="007944F8">
        <w:t>de sonidégib</w:t>
      </w:r>
      <w:r w:rsidRPr="007944F8">
        <w:noBreakHyphen/>
        <w:t>intervalle QTc a montré que la borne supérieure de l’intervalle de confiance unilatéral à 95 % pour l’augmentation de l’intervalle QTc à C</w:t>
      </w:r>
      <w:r w:rsidRPr="007944F8">
        <w:rPr>
          <w:vertAlign w:val="subscript"/>
        </w:rPr>
        <w:t>max</w:t>
      </w:r>
      <w:r w:rsidRPr="007944F8">
        <w:t xml:space="preserve">, à l’état d’équilibre, était inférieure à 5 ms pour des doses quotidiennes de 800 mg, qui représentent une exposition plasmatique 2,3 fois supérieure par rapport à la dose recommandée de 200 mg. Par conséquent, des doses thérapeutiques d’Odomzo ne devraient pas provoquer </w:t>
      </w:r>
      <w:r w:rsidR="0042023E" w:rsidRPr="007944F8">
        <w:t>d’</w:t>
      </w:r>
      <w:r w:rsidRPr="007944F8">
        <w:t>allongement cliniquement significatif de l’intervalle QTc. De plus, les concentrations plasmatiques de sonidégib supérieures à celles atteintes avec les doses thérapeutiques n’étaient pas associées à des arythmies ou des torsades de pointes menaçant le pronostic vital.</w:t>
      </w:r>
    </w:p>
    <w:p w14:paraId="34486264" w14:textId="77777777" w:rsidR="00DC1D5C" w:rsidRPr="007944F8" w:rsidRDefault="00DC1D5C" w:rsidP="00E96874">
      <w:pPr>
        <w:widowControl w:val="0"/>
        <w:spacing w:line="240" w:lineRule="auto"/>
      </w:pPr>
    </w:p>
    <w:p w14:paraId="57F35B1C" w14:textId="77777777" w:rsidR="002A2F6B" w:rsidRPr="007944F8" w:rsidRDefault="002A2F6B" w:rsidP="00E96874">
      <w:pPr>
        <w:widowControl w:val="0"/>
        <w:spacing w:line="240" w:lineRule="auto"/>
      </w:pPr>
      <w:r w:rsidRPr="007944F8">
        <w:t>La réponse tumorale ne dépendait pas de la dose ou de la concentration plasmatique d’Odomzo pour des doses allant de 200 mg à 800 mg.</w:t>
      </w:r>
    </w:p>
    <w:p w14:paraId="2DFB37A3" w14:textId="77777777" w:rsidR="00436AC2" w:rsidRPr="007944F8" w:rsidRDefault="00436AC2" w:rsidP="00E96874">
      <w:pPr>
        <w:widowControl w:val="0"/>
        <w:tabs>
          <w:tab w:val="clear" w:pos="567"/>
        </w:tabs>
        <w:autoSpaceDE w:val="0"/>
        <w:autoSpaceDN w:val="0"/>
        <w:adjustRightInd w:val="0"/>
        <w:spacing w:line="240" w:lineRule="auto"/>
        <w:rPr>
          <w:szCs w:val="22"/>
        </w:rPr>
      </w:pPr>
    </w:p>
    <w:p w14:paraId="1992225D" w14:textId="77777777" w:rsidR="00812D16" w:rsidRPr="007944F8" w:rsidRDefault="00812D16" w:rsidP="00BE7F7C">
      <w:pPr>
        <w:keepNext/>
        <w:widowControl w:val="0"/>
        <w:tabs>
          <w:tab w:val="clear" w:pos="567"/>
        </w:tabs>
        <w:autoSpaceDE w:val="0"/>
        <w:autoSpaceDN w:val="0"/>
        <w:adjustRightInd w:val="0"/>
        <w:spacing w:line="240" w:lineRule="auto"/>
        <w:outlineLvl w:val="0"/>
        <w:rPr>
          <w:szCs w:val="22"/>
        </w:rPr>
      </w:pPr>
      <w:r w:rsidRPr="007944F8">
        <w:rPr>
          <w:u w:val="single"/>
        </w:rPr>
        <w:t>Efficacité et sécurité clinique</w:t>
      </w:r>
      <w:r w:rsidR="008E369F" w:rsidRPr="007944F8">
        <w:rPr>
          <w:u w:val="single"/>
        </w:rPr>
        <w:t>s</w:t>
      </w:r>
    </w:p>
    <w:p w14:paraId="163CFB77" w14:textId="77777777" w:rsidR="00405224" w:rsidRPr="007944F8" w:rsidRDefault="00405224" w:rsidP="00E96874">
      <w:pPr>
        <w:keepNext/>
        <w:widowControl w:val="0"/>
        <w:spacing w:line="240" w:lineRule="auto"/>
      </w:pPr>
      <w:bookmarkStart w:id="102" w:name="_Toc196813431"/>
    </w:p>
    <w:p w14:paraId="3C87C81E" w14:textId="77777777" w:rsidR="003650BA" w:rsidRPr="007944F8" w:rsidRDefault="00CC596E" w:rsidP="00E96874">
      <w:pPr>
        <w:widowControl w:val="0"/>
        <w:spacing w:line="240" w:lineRule="auto"/>
      </w:pPr>
      <w:r w:rsidRPr="007944F8">
        <w:t xml:space="preserve">Une étude de phase II, randomisée, en double aveugle et portant sur deux paliers de dose (200 mg ou 800 mg une fois par jour) d’Odomzo a été menée chez 230 patients atteints d’un carcinome basocellulaire localement avancé (CBCla) (n = 194) ou d’un carcinome basocellulaire métastatique (CBCm) (n = 36). </w:t>
      </w:r>
      <w:r w:rsidR="0042023E" w:rsidRPr="007944F8">
        <w:t>Parmi</w:t>
      </w:r>
      <w:r w:rsidRPr="007944F8">
        <w:t xml:space="preserve"> les 230 patients, 16 avaient un diagnostic de syndrome de Gorlin (15 CBCla et 1 CBCm). Les patients adultes (âgés d’au moins 18 ans) atteints d’un CBCla ou d’un CBCm et non</w:t>
      </w:r>
      <w:r w:rsidR="00482343" w:rsidRPr="007944F8">
        <w:t>-</w:t>
      </w:r>
      <w:r w:rsidRPr="007944F8">
        <w:t xml:space="preserve">candidats à la radiothérapie, la chirurgie ou d’autres traitements locaux ont été randomisés pour recevoir Odomzo à raison d’une dose quotidienne de 200 mg ou 800 mg jusqu’à la progression de la maladie ou la survenue d’une toxicité </w:t>
      </w:r>
      <w:r w:rsidR="0042023E" w:rsidRPr="007944F8">
        <w:t xml:space="preserve">non </w:t>
      </w:r>
      <w:r w:rsidRPr="007944F8">
        <w:t>acceptable.</w:t>
      </w:r>
    </w:p>
    <w:p w14:paraId="4014F01B" w14:textId="77777777" w:rsidR="00803F29" w:rsidRPr="007944F8" w:rsidRDefault="00803F29" w:rsidP="00E96874">
      <w:pPr>
        <w:widowControl w:val="0"/>
        <w:spacing w:line="240" w:lineRule="auto"/>
      </w:pPr>
    </w:p>
    <w:p w14:paraId="7E4C010A" w14:textId="77777777" w:rsidR="00CC596E" w:rsidRPr="007944F8" w:rsidRDefault="00CC596E" w:rsidP="00E96874">
      <w:pPr>
        <w:widowControl w:val="0"/>
        <w:spacing w:line="240" w:lineRule="auto"/>
        <w:rPr>
          <w:szCs w:val="22"/>
        </w:rPr>
      </w:pPr>
      <w:r w:rsidRPr="007944F8">
        <w:t>Le critère d’évaluation principal de l’efficacité était le taux de réponse objective selon les critères RECIST (Response Evaluation Criteria in Solid Tumours) modifiés chez les patients atteints d’un CBCla et RECIST 1.1 chez les patients atteints d’un CBCm déterminé par revue centralisée. Les critères d’évaluation secondaires comprenaient la durée de la réponse, le délai d’obtention de la réponse tumorale et la survie sans progression (SSP) selon les critères RECIST modifiés chez les patients atteints d’un CBCla et RECIST 1.1 chez les patients atteints d’un CBCm déterminé par revue centralisée.</w:t>
      </w:r>
    </w:p>
    <w:p w14:paraId="44D0D68B" w14:textId="77777777" w:rsidR="00405224" w:rsidRPr="007944F8" w:rsidRDefault="00405224" w:rsidP="00E96874">
      <w:pPr>
        <w:widowControl w:val="0"/>
        <w:spacing w:line="240" w:lineRule="auto"/>
      </w:pPr>
    </w:p>
    <w:p w14:paraId="1AC35A5B" w14:textId="77777777" w:rsidR="00CC596E" w:rsidRPr="007944F8" w:rsidRDefault="00CC596E" w:rsidP="00E96874">
      <w:pPr>
        <w:widowControl w:val="0"/>
        <w:spacing w:line="240" w:lineRule="auto"/>
      </w:pPr>
      <w:r w:rsidRPr="007944F8">
        <w:t xml:space="preserve">Pour les patients atteints d’un CBCla, la réponse globale composite évaluée par le comité de revue indépendant (CRI) intégrait les examens IRM, les photographies cliniques numériques et les données histopathologiques, évalués de manière centralisée selon les critères RECIST modifiés. </w:t>
      </w:r>
      <w:r w:rsidR="00837011" w:rsidRPr="007944F8">
        <w:t>Pour le CBCla, d</w:t>
      </w:r>
      <w:r w:rsidRPr="007944F8">
        <w:t xml:space="preserve">es échantillons </w:t>
      </w:r>
      <w:r w:rsidR="00F91D56" w:rsidRPr="007944F8">
        <w:t xml:space="preserve">multiples </w:t>
      </w:r>
      <w:r w:rsidRPr="007944F8">
        <w:t xml:space="preserve">ont été prélevés par </w:t>
      </w:r>
      <w:r w:rsidR="00701133" w:rsidRPr="007944F8">
        <w:t>ponction-</w:t>
      </w:r>
      <w:r w:rsidRPr="007944F8">
        <w:t xml:space="preserve">biopsie chaque fois qu’une évaluation de la réponse était </w:t>
      </w:r>
      <w:r w:rsidR="00522CDC" w:rsidRPr="007944F8">
        <w:t xml:space="preserve">confuse du fait de la </w:t>
      </w:r>
      <w:r w:rsidRPr="007944F8">
        <w:t>présence d’une ulcération, d’un kyste ou d’une cicatrice/fibrose au niveau de la lésion. La réponse tumorale observée à l’IRM a été évaluée selon les critères RECIST 1.1. La réponse observée sur les photographies cliniques numériques a été évaluée selon les critères de l’Organisation mondiale de la Santé (OMS) adapté</w:t>
      </w:r>
      <w:r w:rsidR="0091047A">
        <w:t>e</w:t>
      </w:r>
      <w:r w:rsidRPr="007944F8">
        <w:t xml:space="preserve"> [réponse partielle</w:t>
      </w:r>
      <w:r w:rsidR="000210AC" w:rsidRPr="007944F8">
        <w:t xml:space="preserve"> (RP)</w:t>
      </w:r>
      <w:r w:rsidRPr="007944F8">
        <w:t> : diminution d’au moins 50 % de la somme des produits des diamètres perpendiculaires (SPD) d’une lésion ; réponse complète </w:t>
      </w:r>
      <w:r w:rsidR="000210AC" w:rsidRPr="007944F8">
        <w:t xml:space="preserve">(RC) </w:t>
      </w:r>
      <w:r w:rsidRPr="007944F8">
        <w:t>: disparition de toutes les lésions ; progression de la maladie : augmentation d’au moins 25 % de la SPD des lésions].</w:t>
      </w:r>
      <w:r w:rsidR="00BB5AB9" w:rsidRPr="007944F8">
        <w:t xml:space="preserve"> Pour une réponse composite complète, toutes les modalités utilisées pour l'évaluation </w:t>
      </w:r>
      <w:r w:rsidR="001C2EF7" w:rsidRPr="007944F8">
        <w:t>devaient</w:t>
      </w:r>
      <w:r w:rsidR="00BB5AB9" w:rsidRPr="007944F8">
        <w:t xml:space="preserve"> démontrer l'absence de tumeur.</w:t>
      </w:r>
    </w:p>
    <w:p w14:paraId="536E0FF4" w14:textId="77777777" w:rsidR="00725E2D" w:rsidRPr="007944F8" w:rsidRDefault="00725E2D" w:rsidP="00E93E8B">
      <w:pPr>
        <w:widowControl w:val="0"/>
        <w:spacing w:line="240" w:lineRule="auto"/>
      </w:pPr>
    </w:p>
    <w:p w14:paraId="4066D4A3" w14:textId="77777777" w:rsidR="008271B4" w:rsidRPr="007944F8" w:rsidRDefault="0042023E" w:rsidP="00E96874">
      <w:pPr>
        <w:widowControl w:val="0"/>
        <w:spacing w:line="240" w:lineRule="auto"/>
        <w:rPr>
          <w:szCs w:val="22"/>
        </w:rPr>
      </w:pPr>
      <w:r w:rsidRPr="007944F8">
        <w:t>Parmi les</w:t>
      </w:r>
      <w:r w:rsidR="00B821D4" w:rsidRPr="007944F8">
        <w:t xml:space="preserve"> 230 patients randomisés, 79 ont été affectés au groupe traité par Odomzo 200 mg. Sur ces 79 patients, 66 (83,5 %) étaient atteints d’un CBCla (37 [46,8 %] d’histologie agressive et 29 [36,7 %] d’histologie non agressive) et 13 (16,5</w:t>
      </w:r>
      <w:r w:rsidR="00697034" w:rsidRPr="007944F8">
        <w:t> </w:t>
      </w:r>
      <w:r w:rsidR="00B821D4" w:rsidRPr="007944F8">
        <w:t>%) étaient atteints d’un CBCm. L’âge médian de l’ensemble des patients traités par Odomzo 200 mg était de 67 ans (59,5 % étaient âgés de plus de 65 ans), 60,8 % étaient des hommes et 89,9 % étaient caucasiens.</w:t>
      </w:r>
    </w:p>
    <w:p w14:paraId="43F8589E" w14:textId="77777777" w:rsidR="00EF1630" w:rsidRPr="007944F8" w:rsidRDefault="00EF1630" w:rsidP="00E96874">
      <w:pPr>
        <w:widowControl w:val="0"/>
        <w:spacing w:line="240" w:lineRule="auto"/>
        <w:rPr>
          <w:szCs w:val="22"/>
        </w:rPr>
      </w:pPr>
    </w:p>
    <w:p w14:paraId="296C725A" w14:textId="77777777" w:rsidR="008271B4" w:rsidRPr="007944F8" w:rsidRDefault="008271B4" w:rsidP="00E96874">
      <w:pPr>
        <w:widowControl w:val="0"/>
        <w:spacing w:line="240" w:lineRule="auto"/>
        <w:rPr>
          <w:szCs w:val="22"/>
        </w:rPr>
      </w:pPr>
      <w:r w:rsidRPr="007944F8">
        <w:t>La majorité des patient</w:t>
      </w:r>
      <w:r w:rsidR="00482343" w:rsidRPr="007944F8">
        <w:t>s</w:t>
      </w:r>
      <w:r w:rsidRPr="007944F8">
        <w:t xml:space="preserve"> (CBCla 74 %, CBCm 92 %) avait déjà fait l’objet d’autres traitements, dont la chirurgie (CBCla 73 %, CBCm 85 %), la radiothérapie (CBCla 18 %, CBCm 54 %) et des traitements antinéoplasiques (CBCla 23 %, CBCm 23 %).</w:t>
      </w:r>
    </w:p>
    <w:p w14:paraId="406BAF14" w14:textId="77777777" w:rsidR="00803F29" w:rsidRPr="007944F8" w:rsidRDefault="00803F29" w:rsidP="00E96874">
      <w:pPr>
        <w:widowControl w:val="0"/>
        <w:spacing w:line="240" w:lineRule="auto"/>
      </w:pPr>
    </w:p>
    <w:p w14:paraId="7E285792" w14:textId="0D0F40A3" w:rsidR="00C76DE7" w:rsidRDefault="00CC596E" w:rsidP="00E96874">
      <w:pPr>
        <w:widowControl w:val="0"/>
        <w:spacing w:line="240" w:lineRule="auto"/>
        <w:rPr>
          <w:color w:val="000000"/>
        </w:rPr>
      </w:pPr>
      <w:r w:rsidRPr="007944F8">
        <w:rPr>
          <w:color w:val="000000"/>
        </w:rPr>
        <w:t>Le tableau 4 présente les principaux résultats relatifs à l’efficacité selon la revue centralisée et l’évaluation de l’investigateur local.</w:t>
      </w:r>
    </w:p>
    <w:p w14:paraId="1D2F778C" w14:textId="77777777" w:rsidR="00C76DE7" w:rsidRDefault="00C76DE7">
      <w:pPr>
        <w:tabs>
          <w:tab w:val="clear" w:pos="567"/>
        </w:tabs>
        <w:spacing w:line="240" w:lineRule="auto"/>
        <w:rPr>
          <w:color w:val="000000"/>
        </w:rPr>
      </w:pPr>
      <w:r>
        <w:rPr>
          <w:color w:val="000000"/>
        </w:rPr>
        <w:br w:type="page"/>
      </w:r>
    </w:p>
    <w:p w14:paraId="63290708" w14:textId="77777777" w:rsidR="00CC596E" w:rsidRPr="007944F8" w:rsidRDefault="00CC596E" w:rsidP="00477090">
      <w:pPr>
        <w:keepLines/>
        <w:widowControl w:val="0"/>
        <w:ind w:left="1134" w:hanging="1134"/>
        <w:rPr>
          <w:b/>
        </w:rPr>
      </w:pPr>
      <w:r w:rsidRPr="007944F8">
        <w:rPr>
          <w:b/>
        </w:rPr>
        <w:t>Tableau 4</w:t>
      </w:r>
      <w:r w:rsidRPr="007944F8">
        <w:tab/>
      </w:r>
      <w:r w:rsidRPr="007944F8">
        <w:rPr>
          <w:b/>
        </w:rPr>
        <w:t>Vue d’ensemble de l’efficacité selon la revue centralisée et l’évaluation de l’investigateur local par population FAS</w:t>
      </w:r>
      <w:r w:rsidRPr="007944F8">
        <w:rPr>
          <w:b/>
          <w:vertAlign w:val="superscript"/>
        </w:rPr>
        <w:t>a</w:t>
      </w:r>
    </w:p>
    <w:p w14:paraId="37FF98A5" w14:textId="77777777" w:rsidR="00B425F9" w:rsidRPr="007944F8" w:rsidRDefault="00B425F9" w:rsidP="00DA6BAD">
      <w:pPr>
        <w:keepLines/>
        <w:widowControl w:val="0"/>
        <w:spacing w:line="240" w:lineRule="auto"/>
      </w:pPr>
    </w:p>
    <w:tbl>
      <w:tblPr>
        <w:tblW w:w="0" w:type="auto"/>
        <w:tblBorders>
          <w:top w:val="single" w:sz="4" w:space="0" w:color="auto"/>
          <w:bottom w:val="single" w:sz="4" w:space="0" w:color="auto"/>
        </w:tblBorders>
        <w:tblLayout w:type="fixed"/>
        <w:tblLook w:val="0000" w:firstRow="0" w:lastRow="0" w:firstColumn="0" w:lastColumn="0" w:noHBand="0" w:noVBand="0"/>
      </w:tblPr>
      <w:tblGrid>
        <w:gridCol w:w="4219"/>
        <w:gridCol w:w="2693"/>
        <w:gridCol w:w="2410"/>
        <w:gridCol w:w="285"/>
      </w:tblGrid>
      <w:tr w:rsidR="00A01F39" w:rsidRPr="007944F8" w14:paraId="4AB92CC3" w14:textId="77777777" w:rsidTr="00C76DE7">
        <w:trPr>
          <w:gridAfter w:val="1"/>
          <w:wAfter w:w="285" w:type="dxa"/>
          <w:cantSplit/>
        </w:trPr>
        <w:tc>
          <w:tcPr>
            <w:tcW w:w="4219" w:type="dxa"/>
            <w:tcBorders>
              <w:top w:val="single" w:sz="4" w:space="0" w:color="auto"/>
              <w:bottom w:val="nil"/>
            </w:tcBorders>
            <w:shd w:val="clear" w:color="auto" w:fill="auto"/>
          </w:tcPr>
          <w:p w14:paraId="638FCA81" w14:textId="77777777" w:rsidR="00A01F39" w:rsidRPr="007944F8" w:rsidRDefault="00A01F39" w:rsidP="00DA6BAD">
            <w:pPr>
              <w:pStyle w:val="Table"/>
              <w:widowControl w:val="0"/>
              <w:spacing w:before="0" w:after="0"/>
              <w:rPr>
                <w:rFonts w:ascii="Times New Roman" w:hAnsi="Times New Roman"/>
                <w:b/>
                <w:szCs w:val="20"/>
                <w:lang w:val="fr-FR" w:bidi="fr-FR"/>
              </w:rPr>
            </w:pPr>
          </w:p>
        </w:tc>
        <w:tc>
          <w:tcPr>
            <w:tcW w:w="5103" w:type="dxa"/>
            <w:gridSpan w:val="2"/>
            <w:tcBorders>
              <w:top w:val="single" w:sz="4" w:space="0" w:color="auto"/>
              <w:bottom w:val="nil"/>
            </w:tcBorders>
            <w:shd w:val="clear" w:color="auto" w:fill="auto"/>
          </w:tcPr>
          <w:p w14:paraId="1E58AB87" w14:textId="77777777" w:rsidR="00A01F39" w:rsidRPr="007944F8" w:rsidRDefault="00A01F39" w:rsidP="00DA6BAD">
            <w:pPr>
              <w:pStyle w:val="Table"/>
              <w:widowControl w:val="0"/>
              <w:spacing w:before="0" w:after="0"/>
              <w:jc w:val="center"/>
              <w:rPr>
                <w:rFonts w:ascii="Times New Roman" w:hAnsi="Times New Roman"/>
                <w:b/>
                <w:szCs w:val="20"/>
                <w:lang w:val="fr-FR" w:bidi="fr-FR"/>
              </w:rPr>
            </w:pPr>
            <w:r w:rsidRPr="007944F8">
              <w:rPr>
                <w:rFonts w:ascii="Times New Roman" w:hAnsi="Times New Roman"/>
                <w:b/>
                <w:lang w:val="fr-FR" w:bidi="fr-FR"/>
              </w:rPr>
              <w:t>Odomzo 200 mg</w:t>
            </w:r>
          </w:p>
        </w:tc>
      </w:tr>
      <w:tr w:rsidR="00A01F39" w:rsidRPr="007944F8" w14:paraId="4CF7AC3A" w14:textId="77777777" w:rsidTr="00C76DE7">
        <w:trPr>
          <w:gridAfter w:val="1"/>
          <w:wAfter w:w="285" w:type="dxa"/>
          <w:cantSplit/>
        </w:trPr>
        <w:tc>
          <w:tcPr>
            <w:tcW w:w="4219" w:type="dxa"/>
            <w:tcBorders>
              <w:top w:val="nil"/>
              <w:bottom w:val="nil"/>
            </w:tcBorders>
            <w:shd w:val="clear" w:color="auto" w:fill="auto"/>
          </w:tcPr>
          <w:p w14:paraId="3CF7230F" w14:textId="77777777" w:rsidR="00A01F39" w:rsidRPr="007944F8" w:rsidRDefault="00A01F39" w:rsidP="00DA6BAD">
            <w:pPr>
              <w:pStyle w:val="Table"/>
              <w:widowControl w:val="0"/>
              <w:spacing w:before="0" w:after="0"/>
              <w:rPr>
                <w:rFonts w:ascii="Times New Roman" w:hAnsi="Times New Roman"/>
                <w:b/>
                <w:szCs w:val="20"/>
                <w:lang w:val="fr-FR" w:bidi="fr-FR"/>
              </w:rPr>
            </w:pPr>
          </w:p>
        </w:tc>
        <w:tc>
          <w:tcPr>
            <w:tcW w:w="2693" w:type="dxa"/>
            <w:tcBorders>
              <w:top w:val="nil"/>
              <w:bottom w:val="nil"/>
            </w:tcBorders>
            <w:shd w:val="clear" w:color="auto" w:fill="auto"/>
          </w:tcPr>
          <w:p w14:paraId="7008D7B4" w14:textId="77777777" w:rsidR="00A01F39" w:rsidRPr="007944F8" w:rsidRDefault="00A01F39" w:rsidP="00DA6BAD">
            <w:pPr>
              <w:pStyle w:val="Table"/>
              <w:widowControl w:val="0"/>
              <w:spacing w:before="0" w:after="0"/>
              <w:jc w:val="center"/>
              <w:rPr>
                <w:rFonts w:ascii="Times New Roman" w:hAnsi="Times New Roman"/>
                <w:b/>
                <w:szCs w:val="20"/>
                <w:lang w:val="fr-FR" w:bidi="fr-FR"/>
              </w:rPr>
            </w:pPr>
            <w:r w:rsidRPr="007944F8">
              <w:rPr>
                <w:rFonts w:ascii="Times New Roman" w:hAnsi="Times New Roman"/>
                <w:b/>
                <w:lang w:val="fr-FR" w:bidi="fr-FR"/>
              </w:rPr>
              <w:t>Revue centralisée</w:t>
            </w:r>
          </w:p>
        </w:tc>
        <w:tc>
          <w:tcPr>
            <w:tcW w:w="2410" w:type="dxa"/>
            <w:tcBorders>
              <w:top w:val="nil"/>
              <w:bottom w:val="nil"/>
            </w:tcBorders>
            <w:shd w:val="clear" w:color="auto" w:fill="auto"/>
          </w:tcPr>
          <w:p w14:paraId="1E480BC1" w14:textId="77777777" w:rsidR="00A01F39" w:rsidRPr="007944F8" w:rsidRDefault="00A01F39" w:rsidP="00DA6BAD">
            <w:pPr>
              <w:pStyle w:val="Table"/>
              <w:widowControl w:val="0"/>
              <w:spacing w:before="0" w:after="0"/>
              <w:jc w:val="center"/>
              <w:rPr>
                <w:rFonts w:ascii="Times New Roman" w:hAnsi="Times New Roman"/>
                <w:b/>
                <w:szCs w:val="20"/>
                <w:lang w:val="fr-FR" w:bidi="fr-FR"/>
              </w:rPr>
            </w:pPr>
            <w:r w:rsidRPr="007944F8">
              <w:rPr>
                <w:rFonts w:ascii="Times New Roman" w:hAnsi="Times New Roman"/>
                <w:b/>
                <w:lang w:val="fr-FR" w:bidi="fr-FR"/>
              </w:rPr>
              <w:t>Investigateur local</w:t>
            </w:r>
          </w:p>
        </w:tc>
      </w:tr>
      <w:tr w:rsidR="00A01F39" w:rsidRPr="007944F8" w14:paraId="1404A623" w14:textId="77777777" w:rsidTr="00C76DE7">
        <w:trPr>
          <w:gridAfter w:val="1"/>
          <w:wAfter w:w="285" w:type="dxa"/>
          <w:cantSplit/>
        </w:trPr>
        <w:tc>
          <w:tcPr>
            <w:tcW w:w="4219" w:type="dxa"/>
            <w:tcBorders>
              <w:top w:val="nil"/>
              <w:bottom w:val="nil"/>
            </w:tcBorders>
            <w:shd w:val="clear" w:color="auto" w:fill="auto"/>
          </w:tcPr>
          <w:p w14:paraId="549700FD" w14:textId="77777777" w:rsidR="00A01F39" w:rsidRPr="007944F8" w:rsidRDefault="00A01F39" w:rsidP="00DA6BAD">
            <w:pPr>
              <w:pStyle w:val="Table"/>
              <w:widowControl w:val="0"/>
              <w:spacing w:before="0" w:after="0"/>
              <w:rPr>
                <w:rFonts w:ascii="Times New Roman" w:hAnsi="Times New Roman"/>
                <w:b/>
                <w:szCs w:val="20"/>
                <w:lang w:val="fr-FR" w:bidi="fr-FR"/>
              </w:rPr>
            </w:pPr>
          </w:p>
        </w:tc>
        <w:tc>
          <w:tcPr>
            <w:tcW w:w="2693" w:type="dxa"/>
            <w:tcBorders>
              <w:top w:val="nil"/>
              <w:bottom w:val="nil"/>
            </w:tcBorders>
            <w:shd w:val="clear" w:color="auto" w:fill="auto"/>
          </w:tcPr>
          <w:p w14:paraId="400DD489" w14:textId="77777777" w:rsidR="00A01F39" w:rsidRPr="007944F8" w:rsidRDefault="00A01F39" w:rsidP="00DA6BAD">
            <w:pPr>
              <w:pStyle w:val="Table"/>
              <w:widowControl w:val="0"/>
              <w:spacing w:before="0" w:after="0"/>
              <w:jc w:val="center"/>
              <w:rPr>
                <w:rFonts w:ascii="Times New Roman" w:hAnsi="Times New Roman"/>
                <w:b/>
                <w:szCs w:val="20"/>
                <w:lang w:val="fr-FR" w:bidi="fr-FR"/>
              </w:rPr>
            </w:pPr>
            <w:r w:rsidRPr="007944F8">
              <w:rPr>
                <w:rFonts w:ascii="Times New Roman" w:hAnsi="Times New Roman"/>
                <w:b/>
                <w:lang w:val="fr-FR" w:bidi="fr-FR"/>
              </w:rPr>
              <w:t>CBCla</w:t>
            </w:r>
          </w:p>
        </w:tc>
        <w:tc>
          <w:tcPr>
            <w:tcW w:w="2410" w:type="dxa"/>
            <w:tcBorders>
              <w:top w:val="nil"/>
              <w:bottom w:val="nil"/>
            </w:tcBorders>
            <w:shd w:val="clear" w:color="auto" w:fill="auto"/>
          </w:tcPr>
          <w:p w14:paraId="6D9F5173" w14:textId="77777777" w:rsidR="00A01F39" w:rsidRPr="007944F8" w:rsidRDefault="00A01F39" w:rsidP="00DA6BAD">
            <w:pPr>
              <w:pStyle w:val="Table"/>
              <w:widowControl w:val="0"/>
              <w:spacing w:before="0" w:after="0"/>
              <w:jc w:val="center"/>
              <w:rPr>
                <w:rFonts w:ascii="Times New Roman" w:hAnsi="Times New Roman"/>
                <w:b/>
                <w:szCs w:val="20"/>
                <w:lang w:val="fr-FR" w:bidi="fr-FR"/>
              </w:rPr>
            </w:pPr>
            <w:r w:rsidRPr="007944F8">
              <w:rPr>
                <w:rFonts w:ascii="Times New Roman" w:hAnsi="Times New Roman"/>
                <w:b/>
                <w:lang w:val="fr-FR" w:bidi="fr-FR"/>
              </w:rPr>
              <w:t>CBCla</w:t>
            </w:r>
          </w:p>
        </w:tc>
      </w:tr>
      <w:tr w:rsidR="00A01F39" w:rsidRPr="007944F8" w14:paraId="046B98CD" w14:textId="77777777" w:rsidTr="00C76DE7">
        <w:trPr>
          <w:gridAfter w:val="1"/>
          <w:wAfter w:w="285" w:type="dxa"/>
          <w:cantSplit/>
        </w:trPr>
        <w:tc>
          <w:tcPr>
            <w:tcW w:w="4219" w:type="dxa"/>
            <w:tcBorders>
              <w:top w:val="nil"/>
              <w:bottom w:val="single" w:sz="4" w:space="0" w:color="auto"/>
            </w:tcBorders>
            <w:shd w:val="clear" w:color="auto" w:fill="auto"/>
          </w:tcPr>
          <w:p w14:paraId="11663BD9" w14:textId="77777777" w:rsidR="00A01F39" w:rsidRPr="007944F8" w:rsidRDefault="00A01F39" w:rsidP="00DA6BAD">
            <w:pPr>
              <w:pStyle w:val="Table"/>
              <w:widowControl w:val="0"/>
              <w:spacing w:before="0" w:after="0"/>
              <w:rPr>
                <w:rFonts w:ascii="Times New Roman" w:hAnsi="Times New Roman"/>
                <w:b/>
                <w:szCs w:val="20"/>
                <w:lang w:val="fr-FR" w:bidi="fr-FR"/>
              </w:rPr>
            </w:pPr>
          </w:p>
        </w:tc>
        <w:tc>
          <w:tcPr>
            <w:tcW w:w="2693" w:type="dxa"/>
            <w:tcBorders>
              <w:top w:val="nil"/>
              <w:bottom w:val="single" w:sz="4" w:space="0" w:color="auto"/>
            </w:tcBorders>
            <w:shd w:val="clear" w:color="auto" w:fill="auto"/>
          </w:tcPr>
          <w:p w14:paraId="1A12B0FA" w14:textId="77777777" w:rsidR="00A01F39" w:rsidRPr="007944F8" w:rsidRDefault="00A01F39" w:rsidP="00DA6BAD">
            <w:pPr>
              <w:pStyle w:val="Table"/>
              <w:widowControl w:val="0"/>
              <w:spacing w:before="0" w:after="0"/>
              <w:jc w:val="center"/>
              <w:rPr>
                <w:rFonts w:ascii="Times New Roman" w:hAnsi="Times New Roman"/>
                <w:b/>
                <w:szCs w:val="20"/>
                <w:lang w:val="fr-FR" w:bidi="fr-FR"/>
              </w:rPr>
            </w:pPr>
            <w:r w:rsidRPr="007944F8">
              <w:rPr>
                <w:rFonts w:ascii="Times New Roman" w:hAnsi="Times New Roman"/>
                <w:b/>
                <w:lang w:val="fr-FR" w:bidi="fr-FR"/>
              </w:rPr>
              <w:t>N = 66</w:t>
            </w:r>
          </w:p>
        </w:tc>
        <w:tc>
          <w:tcPr>
            <w:tcW w:w="2410" w:type="dxa"/>
            <w:tcBorders>
              <w:top w:val="nil"/>
              <w:bottom w:val="single" w:sz="4" w:space="0" w:color="auto"/>
            </w:tcBorders>
            <w:shd w:val="clear" w:color="auto" w:fill="auto"/>
          </w:tcPr>
          <w:p w14:paraId="5A1C22B0" w14:textId="77777777" w:rsidR="00A01F39" w:rsidRPr="007944F8" w:rsidRDefault="00A01F39" w:rsidP="00DA6BAD">
            <w:pPr>
              <w:pStyle w:val="Table"/>
              <w:widowControl w:val="0"/>
              <w:spacing w:before="0" w:after="0"/>
              <w:jc w:val="center"/>
              <w:rPr>
                <w:rFonts w:ascii="Times New Roman" w:hAnsi="Times New Roman"/>
                <w:b/>
                <w:szCs w:val="20"/>
                <w:lang w:val="fr-FR" w:bidi="fr-FR"/>
              </w:rPr>
            </w:pPr>
            <w:r w:rsidRPr="007944F8">
              <w:rPr>
                <w:rFonts w:ascii="Times New Roman" w:hAnsi="Times New Roman"/>
                <w:b/>
                <w:lang w:val="fr-FR" w:bidi="fr-FR"/>
              </w:rPr>
              <w:t>N = 66</w:t>
            </w:r>
          </w:p>
        </w:tc>
      </w:tr>
      <w:tr w:rsidR="00A01F39" w:rsidRPr="007944F8" w14:paraId="451562E3" w14:textId="77777777" w:rsidTr="00C76DE7">
        <w:trPr>
          <w:gridAfter w:val="1"/>
          <w:wAfter w:w="285" w:type="dxa"/>
          <w:cantSplit/>
        </w:trPr>
        <w:tc>
          <w:tcPr>
            <w:tcW w:w="4219" w:type="dxa"/>
            <w:tcBorders>
              <w:top w:val="single" w:sz="4" w:space="0" w:color="auto"/>
            </w:tcBorders>
            <w:shd w:val="clear" w:color="auto" w:fill="auto"/>
          </w:tcPr>
          <w:p w14:paraId="2ED1A24D" w14:textId="77777777" w:rsidR="00A01F39" w:rsidRPr="007944F8" w:rsidRDefault="00A01F39" w:rsidP="00DA6BAD">
            <w:pPr>
              <w:pStyle w:val="Table"/>
              <w:widowControl w:val="0"/>
              <w:spacing w:before="0" w:after="0"/>
              <w:rPr>
                <w:rFonts w:ascii="Times New Roman" w:hAnsi="Times New Roman"/>
                <w:b/>
                <w:szCs w:val="20"/>
                <w:lang w:val="fr-FR" w:bidi="fr-FR"/>
              </w:rPr>
            </w:pPr>
            <w:r w:rsidRPr="007944F8">
              <w:rPr>
                <w:rFonts w:ascii="Times New Roman" w:hAnsi="Times New Roman"/>
                <w:b/>
                <w:lang w:val="fr-FR" w:bidi="fr-FR"/>
              </w:rPr>
              <w:t>Taux de réponse objective, n (%)</w:t>
            </w:r>
          </w:p>
        </w:tc>
        <w:tc>
          <w:tcPr>
            <w:tcW w:w="2693" w:type="dxa"/>
            <w:tcBorders>
              <w:top w:val="single" w:sz="4" w:space="0" w:color="auto"/>
            </w:tcBorders>
            <w:shd w:val="clear" w:color="auto" w:fill="auto"/>
          </w:tcPr>
          <w:p w14:paraId="3B4C35CC" w14:textId="77777777" w:rsidR="00A01F39" w:rsidRPr="007944F8" w:rsidRDefault="00A01F39" w:rsidP="00DA6BAD">
            <w:pPr>
              <w:pStyle w:val="Table"/>
              <w:widowControl w:val="0"/>
              <w:tabs>
                <w:tab w:val="clear" w:pos="284"/>
                <w:tab w:val="right" w:pos="342"/>
                <w:tab w:val="decimal" w:pos="792"/>
              </w:tabs>
              <w:spacing w:before="0" w:after="0"/>
              <w:jc w:val="center"/>
              <w:rPr>
                <w:rFonts w:ascii="Times New Roman" w:hAnsi="Times New Roman"/>
                <w:b/>
                <w:szCs w:val="20"/>
                <w:lang w:val="fr-FR" w:bidi="fr-FR"/>
              </w:rPr>
            </w:pPr>
            <w:r w:rsidRPr="007944F8">
              <w:rPr>
                <w:rFonts w:ascii="Times New Roman" w:hAnsi="Times New Roman"/>
                <w:b/>
                <w:lang w:val="fr-FR" w:bidi="fr-FR"/>
              </w:rPr>
              <w:t>37 (56,1)</w:t>
            </w:r>
          </w:p>
        </w:tc>
        <w:tc>
          <w:tcPr>
            <w:tcW w:w="2410" w:type="dxa"/>
            <w:tcBorders>
              <w:top w:val="single" w:sz="4" w:space="0" w:color="auto"/>
            </w:tcBorders>
            <w:shd w:val="clear" w:color="auto" w:fill="auto"/>
          </w:tcPr>
          <w:p w14:paraId="75B89412" w14:textId="77777777" w:rsidR="00A01F39" w:rsidRPr="007944F8" w:rsidRDefault="00A01F39" w:rsidP="00DA6BAD">
            <w:pPr>
              <w:pStyle w:val="Table"/>
              <w:widowControl w:val="0"/>
              <w:tabs>
                <w:tab w:val="clear" w:pos="284"/>
                <w:tab w:val="right" w:pos="342"/>
                <w:tab w:val="decimal" w:pos="792"/>
              </w:tabs>
              <w:spacing w:before="0" w:after="0"/>
              <w:jc w:val="center"/>
              <w:rPr>
                <w:rFonts w:ascii="Times New Roman" w:hAnsi="Times New Roman"/>
                <w:b/>
                <w:szCs w:val="20"/>
                <w:lang w:val="fr-FR" w:bidi="fr-FR"/>
              </w:rPr>
            </w:pPr>
            <w:r w:rsidRPr="007944F8">
              <w:rPr>
                <w:rFonts w:ascii="Times New Roman" w:hAnsi="Times New Roman"/>
                <w:b/>
                <w:lang w:val="fr-FR" w:bidi="fr-FR"/>
              </w:rPr>
              <w:t xml:space="preserve">47 </w:t>
            </w:r>
            <w:r w:rsidRPr="007944F8">
              <w:rPr>
                <w:lang w:val="fr-FR" w:bidi="fr-FR"/>
              </w:rPr>
              <w:tab/>
            </w:r>
            <w:r w:rsidRPr="007944F8">
              <w:rPr>
                <w:rFonts w:ascii="Times New Roman" w:hAnsi="Times New Roman"/>
                <w:b/>
                <w:lang w:val="fr-FR" w:bidi="fr-FR"/>
              </w:rPr>
              <w:t>(71,2)</w:t>
            </w:r>
          </w:p>
        </w:tc>
      </w:tr>
      <w:tr w:rsidR="00A01F39" w:rsidRPr="007944F8" w14:paraId="5A7A616F" w14:textId="77777777" w:rsidTr="00C76DE7">
        <w:trPr>
          <w:gridAfter w:val="1"/>
          <w:wAfter w:w="285" w:type="dxa"/>
          <w:cantSplit/>
        </w:trPr>
        <w:tc>
          <w:tcPr>
            <w:tcW w:w="4219" w:type="dxa"/>
            <w:shd w:val="clear" w:color="auto" w:fill="auto"/>
          </w:tcPr>
          <w:p w14:paraId="607F6B1D" w14:textId="77777777" w:rsidR="00A01F39" w:rsidRPr="007944F8" w:rsidRDefault="00A01F39" w:rsidP="00DA6BAD">
            <w:pPr>
              <w:pStyle w:val="Table"/>
              <w:widowControl w:val="0"/>
              <w:spacing w:before="0" w:after="0"/>
              <w:rPr>
                <w:rFonts w:ascii="Times New Roman" w:hAnsi="Times New Roman"/>
                <w:szCs w:val="20"/>
                <w:lang w:val="fr-FR" w:bidi="fr-FR"/>
              </w:rPr>
            </w:pPr>
            <w:r w:rsidRPr="007944F8">
              <w:rPr>
                <w:lang w:val="fr-FR" w:bidi="fr-FR"/>
              </w:rPr>
              <w:tab/>
            </w:r>
            <w:r w:rsidRPr="007944F8">
              <w:rPr>
                <w:rFonts w:ascii="Times New Roman" w:hAnsi="Times New Roman"/>
                <w:lang w:val="fr-FR" w:bidi="fr-FR"/>
              </w:rPr>
              <w:t>IC à 95 %</w:t>
            </w:r>
          </w:p>
        </w:tc>
        <w:tc>
          <w:tcPr>
            <w:tcW w:w="2693" w:type="dxa"/>
            <w:shd w:val="clear" w:color="auto" w:fill="auto"/>
          </w:tcPr>
          <w:p w14:paraId="133D30C6" w14:textId="77777777" w:rsidR="00A01F39" w:rsidRPr="007944F8" w:rsidRDefault="00A01F39" w:rsidP="00DA6BAD">
            <w:pPr>
              <w:pStyle w:val="Table"/>
              <w:widowControl w:val="0"/>
              <w:tabs>
                <w:tab w:val="clear" w:pos="284"/>
              </w:tabs>
              <w:spacing w:before="0" w:after="0"/>
              <w:jc w:val="center"/>
              <w:rPr>
                <w:rFonts w:ascii="Times New Roman" w:hAnsi="Times New Roman"/>
                <w:szCs w:val="20"/>
                <w:lang w:val="fr-FR" w:bidi="fr-FR"/>
              </w:rPr>
            </w:pPr>
            <w:r w:rsidRPr="007944F8">
              <w:rPr>
                <w:rFonts w:ascii="Times New Roman" w:hAnsi="Times New Roman"/>
                <w:lang w:val="fr-FR" w:bidi="fr-FR"/>
              </w:rPr>
              <w:t>(43,3-68,3)</w:t>
            </w:r>
          </w:p>
        </w:tc>
        <w:tc>
          <w:tcPr>
            <w:tcW w:w="2410" w:type="dxa"/>
            <w:shd w:val="clear" w:color="auto" w:fill="auto"/>
          </w:tcPr>
          <w:p w14:paraId="2D84CB5C" w14:textId="77777777" w:rsidR="00A01F39" w:rsidRPr="007944F8" w:rsidRDefault="00A01F39" w:rsidP="00DA6BAD">
            <w:pPr>
              <w:pStyle w:val="Table"/>
              <w:widowControl w:val="0"/>
              <w:tabs>
                <w:tab w:val="clear" w:pos="284"/>
              </w:tabs>
              <w:spacing w:before="0" w:after="0"/>
              <w:jc w:val="center"/>
              <w:rPr>
                <w:rFonts w:ascii="Times New Roman" w:hAnsi="Times New Roman"/>
                <w:szCs w:val="20"/>
                <w:lang w:val="fr-FR" w:bidi="fr-FR"/>
              </w:rPr>
            </w:pPr>
            <w:r w:rsidRPr="007944F8">
              <w:rPr>
                <w:rFonts w:ascii="Times New Roman" w:hAnsi="Times New Roman"/>
                <w:lang w:val="fr-FR" w:bidi="fr-FR"/>
              </w:rPr>
              <w:t>(58,7-81,7)</w:t>
            </w:r>
          </w:p>
        </w:tc>
      </w:tr>
      <w:tr w:rsidR="00A01F39" w:rsidRPr="007944F8" w14:paraId="24BE3B57" w14:textId="77777777" w:rsidTr="00C76DE7">
        <w:trPr>
          <w:gridAfter w:val="1"/>
          <w:wAfter w:w="285" w:type="dxa"/>
          <w:cantSplit/>
        </w:trPr>
        <w:tc>
          <w:tcPr>
            <w:tcW w:w="4219" w:type="dxa"/>
            <w:shd w:val="clear" w:color="auto" w:fill="auto"/>
          </w:tcPr>
          <w:p w14:paraId="23F8D770" w14:textId="77777777" w:rsidR="00A01F39" w:rsidRPr="007944F8" w:rsidRDefault="00A01F39" w:rsidP="00DA6BAD">
            <w:pPr>
              <w:pStyle w:val="Table"/>
              <w:widowControl w:val="0"/>
              <w:spacing w:before="0" w:after="0"/>
              <w:rPr>
                <w:rFonts w:ascii="Times New Roman" w:hAnsi="Times New Roman"/>
                <w:szCs w:val="20"/>
                <w:lang w:val="fr-FR" w:bidi="fr-FR"/>
              </w:rPr>
            </w:pPr>
            <w:r w:rsidRPr="007944F8">
              <w:rPr>
                <w:rFonts w:ascii="Times New Roman" w:hAnsi="Times New Roman"/>
                <w:lang w:val="fr-FR" w:bidi="fr-FR"/>
              </w:rPr>
              <w:t>Meilleure réponse globale, n (%)</w:t>
            </w:r>
          </w:p>
        </w:tc>
        <w:tc>
          <w:tcPr>
            <w:tcW w:w="2693" w:type="dxa"/>
            <w:shd w:val="clear" w:color="auto" w:fill="auto"/>
          </w:tcPr>
          <w:p w14:paraId="1C6D9DAF" w14:textId="77777777" w:rsidR="00A01F39" w:rsidRPr="007944F8" w:rsidRDefault="00A01F39" w:rsidP="00DA6BAD">
            <w:pPr>
              <w:pStyle w:val="Table"/>
              <w:widowControl w:val="0"/>
              <w:tabs>
                <w:tab w:val="clear" w:pos="284"/>
              </w:tabs>
              <w:spacing w:before="0" w:after="0"/>
              <w:jc w:val="center"/>
              <w:rPr>
                <w:rFonts w:ascii="Times New Roman" w:hAnsi="Times New Roman"/>
                <w:szCs w:val="20"/>
                <w:lang w:val="fr-FR" w:bidi="fr-FR"/>
              </w:rPr>
            </w:pPr>
          </w:p>
        </w:tc>
        <w:tc>
          <w:tcPr>
            <w:tcW w:w="2410" w:type="dxa"/>
            <w:shd w:val="clear" w:color="auto" w:fill="auto"/>
          </w:tcPr>
          <w:p w14:paraId="34470CAE" w14:textId="77777777" w:rsidR="00A01F39" w:rsidRPr="007944F8" w:rsidRDefault="00A01F39" w:rsidP="00DA6BAD">
            <w:pPr>
              <w:pStyle w:val="Table"/>
              <w:widowControl w:val="0"/>
              <w:tabs>
                <w:tab w:val="clear" w:pos="284"/>
              </w:tabs>
              <w:spacing w:before="0" w:after="0"/>
              <w:jc w:val="center"/>
              <w:rPr>
                <w:rFonts w:ascii="Times New Roman" w:hAnsi="Times New Roman"/>
                <w:szCs w:val="20"/>
                <w:lang w:val="fr-FR" w:bidi="fr-FR"/>
              </w:rPr>
            </w:pPr>
          </w:p>
        </w:tc>
      </w:tr>
      <w:tr w:rsidR="00A01F39" w:rsidRPr="007944F8" w14:paraId="523838C9" w14:textId="77777777" w:rsidTr="00C76DE7">
        <w:trPr>
          <w:gridAfter w:val="1"/>
          <w:wAfter w:w="285" w:type="dxa"/>
          <w:cantSplit/>
        </w:trPr>
        <w:tc>
          <w:tcPr>
            <w:tcW w:w="4219" w:type="dxa"/>
            <w:shd w:val="clear" w:color="auto" w:fill="auto"/>
          </w:tcPr>
          <w:p w14:paraId="30F74110" w14:textId="77777777" w:rsidR="00A01F39" w:rsidRPr="007944F8" w:rsidRDefault="00A01F39" w:rsidP="00DA6BAD">
            <w:pPr>
              <w:pStyle w:val="Table"/>
              <w:widowControl w:val="0"/>
              <w:tabs>
                <w:tab w:val="clear" w:pos="284"/>
                <w:tab w:val="left" w:pos="540"/>
              </w:tabs>
              <w:spacing w:before="0" w:after="0"/>
              <w:rPr>
                <w:rFonts w:ascii="Times New Roman" w:hAnsi="Times New Roman"/>
                <w:szCs w:val="20"/>
                <w:lang w:val="fr-FR" w:bidi="fr-FR"/>
              </w:rPr>
            </w:pPr>
            <w:r w:rsidRPr="007944F8">
              <w:rPr>
                <w:lang w:val="fr-FR" w:bidi="fr-FR"/>
              </w:rPr>
              <w:tab/>
            </w:r>
            <w:r w:rsidRPr="007944F8">
              <w:rPr>
                <w:rFonts w:ascii="Times New Roman" w:hAnsi="Times New Roman"/>
                <w:lang w:val="fr-FR" w:bidi="fr-FR"/>
              </w:rPr>
              <w:t>Réponse complète</w:t>
            </w:r>
          </w:p>
        </w:tc>
        <w:tc>
          <w:tcPr>
            <w:tcW w:w="2693" w:type="dxa"/>
            <w:shd w:val="clear" w:color="auto" w:fill="auto"/>
          </w:tcPr>
          <w:p w14:paraId="1887CF18" w14:textId="77777777" w:rsidR="00A01F39" w:rsidRPr="007944F8" w:rsidRDefault="00A01F39" w:rsidP="00DA6BAD">
            <w:pPr>
              <w:pStyle w:val="Table"/>
              <w:widowControl w:val="0"/>
              <w:tabs>
                <w:tab w:val="clear" w:pos="284"/>
                <w:tab w:val="right" w:pos="342"/>
                <w:tab w:val="decimal" w:pos="792"/>
              </w:tabs>
              <w:spacing w:before="0" w:after="0"/>
              <w:jc w:val="center"/>
              <w:rPr>
                <w:rFonts w:ascii="Times New Roman" w:hAnsi="Times New Roman"/>
                <w:szCs w:val="20"/>
                <w:lang w:val="fr-FR" w:bidi="fr-FR"/>
              </w:rPr>
            </w:pPr>
            <w:r w:rsidRPr="007944F8">
              <w:rPr>
                <w:rFonts w:ascii="Times New Roman" w:hAnsi="Times New Roman"/>
                <w:lang w:val="fr-FR" w:bidi="fr-FR"/>
              </w:rPr>
              <w:t xml:space="preserve">3 </w:t>
            </w:r>
            <w:r w:rsidRPr="007944F8">
              <w:rPr>
                <w:lang w:val="fr-FR" w:bidi="fr-FR"/>
              </w:rPr>
              <w:tab/>
            </w:r>
            <w:r w:rsidRPr="007944F8">
              <w:rPr>
                <w:rFonts w:ascii="Times New Roman" w:hAnsi="Times New Roman"/>
                <w:lang w:val="fr-FR" w:bidi="fr-FR"/>
              </w:rPr>
              <w:t>(4,5)</w:t>
            </w:r>
            <w:r w:rsidR="005F193F" w:rsidRPr="007944F8">
              <w:rPr>
                <w:rFonts w:ascii="Times New Roman" w:hAnsi="Times New Roman"/>
                <w:szCs w:val="20"/>
                <w:vertAlign w:val="superscript"/>
              </w:rPr>
              <w:t xml:space="preserve"> b</w:t>
            </w:r>
          </w:p>
        </w:tc>
        <w:tc>
          <w:tcPr>
            <w:tcW w:w="2410" w:type="dxa"/>
            <w:shd w:val="clear" w:color="auto" w:fill="auto"/>
          </w:tcPr>
          <w:p w14:paraId="2D207BC0" w14:textId="77777777" w:rsidR="00A01F39" w:rsidRPr="007944F8" w:rsidRDefault="00A01F39" w:rsidP="00DA6BAD">
            <w:pPr>
              <w:pStyle w:val="Table"/>
              <w:widowControl w:val="0"/>
              <w:tabs>
                <w:tab w:val="clear" w:pos="284"/>
                <w:tab w:val="right" w:pos="342"/>
                <w:tab w:val="decimal" w:pos="792"/>
              </w:tabs>
              <w:spacing w:before="0" w:after="0"/>
              <w:jc w:val="center"/>
              <w:rPr>
                <w:rFonts w:ascii="Times New Roman" w:hAnsi="Times New Roman"/>
                <w:szCs w:val="20"/>
                <w:lang w:val="fr-FR" w:bidi="fr-FR"/>
              </w:rPr>
            </w:pPr>
            <w:r w:rsidRPr="007944F8">
              <w:rPr>
                <w:rFonts w:ascii="Times New Roman" w:hAnsi="Times New Roman"/>
                <w:lang w:val="fr-FR" w:bidi="fr-FR"/>
              </w:rPr>
              <w:t xml:space="preserve">6 </w:t>
            </w:r>
            <w:r w:rsidRPr="007944F8">
              <w:rPr>
                <w:lang w:val="fr-FR" w:bidi="fr-FR"/>
              </w:rPr>
              <w:tab/>
            </w:r>
            <w:r w:rsidRPr="007944F8">
              <w:rPr>
                <w:rFonts w:ascii="Times New Roman" w:hAnsi="Times New Roman"/>
                <w:lang w:val="fr-FR" w:bidi="fr-FR"/>
              </w:rPr>
              <w:t>(9,1)</w:t>
            </w:r>
          </w:p>
        </w:tc>
      </w:tr>
      <w:tr w:rsidR="00A01F39" w:rsidRPr="007944F8" w14:paraId="25766899" w14:textId="77777777" w:rsidTr="00C76DE7">
        <w:trPr>
          <w:gridAfter w:val="1"/>
          <w:wAfter w:w="285" w:type="dxa"/>
          <w:cantSplit/>
        </w:trPr>
        <w:tc>
          <w:tcPr>
            <w:tcW w:w="4219" w:type="dxa"/>
            <w:shd w:val="clear" w:color="auto" w:fill="auto"/>
          </w:tcPr>
          <w:p w14:paraId="51E74E29" w14:textId="77777777" w:rsidR="00A01F39" w:rsidRPr="007944F8" w:rsidRDefault="00A01F39" w:rsidP="00DA6BAD">
            <w:pPr>
              <w:pStyle w:val="Table"/>
              <w:widowControl w:val="0"/>
              <w:tabs>
                <w:tab w:val="clear" w:pos="284"/>
                <w:tab w:val="left" w:pos="540"/>
              </w:tabs>
              <w:spacing w:before="0" w:after="0"/>
              <w:rPr>
                <w:rFonts w:ascii="Times New Roman" w:hAnsi="Times New Roman"/>
                <w:szCs w:val="20"/>
                <w:lang w:val="fr-FR" w:bidi="fr-FR"/>
              </w:rPr>
            </w:pPr>
            <w:r w:rsidRPr="007944F8">
              <w:rPr>
                <w:lang w:val="fr-FR" w:bidi="fr-FR"/>
              </w:rPr>
              <w:tab/>
            </w:r>
            <w:r w:rsidRPr="007944F8">
              <w:rPr>
                <w:rFonts w:ascii="Times New Roman" w:hAnsi="Times New Roman"/>
                <w:lang w:val="fr-FR" w:bidi="fr-FR"/>
              </w:rPr>
              <w:t>Réponse partielle</w:t>
            </w:r>
          </w:p>
        </w:tc>
        <w:tc>
          <w:tcPr>
            <w:tcW w:w="2693" w:type="dxa"/>
            <w:shd w:val="clear" w:color="auto" w:fill="auto"/>
          </w:tcPr>
          <w:p w14:paraId="31AE5E40" w14:textId="77777777" w:rsidR="00A01F39" w:rsidRPr="007944F8" w:rsidRDefault="00A01F39" w:rsidP="00DA6BAD">
            <w:pPr>
              <w:pStyle w:val="Table"/>
              <w:widowControl w:val="0"/>
              <w:tabs>
                <w:tab w:val="clear" w:pos="284"/>
                <w:tab w:val="right" w:pos="342"/>
                <w:tab w:val="decimal" w:pos="792"/>
              </w:tabs>
              <w:spacing w:before="0" w:after="0"/>
              <w:jc w:val="center"/>
              <w:rPr>
                <w:rFonts w:ascii="Times New Roman" w:hAnsi="Times New Roman"/>
                <w:szCs w:val="20"/>
                <w:lang w:val="fr-FR" w:bidi="fr-FR"/>
              </w:rPr>
            </w:pPr>
            <w:r w:rsidRPr="007944F8">
              <w:rPr>
                <w:rFonts w:ascii="Times New Roman" w:hAnsi="Times New Roman"/>
                <w:lang w:val="fr-FR" w:bidi="fr-FR"/>
              </w:rPr>
              <w:t xml:space="preserve">34 </w:t>
            </w:r>
            <w:r w:rsidRPr="007944F8">
              <w:rPr>
                <w:lang w:val="fr-FR" w:bidi="fr-FR"/>
              </w:rPr>
              <w:tab/>
            </w:r>
            <w:r w:rsidRPr="007944F8">
              <w:rPr>
                <w:rFonts w:ascii="Times New Roman" w:hAnsi="Times New Roman"/>
                <w:lang w:val="fr-FR" w:bidi="fr-FR"/>
              </w:rPr>
              <w:t>(51,5)</w:t>
            </w:r>
          </w:p>
        </w:tc>
        <w:tc>
          <w:tcPr>
            <w:tcW w:w="2410" w:type="dxa"/>
            <w:shd w:val="clear" w:color="auto" w:fill="auto"/>
          </w:tcPr>
          <w:p w14:paraId="0962918C" w14:textId="77777777" w:rsidR="00A01F39" w:rsidRPr="007944F8" w:rsidRDefault="00A01F39" w:rsidP="00DA6BAD">
            <w:pPr>
              <w:pStyle w:val="Table"/>
              <w:widowControl w:val="0"/>
              <w:tabs>
                <w:tab w:val="clear" w:pos="284"/>
                <w:tab w:val="right" w:pos="342"/>
                <w:tab w:val="decimal" w:pos="792"/>
              </w:tabs>
              <w:spacing w:before="0" w:after="0"/>
              <w:jc w:val="center"/>
              <w:rPr>
                <w:rFonts w:ascii="Times New Roman" w:hAnsi="Times New Roman"/>
                <w:szCs w:val="20"/>
                <w:lang w:val="fr-FR" w:bidi="fr-FR"/>
              </w:rPr>
            </w:pPr>
            <w:r w:rsidRPr="007944F8">
              <w:rPr>
                <w:rFonts w:ascii="Times New Roman" w:hAnsi="Times New Roman"/>
                <w:lang w:val="fr-FR" w:bidi="fr-FR"/>
              </w:rPr>
              <w:t xml:space="preserve">41 </w:t>
            </w:r>
            <w:r w:rsidRPr="007944F8">
              <w:rPr>
                <w:lang w:val="fr-FR" w:bidi="fr-FR"/>
              </w:rPr>
              <w:tab/>
            </w:r>
            <w:r w:rsidRPr="007944F8">
              <w:rPr>
                <w:rFonts w:ascii="Times New Roman" w:hAnsi="Times New Roman"/>
                <w:lang w:val="fr-FR" w:bidi="fr-FR"/>
              </w:rPr>
              <w:t>(62,1)</w:t>
            </w:r>
          </w:p>
        </w:tc>
      </w:tr>
      <w:tr w:rsidR="00A01F39" w:rsidRPr="007944F8" w14:paraId="0FA96239" w14:textId="77777777" w:rsidTr="00C76DE7">
        <w:trPr>
          <w:gridAfter w:val="1"/>
          <w:wAfter w:w="285" w:type="dxa"/>
          <w:cantSplit/>
        </w:trPr>
        <w:tc>
          <w:tcPr>
            <w:tcW w:w="4219" w:type="dxa"/>
            <w:shd w:val="clear" w:color="auto" w:fill="auto"/>
          </w:tcPr>
          <w:p w14:paraId="4A978D06" w14:textId="77777777" w:rsidR="00A01F39" w:rsidRPr="007944F8" w:rsidRDefault="00A01F39" w:rsidP="00DA6BAD">
            <w:pPr>
              <w:pStyle w:val="Table"/>
              <w:widowControl w:val="0"/>
              <w:tabs>
                <w:tab w:val="clear" w:pos="284"/>
                <w:tab w:val="left" w:pos="540"/>
              </w:tabs>
              <w:spacing w:before="0" w:after="0"/>
              <w:rPr>
                <w:rFonts w:ascii="Times New Roman" w:hAnsi="Times New Roman"/>
                <w:szCs w:val="20"/>
                <w:lang w:val="fr-FR" w:bidi="fr-FR"/>
              </w:rPr>
            </w:pPr>
            <w:r w:rsidRPr="007944F8">
              <w:rPr>
                <w:lang w:val="fr-FR" w:bidi="fr-FR"/>
              </w:rPr>
              <w:tab/>
            </w:r>
            <w:r w:rsidRPr="007944F8">
              <w:rPr>
                <w:rFonts w:ascii="Times New Roman" w:hAnsi="Times New Roman"/>
                <w:lang w:val="fr-FR" w:bidi="fr-FR"/>
              </w:rPr>
              <w:t>Stabilisation de la maladie</w:t>
            </w:r>
          </w:p>
        </w:tc>
        <w:tc>
          <w:tcPr>
            <w:tcW w:w="2693" w:type="dxa"/>
            <w:shd w:val="clear" w:color="auto" w:fill="auto"/>
          </w:tcPr>
          <w:p w14:paraId="3309F80C" w14:textId="77777777" w:rsidR="00A01F39" w:rsidRPr="007944F8" w:rsidRDefault="00A01F39" w:rsidP="00DA6BAD">
            <w:pPr>
              <w:pStyle w:val="Table"/>
              <w:widowControl w:val="0"/>
              <w:tabs>
                <w:tab w:val="clear" w:pos="284"/>
                <w:tab w:val="right" w:pos="342"/>
                <w:tab w:val="decimal" w:pos="792"/>
              </w:tabs>
              <w:spacing w:before="0" w:after="0"/>
              <w:jc w:val="center"/>
              <w:rPr>
                <w:rFonts w:ascii="Times New Roman" w:hAnsi="Times New Roman"/>
                <w:szCs w:val="20"/>
                <w:lang w:val="fr-FR" w:bidi="fr-FR"/>
              </w:rPr>
            </w:pPr>
            <w:r w:rsidRPr="007944F8">
              <w:rPr>
                <w:rFonts w:ascii="Times New Roman" w:hAnsi="Times New Roman"/>
                <w:lang w:val="fr-FR" w:bidi="fr-FR"/>
              </w:rPr>
              <w:t xml:space="preserve">23 </w:t>
            </w:r>
            <w:r w:rsidRPr="007944F8">
              <w:rPr>
                <w:lang w:val="fr-FR" w:bidi="fr-FR"/>
              </w:rPr>
              <w:tab/>
            </w:r>
            <w:r w:rsidRPr="007944F8">
              <w:rPr>
                <w:rFonts w:ascii="Times New Roman" w:hAnsi="Times New Roman"/>
                <w:lang w:val="fr-FR" w:bidi="fr-FR"/>
              </w:rPr>
              <w:t>(34,8)</w:t>
            </w:r>
          </w:p>
        </w:tc>
        <w:tc>
          <w:tcPr>
            <w:tcW w:w="2410" w:type="dxa"/>
            <w:shd w:val="clear" w:color="auto" w:fill="auto"/>
          </w:tcPr>
          <w:p w14:paraId="207DA82C" w14:textId="77777777" w:rsidR="00A01F39" w:rsidRPr="007944F8" w:rsidRDefault="0003494F" w:rsidP="0003494F">
            <w:pPr>
              <w:pStyle w:val="Table"/>
              <w:widowControl w:val="0"/>
              <w:tabs>
                <w:tab w:val="clear" w:pos="284"/>
                <w:tab w:val="right" w:pos="342"/>
                <w:tab w:val="decimal" w:pos="792"/>
              </w:tabs>
              <w:spacing w:before="0" w:after="0"/>
              <w:jc w:val="center"/>
              <w:rPr>
                <w:rFonts w:ascii="Times New Roman" w:hAnsi="Times New Roman"/>
                <w:szCs w:val="20"/>
                <w:lang w:val="fr-FR" w:bidi="fr-FR"/>
              </w:rPr>
            </w:pPr>
            <w:r w:rsidRPr="007944F8">
              <w:rPr>
                <w:rFonts w:ascii="Times New Roman" w:hAnsi="Times New Roman"/>
                <w:lang w:val="fr-FR" w:bidi="fr-FR"/>
              </w:rPr>
              <w:t xml:space="preserve">13 </w:t>
            </w:r>
            <w:r w:rsidR="00A01F39" w:rsidRPr="007944F8">
              <w:rPr>
                <w:lang w:val="fr-FR" w:bidi="fr-FR"/>
              </w:rPr>
              <w:tab/>
            </w:r>
            <w:r w:rsidR="00A01F39" w:rsidRPr="007944F8">
              <w:rPr>
                <w:rFonts w:ascii="Times New Roman" w:hAnsi="Times New Roman"/>
                <w:lang w:val="fr-FR" w:bidi="fr-FR"/>
              </w:rPr>
              <w:t>(</w:t>
            </w:r>
            <w:r w:rsidRPr="007944F8">
              <w:rPr>
                <w:rFonts w:ascii="Times New Roman" w:hAnsi="Times New Roman"/>
                <w:lang w:val="fr-FR" w:bidi="fr-FR"/>
              </w:rPr>
              <w:t>19,7</w:t>
            </w:r>
            <w:r w:rsidR="00A01F39" w:rsidRPr="007944F8">
              <w:rPr>
                <w:rFonts w:ascii="Times New Roman" w:hAnsi="Times New Roman"/>
                <w:lang w:val="fr-FR" w:bidi="fr-FR"/>
              </w:rPr>
              <w:t>)</w:t>
            </w:r>
          </w:p>
        </w:tc>
      </w:tr>
      <w:tr w:rsidR="00A01F39" w:rsidRPr="007944F8" w14:paraId="5DB16777" w14:textId="77777777" w:rsidTr="00C76DE7">
        <w:trPr>
          <w:gridAfter w:val="1"/>
          <w:wAfter w:w="285" w:type="dxa"/>
          <w:cantSplit/>
        </w:trPr>
        <w:tc>
          <w:tcPr>
            <w:tcW w:w="4219" w:type="dxa"/>
            <w:shd w:val="clear" w:color="auto" w:fill="auto"/>
          </w:tcPr>
          <w:p w14:paraId="7029EE0F" w14:textId="77777777" w:rsidR="00A01F39" w:rsidRPr="007944F8" w:rsidRDefault="00A01F39" w:rsidP="00DA6BAD">
            <w:pPr>
              <w:pStyle w:val="Table"/>
              <w:widowControl w:val="0"/>
              <w:tabs>
                <w:tab w:val="clear" w:pos="284"/>
                <w:tab w:val="left" w:pos="540"/>
              </w:tabs>
              <w:spacing w:before="0" w:after="0"/>
              <w:rPr>
                <w:rFonts w:ascii="Times New Roman" w:hAnsi="Times New Roman"/>
                <w:szCs w:val="20"/>
                <w:lang w:val="fr-FR" w:bidi="fr-FR"/>
              </w:rPr>
            </w:pPr>
            <w:r w:rsidRPr="007944F8">
              <w:rPr>
                <w:lang w:val="fr-FR" w:bidi="fr-FR"/>
              </w:rPr>
              <w:tab/>
            </w:r>
            <w:r w:rsidRPr="007944F8">
              <w:rPr>
                <w:rFonts w:ascii="Times New Roman" w:hAnsi="Times New Roman"/>
                <w:lang w:val="fr-FR" w:bidi="fr-FR"/>
              </w:rPr>
              <w:t>Progression de la maladie</w:t>
            </w:r>
          </w:p>
        </w:tc>
        <w:tc>
          <w:tcPr>
            <w:tcW w:w="2693" w:type="dxa"/>
            <w:shd w:val="clear" w:color="auto" w:fill="auto"/>
          </w:tcPr>
          <w:p w14:paraId="139EAEFC" w14:textId="77777777" w:rsidR="00A01F39" w:rsidRPr="007944F8" w:rsidRDefault="00A01F39" w:rsidP="00DA6BAD">
            <w:pPr>
              <w:pStyle w:val="Table"/>
              <w:widowControl w:val="0"/>
              <w:tabs>
                <w:tab w:val="clear" w:pos="284"/>
                <w:tab w:val="right" w:pos="342"/>
                <w:tab w:val="decimal" w:pos="792"/>
              </w:tabs>
              <w:spacing w:before="0" w:after="0"/>
              <w:jc w:val="center"/>
              <w:rPr>
                <w:rFonts w:ascii="Times New Roman" w:hAnsi="Times New Roman"/>
                <w:szCs w:val="20"/>
                <w:lang w:val="fr-FR" w:bidi="fr-FR"/>
              </w:rPr>
            </w:pPr>
            <w:r w:rsidRPr="007944F8">
              <w:rPr>
                <w:rFonts w:ascii="Times New Roman" w:hAnsi="Times New Roman"/>
                <w:lang w:val="fr-FR" w:bidi="fr-FR"/>
              </w:rPr>
              <w:t xml:space="preserve">1 </w:t>
            </w:r>
            <w:r w:rsidRPr="007944F8">
              <w:rPr>
                <w:lang w:val="fr-FR" w:bidi="fr-FR"/>
              </w:rPr>
              <w:tab/>
            </w:r>
            <w:r w:rsidRPr="007944F8">
              <w:rPr>
                <w:rFonts w:ascii="Times New Roman" w:hAnsi="Times New Roman"/>
                <w:lang w:val="fr-FR" w:bidi="fr-FR"/>
              </w:rPr>
              <w:t>(1,5)</w:t>
            </w:r>
          </w:p>
        </w:tc>
        <w:tc>
          <w:tcPr>
            <w:tcW w:w="2410" w:type="dxa"/>
            <w:shd w:val="clear" w:color="auto" w:fill="auto"/>
          </w:tcPr>
          <w:p w14:paraId="49ABC500" w14:textId="77777777" w:rsidR="00A01F39" w:rsidRPr="007944F8" w:rsidRDefault="00A01F39" w:rsidP="00DA6BAD">
            <w:pPr>
              <w:pStyle w:val="Table"/>
              <w:widowControl w:val="0"/>
              <w:tabs>
                <w:tab w:val="clear" w:pos="284"/>
                <w:tab w:val="right" w:pos="342"/>
                <w:tab w:val="decimal" w:pos="792"/>
              </w:tabs>
              <w:spacing w:before="0" w:after="0"/>
              <w:jc w:val="center"/>
              <w:rPr>
                <w:rFonts w:ascii="Times New Roman" w:hAnsi="Times New Roman"/>
                <w:szCs w:val="20"/>
                <w:lang w:val="fr-FR" w:bidi="fr-FR"/>
              </w:rPr>
            </w:pPr>
            <w:r w:rsidRPr="007944F8">
              <w:rPr>
                <w:rFonts w:ascii="Times New Roman" w:hAnsi="Times New Roman"/>
                <w:lang w:val="fr-FR" w:bidi="fr-FR"/>
              </w:rPr>
              <w:t xml:space="preserve">1 </w:t>
            </w:r>
            <w:r w:rsidRPr="007944F8">
              <w:rPr>
                <w:lang w:val="fr-FR" w:bidi="fr-FR"/>
              </w:rPr>
              <w:tab/>
            </w:r>
            <w:r w:rsidRPr="007944F8">
              <w:rPr>
                <w:rFonts w:ascii="Times New Roman" w:hAnsi="Times New Roman"/>
                <w:lang w:val="fr-FR" w:bidi="fr-FR"/>
              </w:rPr>
              <w:t>(1,5)</w:t>
            </w:r>
          </w:p>
        </w:tc>
      </w:tr>
      <w:tr w:rsidR="00A01F39" w:rsidRPr="007944F8" w14:paraId="44432D9F" w14:textId="77777777" w:rsidTr="00C76DE7">
        <w:trPr>
          <w:gridAfter w:val="1"/>
          <w:wAfter w:w="285" w:type="dxa"/>
          <w:cantSplit/>
        </w:trPr>
        <w:tc>
          <w:tcPr>
            <w:tcW w:w="4219" w:type="dxa"/>
            <w:shd w:val="clear" w:color="auto" w:fill="auto"/>
          </w:tcPr>
          <w:p w14:paraId="79DB3198" w14:textId="77777777" w:rsidR="00A01F39" w:rsidRPr="007944F8" w:rsidRDefault="00A01F39" w:rsidP="00DA6BAD">
            <w:pPr>
              <w:pStyle w:val="Table"/>
              <w:widowControl w:val="0"/>
              <w:tabs>
                <w:tab w:val="clear" w:pos="284"/>
                <w:tab w:val="left" w:pos="540"/>
              </w:tabs>
              <w:spacing w:before="0" w:after="0"/>
              <w:rPr>
                <w:rFonts w:ascii="Times New Roman" w:hAnsi="Times New Roman"/>
                <w:szCs w:val="20"/>
                <w:lang w:val="fr-FR" w:bidi="fr-FR"/>
              </w:rPr>
            </w:pPr>
            <w:r w:rsidRPr="007944F8">
              <w:rPr>
                <w:lang w:val="fr-FR" w:bidi="fr-FR"/>
              </w:rPr>
              <w:tab/>
            </w:r>
            <w:r w:rsidRPr="007944F8">
              <w:rPr>
                <w:rFonts w:ascii="Times New Roman" w:hAnsi="Times New Roman"/>
                <w:lang w:val="fr-FR" w:bidi="fr-FR"/>
              </w:rPr>
              <w:t>Inconnue</w:t>
            </w:r>
          </w:p>
        </w:tc>
        <w:tc>
          <w:tcPr>
            <w:tcW w:w="2693" w:type="dxa"/>
            <w:shd w:val="clear" w:color="auto" w:fill="auto"/>
          </w:tcPr>
          <w:p w14:paraId="690A8D9A" w14:textId="77777777" w:rsidR="00A01F39" w:rsidRPr="007944F8" w:rsidRDefault="00A01F39" w:rsidP="00DA6BAD">
            <w:pPr>
              <w:pStyle w:val="Table"/>
              <w:widowControl w:val="0"/>
              <w:tabs>
                <w:tab w:val="clear" w:pos="284"/>
                <w:tab w:val="right" w:pos="342"/>
                <w:tab w:val="decimal" w:pos="792"/>
              </w:tabs>
              <w:spacing w:before="0" w:after="0"/>
              <w:jc w:val="center"/>
              <w:rPr>
                <w:rFonts w:ascii="Times New Roman" w:hAnsi="Times New Roman"/>
                <w:szCs w:val="20"/>
                <w:lang w:val="fr-FR" w:bidi="fr-FR"/>
              </w:rPr>
            </w:pPr>
            <w:r w:rsidRPr="007944F8">
              <w:rPr>
                <w:rFonts w:ascii="Times New Roman" w:hAnsi="Times New Roman"/>
                <w:lang w:val="fr-FR" w:bidi="fr-FR"/>
              </w:rPr>
              <w:t xml:space="preserve">5 </w:t>
            </w:r>
            <w:r w:rsidRPr="007944F8">
              <w:rPr>
                <w:lang w:val="fr-FR" w:bidi="fr-FR"/>
              </w:rPr>
              <w:tab/>
            </w:r>
            <w:r w:rsidRPr="007944F8">
              <w:rPr>
                <w:rFonts w:ascii="Times New Roman" w:hAnsi="Times New Roman"/>
                <w:lang w:val="fr-FR" w:bidi="fr-FR"/>
              </w:rPr>
              <w:t>(7,6)</w:t>
            </w:r>
          </w:p>
        </w:tc>
        <w:tc>
          <w:tcPr>
            <w:tcW w:w="2410" w:type="dxa"/>
            <w:shd w:val="clear" w:color="auto" w:fill="auto"/>
          </w:tcPr>
          <w:p w14:paraId="54E730AD" w14:textId="77777777" w:rsidR="00A01F39" w:rsidRPr="007944F8" w:rsidRDefault="0003494F" w:rsidP="0003494F">
            <w:pPr>
              <w:pStyle w:val="Table"/>
              <w:widowControl w:val="0"/>
              <w:tabs>
                <w:tab w:val="clear" w:pos="284"/>
                <w:tab w:val="right" w:pos="342"/>
                <w:tab w:val="decimal" w:pos="792"/>
              </w:tabs>
              <w:spacing w:before="0" w:after="0"/>
              <w:jc w:val="center"/>
              <w:rPr>
                <w:rFonts w:ascii="Times New Roman" w:hAnsi="Times New Roman"/>
                <w:szCs w:val="20"/>
                <w:lang w:val="fr-FR" w:bidi="fr-FR"/>
              </w:rPr>
            </w:pPr>
            <w:r w:rsidRPr="007944F8">
              <w:rPr>
                <w:rFonts w:ascii="Times New Roman" w:hAnsi="Times New Roman"/>
                <w:lang w:val="fr-FR" w:bidi="fr-FR"/>
              </w:rPr>
              <w:t xml:space="preserve">5 </w:t>
            </w:r>
            <w:r w:rsidR="00A01F39" w:rsidRPr="007944F8">
              <w:rPr>
                <w:lang w:val="fr-FR" w:bidi="fr-FR"/>
              </w:rPr>
              <w:tab/>
            </w:r>
            <w:r w:rsidR="00A01F39" w:rsidRPr="007944F8">
              <w:rPr>
                <w:rFonts w:ascii="Times New Roman" w:hAnsi="Times New Roman"/>
                <w:lang w:val="fr-FR" w:bidi="fr-FR"/>
              </w:rPr>
              <w:t>(</w:t>
            </w:r>
            <w:r w:rsidRPr="007944F8">
              <w:rPr>
                <w:rFonts w:ascii="Times New Roman" w:hAnsi="Times New Roman"/>
                <w:lang w:val="fr-FR" w:bidi="fr-FR"/>
              </w:rPr>
              <w:t>7,6</w:t>
            </w:r>
            <w:r w:rsidR="00A01F39" w:rsidRPr="007944F8">
              <w:rPr>
                <w:rFonts w:ascii="Times New Roman" w:hAnsi="Times New Roman"/>
                <w:lang w:val="fr-FR" w:bidi="fr-FR"/>
              </w:rPr>
              <w:t>)</w:t>
            </w:r>
          </w:p>
        </w:tc>
      </w:tr>
      <w:tr w:rsidR="00A01F39" w:rsidRPr="007944F8" w14:paraId="722EF8BC" w14:textId="77777777" w:rsidTr="00C76DE7">
        <w:trPr>
          <w:gridAfter w:val="1"/>
          <w:wAfter w:w="285" w:type="dxa"/>
          <w:cantSplit/>
        </w:trPr>
        <w:tc>
          <w:tcPr>
            <w:tcW w:w="4219" w:type="dxa"/>
            <w:tcBorders>
              <w:top w:val="single" w:sz="4" w:space="0" w:color="auto"/>
              <w:bottom w:val="nil"/>
            </w:tcBorders>
            <w:shd w:val="clear" w:color="auto" w:fill="auto"/>
          </w:tcPr>
          <w:p w14:paraId="6039FF42" w14:textId="77777777" w:rsidR="00A01F39" w:rsidRPr="007944F8" w:rsidRDefault="00A01F39" w:rsidP="00DA6BAD">
            <w:pPr>
              <w:pStyle w:val="Table"/>
              <w:widowControl w:val="0"/>
              <w:tabs>
                <w:tab w:val="clear" w:pos="284"/>
                <w:tab w:val="left" w:pos="540"/>
              </w:tabs>
              <w:spacing w:before="0" w:after="0"/>
              <w:rPr>
                <w:rFonts w:ascii="Times New Roman" w:hAnsi="Times New Roman"/>
                <w:b/>
                <w:szCs w:val="20"/>
                <w:lang w:val="fr-FR" w:bidi="fr-FR"/>
              </w:rPr>
            </w:pPr>
            <w:r w:rsidRPr="007944F8">
              <w:rPr>
                <w:rFonts w:ascii="Times New Roman" w:hAnsi="Times New Roman"/>
                <w:b/>
                <w:lang w:val="fr-FR" w:bidi="fr-FR"/>
              </w:rPr>
              <w:t>Délai d’obtention de la réponse tumorale (mois)</w:t>
            </w:r>
          </w:p>
        </w:tc>
        <w:tc>
          <w:tcPr>
            <w:tcW w:w="2693" w:type="dxa"/>
            <w:tcBorders>
              <w:top w:val="single" w:sz="4" w:space="0" w:color="auto"/>
              <w:bottom w:val="nil"/>
            </w:tcBorders>
            <w:shd w:val="clear" w:color="auto" w:fill="auto"/>
          </w:tcPr>
          <w:p w14:paraId="2C02604B" w14:textId="77777777" w:rsidR="00A01F39" w:rsidRPr="007944F8" w:rsidRDefault="00A01F39" w:rsidP="00DA6BAD">
            <w:pPr>
              <w:pStyle w:val="Table"/>
              <w:widowControl w:val="0"/>
              <w:tabs>
                <w:tab w:val="clear" w:pos="284"/>
                <w:tab w:val="right" w:pos="342"/>
                <w:tab w:val="decimal" w:pos="792"/>
              </w:tabs>
              <w:spacing w:before="0" w:after="0"/>
              <w:rPr>
                <w:rFonts w:ascii="Times New Roman" w:hAnsi="Times New Roman"/>
                <w:szCs w:val="20"/>
                <w:lang w:val="fr-FR" w:bidi="fr-FR"/>
              </w:rPr>
            </w:pPr>
          </w:p>
        </w:tc>
        <w:tc>
          <w:tcPr>
            <w:tcW w:w="2410" w:type="dxa"/>
            <w:tcBorders>
              <w:top w:val="single" w:sz="4" w:space="0" w:color="auto"/>
              <w:bottom w:val="nil"/>
            </w:tcBorders>
            <w:shd w:val="clear" w:color="auto" w:fill="auto"/>
          </w:tcPr>
          <w:p w14:paraId="7234E480" w14:textId="77777777" w:rsidR="00A01F39" w:rsidRPr="007944F8" w:rsidRDefault="00A01F39" w:rsidP="00DA6BAD">
            <w:pPr>
              <w:pStyle w:val="Table"/>
              <w:widowControl w:val="0"/>
              <w:tabs>
                <w:tab w:val="clear" w:pos="284"/>
                <w:tab w:val="right" w:pos="342"/>
                <w:tab w:val="decimal" w:pos="792"/>
              </w:tabs>
              <w:spacing w:before="0" w:after="0"/>
              <w:rPr>
                <w:rFonts w:ascii="Times New Roman" w:hAnsi="Times New Roman"/>
                <w:szCs w:val="20"/>
                <w:lang w:val="fr-FR" w:bidi="fr-FR"/>
              </w:rPr>
            </w:pPr>
          </w:p>
        </w:tc>
      </w:tr>
      <w:tr w:rsidR="00A01F39" w:rsidRPr="007944F8" w14:paraId="569B1605" w14:textId="77777777" w:rsidTr="00C76DE7">
        <w:trPr>
          <w:gridAfter w:val="1"/>
          <w:wAfter w:w="285" w:type="dxa"/>
          <w:cantSplit/>
        </w:trPr>
        <w:tc>
          <w:tcPr>
            <w:tcW w:w="4219" w:type="dxa"/>
            <w:tcBorders>
              <w:top w:val="nil"/>
              <w:bottom w:val="nil"/>
            </w:tcBorders>
            <w:shd w:val="clear" w:color="auto" w:fill="auto"/>
          </w:tcPr>
          <w:p w14:paraId="0F09366A" w14:textId="77777777" w:rsidR="00A01F39" w:rsidRPr="007944F8" w:rsidRDefault="00A01F39" w:rsidP="00DA6BAD">
            <w:pPr>
              <w:pStyle w:val="Table"/>
              <w:widowControl w:val="0"/>
              <w:tabs>
                <w:tab w:val="clear" w:pos="284"/>
                <w:tab w:val="left" w:pos="540"/>
              </w:tabs>
              <w:spacing w:before="0" w:after="0"/>
              <w:rPr>
                <w:rFonts w:ascii="Times New Roman" w:hAnsi="Times New Roman"/>
                <w:szCs w:val="20"/>
                <w:lang w:val="fr-FR" w:bidi="fr-FR"/>
              </w:rPr>
            </w:pPr>
            <w:r w:rsidRPr="007944F8">
              <w:rPr>
                <w:rFonts w:ascii="Times New Roman" w:hAnsi="Times New Roman"/>
                <w:lang w:val="fr-FR" w:bidi="fr-FR"/>
              </w:rPr>
              <w:t>Médiane</w:t>
            </w:r>
          </w:p>
        </w:tc>
        <w:tc>
          <w:tcPr>
            <w:tcW w:w="2693" w:type="dxa"/>
            <w:tcBorders>
              <w:top w:val="nil"/>
              <w:bottom w:val="nil"/>
            </w:tcBorders>
            <w:shd w:val="clear" w:color="auto" w:fill="auto"/>
          </w:tcPr>
          <w:p w14:paraId="6F794C8F" w14:textId="77777777" w:rsidR="00A01F39" w:rsidRPr="007944F8" w:rsidRDefault="00A01F39" w:rsidP="00DA6BAD">
            <w:pPr>
              <w:pStyle w:val="Table"/>
              <w:widowControl w:val="0"/>
              <w:tabs>
                <w:tab w:val="clear" w:pos="284"/>
              </w:tabs>
              <w:spacing w:before="0" w:after="0"/>
              <w:jc w:val="center"/>
              <w:rPr>
                <w:rFonts w:ascii="Times New Roman" w:hAnsi="Times New Roman"/>
                <w:szCs w:val="20"/>
                <w:lang w:val="fr-FR" w:bidi="fr-FR"/>
              </w:rPr>
            </w:pPr>
            <w:r w:rsidRPr="007944F8">
              <w:rPr>
                <w:rFonts w:ascii="Times New Roman" w:hAnsi="Times New Roman"/>
                <w:lang w:val="fr-FR" w:bidi="fr-FR"/>
              </w:rPr>
              <w:t>4,0</w:t>
            </w:r>
          </w:p>
        </w:tc>
        <w:tc>
          <w:tcPr>
            <w:tcW w:w="2410" w:type="dxa"/>
            <w:tcBorders>
              <w:top w:val="nil"/>
              <w:bottom w:val="nil"/>
            </w:tcBorders>
            <w:shd w:val="clear" w:color="auto" w:fill="auto"/>
          </w:tcPr>
          <w:p w14:paraId="1B7AF1CD" w14:textId="77777777" w:rsidR="00A01F39" w:rsidRPr="007944F8" w:rsidRDefault="00A01F39" w:rsidP="00DA6BAD">
            <w:pPr>
              <w:pStyle w:val="Table"/>
              <w:widowControl w:val="0"/>
              <w:tabs>
                <w:tab w:val="clear" w:pos="284"/>
              </w:tabs>
              <w:spacing w:before="0" w:after="0"/>
              <w:jc w:val="center"/>
              <w:rPr>
                <w:rFonts w:ascii="Times New Roman" w:hAnsi="Times New Roman"/>
                <w:szCs w:val="20"/>
                <w:lang w:val="fr-FR" w:bidi="fr-FR"/>
              </w:rPr>
            </w:pPr>
            <w:r w:rsidRPr="007944F8">
              <w:rPr>
                <w:rFonts w:ascii="Times New Roman" w:hAnsi="Times New Roman"/>
                <w:lang w:val="fr-FR" w:bidi="fr-FR"/>
              </w:rPr>
              <w:t>2,5</w:t>
            </w:r>
          </w:p>
        </w:tc>
      </w:tr>
      <w:tr w:rsidR="00A01F39" w:rsidRPr="007944F8" w14:paraId="1AA9BD42" w14:textId="77777777" w:rsidTr="00C76DE7">
        <w:trPr>
          <w:gridAfter w:val="1"/>
          <w:wAfter w:w="285" w:type="dxa"/>
          <w:cantSplit/>
        </w:trPr>
        <w:tc>
          <w:tcPr>
            <w:tcW w:w="4219" w:type="dxa"/>
            <w:tcBorders>
              <w:top w:val="nil"/>
              <w:bottom w:val="single" w:sz="4" w:space="0" w:color="auto"/>
            </w:tcBorders>
            <w:shd w:val="clear" w:color="auto" w:fill="auto"/>
          </w:tcPr>
          <w:p w14:paraId="16A8A1C6" w14:textId="77777777" w:rsidR="00A01F39" w:rsidRPr="007944F8" w:rsidRDefault="00A01F39" w:rsidP="00DA6BAD">
            <w:pPr>
              <w:pStyle w:val="Table"/>
              <w:widowControl w:val="0"/>
              <w:tabs>
                <w:tab w:val="clear" w:pos="284"/>
                <w:tab w:val="left" w:pos="270"/>
              </w:tabs>
              <w:spacing w:before="0" w:after="0"/>
              <w:rPr>
                <w:rFonts w:ascii="Times New Roman" w:hAnsi="Times New Roman"/>
                <w:szCs w:val="20"/>
                <w:lang w:val="fr-FR" w:bidi="fr-FR"/>
              </w:rPr>
            </w:pPr>
            <w:r w:rsidRPr="007944F8">
              <w:rPr>
                <w:lang w:val="fr-FR" w:bidi="fr-FR"/>
              </w:rPr>
              <w:tab/>
            </w:r>
            <w:r w:rsidRPr="007944F8">
              <w:rPr>
                <w:rFonts w:ascii="Times New Roman" w:hAnsi="Times New Roman"/>
                <w:lang w:val="fr-FR" w:bidi="fr-FR"/>
              </w:rPr>
              <w:t>IC à 95 %</w:t>
            </w:r>
          </w:p>
        </w:tc>
        <w:tc>
          <w:tcPr>
            <w:tcW w:w="2693" w:type="dxa"/>
            <w:tcBorders>
              <w:top w:val="nil"/>
              <w:bottom w:val="single" w:sz="4" w:space="0" w:color="auto"/>
            </w:tcBorders>
            <w:shd w:val="clear" w:color="auto" w:fill="auto"/>
          </w:tcPr>
          <w:p w14:paraId="5E52E83E" w14:textId="77777777" w:rsidR="00A01F39" w:rsidRPr="007944F8" w:rsidRDefault="00A01F39" w:rsidP="00DA6BAD">
            <w:pPr>
              <w:pStyle w:val="Table"/>
              <w:widowControl w:val="0"/>
              <w:tabs>
                <w:tab w:val="clear" w:pos="284"/>
              </w:tabs>
              <w:spacing w:before="0" w:after="0"/>
              <w:jc w:val="center"/>
              <w:rPr>
                <w:rFonts w:ascii="Times New Roman" w:hAnsi="Times New Roman"/>
                <w:szCs w:val="20"/>
                <w:lang w:val="fr-FR" w:bidi="fr-FR"/>
              </w:rPr>
            </w:pPr>
            <w:r w:rsidRPr="007944F8">
              <w:rPr>
                <w:rFonts w:ascii="Times New Roman" w:hAnsi="Times New Roman"/>
                <w:lang w:val="fr-FR" w:bidi="fr-FR"/>
              </w:rPr>
              <w:t>(3,8-5,6)</w:t>
            </w:r>
          </w:p>
        </w:tc>
        <w:tc>
          <w:tcPr>
            <w:tcW w:w="2410" w:type="dxa"/>
            <w:tcBorders>
              <w:top w:val="nil"/>
              <w:bottom w:val="single" w:sz="4" w:space="0" w:color="auto"/>
            </w:tcBorders>
            <w:shd w:val="clear" w:color="auto" w:fill="auto"/>
          </w:tcPr>
          <w:p w14:paraId="2DA47F05" w14:textId="77777777" w:rsidR="00A01F39" w:rsidRPr="007944F8" w:rsidRDefault="00A01F39" w:rsidP="00DA6BAD">
            <w:pPr>
              <w:pStyle w:val="Table"/>
              <w:widowControl w:val="0"/>
              <w:tabs>
                <w:tab w:val="clear" w:pos="284"/>
              </w:tabs>
              <w:spacing w:before="0" w:after="0"/>
              <w:jc w:val="center"/>
              <w:rPr>
                <w:rFonts w:ascii="Times New Roman" w:hAnsi="Times New Roman"/>
                <w:szCs w:val="20"/>
                <w:lang w:val="fr-FR" w:bidi="fr-FR"/>
              </w:rPr>
            </w:pPr>
            <w:r w:rsidRPr="007944F8">
              <w:rPr>
                <w:rFonts w:ascii="Times New Roman" w:hAnsi="Times New Roman"/>
                <w:lang w:val="fr-FR" w:bidi="fr-FR"/>
              </w:rPr>
              <w:t>(1,9-3,7)</w:t>
            </w:r>
          </w:p>
        </w:tc>
      </w:tr>
      <w:tr w:rsidR="00A01F39" w:rsidRPr="007944F8" w14:paraId="0DD886AE" w14:textId="77777777" w:rsidTr="00C76DE7">
        <w:trPr>
          <w:gridAfter w:val="1"/>
          <w:wAfter w:w="285" w:type="dxa"/>
          <w:cantSplit/>
        </w:trPr>
        <w:tc>
          <w:tcPr>
            <w:tcW w:w="4219" w:type="dxa"/>
            <w:tcBorders>
              <w:top w:val="single" w:sz="4" w:space="0" w:color="auto"/>
            </w:tcBorders>
            <w:shd w:val="clear" w:color="auto" w:fill="auto"/>
          </w:tcPr>
          <w:p w14:paraId="7CCE49AA" w14:textId="77777777" w:rsidR="00A01F39" w:rsidRPr="007944F8" w:rsidRDefault="00A01F39" w:rsidP="00DA6BAD">
            <w:pPr>
              <w:pStyle w:val="Table"/>
              <w:widowControl w:val="0"/>
              <w:spacing w:before="0" w:after="0"/>
              <w:rPr>
                <w:rFonts w:ascii="Times New Roman" w:hAnsi="Times New Roman"/>
                <w:b/>
                <w:szCs w:val="20"/>
                <w:lang w:val="fr-FR" w:bidi="fr-FR"/>
              </w:rPr>
            </w:pPr>
            <w:r w:rsidRPr="007944F8">
              <w:rPr>
                <w:rFonts w:ascii="Times New Roman" w:hAnsi="Times New Roman"/>
                <w:b/>
                <w:lang w:val="fr-FR" w:bidi="fr-FR"/>
              </w:rPr>
              <w:t>Durée de la réponse</w:t>
            </w:r>
          </w:p>
        </w:tc>
        <w:tc>
          <w:tcPr>
            <w:tcW w:w="2693" w:type="dxa"/>
            <w:tcBorders>
              <w:top w:val="single" w:sz="4" w:space="0" w:color="auto"/>
            </w:tcBorders>
            <w:shd w:val="clear" w:color="auto" w:fill="auto"/>
          </w:tcPr>
          <w:p w14:paraId="10ED03E9" w14:textId="77777777" w:rsidR="00A01F39" w:rsidRPr="007944F8" w:rsidRDefault="00A01F39" w:rsidP="00DA6BAD">
            <w:pPr>
              <w:pStyle w:val="Table"/>
              <w:widowControl w:val="0"/>
              <w:spacing w:before="0" w:after="0"/>
              <w:rPr>
                <w:rFonts w:ascii="Times New Roman" w:hAnsi="Times New Roman"/>
                <w:szCs w:val="20"/>
                <w:lang w:val="fr-FR" w:bidi="fr-FR"/>
              </w:rPr>
            </w:pPr>
          </w:p>
        </w:tc>
        <w:tc>
          <w:tcPr>
            <w:tcW w:w="2410" w:type="dxa"/>
            <w:tcBorders>
              <w:top w:val="single" w:sz="4" w:space="0" w:color="auto"/>
            </w:tcBorders>
            <w:shd w:val="clear" w:color="auto" w:fill="auto"/>
          </w:tcPr>
          <w:p w14:paraId="6FBBAC93" w14:textId="77777777" w:rsidR="00A01F39" w:rsidRPr="007944F8" w:rsidRDefault="00A01F39" w:rsidP="00DA6BAD">
            <w:pPr>
              <w:pStyle w:val="Table"/>
              <w:widowControl w:val="0"/>
              <w:spacing w:before="0" w:after="0"/>
              <w:rPr>
                <w:rFonts w:ascii="Times New Roman" w:hAnsi="Times New Roman"/>
                <w:szCs w:val="20"/>
                <w:lang w:val="fr-FR" w:bidi="fr-FR"/>
              </w:rPr>
            </w:pPr>
          </w:p>
        </w:tc>
      </w:tr>
      <w:tr w:rsidR="00A01F39" w:rsidRPr="007944F8" w14:paraId="63AD9B71" w14:textId="77777777" w:rsidTr="00C76DE7">
        <w:trPr>
          <w:gridAfter w:val="1"/>
          <w:wAfter w:w="285" w:type="dxa"/>
          <w:cantSplit/>
        </w:trPr>
        <w:tc>
          <w:tcPr>
            <w:tcW w:w="4219" w:type="dxa"/>
            <w:shd w:val="clear" w:color="auto" w:fill="auto"/>
          </w:tcPr>
          <w:p w14:paraId="46B37DAE" w14:textId="77777777" w:rsidR="00A01F39" w:rsidRPr="007944F8" w:rsidRDefault="00A01F39" w:rsidP="00DA6BAD">
            <w:pPr>
              <w:pStyle w:val="Table"/>
              <w:widowControl w:val="0"/>
              <w:spacing w:before="0" w:after="0"/>
              <w:rPr>
                <w:rFonts w:ascii="Times New Roman" w:hAnsi="Times New Roman"/>
                <w:szCs w:val="20"/>
                <w:lang w:val="fr-FR" w:bidi="fr-FR"/>
              </w:rPr>
            </w:pPr>
            <w:r w:rsidRPr="007944F8">
              <w:rPr>
                <w:rFonts w:ascii="Times New Roman" w:hAnsi="Times New Roman"/>
                <w:lang w:val="fr-FR" w:bidi="fr-FR"/>
              </w:rPr>
              <w:t>Nombre d’événements*</w:t>
            </w:r>
          </w:p>
        </w:tc>
        <w:tc>
          <w:tcPr>
            <w:tcW w:w="2693" w:type="dxa"/>
            <w:shd w:val="clear" w:color="auto" w:fill="auto"/>
          </w:tcPr>
          <w:p w14:paraId="6EE94616" w14:textId="77777777" w:rsidR="00A01F39" w:rsidRPr="007944F8" w:rsidRDefault="0003494F" w:rsidP="00DA6BAD">
            <w:pPr>
              <w:pStyle w:val="Table"/>
              <w:widowControl w:val="0"/>
              <w:tabs>
                <w:tab w:val="clear" w:pos="284"/>
              </w:tabs>
              <w:spacing w:before="0" w:after="0"/>
              <w:jc w:val="center"/>
              <w:rPr>
                <w:rFonts w:ascii="Times New Roman" w:hAnsi="Times New Roman"/>
                <w:szCs w:val="20"/>
                <w:lang w:val="fr-FR" w:bidi="fr-FR"/>
              </w:rPr>
            </w:pPr>
            <w:r w:rsidRPr="007944F8">
              <w:rPr>
                <w:rFonts w:ascii="Times New Roman" w:hAnsi="Times New Roman"/>
                <w:lang w:val="fr-FR" w:bidi="fr-FR"/>
              </w:rPr>
              <w:t>11</w:t>
            </w:r>
          </w:p>
        </w:tc>
        <w:tc>
          <w:tcPr>
            <w:tcW w:w="2410" w:type="dxa"/>
            <w:shd w:val="clear" w:color="auto" w:fill="auto"/>
          </w:tcPr>
          <w:p w14:paraId="0632BDF2" w14:textId="77777777" w:rsidR="00A01F39" w:rsidRPr="007944F8" w:rsidRDefault="0003494F" w:rsidP="0003494F">
            <w:pPr>
              <w:pStyle w:val="Table"/>
              <w:widowControl w:val="0"/>
              <w:tabs>
                <w:tab w:val="clear" w:pos="284"/>
              </w:tabs>
              <w:spacing w:before="0" w:after="0"/>
              <w:jc w:val="center"/>
              <w:rPr>
                <w:rFonts w:ascii="Times New Roman" w:hAnsi="Times New Roman"/>
                <w:szCs w:val="20"/>
                <w:lang w:val="fr-FR" w:bidi="fr-FR"/>
              </w:rPr>
            </w:pPr>
            <w:r w:rsidRPr="007944F8">
              <w:rPr>
                <w:rFonts w:ascii="Times New Roman" w:hAnsi="Times New Roman"/>
                <w:lang w:val="fr-FR" w:bidi="fr-FR"/>
              </w:rPr>
              <w:t>22</w:t>
            </w:r>
          </w:p>
        </w:tc>
      </w:tr>
      <w:tr w:rsidR="00A01F39" w:rsidRPr="007944F8" w14:paraId="45A4F622" w14:textId="77777777" w:rsidTr="00C76DE7">
        <w:trPr>
          <w:gridAfter w:val="1"/>
          <w:wAfter w:w="285" w:type="dxa"/>
          <w:cantSplit/>
        </w:trPr>
        <w:tc>
          <w:tcPr>
            <w:tcW w:w="4219" w:type="dxa"/>
            <w:shd w:val="clear" w:color="auto" w:fill="auto"/>
          </w:tcPr>
          <w:p w14:paraId="1631368A" w14:textId="77777777" w:rsidR="00A01F39" w:rsidRPr="007944F8" w:rsidRDefault="00A01F39" w:rsidP="00DA6BAD">
            <w:pPr>
              <w:pStyle w:val="Table"/>
              <w:widowControl w:val="0"/>
              <w:spacing w:before="0" w:after="0"/>
              <w:rPr>
                <w:rFonts w:ascii="Times New Roman" w:hAnsi="Times New Roman"/>
                <w:szCs w:val="20"/>
                <w:lang w:val="fr-FR" w:bidi="fr-FR"/>
              </w:rPr>
            </w:pPr>
            <w:r w:rsidRPr="007944F8">
              <w:rPr>
                <w:rFonts w:ascii="Times New Roman" w:hAnsi="Times New Roman"/>
                <w:lang w:val="fr-FR" w:bidi="fr-FR"/>
              </w:rPr>
              <w:t>Nombre censuré</w:t>
            </w:r>
          </w:p>
        </w:tc>
        <w:tc>
          <w:tcPr>
            <w:tcW w:w="2693" w:type="dxa"/>
            <w:shd w:val="clear" w:color="auto" w:fill="auto"/>
          </w:tcPr>
          <w:p w14:paraId="7906029A" w14:textId="77777777" w:rsidR="00A01F39" w:rsidRPr="007944F8" w:rsidRDefault="0003494F" w:rsidP="00DA6BAD">
            <w:pPr>
              <w:pStyle w:val="Table"/>
              <w:widowControl w:val="0"/>
              <w:tabs>
                <w:tab w:val="clear" w:pos="284"/>
              </w:tabs>
              <w:spacing w:before="0" w:after="0"/>
              <w:jc w:val="center"/>
              <w:rPr>
                <w:rFonts w:ascii="Times New Roman" w:hAnsi="Times New Roman"/>
                <w:szCs w:val="20"/>
                <w:lang w:val="fr-FR" w:bidi="fr-FR"/>
              </w:rPr>
            </w:pPr>
            <w:r w:rsidRPr="007944F8">
              <w:rPr>
                <w:rFonts w:ascii="Times New Roman" w:hAnsi="Times New Roman"/>
                <w:lang w:val="fr-FR" w:bidi="fr-FR"/>
              </w:rPr>
              <w:t>26</w:t>
            </w:r>
          </w:p>
        </w:tc>
        <w:tc>
          <w:tcPr>
            <w:tcW w:w="2410" w:type="dxa"/>
            <w:shd w:val="clear" w:color="auto" w:fill="auto"/>
          </w:tcPr>
          <w:p w14:paraId="769ED02B" w14:textId="77777777" w:rsidR="00A01F39" w:rsidRPr="007944F8" w:rsidRDefault="0003494F" w:rsidP="0003494F">
            <w:pPr>
              <w:pStyle w:val="Table"/>
              <w:widowControl w:val="0"/>
              <w:tabs>
                <w:tab w:val="clear" w:pos="284"/>
              </w:tabs>
              <w:spacing w:before="0" w:after="0"/>
              <w:jc w:val="center"/>
              <w:rPr>
                <w:rFonts w:ascii="Times New Roman" w:hAnsi="Times New Roman"/>
                <w:szCs w:val="20"/>
                <w:lang w:val="fr-FR" w:bidi="fr-FR"/>
              </w:rPr>
            </w:pPr>
            <w:r w:rsidRPr="007944F8">
              <w:rPr>
                <w:rFonts w:ascii="Times New Roman" w:hAnsi="Times New Roman"/>
                <w:lang w:val="fr-FR" w:bidi="fr-FR"/>
              </w:rPr>
              <w:t>25</w:t>
            </w:r>
          </w:p>
        </w:tc>
      </w:tr>
      <w:tr w:rsidR="00A01F39" w:rsidRPr="007944F8" w14:paraId="44EFC399" w14:textId="77777777" w:rsidTr="00C76DE7">
        <w:trPr>
          <w:gridAfter w:val="1"/>
          <w:wAfter w:w="285" w:type="dxa"/>
          <w:cantSplit/>
        </w:trPr>
        <w:tc>
          <w:tcPr>
            <w:tcW w:w="4219" w:type="dxa"/>
            <w:tcBorders>
              <w:bottom w:val="nil"/>
            </w:tcBorders>
            <w:shd w:val="clear" w:color="auto" w:fill="auto"/>
          </w:tcPr>
          <w:p w14:paraId="64836192" w14:textId="77777777" w:rsidR="00A01F39" w:rsidRPr="007944F8" w:rsidRDefault="00A01F39" w:rsidP="00DA6BAD">
            <w:pPr>
              <w:pStyle w:val="Table"/>
              <w:widowControl w:val="0"/>
              <w:spacing w:before="0" w:after="0"/>
              <w:rPr>
                <w:rFonts w:ascii="Times New Roman" w:hAnsi="Times New Roman"/>
                <w:szCs w:val="20"/>
                <w:lang w:val="fr-FR" w:bidi="fr-FR"/>
              </w:rPr>
            </w:pPr>
            <w:r w:rsidRPr="007944F8">
              <w:rPr>
                <w:rFonts w:ascii="Times New Roman" w:hAnsi="Times New Roman"/>
                <w:lang w:val="fr-FR" w:bidi="fr-FR"/>
              </w:rPr>
              <w:t>Médiane (mois)</w:t>
            </w:r>
          </w:p>
        </w:tc>
        <w:tc>
          <w:tcPr>
            <w:tcW w:w="2693" w:type="dxa"/>
            <w:tcBorders>
              <w:bottom w:val="nil"/>
            </w:tcBorders>
            <w:shd w:val="clear" w:color="auto" w:fill="auto"/>
          </w:tcPr>
          <w:p w14:paraId="1F431B79" w14:textId="77777777" w:rsidR="00A01F39" w:rsidRPr="007944F8" w:rsidRDefault="0003494F" w:rsidP="00DA6BAD">
            <w:pPr>
              <w:pStyle w:val="Table"/>
              <w:widowControl w:val="0"/>
              <w:tabs>
                <w:tab w:val="clear" w:pos="284"/>
              </w:tabs>
              <w:spacing w:before="0" w:after="0"/>
              <w:jc w:val="center"/>
              <w:rPr>
                <w:rFonts w:ascii="Times New Roman" w:hAnsi="Times New Roman"/>
                <w:szCs w:val="20"/>
                <w:vertAlign w:val="superscript"/>
                <w:lang w:val="fr-FR" w:bidi="fr-FR"/>
              </w:rPr>
            </w:pPr>
            <w:r w:rsidRPr="007944F8">
              <w:rPr>
                <w:rFonts w:ascii="Times New Roman" w:hAnsi="Times New Roman"/>
                <w:lang w:val="fr-FR" w:bidi="fr-FR"/>
              </w:rPr>
              <w:t>26,1</w:t>
            </w:r>
          </w:p>
        </w:tc>
        <w:tc>
          <w:tcPr>
            <w:tcW w:w="2410" w:type="dxa"/>
            <w:tcBorders>
              <w:bottom w:val="nil"/>
            </w:tcBorders>
            <w:shd w:val="clear" w:color="auto" w:fill="auto"/>
          </w:tcPr>
          <w:p w14:paraId="6C81A6FA" w14:textId="77777777" w:rsidR="00A01F39" w:rsidRPr="007944F8" w:rsidRDefault="0003494F" w:rsidP="00DA6BAD">
            <w:pPr>
              <w:pStyle w:val="Table"/>
              <w:widowControl w:val="0"/>
              <w:tabs>
                <w:tab w:val="clear" w:pos="284"/>
              </w:tabs>
              <w:spacing w:before="0" w:after="0"/>
              <w:jc w:val="center"/>
              <w:rPr>
                <w:rFonts w:ascii="Times New Roman" w:hAnsi="Times New Roman"/>
                <w:szCs w:val="20"/>
                <w:vertAlign w:val="superscript"/>
                <w:lang w:val="fr-FR" w:bidi="fr-FR"/>
              </w:rPr>
            </w:pPr>
            <w:r w:rsidRPr="007944F8">
              <w:rPr>
                <w:rFonts w:ascii="Times New Roman" w:hAnsi="Times New Roman"/>
                <w:lang w:val="fr-FR" w:bidi="fr-FR"/>
              </w:rPr>
              <w:t>15,7</w:t>
            </w:r>
          </w:p>
        </w:tc>
      </w:tr>
      <w:tr w:rsidR="00A01F39" w:rsidRPr="007944F8" w14:paraId="16299697" w14:textId="77777777" w:rsidTr="00C76DE7">
        <w:trPr>
          <w:gridAfter w:val="1"/>
          <w:wAfter w:w="285" w:type="dxa"/>
          <w:cantSplit/>
        </w:trPr>
        <w:tc>
          <w:tcPr>
            <w:tcW w:w="4219" w:type="dxa"/>
            <w:tcBorders>
              <w:top w:val="nil"/>
              <w:bottom w:val="nil"/>
            </w:tcBorders>
            <w:shd w:val="clear" w:color="auto" w:fill="auto"/>
          </w:tcPr>
          <w:p w14:paraId="3D2FAB4F" w14:textId="77777777" w:rsidR="00A01F39" w:rsidRPr="007944F8" w:rsidRDefault="00A01F39" w:rsidP="00DA6BAD">
            <w:pPr>
              <w:pStyle w:val="Table"/>
              <w:widowControl w:val="0"/>
              <w:spacing w:before="0" w:after="0"/>
              <w:rPr>
                <w:rFonts w:ascii="Times New Roman" w:hAnsi="Times New Roman"/>
                <w:szCs w:val="20"/>
                <w:lang w:val="fr-FR" w:bidi="fr-FR"/>
              </w:rPr>
            </w:pPr>
            <w:r w:rsidRPr="007944F8">
              <w:rPr>
                <w:lang w:val="fr-FR" w:bidi="fr-FR"/>
              </w:rPr>
              <w:tab/>
            </w:r>
            <w:r w:rsidRPr="007944F8">
              <w:rPr>
                <w:rFonts w:ascii="Times New Roman" w:hAnsi="Times New Roman"/>
                <w:lang w:val="fr-FR" w:bidi="fr-FR"/>
              </w:rPr>
              <w:t>IC à 95 %</w:t>
            </w:r>
          </w:p>
        </w:tc>
        <w:tc>
          <w:tcPr>
            <w:tcW w:w="2693" w:type="dxa"/>
            <w:tcBorders>
              <w:top w:val="nil"/>
              <w:bottom w:val="nil"/>
            </w:tcBorders>
            <w:shd w:val="clear" w:color="auto" w:fill="auto"/>
          </w:tcPr>
          <w:p w14:paraId="68CBD0A9" w14:textId="77777777" w:rsidR="00A01F39" w:rsidRPr="007944F8" w:rsidRDefault="00A01F39" w:rsidP="00DA6BAD">
            <w:pPr>
              <w:pStyle w:val="Table"/>
              <w:widowControl w:val="0"/>
              <w:tabs>
                <w:tab w:val="clear" w:pos="284"/>
              </w:tabs>
              <w:spacing w:before="0" w:after="0"/>
              <w:jc w:val="center"/>
              <w:rPr>
                <w:rFonts w:ascii="Times New Roman" w:hAnsi="Times New Roman"/>
                <w:szCs w:val="20"/>
                <w:lang w:val="fr-FR" w:bidi="fr-FR"/>
              </w:rPr>
            </w:pPr>
            <w:r w:rsidRPr="007944F8">
              <w:rPr>
                <w:rFonts w:ascii="Times New Roman" w:hAnsi="Times New Roman"/>
                <w:lang w:val="fr-FR" w:bidi="fr-FR"/>
              </w:rPr>
              <w:t>(NE)</w:t>
            </w:r>
          </w:p>
        </w:tc>
        <w:tc>
          <w:tcPr>
            <w:tcW w:w="2410" w:type="dxa"/>
            <w:tcBorders>
              <w:top w:val="nil"/>
              <w:bottom w:val="nil"/>
            </w:tcBorders>
            <w:shd w:val="clear" w:color="auto" w:fill="auto"/>
          </w:tcPr>
          <w:p w14:paraId="6E10D0DD" w14:textId="77777777" w:rsidR="00A01F39" w:rsidRPr="007944F8" w:rsidRDefault="00A01F39" w:rsidP="00DA6BAD">
            <w:pPr>
              <w:pStyle w:val="Table"/>
              <w:widowControl w:val="0"/>
              <w:tabs>
                <w:tab w:val="clear" w:pos="284"/>
              </w:tabs>
              <w:spacing w:before="0" w:after="0"/>
              <w:jc w:val="center"/>
              <w:rPr>
                <w:rFonts w:ascii="Times New Roman" w:hAnsi="Times New Roman"/>
                <w:szCs w:val="20"/>
                <w:lang w:val="fr-FR" w:bidi="fr-FR"/>
              </w:rPr>
            </w:pPr>
            <w:r w:rsidRPr="007944F8">
              <w:rPr>
                <w:rFonts w:ascii="Times New Roman" w:hAnsi="Times New Roman"/>
                <w:lang w:val="fr-FR" w:bidi="fr-FR"/>
              </w:rPr>
              <w:t>(12,0-20,2)</w:t>
            </w:r>
          </w:p>
        </w:tc>
      </w:tr>
      <w:tr w:rsidR="00A01F39" w:rsidRPr="007944F8" w14:paraId="0143AF0B" w14:textId="77777777" w:rsidTr="00C76DE7">
        <w:trPr>
          <w:gridAfter w:val="1"/>
          <w:wAfter w:w="285" w:type="dxa"/>
          <w:cantSplit/>
        </w:trPr>
        <w:tc>
          <w:tcPr>
            <w:tcW w:w="4219" w:type="dxa"/>
            <w:tcBorders>
              <w:top w:val="nil"/>
              <w:bottom w:val="nil"/>
            </w:tcBorders>
            <w:shd w:val="clear" w:color="auto" w:fill="auto"/>
          </w:tcPr>
          <w:p w14:paraId="5482CC56" w14:textId="77777777" w:rsidR="00A01F39" w:rsidRPr="007944F8" w:rsidRDefault="00A01F39" w:rsidP="00DA6BAD">
            <w:pPr>
              <w:pStyle w:val="Table"/>
              <w:widowControl w:val="0"/>
              <w:spacing w:before="0" w:after="0"/>
              <w:rPr>
                <w:rFonts w:ascii="Times New Roman" w:hAnsi="Times New Roman"/>
                <w:szCs w:val="20"/>
                <w:lang w:val="fr-FR" w:bidi="fr-FR"/>
              </w:rPr>
            </w:pPr>
            <w:r w:rsidRPr="007944F8">
              <w:rPr>
                <w:rFonts w:ascii="Times New Roman" w:hAnsi="Times New Roman"/>
                <w:lang w:val="fr-FR" w:bidi="fr-FR"/>
              </w:rPr>
              <w:t>Probabilité de survie sans événement (%), (IC à 95 %)</w:t>
            </w:r>
          </w:p>
        </w:tc>
        <w:tc>
          <w:tcPr>
            <w:tcW w:w="2693" w:type="dxa"/>
            <w:tcBorders>
              <w:top w:val="nil"/>
              <w:bottom w:val="nil"/>
            </w:tcBorders>
            <w:shd w:val="clear" w:color="auto" w:fill="auto"/>
          </w:tcPr>
          <w:p w14:paraId="38E5E2E6" w14:textId="77777777" w:rsidR="00A01F39" w:rsidRPr="007944F8" w:rsidRDefault="00A01F39" w:rsidP="00DA6BAD">
            <w:pPr>
              <w:pStyle w:val="Table"/>
              <w:widowControl w:val="0"/>
              <w:tabs>
                <w:tab w:val="clear" w:pos="284"/>
              </w:tabs>
              <w:spacing w:before="0" w:after="0"/>
              <w:jc w:val="center"/>
              <w:rPr>
                <w:rFonts w:ascii="Times New Roman" w:hAnsi="Times New Roman"/>
                <w:szCs w:val="20"/>
                <w:lang w:val="fr-FR" w:bidi="fr-FR"/>
              </w:rPr>
            </w:pPr>
          </w:p>
        </w:tc>
        <w:tc>
          <w:tcPr>
            <w:tcW w:w="2410" w:type="dxa"/>
            <w:tcBorders>
              <w:top w:val="nil"/>
              <w:bottom w:val="nil"/>
            </w:tcBorders>
            <w:shd w:val="clear" w:color="auto" w:fill="auto"/>
          </w:tcPr>
          <w:p w14:paraId="663E5B5B" w14:textId="77777777" w:rsidR="00A01F39" w:rsidRPr="007944F8" w:rsidRDefault="00A01F39" w:rsidP="00DA6BAD">
            <w:pPr>
              <w:pStyle w:val="Table"/>
              <w:widowControl w:val="0"/>
              <w:tabs>
                <w:tab w:val="clear" w:pos="284"/>
              </w:tabs>
              <w:spacing w:before="0" w:after="0"/>
              <w:jc w:val="center"/>
              <w:rPr>
                <w:rFonts w:ascii="Times New Roman" w:hAnsi="Times New Roman"/>
                <w:szCs w:val="20"/>
                <w:lang w:val="fr-FR" w:bidi="fr-FR"/>
              </w:rPr>
            </w:pPr>
          </w:p>
        </w:tc>
      </w:tr>
      <w:tr w:rsidR="00A01F39" w:rsidRPr="007944F8" w14:paraId="7BE6DBAD" w14:textId="77777777" w:rsidTr="00C76DE7">
        <w:trPr>
          <w:gridAfter w:val="1"/>
          <w:wAfter w:w="285" w:type="dxa"/>
          <w:cantSplit/>
        </w:trPr>
        <w:tc>
          <w:tcPr>
            <w:tcW w:w="4219" w:type="dxa"/>
            <w:tcBorders>
              <w:top w:val="nil"/>
              <w:bottom w:val="nil"/>
            </w:tcBorders>
            <w:shd w:val="clear" w:color="auto" w:fill="auto"/>
          </w:tcPr>
          <w:p w14:paraId="1C9EEB93" w14:textId="77777777" w:rsidR="00A01F39" w:rsidRPr="007944F8" w:rsidRDefault="00A01F39" w:rsidP="00DA6BAD">
            <w:pPr>
              <w:pStyle w:val="Table"/>
              <w:widowControl w:val="0"/>
              <w:spacing w:before="0" w:after="0"/>
              <w:rPr>
                <w:rFonts w:ascii="Times New Roman" w:hAnsi="Times New Roman"/>
                <w:szCs w:val="20"/>
                <w:lang w:val="fr-FR" w:bidi="fr-FR"/>
              </w:rPr>
            </w:pPr>
            <w:r w:rsidRPr="007944F8">
              <w:rPr>
                <w:lang w:val="fr-FR" w:bidi="fr-FR"/>
              </w:rPr>
              <w:tab/>
            </w:r>
            <w:r w:rsidRPr="007944F8">
              <w:rPr>
                <w:rFonts w:ascii="Times New Roman" w:hAnsi="Times New Roman"/>
                <w:lang w:val="fr-FR" w:bidi="fr-FR"/>
              </w:rPr>
              <w:t>6 mois</w:t>
            </w:r>
          </w:p>
        </w:tc>
        <w:tc>
          <w:tcPr>
            <w:tcW w:w="2693" w:type="dxa"/>
            <w:tcBorders>
              <w:top w:val="nil"/>
              <w:bottom w:val="nil"/>
            </w:tcBorders>
            <w:shd w:val="clear" w:color="auto" w:fill="auto"/>
          </w:tcPr>
          <w:p w14:paraId="17C0312F" w14:textId="77777777" w:rsidR="00A01F39" w:rsidRPr="007944F8" w:rsidRDefault="00A01F39" w:rsidP="0003494F">
            <w:pPr>
              <w:pStyle w:val="Table"/>
              <w:widowControl w:val="0"/>
              <w:tabs>
                <w:tab w:val="clear" w:pos="284"/>
              </w:tabs>
              <w:spacing w:before="0" w:after="0"/>
              <w:jc w:val="center"/>
              <w:rPr>
                <w:rFonts w:ascii="Times New Roman" w:hAnsi="Times New Roman"/>
                <w:szCs w:val="20"/>
                <w:lang w:val="fr-FR" w:bidi="fr-FR"/>
              </w:rPr>
            </w:pPr>
            <w:r w:rsidRPr="007944F8">
              <w:rPr>
                <w:rFonts w:ascii="Times New Roman" w:hAnsi="Times New Roman"/>
                <w:lang w:val="fr-FR" w:bidi="fr-FR"/>
              </w:rPr>
              <w:t>86</w:t>
            </w:r>
            <w:r w:rsidR="0003494F" w:rsidRPr="007944F8">
              <w:rPr>
                <w:rFonts w:ascii="Times New Roman" w:hAnsi="Times New Roman"/>
                <w:lang w:val="fr-FR" w:bidi="fr-FR"/>
              </w:rPr>
              <w:t xml:space="preserve">,4 </w:t>
            </w:r>
            <w:r w:rsidRPr="007944F8">
              <w:rPr>
                <w:rFonts w:ascii="Times New Roman" w:hAnsi="Times New Roman"/>
                <w:lang w:val="fr-FR" w:bidi="fr-FR"/>
              </w:rPr>
              <w:t>(</w:t>
            </w:r>
            <w:r w:rsidR="0003494F" w:rsidRPr="007944F8">
              <w:rPr>
                <w:rFonts w:ascii="Times New Roman" w:hAnsi="Times New Roman"/>
                <w:lang w:val="fr-FR" w:bidi="fr-FR"/>
              </w:rPr>
              <w:t>67,7-94,7</w:t>
            </w:r>
            <w:r w:rsidRPr="007944F8">
              <w:rPr>
                <w:rFonts w:ascii="Times New Roman" w:hAnsi="Times New Roman"/>
                <w:lang w:val="fr-FR" w:bidi="fr-FR"/>
              </w:rPr>
              <w:t>)</w:t>
            </w:r>
          </w:p>
        </w:tc>
        <w:tc>
          <w:tcPr>
            <w:tcW w:w="2410" w:type="dxa"/>
            <w:tcBorders>
              <w:top w:val="nil"/>
              <w:bottom w:val="nil"/>
            </w:tcBorders>
            <w:shd w:val="clear" w:color="auto" w:fill="auto"/>
          </w:tcPr>
          <w:p w14:paraId="432BA1B1" w14:textId="77777777" w:rsidR="00A01F39" w:rsidRPr="007944F8" w:rsidRDefault="00A01F39" w:rsidP="00DA6BAD">
            <w:pPr>
              <w:pStyle w:val="Table"/>
              <w:widowControl w:val="0"/>
              <w:tabs>
                <w:tab w:val="clear" w:pos="284"/>
              </w:tabs>
              <w:spacing w:before="0" w:after="0"/>
              <w:jc w:val="center"/>
              <w:rPr>
                <w:rFonts w:ascii="Times New Roman" w:hAnsi="Times New Roman"/>
                <w:szCs w:val="20"/>
                <w:lang w:val="fr-FR" w:bidi="fr-FR"/>
              </w:rPr>
            </w:pPr>
            <w:r w:rsidRPr="007944F8">
              <w:rPr>
                <w:rFonts w:ascii="Times New Roman" w:hAnsi="Times New Roman"/>
                <w:lang w:val="fr-FR" w:bidi="fr-FR"/>
              </w:rPr>
              <w:t>89,8 (74,8-96,1)</w:t>
            </w:r>
          </w:p>
        </w:tc>
      </w:tr>
      <w:tr w:rsidR="00A01F39" w:rsidRPr="007944F8" w14:paraId="7E61C54A" w14:textId="77777777" w:rsidTr="00C76DE7">
        <w:trPr>
          <w:gridAfter w:val="1"/>
          <w:wAfter w:w="285" w:type="dxa"/>
          <w:cantSplit/>
        </w:trPr>
        <w:tc>
          <w:tcPr>
            <w:tcW w:w="4219" w:type="dxa"/>
            <w:tcBorders>
              <w:top w:val="nil"/>
              <w:bottom w:val="nil"/>
            </w:tcBorders>
            <w:shd w:val="clear" w:color="auto" w:fill="auto"/>
          </w:tcPr>
          <w:p w14:paraId="6286723C" w14:textId="77777777" w:rsidR="00A01F39" w:rsidRPr="007944F8" w:rsidRDefault="00A01F39" w:rsidP="00DA6BAD">
            <w:pPr>
              <w:pStyle w:val="Table"/>
              <w:widowControl w:val="0"/>
              <w:spacing w:before="0" w:after="0"/>
              <w:rPr>
                <w:rFonts w:ascii="Times New Roman" w:hAnsi="Times New Roman"/>
                <w:szCs w:val="20"/>
                <w:lang w:val="fr-FR" w:bidi="fr-FR"/>
              </w:rPr>
            </w:pPr>
            <w:r w:rsidRPr="007944F8">
              <w:rPr>
                <w:lang w:val="fr-FR" w:bidi="fr-FR"/>
              </w:rPr>
              <w:tab/>
            </w:r>
            <w:r w:rsidRPr="007944F8">
              <w:rPr>
                <w:rFonts w:ascii="Times New Roman" w:hAnsi="Times New Roman"/>
                <w:lang w:val="fr-FR" w:bidi="fr-FR"/>
              </w:rPr>
              <w:t>9 mois</w:t>
            </w:r>
          </w:p>
        </w:tc>
        <w:tc>
          <w:tcPr>
            <w:tcW w:w="2693" w:type="dxa"/>
            <w:tcBorders>
              <w:top w:val="nil"/>
              <w:bottom w:val="nil"/>
            </w:tcBorders>
            <w:shd w:val="clear" w:color="auto" w:fill="auto"/>
          </w:tcPr>
          <w:p w14:paraId="5AD94156" w14:textId="77777777" w:rsidR="00A01F39" w:rsidRPr="007944F8" w:rsidRDefault="0003494F" w:rsidP="0003494F">
            <w:pPr>
              <w:pStyle w:val="Table"/>
              <w:widowControl w:val="0"/>
              <w:tabs>
                <w:tab w:val="clear" w:pos="284"/>
              </w:tabs>
              <w:spacing w:before="0" w:after="0"/>
              <w:jc w:val="center"/>
              <w:rPr>
                <w:rFonts w:ascii="Times New Roman" w:hAnsi="Times New Roman"/>
                <w:szCs w:val="20"/>
                <w:lang w:val="fr-FR" w:bidi="fr-FR"/>
              </w:rPr>
            </w:pPr>
            <w:r w:rsidRPr="007944F8">
              <w:rPr>
                <w:rFonts w:ascii="Times New Roman" w:hAnsi="Times New Roman"/>
                <w:lang w:val="fr-FR" w:bidi="fr-FR"/>
              </w:rPr>
              <w:t>74,9</w:t>
            </w:r>
            <w:r w:rsidR="00A01F39" w:rsidRPr="007944F8">
              <w:rPr>
                <w:rFonts w:ascii="Times New Roman" w:hAnsi="Times New Roman"/>
                <w:lang w:val="fr-FR" w:bidi="fr-FR"/>
              </w:rPr>
              <w:t xml:space="preserve"> (</w:t>
            </w:r>
            <w:r w:rsidRPr="007944F8">
              <w:rPr>
                <w:rFonts w:ascii="Times New Roman" w:hAnsi="Times New Roman"/>
                <w:lang w:val="fr-FR" w:bidi="fr-FR"/>
              </w:rPr>
              <w:t>54,4</w:t>
            </w:r>
            <w:r w:rsidR="00A01F39" w:rsidRPr="007944F8">
              <w:rPr>
                <w:rFonts w:ascii="Times New Roman" w:hAnsi="Times New Roman"/>
                <w:lang w:val="fr-FR" w:bidi="fr-FR"/>
              </w:rPr>
              <w:t>-</w:t>
            </w:r>
            <w:r w:rsidRPr="007944F8">
              <w:rPr>
                <w:rFonts w:ascii="Times New Roman" w:hAnsi="Times New Roman"/>
                <w:lang w:val="fr-FR" w:bidi="fr-FR"/>
              </w:rPr>
              <w:t>87,2</w:t>
            </w:r>
            <w:r w:rsidR="00A01F39" w:rsidRPr="007944F8">
              <w:rPr>
                <w:rFonts w:ascii="Times New Roman" w:hAnsi="Times New Roman"/>
                <w:lang w:val="fr-FR" w:bidi="fr-FR"/>
              </w:rPr>
              <w:t>)</w:t>
            </w:r>
          </w:p>
        </w:tc>
        <w:tc>
          <w:tcPr>
            <w:tcW w:w="2410" w:type="dxa"/>
            <w:tcBorders>
              <w:top w:val="nil"/>
              <w:bottom w:val="nil"/>
            </w:tcBorders>
            <w:shd w:val="clear" w:color="auto" w:fill="auto"/>
          </w:tcPr>
          <w:p w14:paraId="5BAC5C67" w14:textId="77777777" w:rsidR="00A01F39" w:rsidRPr="007944F8" w:rsidRDefault="00A01F39" w:rsidP="00DA6BAD">
            <w:pPr>
              <w:pStyle w:val="Table"/>
              <w:widowControl w:val="0"/>
              <w:tabs>
                <w:tab w:val="clear" w:pos="284"/>
              </w:tabs>
              <w:spacing w:before="0" w:after="0"/>
              <w:jc w:val="center"/>
              <w:rPr>
                <w:rFonts w:ascii="Times New Roman" w:hAnsi="Times New Roman"/>
                <w:szCs w:val="20"/>
                <w:lang w:val="fr-FR" w:bidi="fr-FR"/>
              </w:rPr>
            </w:pPr>
            <w:r w:rsidRPr="007944F8">
              <w:rPr>
                <w:rFonts w:ascii="Times New Roman" w:hAnsi="Times New Roman"/>
                <w:lang w:val="fr-FR" w:bidi="fr-FR"/>
              </w:rPr>
              <w:t>80,7 (63,5-90,4)</w:t>
            </w:r>
          </w:p>
        </w:tc>
      </w:tr>
      <w:tr w:rsidR="00A01F39" w:rsidRPr="007944F8" w14:paraId="21BAE08C" w14:textId="77777777" w:rsidTr="00C76DE7">
        <w:trPr>
          <w:gridAfter w:val="1"/>
          <w:wAfter w:w="285" w:type="dxa"/>
          <w:cantSplit/>
        </w:trPr>
        <w:tc>
          <w:tcPr>
            <w:tcW w:w="4219" w:type="dxa"/>
            <w:tcBorders>
              <w:top w:val="nil"/>
              <w:bottom w:val="single" w:sz="4" w:space="0" w:color="auto"/>
            </w:tcBorders>
            <w:shd w:val="clear" w:color="auto" w:fill="auto"/>
          </w:tcPr>
          <w:p w14:paraId="07DA9AFA" w14:textId="77777777" w:rsidR="00A01F39" w:rsidRPr="007944F8" w:rsidRDefault="00A01F39" w:rsidP="00DA6BAD">
            <w:pPr>
              <w:pStyle w:val="Table"/>
              <w:widowControl w:val="0"/>
              <w:spacing w:before="0" w:after="0"/>
              <w:rPr>
                <w:rFonts w:ascii="Times New Roman" w:hAnsi="Times New Roman"/>
                <w:szCs w:val="20"/>
                <w:lang w:val="fr-FR" w:bidi="fr-FR"/>
              </w:rPr>
            </w:pPr>
            <w:r w:rsidRPr="007944F8">
              <w:rPr>
                <w:lang w:val="fr-FR" w:bidi="fr-FR"/>
              </w:rPr>
              <w:tab/>
            </w:r>
            <w:r w:rsidRPr="007944F8">
              <w:rPr>
                <w:rFonts w:ascii="Times New Roman" w:hAnsi="Times New Roman"/>
                <w:lang w:val="fr-FR" w:bidi="fr-FR"/>
              </w:rPr>
              <w:t>12 mois</w:t>
            </w:r>
          </w:p>
        </w:tc>
        <w:tc>
          <w:tcPr>
            <w:tcW w:w="2693" w:type="dxa"/>
            <w:tcBorders>
              <w:top w:val="nil"/>
              <w:bottom w:val="single" w:sz="4" w:space="0" w:color="auto"/>
            </w:tcBorders>
            <w:shd w:val="clear" w:color="auto" w:fill="auto"/>
          </w:tcPr>
          <w:p w14:paraId="68781C4B" w14:textId="77777777" w:rsidR="00A01F39" w:rsidRPr="007944F8" w:rsidRDefault="0003494F" w:rsidP="0003494F">
            <w:pPr>
              <w:pStyle w:val="Table"/>
              <w:widowControl w:val="0"/>
              <w:tabs>
                <w:tab w:val="clear" w:pos="284"/>
              </w:tabs>
              <w:spacing w:before="0" w:after="0"/>
              <w:jc w:val="center"/>
              <w:rPr>
                <w:rFonts w:ascii="Times New Roman" w:hAnsi="Times New Roman"/>
                <w:szCs w:val="20"/>
                <w:lang w:val="fr-FR" w:bidi="fr-FR"/>
              </w:rPr>
            </w:pPr>
            <w:r w:rsidRPr="007944F8">
              <w:rPr>
                <w:rFonts w:ascii="Times New Roman" w:hAnsi="Times New Roman"/>
                <w:lang w:val="fr-FR" w:bidi="fr-FR"/>
              </w:rPr>
              <w:t>64,9</w:t>
            </w:r>
            <w:r w:rsidR="00A01F39" w:rsidRPr="007944F8">
              <w:rPr>
                <w:rFonts w:ascii="Times New Roman" w:hAnsi="Times New Roman"/>
                <w:lang w:val="fr-FR" w:bidi="fr-FR"/>
              </w:rPr>
              <w:t xml:space="preserve"> (</w:t>
            </w:r>
            <w:r w:rsidRPr="007944F8">
              <w:rPr>
                <w:rFonts w:ascii="Times New Roman" w:hAnsi="Times New Roman"/>
                <w:lang w:val="fr-FR" w:bidi="fr-FR"/>
              </w:rPr>
              <w:t>42,3</w:t>
            </w:r>
            <w:r w:rsidR="00A01F39" w:rsidRPr="007944F8">
              <w:rPr>
                <w:rFonts w:ascii="Times New Roman" w:hAnsi="Times New Roman"/>
                <w:lang w:val="fr-FR" w:bidi="fr-FR"/>
              </w:rPr>
              <w:t>-</w:t>
            </w:r>
            <w:r w:rsidRPr="007944F8">
              <w:rPr>
                <w:rFonts w:ascii="Times New Roman" w:hAnsi="Times New Roman"/>
                <w:lang w:val="fr-FR" w:bidi="fr-FR"/>
              </w:rPr>
              <w:t>80,4</w:t>
            </w:r>
            <w:r w:rsidR="00A01F39" w:rsidRPr="007944F8">
              <w:rPr>
                <w:rFonts w:ascii="Times New Roman" w:hAnsi="Times New Roman"/>
                <w:lang w:val="fr-FR" w:bidi="fr-FR"/>
              </w:rPr>
              <w:t>)</w:t>
            </w:r>
          </w:p>
        </w:tc>
        <w:tc>
          <w:tcPr>
            <w:tcW w:w="2410" w:type="dxa"/>
            <w:tcBorders>
              <w:top w:val="nil"/>
              <w:bottom w:val="single" w:sz="4" w:space="0" w:color="auto"/>
            </w:tcBorders>
            <w:shd w:val="clear" w:color="auto" w:fill="auto"/>
          </w:tcPr>
          <w:p w14:paraId="62E26148" w14:textId="77777777" w:rsidR="00A01F39" w:rsidRPr="007944F8" w:rsidRDefault="0003494F" w:rsidP="0003494F">
            <w:pPr>
              <w:pStyle w:val="Table"/>
              <w:widowControl w:val="0"/>
              <w:tabs>
                <w:tab w:val="clear" w:pos="284"/>
              </w:tabs>
              <w:spacing w:before="0" w:after="0"/>
              <w:jc w:val="center"/>
              <w:rPr>
                <w:rFonts w:ascii="Times New Roman" w:hAnsi="Times New Roman"/>
                <w:szCs w:val="20"/>
                <w:lang w:val="fr-FR" w:bidi="fr-FR"/>
              </w:rPr>
            </w:pPr>
            <w:r w:rsidRPr="007944F8">
              <w:rPr>
                <w:rFonts w:ascii="Times New Roman" w:hAnsi="Times New Roman"/>
                <w:lang w:val="fr-FR" w:bidi="fr-FR"/>
              </w:rPr>
              <w:t>71,4</w:t>
            </w:r>
            <w:r w:rsidR="00A01F39" w:rsidRPr="007944F8">
              <w:rPr>
                <w:rFonts w:ascii="Times New Roman" w:hAnsi="Times New Roman"/>
                <w:lang w:val="fr-FR" w:bidi="fr-FR"/>
              </w:rPr>
              <w:t xml:space="preserve"> (</w:t>
            </w:r>
            <w:r w:rsidRPr="007944F8">
              <w:rPr>
                <w:rFonts w:ascii="Times New Roman" w:hAnsi="Times New Roman"/>
                <w:lang w:val="fr-FR" w:bidi="fr-FR"/>
              </w:rPr>
              <w:t>53,1</w:t>
            </w:r>
            <w:r w:rsidR="00A01F39" w:rsidRPr="007944F8">
              <w:rPr>
                <w:rFonts w:ascii="Times New Roman" w:hAnsi="Times New Roman"/>
                <w:lang w:val="fr-FR" w:bidi="fr-FR"/>
              </w:rPr>
              <w:t>-</w:t>
            </w:r>
            <w:r w:rsidRPr="007944F8">
              <w:rPr>
                <w:rFonts w:ascii="Times New Roman" w:hAnsi="Times New Roman"/>
                <w:lang w:val="fr-FR" w:bidi="fr-FR"/>
              </w:rPr>
              <w:t>83,6</w:t>
            </w:r>
            <w:r w:rsidR="00A01F39" w:rsidRPr="007944F8">
              <w:rPr>
                <w:rFonts w:ascii="Times New Roman" w:hAnsi="Times New Roman"/>
                <w:lang w:val="fr-FR" w:bidi="fr-FR"/>
              </w:rPr>
              <w:t>)</w:t>
            </w:r>
          </w:p>
        </w:tc>
      </w:tr>
      <w:tr w:rsidR="00A01F39" w:rsidRPr="007944F8" w14:paraId="3A078BAB" w14:textId="77777777" w:rsidTr="00C76DE7">
        <w:trPr>
          <w:gridAfter w:val="1"/>
          <w:wAfter w:w="285" w:type="dxa"/>
          <w:cantSplit/>
        </w:trPr>
        <w:tc>
          <w:tcPr>
            <w:tcW w:w="4219" w:type="dxa"/>
            <w:tcBorders>
              <w:top w:val="single" w:sz="4" w:space="0" w:color="auto"/>
            </w:tcBorders>
            <w:shd w:val="clear" w:color="auto" w:fill="auto"/>
          </w:tcPr>
          <w:p w14:paraId="19452916" w14:textId="77777777" w:rsidR="00A01F39" w:rsidRPr="007944F8" w:rsidRDefault="00A01F39" w:rsidP="00DA6BAD">
            <w:pPr>
              <w:pStyle w:val="Table"/>
              <w:widowControl w:val="0"/>
              <w:spacing w:before="0" w:after="0"/>
              <w:rPr>
                <w:rFonts w:ascii="Times New Roman" w:hAnsi="Times New Roman"/>
                <w:b/>
                <w:szCs w:val="20"/>
                <w:lang w:val="fr-FR" w:bidi="fr-FR"/>
              </w:rPr>
            </w:pPr>
            <w:r w:rsidRPr="007944F8">
              <w:rPr>
                <w:rFonts w:ascii="Times New Roman" w:hAnsi="Times New Roman"/>
                <w:b/>
                <w:lang w:val="fr-FR" w:bidi="fr-FR"/>
              </w:rPr>
              <w:t>Survie sans progression</w:t>
            </w:r>
          </w:p>
        </w:tc>
        <w:tc>
          <w:tcPr>
            <w:tcW w:w="2693" w:type="dxa"/>
            <w:tcBorders>
              <w:top w:val="single" w:sz="4" w:space="0" w:color="auto"/>
            </w:tcBorders>
            <w:shd w:val="clear" w:color="auto" w:fill="auto"/>
          </w:tcPr>
          <w:p w14:paraId="0D45FCC0" w14:textId="77777777" w:rsidR="00A01F39" w:rsidRPr="007944F8" w:rsidRDefault="00A01F39" w:rsidP="00DA6BAD">
            <w:pPr>
              <w:pStyle w:val="Table"/>
              <w:widowControl w:val="0"/>
              <w:spacing w:before="0" w:after="0"/>
              <w:jc w:val="center"/>
              <w:rPr>
                <w:rFonts w:ascii="Times New Roman" w:hAnsi="Times New Roman"/>
                <w:szCs w:val="20"/>
                <w:lang w:val="fr-FR" w:bidi="fr-FR"/>
              </w:rPr>
            </w:pPr>
          </w:p>
        </w:tc>
        <w:tc>
          <w:tcPr>
            <w:tcW w:w="2410" w:type="dxa"/>
            <w:tcBorders>
              <w:top w:val="single" w:sz="4" w:space="0" w:color="auto"/>
            </w:tcBorders>
            <w:shd w:val="clear" w:color="auto" w:fill="auto"/>
          </w:tcPr>
          <w:p w14:paraId="50FDF75D" w14:textId="77777777" w:rsidR="00A01F39" w:rsidRPr="007944F8" w:rsidRDefault="00A01F39" w:rsidP="00DA6BAD">
            <w:pPr>
              <w:pStyle w:val="Table"/>
              <w:widowControl w:val="0"/>
              <w:spacing w:before="0" w:after="0"/>
              <w:jc w:val="center"/>
              <w:rPr>
                <w:rFonts w:ascii="Times New Roman" w:hAnsi="Times New Roman"/>
                <w:szCs w:val="20"/>
                <w:lang w:val="fr-FR" w:bidi="fr-FR"/>
              </w:rPr>
            </w:pPr>
          </w:p>
        </w:tc>
      </w:tr>
      <w:tr w:rsidR="00A01F39" w:rsidRPr="007944F8" w14:paraId="59E30A02" w14:textId="77777777" w:rsidTr="00C76DE7">
        <w:trPr>
          <w:gridAfter w:val="1"/>
          <w:wAfter w:w="285" w:type="dxa"/>
          <w:cantSplit/>
        </w:trPr>
        <w:tc>
          <w:tcPr>
            <w:tcW w:w="4219" w:type="dxa"/>
            <w:shd w:val="clear" w:color="auto" w:fill="auto"/>
          </w:tcPr>
          <w:p w14:paraId="4E85F3A4" w14:textId="77777777" w:rsidR="00A01F39" w:rsidRPr="007944F8" w:rsidRDefault="00A01F39" w:rsidP="00DA6BAD">
            <w:pPr>
              <w:pStyle w:val="Table"/>
              <w:widowControl w:val="0"/>
              <w:spacing w:before="0" w:after="0"/>
              <w:rPr>
                <w:rFonts w:ascii="Times New Roman" w:hAnsi="Times New Roman"/>
                <w:szCs w:val="20"/>
                <w:lang w:val="fr-FR" w:bidi="fr-FR"/>
              </w:rPr>
            </w:pPr>
            <w:r w:rsidRPr="007944F8">
              <w:rPr>
                <w:rFonts w:ascii="Times New Roman" w:hAnsi="Times New Roman"/>
                <w:lang w:val="fr-FR" w:bidi="fr-FR"/>
              </w:rPr>
              <w:t>Nombre d’événements*</w:t>
            </w:r>
          </w:p>
        </w:tc>
        <w:tc>
          <w:tcPr>
            <w:tcW w:w="2693" w:type="dxa"/>
            <w:shd w:val="clear" w:color="auto" w:fill="auto"/>
          </w:tcPr>
          <w:p w14:paraId="03E0B03A" w14:textId="77777777" w:rsidR="00A01F39" w:rsidRPr="007944F8" w:rsidRDefault="0003494F" w:rsidP="00DA6BAD">
            <w:pPr>
              <w:pStyle w:val="Table"/>
              <w:widowControl w:val="0"/>
              <w:tabs>
                <w:tab w:val="clear" w:pos="284"/>
              </w:tabs>
              <w:spacing w:before="0" w:after="0"/>
              <w:jc w:val="center"/>
              <w:rPr>
                <w:rFonts w:ascii="Times New Roman" w:hAnsi="Times New Roman"/>
                <w:szCs w:val="20"/>
                <w:lang w:val="fr-FR" w:bidi="fr-FR"/>
              </w:rPr>
            </w:pPr>
            <w:r w:rsidRPr="007944F8">
              <w:rPr>
                <w:rFonts w:ascii="Times New Roman" w:hAnsi="Times New Roman"/>
                <w:lang w:val="fr-FR" w:bidi="fr-FR"/>
              </w:rPr>
              <w:t>16</w:t>
            </w:r>
          </w:p>
        </w:tc>
        <w:tc>
          <w:tcPr>
            <w:tcW w:w="2410" w:type="dxa"/>
            <w:shd w:val="clear" w:color="auto" w:fill="auto"/>
          </w:tcPr>
          <w:p w14:paraId="5DD545C9" w14:textId="77777777" w:rsidR="00A01F39" w:rsidRPr="007944F8" w:rsidRDefault="0003494F" w:rsidP="00DA6BAD">
            <w:pPr>
              <w:pStyle w:val="Table"/>
              <w:widowControl w:val="0"/>
              <w:tabs>
                <w:tab w:val="clear" w:pos="284"/>
              </w:tabs>
              <w:spacing w:before="0" w:after="0"/>
              <w:jc w:val="center"/>
              <w:rPr>
                <w:rFonts w:ascii="Times New Roman" w:hAnsi="Times New Roman"/>
                <w:szCs w:val="20"/>
                <w:lang w:val="fr-FR" w:bidi="fr-FR"/>
              </w:rPr>
            </w:pPr>
            <w:r w:rsidRPr="007944F8">
              <w:rPr>
                <w:rFonts w:ascii="Times New Roman" w:hAnsi="Times New Roman"/>
                <w:lang w:val="fr-FR" w:bidi="fr-FR"/>
              </w:rPr>
              <w:t>28</w:t>
            </w:r>
          </w:p>
        </w:tc>
      </w:tr>
      <w:tr w:rsidR="00A01F39" w:rsidRPr="007944F8" w14:paraId="326B6DEB" w14:textId="77777777" w:rsidTr="00C76DE7">
        <w:trPr>
          <w:gridAfter w:val="1"/>
          <w:wAfter w:w="285" w:type="dxa"/>
          <w:cantSplit/>
        </w:trPr>
        <w:tc>
          <w:tcPr>
            <w:tcW w:w="4219" w:type="dxa"/>
            <w:shd w:val="clear" w:color="auto" w:fill="auto"/>
          </w:tcPr>
          <w:p w14:paraId="7603CE55" w14:textId="77777777" w:rsidR="00A01F39" w:rsidRPr="007944F8" w:rsidRDefault="00A01F39" w:rsidP="00DA6BAD">
            <w:pPr>
              <w:pStyle w:val="Table"/>
              <w:widowControl w:val="0"/>
              <w:spacing w:before="0" w:after="0"/>
              <w:rPr>
                <w:rFonts w:ascii="Times New Roman" w:hAnsi="Times New Roman"/>
                <w:szCs w:val="20"/>
                <w:lang w:val="fr-FR" w:bidi="fr-FR"/>
              </w:rPr>
            </w:pPr>
            <w:r w:rsidRPr="007944F8">
              <w:rPr>
                <w:rFonts w:ascii="Times New Roman" w:hAnsi="Times New Roman"/>
                <w:lang w:val="fr-FR" w:bidi="fr-FR"/>
              </w:rPr>
              <w:t>Nombre censuré</w:t>
            </w:r>
          </w:p>
        </w:tc>
        <w:tc>
          <w:tcPr>
            <w:tcW w:w="2693" w:type="dxa"/>
            <w:shd w:val="clear" w:color="auto" w:fill="auto"/>
          </w:tcPr>
          <w:p w14:paraId="0B0F8A65" w14:textId="77777777" w:rsidR="00A01F39" w:rsidRPr="007944F8" w:rsidRDefault="0003494F" w:rsidP="0003494F">
            <w:pPr>
              <w:pStyle w:val="Table"/>
              <w:widowControl w:val="0"/>
              <w:tabs>
                <w:tab w:val="clear" w:pos="284"/>
              </w:tabs>
              <w:spacing w:before="0" w:after="0"/>
              <w:jc w:val="center"/>
              <w:rPr>
                <w:rFonts w:ascii="Times New Roman" w:hAnsi="Times New Roman"/>
                <w:szCs w:val="20"/>
                <w:lang w:val="fr-FR" w:bidi="fr-FR"/>
              </w:rPr>
            </w:pPr>
            <w:r w:rsidRPr="007944F8">
              <w:rPr>
                <w:rFonts w:ascii="Times New Roman" w:hAnsi="Times New Roman"/>
                <w:lang w:val="fr-FR" w:bidi="fr-FR"/>
              </w:rPr>
              <w:t>50</w:t>
            </w:r>
          </w:p>
        </w:tc>
        <w:tc>
          <w:tcPr>
            <w:tcW w:w="2410" w:type="dxa"/>
            <w:shd w:val="clear" w:color="auto" w:fill="auto"/>
          </w:tcPr>
          <w:p w14:paraId="6E3CED60" w14:textId="77777777" w:rsidR="00A01F39" w:rsidRPr="007944F8" w:rsidRDefault="0003494F" w:rsidP="00DA6BAD">
            <w:pPr>
              <w:pStyle w:val="Table"/>
              <w:widowControl w:val="0"/>
              <w:tabs>
                <w:tab w:val="clear" w:pos="284"/>
              </w:tabs>
              <w:spacing w:before="0" w:after="0"/>
              <w:jc w:val="center"/>
              <w:rPr>
                <w:rFonts w:ascii="Times New Roman" w:hAnsi="Times New Roman"/>
                <w:szCs w:val="20"/>
                <w:lang w:val="fr-FR" w:bidi="fr-FR"/>
              </w:rPr>
            </w:pPr>
            <w:r w:rsidRPr="007944F8">
              <w:rPr>
                <w:rFonts w:ascii="Times New Roman" w:hAnsi="Times New Roman"/>
                <w:lang w:val="fr-FR" w:bidi="fr-FR"/>
              </w:rPr>
              <w:t>38</w:t>
            </w:r>
          </w:p>
        </w:tc>
      </w:tr>
      <w:tr w:rsidR="00A01F39" w:rsidRPr="007944F8" w14:paraId="175A46B2" w14:textId="77777777" w:rsidTr="00C76DE7">
        <w:trPr>
          <w:gridAfter w:val="1"/>
          <w:wAfter w:w="285" w:type="dxa"/>
          <w:cantSplit/>
        </w:trPr>
        <w:tc>
          <w:tcPr>
            <w:tcW w:w="4219" w:type="dxa"/>
            <w:tcBorders>
              <w:bottom w:val="nil"/>
            </w:tcBorders>
            <w:shd w:val="clear" w:color="auto" w:fill="auto"/>
          </w:tcPr>
          <w:p w14:paraId="5E649587" w14:textId="77777777" w:rsidR="00A01F39" w:rsidRPr="007944F8" w:rsidRDefault="00A01F39" w:rsidP="00DA6BAD">
            <w:pPr>
              <w:pStyle w:val="Table"/>
              <w:widowControl w:val="0"/>
              <w:spacing w:before="0" w:after="0"/>
              <w:rPr>
                <w:rFonts w:ascii="Times New Roman" w:hAnsi="Times New Roman"/>
                <w:szCs w:val="20"/>
                <w:lang w:val="fr-FR" w:bidi="fr-FR"/>
              </w:rPr>
            </w:pPr>
            <w:r w:rsidRPr="007944F8">
              <w:rPr>
                <w:rFonts w:ascii="Times New Roman" w:hAnsi="Times New Roman"/>
                <w:lang w:val="fr-FR" w:bidi="fr-FR"/>
              </w:rPr>
              <w:t>Médiane (mois)</w:t>
            </w:r>
          </w:p>
        </w:tc>
        <w:tc>
          <w:tcPr>
            <w:tcW w:w="2693" w:type="dxa"/>
            <w:tcBorders>
              <w:bottom w:val="nil"/>
            </w:tcBorders>
            <w:shd w:val="clear" w:color="auto" w:fill="auto"/>
          </w:tcPr>
          <w:p w14:paraId="53C94EFB" w14:textId="77777777" w:rsidR="00A01F39" w:rsidRPr="007944F8" w:rsidRDefault="00A01F39" w:rsidP="00DA6BAD">
            <w:pPr>
              <w:pStyle w:val="Table"/>
              <w:widowControl w:val="0"/>
              <w:tabs>
                <w:tab w:val="clear" w:pos="284"/>
              </w:tabs>
              <w:spacing w:before="0" w:after="0"/>
              <w:jc w:val="center"/>
              <w:rPr>
                <w:rFonts w:ascii="Times New Roman" w:hAnsi="Times New Roman"/>
                <w:szCs w:val="20"/>
                <w:vertAlign w:val="superscript"/>
                <w:lang w:val="fr-FR" w:bidi="fr-FR"/>
              </w:rPr>
            </w:pPr>
            <w:r w:rsidRPr="007944F8">
              <w:rPr>
                <w:rFonts w:ascii="Times New Roman" w:hAnsi="Times New Roman"/>
                <w:lang w:val="fr-FR" w:bidi="fr-FR"/>
              </w:rPr>
              <w:t>22,1</w:t>
            </w:r>
          </w:p>
        </w:tc>
        <w:tc>
          <w:tcPr>
            <w:tcW w:w="2410" w:type="dxa"/>
            <w:tcBorders>
              <w:bottom w:val="nil"/>
            </w:tcBorders>
            <w:shd w:val="clear" w:color="auto" w:fill="auto"/>
          </w:tcPr>
          <w:p w14:paraId="6CE7E572" w14:textId="77777777" w:rsidR="00A01F39" w:rsidRPr="007944F8" w:rsidRDefault="00A01F39" w:rsidP="00DA6BAD">
            <w:pPr>
              <w:pStyle w:val="Table"/>
              <w:widowControl w:val="0"/>
              <w:tabs>
                <w:tab w:val="clear" w:pos="284"/>
              </w:tabs>
              <w:spacing w:before="0" w:after="0"/>
              <w:jc w:val="center"/>
              <w:rPr>
                <w:rFonts w:ascii="Times New Roman" w:hAnsi="Times New Roman"/>
                <w:szCs w:val="20"/>
                <w:vertAlign w:val="superscript"/>
                <w:lang w:val="fr-FR" w:bidi="fr-FR"/>
              </w:rPr>
            </w:pPr>
            <w:r w:rsidRPr="007944F8">
              <w:rPr>
                <w:rFonts w:ascii="Times New Roman" w:hAnsi="Times New Roman"/>
                <w:lang w:val="fr-FR" w:bidi="fr-FR"/>
              </w:rPr>
              <w:t>19,4</w:t>
            </w:r>
          </w:p>
        </w:tc>
      </w:tr>
      <w:tr w:rsidR="00A01F39" w:rsidRPr="007944F8" w14:paraId="7CD81ECC" w14:textId="77777777" w:rsidTr="00C76DE7">
        <w:trPr>
          <w:gridAfter w:val="1"/>
          <w:wAfter w:w="285" w:type="dxa"/>
          <w:cantSplit/>
        </w:trPr>
        <w:tc>
          <w:tcPr>
            <w:tcW w:w="4219" w:type="dxa"/>
            <w:tcBorders>
              <w:top w:val="nil"/>
              <w:bottom w:val="nil"/>
            </w:tcBorders>
            <w:shd w:val="clear" w:color="auto" w:fill="auto"/>
          </w:tcPr>
          <w:p w14:paraId="7D56CCF0" w14:textId="77777777" w:rsidR="00A01F39" w:rsidRPr="007944F8" w:rsidRDefault="00A01F39" w:rsidP="00DA6BAD">
            <w:pPr>
              <w:pStyle w:val="Table"/>
              <w:widowControl w:val="0"/>
              <w:spacing w:before="0" w:after="0"/>
              <w:rPr>
                <w:rFonts w:ascii="Times New Roman" w:hAnsi="Times New Roman"/>
                <w:szCs w:val="20"/>
                <w:lang w:val="fr-FR" w:bidi="fr-FR"/>
              </w:rPr>
            </w:pPr>
            <w:r w:rsidRPr="007944F8">
              <w:rPr>
                <w:lang w:val="fr-FR" w:bidi="fr-FR"/>
              </w:rPr>
              <w:tab/>
            </w:r>
            <w:r w:rsidRPr="007944F8">
              <w:rPr>
                <w:rFonts w:ascii="Times New Roman" w:hAnsi="Times New Roman"/>
                <w:lang w:val="fr-FR" w:bidi="fr-FR"/>
              </w:rPr>
              <w:t>IC à 95 %</w:t>
            </w:r>
          </w:p>
        </w:tc>
        <w:tc>
          <w:tcPr>
            <w:tcW w:w="2693" w:type="dxa"/>
            <w:tcBorders>
              <w:top w:val="nil"/>
              <w:bottom w:val="nil"/>
            </w:tcBorders>
            <w:shd w:val="clear" w:color="auto" w:fill="auto"/>
          </w:tcPr>
          <w:p w14:paraId="06010ED3" w14:textId="77777777" w:rsidR="00A01F39" w:rsidRPr="007944F8" w:rsidRDefault="00A01F39" w:rsidP="00DA6BAD">
            <w:pPr>
              <w:pStyle w:val="Table"/>
              <w:widowControl w:val="0"/>
              <w:tabs>
                <w:tab w:val="clear" w:pos="284"/>
              </w:tabs>
              <w:spacing w:before="0" w:after="0"/>
              <w:jc w:val="center"/>
              <w:rPr>
                <w:rFonts w:ascii="Times New Roman" w:hAnsi="Times New Roman"/>
                <w:szCs w:val="20"/>
                <w:lang w:val="fr-FR" w:bidi="fr-FR"/>
              </w:rPr>
            </w:pPr>
            <w:r w:rsidRPr="007944F8">
              <w:rPr>
                <w:rFonts w:ascii="Times New Roman" w:hAnsi="Times New Roman"/>
                <w:lang w:val="fr-FR" w:bidi="fr-FR"/>
              </w:rPr>
              <w:t>(NE)</w:t>
            </w:r>
          </w:p>
        </w:tc>
        <w:tc>
          <w:tcPr>
            <w:tcW w:w="2410" w:type="dxa"/>
            <w:tcBorders>
              <w:top w:val="nil"/>
              <w:bottom w:val="nil"/>
            </w:tcBorders>
            <w:shd w:val="clear" w:color="auto" w:fill="auto"/>
          </w:tcPr>
          <w:p w14:paraId="71A25D09" w14:textId="77777777" w:rsidR="00A01F39" w:rsidRPr="007944F8" w:rsidRDefault="00A01F39" w:rsidP="0003494F">
            <w:pPr>
              <w:pStyle w:val="Table"/>
              <w:widowControl w:val="0"/>
              <w:tabs>
                <w:tab w:val="clear" w:pos="284"/>
              </w:tabs>
              <w:spacing w:before="0" w:after="0"/>
              <w:jc w:val="center"/>
              <w:rPr>
                <w:rFonts w:ascii="Times New Roman" w:hAnsi="Times New Roman"/>
                <w:szCs w:val="20"/>
                <w:lang w:val="fr-FR" w:bidi="fr-FR"/>
              </w:rPr>
            </w:pPr>
            <w:r w:rsidRPr="007944F8">
              <w:rPr>
                <w:rFonts w:ascii="Times New Roman" w:hAnsi="Times New Roman"/>
                <w:lang w:val="fr-FR" w:bidi="fr-FR"/>
              </w:rPr>
              <w:t>(16,6-</w:t>
            </w:r>
            <w:r w:rsidR="0003494F" w:rsidRPr="007944F8">
              <w:rPr>
                <w:rFonts w:ascii="Times New Roman" w:hAnsi="Times New Roman"/>
                <w:lang w:val="fr-FR" w:bidi="fr-FR"/>
              </w:rPr>
              <w:t>23,6</w:t>
            </w:r>
            <w:r w:rsidRPr="007944F8">
              <w:rPr>
                <w:rFonts w:ascii="Times New Roman" w:hAnsi="Times New Roman"/>
                <w:lang w:val="fr-FR" w:bidi="fr-FR"/>
              </w:rPr>
              <w:t>)</w:t>
            </w:r>
          </w:p>
        </w:tc>
      </w:tr>
      <w:tr w:rsidR="00A01F39" w:rsidRPr="007944F8" w14:paraId="165CF3B4" w14:textId="77777777" w:rsidTr="00C76DE7">
        <w:trPr>
          <w:gridAfter w:val="1"/>
          <w:wAfter w:w="285" w:type="dxa"/>
          <w:cantSplit/>
        </w:trPr>
        <w:tc>
          <w:tcPr>
            <w:tcW w:w="4219" w:type="dxa"/>
            <w:tcBorders>
              <w:top w:val="nil"/>
              <w:bottom w:val="nil"/>
            </w:tcBorders>
            <w:shd w:val="clear" w:color="auto" w:fill="auto"/>
          </w:tcPr>
          <w:p w14:paraId="0A22741F" w14:textId="77777777" w:rsidR="00A01F39" w:rsidRPr="007944F8" w:rsidRDefault="00A01F39" w:rsidP="00DA6BAD">
            <w:pPr>
              <w:pStyle w:val="Table"/>
              <w:widowControl w:val="0"/>
              <w:spacing w:before="0" w:after="0"/>
              <w:ind w:right="-108"/>
              <w:rPr>
                <w:rFonts w:ascii="Times New Roman" w:hAnsi="Times New Roman"/>
                <w:szCs w:val="20"/>
                <w:lang w:val="fr-FR" w:bidi="fr-FR"/>
              </w:rPr>
            </w:pPr>
            <w:r w:rsidRPr="007944F8">
              <w:rPr>
                <w:rFonts w:ascii="Times New Roman" w:hAnsi="Times New Roman"/>
                <w:lang w:val="fr-FR" w:bidi="fr-FR"/>
              </w:rPr>
              <w:t>survie sans progression (%), (IC à 95 %)</w:t>
            </w:r>
          </w:p>
        </w:tc>
        <w:tc>
          <w:tcPr>
            <w:tcW w:w="2693" w:type="dxa"/>
            <w:tcBorders>
              <w:top w:val="nil"/>
              <w:bottom w:val="nil"/>
            </w:tcBorders>
            <w:shd w:val="clear" w:color="auto" w:fill="auto"/>
          </w:tcPr>
          <w:p w14:paraId="66CD6E0D" w14:textId="77777777" w:rsidR="00A01F39" w:rsidRPr="007944F8" w:rsidRDefault="00A01F39" w:rsidP="00DA6BAD">
            <w:pPr>
              <w:pStyle w:val="Table"/>
              <w:widowControl w:val="0"/>
              <w:tabs>
                <w:tab w:val="clear" w:pos="284"/>
              </w:tabs>
              <w:spacing w:before="0" w:after="0"/>
              <w:jc w:val="center"/>
              <w:rPr>
                <w:rFonts w:ascii="Times New Roman" w:hAnsi="Times New Roman"/>
                <w:szCs w:val="20"/>
                <w:lang w:val="fr-FR" w:bidi="fr-FR"/>
              </w:rPr>
            </w:pPr>
          </w:p>
        </w:tc>
        <w:tc>
          <w:tcPr>
            <w:tcW w:w="2410" w:type="dxa"/>
            <w:tcBorders>
              <w:top w:val="nil"/>
              <w:bottom w:val="nil"/>
            </w:tcBorders>
            <w:shd w:val="clear" w:color="auto" w:fill="auto"/>
          </w:tcPr>
          <w:p w14:paraId="7203C9AD" w14:textId="77777777" w:rsidR="00A01F39" w:rsidRPr="007944F8" w:rsidRDefault="00A01F39" w:rsidP="00DA6BAD">
            <w:pPr>
              <w:pStyle w:val="Table"/>
              <w:widowControl w:val="0"/>
              <w:tabs>
                <w:tab w:val="clear" w:pos="284"/>
              </w:tabs>
              <w:spacing w:before="0" w:after="0"/>
              <w:jc w:val="center"/>
              <w:rPr>
                <w:rFonts w:ascii="Times New Roman" w:hAnsi="Times New Roman"/>
                <w:szCs w:val="20"/>
                <w:lang w:val="fr-FR" w:bidi="fr-FR"/>
              </w:rPr>
            </w:pPr>
          </w:p>
        </w:tc>
      </w:tr>
      <w:tr w:rsidR="00A01F39" w:rsidRPr="007944F8" w14:paraId="5CD7F8A1" w14:textId="77777777" w:rsidTr="00C76DE7">
        <w:trPr>
          <w:gridAfter w:val="1"/>
          <w:wAfter w:w="285" w:type="dxa"/>
          <w:cantSplit/>
        </w:trPr>
        <w:tc>
          <w:tcPr>
            <w:tcW w:w="4219" w:type="dxa"/>
            <w:tcBorders>
              <w:top w:val="nil"/>
              <w:bottom w:val="nil"/>
            </w:tcBorders>
            <w:shd w:val="clear" w:color="auto" w:fill="auto"/>
          </w:tcPr>
          <w:p w14:paraId="06FDEBA1" w14:textId="77777777" w:rsidR="00A01F39" w:rsidRPr="007944F8" w:rsidRDefault="00A01F39" w:rsidP="00DA6BAD">
            <w:pPr>
              <w:pStyle w:val="Table"/>
              <w:widowControl w:val="0"/>
              <w:spacing w:before="0" w:after="0"/>
              <w:rPr>
                <w:rFonts w:ascii="Times New Roman" w:hAnsi="Times New Roman"/>
                <w:szCs w:val="20"/>
                <w:lang w:val="fr-FR" w:bidi="fr-FR"/>
              </w:rPr>
            </w:pPr>
            <w:r w:rsidRPr="007944F8">
              <w:rPr>
                <w:lang w:val="fr-FR" w:bidi="fr-FR"/>
              </w:rPr>
              <w:tab/>
            </w:r>
            <w:r w:rsidRPr="007944F8">
              <w:rPr>
                <w:rFonts w:ascii="Times New Roman" w:hAnsi="Times New Roman"/>
                <w:lang w:val="fr-FR" w:bidi="fr-FR"/>
              </w:rPr>
              <w:t>6 mois</w:t>
            </w:r>
          </w:p>
        </w:tc>
        <w:tc>
          <w:tcPr>
            <w:tcW w:w="2693" w:type="dxa"/>
            <w:tcBorders>
              <w:top w:val="nil"/>
              <w:bottom w:val="nil"/>
            </w:tcBorders>
            <w:shd w:val="clear" w:color="auto" w:fill="auto"/>
          </w:tcPr>
          <w:p w14:paraId="56452B8C" w14:textId="77777777" w:rsidR="00A01F39" w:rsidRPr="007944F8" w:rsidRDefault="00A01F39" w:rsidP="00DA6BAD">
            <w:pPr>
              <w:pStyle w:val="Table"/>
              <w:widowControl w:val="0"/>
              <w:tabs>
                <w:tab w:val="clear" w:pos="284"/>
              </w:tabs>
              <w:spacing w:before="0" w:after="0"/>
              <w:jc w:val="center"/>
              <w:rPr>
                <w:rFonts w:ascii="Times New Roman" w:hAnsi="Times New Roman"/>
                <w:szCs w:val="20"/>
                <w:lang w:val="fr-FR" w:bidi="fr-FR"/>
              </w:rPr>
            </w:pPr>
            <w:r w:rsidRPr="007944F8">
              <w:rPr>
                <w:rFonts w:ascii="Times New Roman" w:hAnsi="Times New Roman"/>
                <w:lang w:val="fr-FR" w:bidi="fr-FR"/>
              </w:rPr>
              <w:t>94,8 (84,6-98,3)</w:t>
            </w:r>
          </w:p>
        </w:tc>
        <w:tc>
          <w:tcPr>
            <w:tcW w:w="2410" w:type="dxa"/>
            <w:tcBorders>
              <w:top w:val="nil"/>
              <w:bottom w:val="nil"/>
            </w:tcBorders>
            <w:shd w:val="clear" w:color="auto" w:fill="auto"/>
          </w:tcPr>
          <w:p w14:paraId="36A46C35" w14:textId="77777777" w:rsidR="00A01F39" w:rsidRPr="007944F8" w:rsidRDefault="0003494F" w:rsidP="0003494F">
            <w:pPr>
              <w:pStyle w:val="Table"/>
              <w:widowControl w:val="0"/>
              <w:tabs>
                <w:tab w:val="clear" w:pos="284"/>
              </w:tabs>
              <w:spacing w:before="0" w:after="0"/>
              <w:jc w:val="center"/>
              <w:rPr>
                <w:rFonts w:ascii="Times New Roman" w:hAnsi="Times New Roman"/>
                <w:szCs w:val="20"/>
                <w:lang w:val="fr-FR" w:bidi="fr-FR"/>
              </w:rPr>
            </w:pPr>
            <w:r w:rsidRPr="007944F8">
              <w:rPr>
                <w:rFonts w:ascii="Times New Roman" w:hAnsi="Times New Roman"/>
                <w:lang w:val="fr-FR" w:bidi="fr-FR"/>
              </w:rPr>
              <w:t>94,7</w:t>
            </w:r>
            <w:r w:rsidR="00A01F39" w:rsidRPr="007944F8">
              <w:rPr>
                <w:rFonts w:ascii="Times New Roman" w:hAnsi="Times New Roman"/>
                <w:lang w:val="fr-FR" w:bidi="fr-FR"/>
              </w:rPr>
              <w:t xml:space="preserve"> (</w:t>
            </w:r>
            <w:r w:rsidRPr="007944F8">
              <w:rPr>
                <w:rFonts w:ascii="Times New Roman" w:hAnsi="Times New Roman"/>
                <w:lang w:val="fr-FR" w:bidi="fr-FR"/>
              </w:rPr>
              <w:t>84,5</w:t>
            </w:r>
            <w:r w:rsidR="00A01F39" w:rsidRPr="007944F8">
              <w:rPr>
                <w:rFonts w:ascii="Times New Roman" w:hAnsi="Times New Roman"/>
                <w:lang w:val="fr-FR" w:bidi="fr-FR"/>
              </w:rPr>
              <w:t>-98,3)</w:t>
            </w:r>
          </w:p>
        </w:tc>
      </w:tr>
      <w:tr w:rsidR="00A01F39" w:rsidRPr="007944F8" w14:paraId="074A6314" w14:textId="77777777" w:rsidTr="00C76DE7">
        <w:trPr>
          <w:gridAfter w:val="1"/>
          <w:wAfter w:w="285" w:type="dxa"/>
          <w:cantSplit/>
        </w:trPr>
        <w:tc>
          <w:tcPr>
            <w:tcW w:w="4219" w:type="dxa"/>
            <w:tcBorders>
              <w:top w:val="nil"/>
              <w:bottom w:val="single" w:sz="4" w:space="0" w:color="auto"/>
            </w:tcBorders>
            <w:shd w:val="clear" w:color="auto" w:fill="auto"/>
          </w:tcPr>
          <w:p w14:paraId="646A2E59" w14:textId="77777777" w:rsidR="00A01F39" w:rsidRPr="007944F8" w:rsidRDefault="00A01F39" w:rsidP="00DA6BAD">
            <w:pPr>
              <w:pStyle w:val="Table"/>
              <w:widowControl w:val="0"/>
              <w:spacing w:before="0" w:after="0"/>
              <w:rPr>
                <w:rFonts w:ascii="Times New Roman" w:hAnsi="Times New Roman"/>
                <w:szCs w:val="20"/>
                <w:lang w:val="fr-FR" w:bidi="fr-FR"/>
              </w:rPr>
            </w:pPr>
            <w:r w:rsidRPr="007944F8">
              <w:rPr>
                <w:lang w:val="fr-FR" w:bidi="fr-FR"/>
              </w:rPr>
              <w:tab/>
            </w:r>
            <w:r w:rsidRPr="007944F8">
              <w:rPr>
                <w:rFonts w:ascii="Times New Roman" w:hAnsi="Times New Roman"/>
                <w:lang w:val="fr-FR" w:bidi="fr-FR"/>
              </w:rPr>
              <w:t>12 mois</w:t>
            </w:r>
          </w:p>
        </w:tc>
        <w:tc>
          <w:tcPr>
            <w:tcW w:w="2693" w:type="dxa"/>
            <w:tcBorders>
              <w:top w:val="nil"/>
              <w:bottom w:val="single" w:sz="4" w:space="0" w:color="auto"/>
            </w:tcBorders>
            <w:shd w:val="clear" w:color="auto" w:fill="auto"/>
          </w:tcPr>
          <w:p w14:paraId="588101D2" w14:textId="77777777" w:rsidR="00A01F39" w:rsidRPr="007944F8" w:rsidRDefault="0003494F" w:rsidP="0003494F">
            <w:pPr>
              <w:pStyle w:val="Table"/>
              <w:widowControl w:val="0"/>
              <w:tabs>
                <w:tab w:val="clear" w:pos="284"/>
              </w:tabs>
              <w:spacing w:before="0" w:after="0"/>
              <w:jc w:val="center"/>
              <w:rPr>
                <w:rFonts w:ascii="Times New Roman" w:hAnsi="Times New Roman"/>
                <w:szCs w:val="20"/>
                <w:lang w:val="fr-FR" w:bidi="fr-FR"/>
              </w:rPr>
            </w:pPr>
            <w:r w:rsidRPr="007944F8">
              <w:rPr>
                <w:rFonts w:ascii="Times New Roman" w:hAnsi="Times New Roman"/>
                <w:lang w:val="fr-FR" w:bidi="fr-FR"/>
              </w:rPr>
              <w:t>82,0</w:t>
            </w:r>
            <w:r w:rsidR="00A01F39" w:rsidRPr="007944F8">
              <w:rPr>
                <w:rFonts w:ascii="Times New Roman" w:hAnsi="Times New Roman"/>
                <w:lang w:val="fr-FR" w:bidi="fr-FR"/>
              </w:rPr>
              <w:t xml:space="preserve"> (</w:t>
            </w:r>
            <w:r w:rsidRPr="007944F8">
              <w:rPr>
                <w:rFonts w:ascii="Times New Roman" w:hAnsi="Times New Roman"/>
                <w:lang w:val="fr-FR" w:bidi="fr-FR"/>
              </w:rPr>
              <w:t>66,7</w:t>
            </w:r>
            <w:r w:rsidR="00A01F39" w:rsidRPr="007944F8">
              <w:rPr>
                <w:rFonts w:ascii="Times New Roman" w:hAnsi="Times New Roman"/>
                <w:lang w:val="fr-FR" w:bidi="fr-FR"/>
              </w:rPr>
              <w:t>-</w:t>
            </w:r>
            <w:r w:rsidRPr="007944F8">
              <w:rPr>
                <w:rFonts w:ascii="Times New Roman" w:hAnsi="Times New Roman"/>
                <w:lang w:val="fr-FR" w:bidi="fr-FR"/>
              </w:rPr>
              <w:t>90,7</w:t>
            </w:r>
            <w:r w:rsidR="00A01F39" w:rsidRPr="007944F8">
              <w:rPr>
                <w:rFonts w:ascii="Times New Roman" w:hAnsi="Times New Roman"/>
                <w:lang w:val="fr-FR" w:bidi="fr-FR"/>
              </w:rPr>
              <w:t>)</w:t>
            </w:r>
          </w:p>
        </w:tc>
        <w:tc>
          <w:tcPr>
            <w:tcW w:w="2410" w:type="dxa"/>
            <w:tcBorders>
              <w:top w:val="nil"/>
              <w:bottom w:val="single" w:sz="4" w:space="0" w:color="auto"/>
            </w:tcBorders>
            <w:shd w:val="clear" w:color="auto" w:fill="auto"/>
          </w:tcPr>
          <w:p w14:paraId="682FA7EF" w14:textId="77777777" w:rsidR="00A01F39" w:rsidRPr="007944F8" w:rsidRDefault="0003494F" w:rsidP="0003494F">
            <w:pPr>
              <w:pStyle w:val="Table"/>
              <w:widowControl w:val="0"/>
              <w:tabs>
                <w:tab w:val="clear" w:pos="284"/>
              </w:tabs>
              <w:spacing w:before="0" w:after="0"/>
              <w:jc w:val="center"/>
              <w:rPr>
                <w:rFonts w:ascii="Times New Roman" w:hAnsi="Times New Roman"/>
                <w:szCs w:val="20"/>
                <w:lang w:val="fr-FR" w:bidi="fr-FR"/>
              </w:rPr>
            </w:pPr>
            <w:r w:rsidRPr="007944F8">
              <w:rPr>
                <w:rFonts w:ascii="Times New Roman" w:hAnsi="Times New Roman"/>
                <w:lang w:val="fr-FR" w:bidi="fr-FR"/>
              </w:rPr>
              <w:t>75,5</w:t>
            </w:r>
            <w:r w:rsidR="00A01F39" w:rsidRPr="007944F8">
              <w:rPr>
                <w:rFonts w:ascii="Times New Roman" w:hAnsi="Times New Roman"/>
                <w:lang w:val="fr-FR" w:bidi="fr-FR"/>
              </w:rPr>
              <w:t xml:space="preserve"> (</w:t>
            </w:r>
            <w:r w:rsidRPr="007944F8">
              <w:rPr>
                <w:rFonts w:ascii="Times New Roman" w:hAnsi="Times New Roman"/>
                <w:lang w:val="fr-FR" w:bidi="fr-FR"/>
              </w:rPr>
              <w:t>60,7</w:t>
            </w:r>
            <w:r w:rsidR="00A01F39" w:rsidRPr="007944F8">
              <w:rPr>
                <w:rFonts w:ascii="Times New Roman" w:hAnsi="Times New Roman"/>
                <w:lang w:val="fr-FR" w:bidi="fr-FR"/>
              </w:rPr>
              <w:t>-</w:t>
            </w:r>
            <w:r w:rsidRPr="007944F8">
              <w:rPr>
                <w:rFonts w:ascii="Times New Roman" w:hAnsi="Times New Roman"/>
                <w:lang w:val="fr-FR" w:bidi="fr-FR"/>
              </w:rPr>
              <w:t>85,4</w:t>
            </w:r>
            <w:r w:rsidR="00A01F39" w:rsidRPr="007944F8">
              <w:rPr>
                <w:rFonts w:ascii="Times New Roman" w:hAnsi="Times New Roman"/>
                <w:lang w:val="fr-FR" w:bidi="fr-FR"/>
              </w:rPr>
              <w:t>)</w:t>
            </w:r>
          </w:p>
        </w:tc>
      </w:tr>
      <w:tr w:rsidR="00DA6BAD" w:rsidRPr="007944F8" w14:paraId="4AFB675E" w14:textId="77777777" w:rsidTr="00C76DE7">
        <w:trPr>
          <w:cantSplit/>
        </w:trPr>
        <w:tc>
          <w:tcPr>
            <w:tcW w:w="9607" w:type="dxa"/>
            <w:gridSpan w:val="4"/>
            <w:tcBorders>
              <w:top w:val="single" w:sz="4" w:space="0" w:color="auto"/>
              <w:bottom w:val="single" w:sz="4" w:space="0" w:color="auto"/>
            </w:tcBorders>
            <w:shd w:val="clear" w:color="auto" w:fill="auto"/>
          </w:tcPr>
          <w:p w14:paraId="4BC7B548" w14:textId="77777777" w:rsidR="00555A58" w:rsidRPr="007944F8" w:rsidRDefault="00DA6BAD" w:rsidP="00DA6BAD">
            <w:pPr>
              <w:pStyle w:val="Legend"/>
              <w:widowControl w:val="0"/>
              <w:spacing w:before="0" w:after="0"/>
              <w:rPr>
                <w:rFonts w:ascii="Times New Roman" w:hAnsi="Times New Roman"/>
                <w:szCs w:val="20"/>
                <w:lang w:val="fr-FR" w:bidi="fr-FR"/>
              </w:rPr>
            </w:pPr>
            <w:r w:rsidRPr="007944F8">
              <w:rPr>
                <w:rFonts w:ascii="Times New Roman" w:hAnsi="Times New Roman"/>
                <w:vertAlign w:val="superscript"/>
                <w:lang w:val="fr-FR" w:bidi="fr-FR"/>
              </w:rPr>
              <w:t>a</w:t>
            </w:r>
            <w:r w:rsidR="000130BE" w:rsidRPr="007944F8">
              <w:rPr>
                <w:rFonts w:ascii="Times New Roman" w:hAnsi="Times New Roman"/>
                <w:vertAlign w:val="superscript"/>
                <w:lang w:val="fr-FR" w:bidi="fr-FR"/>
              </w:rPr>
              <w:t xml:space="preserve"> </w:t>
            </w:r>
            <w:r w:rsidRPr="007944F8">
              <w:rPr>
                <w:rFonts w:ascii="Times New Roman" w:hAnsi="Times New Roman"/>
                <w:lang w:val="fr-FR" w:bidi="fr-FR"/>
              </w:rPr>
              <w:t>La population FAS (Full Analysis Set) inclut tous les patients randomisés</w:t>
            </w:r>
            <w:r w:rsidR="00BB5AB9" w:rsidRPr="007944F8">
              <w:rPr>
                <w:rFonts w:ascii="Times New Roman" w:hAnsi="Times New Roman"/>
                <w:lang w:val="fr-FR" w:bidi="fr-FR"/>
              </w:rPr>
              <w:t xml:space="preserve"> (population en intention de traiter)</w:t>
            </w:r>
            <w:r w:rsidRPr="007944F8">
              <w:rPr>
                <w:rFonts w:ascii="Times New Roman" w:hAnsi="Times New Roman"/>
                <w:lang w:val="fr-FR" w:bidi="fr-FR"/>
              </w:rPr>
              <w:t>.</w:t>
            </w:r>
          </w:p>
          <w:p w14:paraId="47825BC7" w14:textId="77777777" w:rsidR="00555A58" w:rsidRPr="007944F8" w:rsidRDefault="00555A58" w:rsidP="00DA6BAD">
            <w:pPr>
              <w:pStyle w:val="Legend"/>
              <w:widowControl w:val="0"/>
              <w:spacing w:before="0" w:after="0"/>
              <w:rPr>
                <w:rFonts w:ascii="Times New Roman" w:hAnsi="Times New Roman"/>
                <w:lang w:val="fr-FR" w:bidi="fr-FR"/>
              </w:rPr>
            </w:pPr>
            <w:r w:rsidRPr="007944F8">
              <w:rPr>
                <w:rFonts w:ascii="Times New Roman" w:hAnsi="Times New Roman"/>
                <w:szCs w:val="20"/>
                <w:vertAlign w:val="superscript"/>
              </w:rPr>
              <w:t>b</w:t>
            </w:r>
            <w:r w:rsidRPr="007944F8">
              <w:rPr>
                <w:rFonts w:ascii="Times New Roman" w:hAnsi="Times New Roman"/>
                <w:lang w:val="fr-FR" w:bidi="fr-FR"/>
              </w:rPr>
              <w:t xml:space="preserve"> </w:t>
            </w:r>
            <w:r w:rsidR="00BE7ABE" w:rsidRPr="007944F8">
              <w:rPr>
                <w:rFonts w:ascii="Times New Roman" w:hAnsi="Times New Roman"/>
                <w:lang w:val="fr-FR" w:bidi="fr-FR"/>
              </w:rPr>
              <w:t>L’u</w:t>
            </w:r>
            <w:r w:rsidRPr="007944F8">
              <w:rPr>
                <w:rFonts w:ascii="Times New Roman" w:hAnsi="Times New Roman"/>
                <w:lang w:val="fr-FR" w:bidi="fr-FR"/>
              </w:rPr>
              <w:t xml:space="preserve">tilisation uniquement </w:t>
            </w:r>
            <w:r w:rsidR="00BE7ABE" w:rsidRPr="007944F8">
              <w:rPr>
                <w:rFonts w:ascii="Times New Roman" w:hAnsi="Times New Roman"/>
                <w:lang w:val="fr-FR" w:bidi="fr-FR"/>
              </w:rPr>
              <w:t>de résultats histopathologiques</w:t>
            </w:r>
            <w:r w:rsidRPr="007944F8">
              <w:rPr>
                <w:rFonts w:ascii="Times New Roman" w:hAnsi="Times New Roman"/>
                <w:lang w:val="fr-FR" w:bidi="fr-FR"/>
              </w:rPr>
              <w:t xml:space="preserve"> négati</w:t>
            </w:r>
            <w:r w:rsidR="00BE7ABE" w:rsidRPr="007944F8">
              <w:rPr>
                <w:rFonts w:ascii="Times New Roman" w:hAnsi="Times New Roman"/>
                <w:lang w:val="fr-FR" w:bidi="fr-FR"/>
              </w:rPr>
              <w:t>fs</w:t>
            </w:r>
            <w:r w:rsidRPr="007944F8">
              <w:rPr>
                <w:rFonts w:ascii="Times New Roman" w:hAnsi="Times New Roman"/>
                <w:lang w:val="fr-FR" w:bidi="fr-FR"/>
              </w:rPr>
              <w:t xml:space="preserve"> </w:t>
            </w:r>
            <w:r w:rsidR="00BE7ABE" w:rsidRPr="007944F8">
              <w:rPr>
                <w:rFonts w:ascii="Times New Roman" w:hAnsi="Times New Roman"/>
                <w:lang w:val="fr-FR" w:bidi="fr-FR"/>
              </w:rPr>
              <w:t>pour</w:t>
            </w:r>
            <w:r w:rsidRPr="007944F8">
              <w:rPr>
                <w:rFonts w:ascii="Times New Roman" w:hAnsi="Times New Roman"/>
                <w:lang w:val="fr-FR" w:bidi="fr-FR"/>
              </w:rPr>
              <w:t xml:space="preserve"> définir </w:t>
            </w:r>
            <w:r w:rsidR="00685800" w:rsidRPr="007944F8">
              <w:rPr>
                <w:rFonts w:ascii="Times New Roman" w:hAnsi="Times New Roman"/>
                <w:lang w:val="fr-FR" w:bidi="fr-FR"/>
              </w:rPr>
              <w:t>la RC</w:t>
            </w:r>
            <w:r w:rsidR="00111622" w:rsidRPr="007944F8">
              <w:rPr>
                <w:rFonts w:ascii="Times New Roman" w:hAnsi="Times New Roman"/>
                <w:lang w:val="fr-FR" w:bidi="fr-FR"/>
              </w:rPr>
              <w:t xml:space="preserve"> parmi les patients qui ont eu au moins un</w:t>
            </w:r>
            <w:r w:rsidR="00685800" w:rsidRPr="007944F8">
              <w:rPr>
                <w:rFonts w:ascii="Times New Roman" w:hAnsi="Times New Roman"/>
                <w:lang w:val="fr-FR" w:bidi="fr-FR"/>
              </w:rPr>
              <w:t>e</w:t>
            </w:r>
            <w:r w:rsidR="00111622" w:rsidRPr="007944F8">
              <w:rPr>
                <w:rFonts w:ascii="Times New Roman" w:hAnsi="Times New Roman"/>
                <w:lang w:val="fr-FR" w:bidi="fr-FR"/>
              </w:rPr>
              <w:t xml:space="preserve"> </w:t>
            </w:r>
            <w:r w:rsidR="00685800" w:rsidRPr="007944F8">
              <w:rPr>
                <w:rFonts w:ascii="Times New Roman" w:hAnsi="Times New Roman"/>
                <w:lang w:val="fr-FR" w:bidi="fr-FR"/>
              </w:rPr>
              <w:t>RP</w:t>
            </w:r>
            <w:r w:rsidR="00111622" w:rsidRPr="007944F8">
              <w:rPr>
                <w:rFonts w:ascii="Times New Roman" w:hAnsi="Times New Roman"/>
                <w:lang w:val="fr-FR" w:bidi="fr-FR"/>
              </w:rPr>
              <w:t xml:space="preserve"> à partir d’autres modalités (</w:t>
            </w:r>
            <w:r w:rsidR="00685800" w:rsidRPr="007944F8">
              <w:rPr>
                <w:rFonts w:ascii="Times New Roman" w:hAnsi="Times New Roman"/>
                <w:lang w:val="fr-FR" w:bidi="fr-FR"/>
              </w:rPr>
              <w:t>IRM ou ph</w:t>
            </w:r>
            <w:r w:rsidR="00BE7ABE" w:rsidRPr="007944F8">
              <w:rPr>
                <w:rFonts w:ascii="Times New Roman" w:hAnsi="Times New Roman"/>
                <w:lang w:val="fr-FR" w:bidi="fr-FR"/>
              </w:rPr>
              <w:t>o</w:t>
            </w:r>
            <w:r w:rsidR="00685800" w:rsidRPr="007944F8">
              <w:rPr>
                <w:rFonts w:ascii="Times New Roman" w:hAnsi="Times New Roman"/>
                <w:lang w:val="fr-FR" w:bidi="fr-FR"/>
              </w:rPr>
              <w:t>tographies</w:t>
            </w:r>
            <w:r w:rsidR="00111622" w:rsidRPr="007944F8">
              <w:rPr>
                <w:rFonts w:ascii="Times New Roman" w:hAnsi="Times New Roman"/>
                <w:lang w:val="fr-FR" w:bidi="fr-FR"/>
              </w:rPr>
              <w:t xml:space="preserve">) </w:t>
            </w:r>
            <w:r w:rsidR="00BE7ABE" w:rsidRPr="007944F8">
              <w:rPr>
                <w:rFonts w:ascii="Times New Roman" w:hAnsi="Times New Roman"/>
                <w:lang w:val="fr-FR" w:bidi="fr-FR"/>
              </w:rPr>
              <w:t xml:space="preserve">a entraîné </w:t>
            </w:r>
            <w:r w:rsidR="00111622" w:rsidRPr="007944F8">
              <w:rPr>
                <w:rFonts w:ascii="Times New Roman" w:hAnsi="Times New Roman"/>
                <w:lang w:val="fr-FR" w:bidi="fr-FR"/>
              </w:rPr>
              <w:t xml:space="preserve">un taux </w:t>
            </w:r>
            <w:r w:rsidR="00BE7ABE" w:rsidRPr="007944F8">
              <w:rPr>
                <w:rFonts w:ascii="Times New Roman" w:hAnsi="Times New Roman"/>
                <w:lang w:val="fr-FR" w:bidi="fr-FR"/>
              </w:rPr>
              <w:t xml:space="preserve">de </w:t>
            </w:r>
            <w:r w:rsidR="00685800" w:rsidRPr="007944F8">
              <w:rPr>
                <w:rFonts w:ascii="Times New Roman" w:hAnsi="Times New Roman"/>
                <w:lang w:val="fr-FR" w:bidi="fr-FR"/>
              </w:rPr>
              <w:t>RC</w:t>
            </w:r>
            <w:r w:rsidR="00111622" w:rsidRPr="007944F8">
              <w:rPr>
                <w:rFonts w:ascii="Times New Roman" w:hAnsi="Times New Roman"/>
                <w:lang w:val="fr-FR" w:bidi="fr-FR"/>
              </w:rPr>
              <w:t xml:space="preserve"> de </w:t>
            </w:r>
            <w:r w:rsidR="0003494F" w:rsidRPr="007944F8">
              <w:rPr>
                <w:rFonts w:ascii="Times New Roman" w:hAnsi="Times New Roman"/>
                <w:lang w:val="fr-FR" w:bidi="fr-FR"/>
              </w:rPr>
              <w:t>21,2 </w:t>
            </w:r>
            <w:r w:rsidR="00111622" w:rsidRPr="007944F8">
              <w:rPr>
                <w:rFonts w:ascii="Times New Roman" w:hAnsi="Times New Roman"/>
                <w:lang w:val="fr-FR" w:bidi="fr-FR"/>
              </w:rPr>
              <w:t>%.</w:t>
            </w:r>
          </w:p>
          <w:p w14:paraId="6F07CC37" w14:textId="77777777" w:rsidR="00DA6BAD" w:rsidRPr="007944F8" w:rsidRDefault="00DA6BAD" w:rsidP="00DA6BAD">
            <w:pPr>
              <w:pStyle w:val="Legend"/>
              <w:widowControl w:val="0"/>
              <w:spacing w:before="0" w:after="0"/>
              <w:rPr>
                <w:rFonts w:ascii="Times New Roman" w:hAnsi="Times New Roman"/>
                <w:lang w:val="fr-FR" w:bidi="fr-FR"/>
              </w:rPr>
            </w:pPr>
            <w:r w:rsidRPr="007944F8">
              <w:rPr>
                <w:rFonts w:ascii="Times New Roman" w:hAnsi="Times New Roman"/>
                <w:lang w:val="fr-FR" w:bidi="fr-FR"/>
              </w:rPr>
              <w:t>*Le terme « événement » désigne une progression de la maladie ou un décès toutes causes confondues.</w:t>
            </w:r>
          </w:p>
          <w:p w14:paraId="19323B8A" w14:textId="77777777" w:rsidR="00DA6BAD" w:rsidRPr="007944F8" w:rsidRDefault="00DA6BAD" w:rsidP="00DA6BAD">
            <w:pPr>
              <w:pStyle w:val="Legend"/>
              <w:widowControl w:val="0"/>
              <w:spacing w:before="0" w:after="0"/>
              <w:rPr>
                <w:rFonts w:ascii="Times New Roman" w:hAnsi="Times New Roman"/>
                <w:szCs w:val="20"/>
                <w:lang w:val="fr-FR" w:bidi="fr-FR"/>
              </w:rPr>
            </w:pPr>
            <w:r w:rsidRPr="007944F8">
              <w:rPr>
                <w:rFonts w:ascii="Times New Roman" w:hAnsi="Times New Roman"/>
                <w:lang w:val="fr-FR" w:bidi="fr-FR"/>
              </w:rPr>
              <w:t>FAS : Full Analysis Set (échantillon complet d’analyse)</w:t>
            </w:r>
          </w:p>
          <w:p w14:paraId="3722E3CB" w14:textId="77777777" w:rsidR="00DA6BAD" w:rsidRPr="007944F8" w:rsidRDefault="00DA6BAD" w:rsidP="00DA6BAD">
            <w:pPr>
              <w:pStyle w:val="Legend"/>
              <w:widowControl w:val="0"/>
              <w:tabs>
                <w:tab w:val="clear" w:pos="284"/>
              </w:tabs>
              <w:spacing w:before="0" w:after="0"/>
              <w:rPr>
                <w:rFonts w:ascii="Times New Roman" w:hAnsi="Times New Roman"/>
                <w:szCs w:val="20"/>
                <w:lang w:val="fr-FR" w:bidi="fr-FR"/>
              </w:rPr>
            </w:pPr>
            <w:r w:rsidRPr="007944F8">
              <w:rPr>
                <w:rFonts w:ascii="Times New Roman" w:hAnsi="Times New Roman"/>
                <w:lang w:val="fr-FR" w:bidi="fr-FR"/>
              </w:rPr>
              <w:t>IC : intervalle de confiance</w:t>
            </w:r>
          </w:p>
          <w:p w14:paraId="5089A13C" w14:textId="77777777" w:rsidR="00DA6BAD" w:rsidRPr="007944F8" w:rsidRDefault="00DA6BAD" w:rsidP="0003494F">
            <w:pPr>
              <w:pStyle w:val="Table"/>
              <w:widowControl w:val="0"/>
              <w:tabs>
                <w:tab w:val="clear" w:pos="284"/>
              </w:tabs>
              <w:spacing w:before="0" w:after="0"/>
              <w:rPr>
                <w:rFonts w:ascii="Times New Roman" w:hAnsi="Times New Roman"/>
                <w:szCs w:val="20"/>
                <w:lang w:val="fr-FR" w:bidi="fr-FR"/>
              </w:rPr>
            </w:pPr>
            <w:r w:rsidRPr="007944F8">
              <w:rPr>
                <w:rFonts w:ascii="Times New Roman" w:hAnsi="Times New Roman"/>
                <w:lang w:val="fr-FR" w:bidi="fr-FR"/>
              </w:rPr>
              <w:t>NE : non estimable</w:t>
            </w:r>
          </w:p>
        </w:tc>
      </w:tr>
    </w:tbl>
    <w:p w14:paraId="29B9628F" w14:textId="77777777" w:rsidR="00510601" w:rsidRPr="007944F8" w:rsidRDefault="00510601" w:rsidP="00E93E8B">
      <w:pPr>
        <w:widowControl w:val="0"/>
        <w:spacing w:line="240" w:lineRule="auto"/>
      </w:pPr>
    </w:p>
    <w:p w14:paraId="4806C085" w14:textId="77777777" w:rsidR="00052971" w:rsidRPr="007944F8" w:rsidRDefault="00052971" w:rsidP="00477090">
      <w:pPr>
        <w:pStyle w:val="Text"/>
        <w:keepNext/>
        <w:keepLines w:val="0"/>
        <w:widowControl w:val="0"/>
        <w:spacing w:before="0"/>
        <w:jc w:val="left"/>
        <w:rPr>
          <w:sz w:val="22"/>
          <w:szCs w:val="22"/>
        </w:rPr>
      </w:pPr>
      <w:r w:rsidRPr="007944F8">
        <w:rPr>
          <w:sz w:val="22"/>
        </w:rPr>
        <w:t>L</w:t>
      </w:r>
      <w:r w:rsidR="00FE2DEC" w:rsidRPr="007944F8">
        <w:rPr>
          <w:sz w:val="22"/>
          <w:lang w:val="fr-FR"/>
        </w:rPr>
        <w:t>a</w:t>
      </w:r>
      <w:r w:rsidRPr="007944F8">
        <w:rPr>
          <w:sz w:val="22"/>
        </w:rPr>
        <w:t xml:space="preserve"> figure 1 montre la meilleure évolution de la taille des lésions cibles pour chaque patient atteint d’un CBCla à la dose de 200 mg, selon la revue centralisée.</w:t>
      </w:r>
    </w:p>
    <w:bookmarkStart w:id="103" w:name="_Toc398535797"/>
    <w:bookmarkStart w:id="104" w:name="_Toc398304573"/>
    <w:p w14:paraId="1D844F06" w14:textId="2FFBA16B" w:rsidR="00A0551B" w:rsidRPr="007944F8" w:rsidRDefault="00E804B5" w:rsidP="00C76DE7">
      <w:pPr>
        <w:pStyle w:val="Text"/>
        <w:keepNext/>
        <w:keepLines w:val="0"/>
        <w:pageBreakBefore/>
        <w:widowControl w:val="0"/>
        <w:spacing w:before="0"/>
        <w:rPr>
          <w:b/>
        </w:rPr>
      </w:pPr>
      <w:r>
        <w:rPr>
          <w:noProof/>
          <w:lang w:val="fr-FR"/>
        </w:rPr>
        <mc:AlternateContent>
          <mc:Choice Requires="wps">
            <w:drawing>
              <wp:anchor distT="0" distB="0" distL="114300" distR="114300" simplePos="0" relativeHeight="251658240" behindDoc="0" locked="0" layoutInCell="1" allowOverlap="1" wp14:anchorId="71B3EFE1" wp14:editId="141207B6">
                <wp:simplePos x="0" y="0"/>
                <wp:positionH relativeFrom="column">
                  <wp:posOffset>-1721485</wp:posOffset>
                </wp:positionH>
                <wp:positionV relativeFrom="paragraph">
                  <wp:posOffset>-5832475</wp:posOffset>
                </wp:positionV>
                <wp:extent cx="2760345" cy="270510"/>
                <wp:effectExtent l="0" t="0" r="0" b="0"/>
                <wp:wrapNone/>
                <wp:docPr id="9"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760345" cy="270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5C390" w14:textId="77777777" w:rsidR="008D3B3E" w:rsidRDefault="008D3B3E" w:rsidP="00A0551B">
                            <w:pPr>
                              <w:pStyle w:val="NormalWeb"/>
                              <w:spacing w:before="0"/>
                              <w:jc w:val="center"/>
                              <w:rPr>
                                <w:rFonts w:ascii="Arial" w:hAnsi="Arial"/>
                                <w:sz w:val="18"/>
                                <w:szCs w:val="18"/>
                              </w:rPr>
                            </w:pPr>
                            <w:r>
                              <w:rPr>
                                <w:rFonts w:ascii="Arial" w:hAnsi="Arial"/>
                                <w:b/>
                                <w:color w:val="000000"/>
                                <w:kern w:val="24"/>
                                <w:sz w:val="18"/>
                              </w:rPr>
                              <w:t>Meilleure évolution en % par rapport à la valeur de référence (lésions cibles)</w:t>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1B3EFE1" id="_x0000_t202" coordsize="21600,21600" o:spt="202" path="m,l,21600r21600,l21600,xe">
                <v:stroke joinstyle="miter"/>
                <v:path gradientshapeok="t" o:connecttype="rect"/>
              </v:shapetype>
              <v:shape id="TextBox 7" o:spid="_x0000_s1026" type="#_x0000_t202" style="position:absolute;left:0;text-align:left;margin-left:-135.55pt;margin-top:-459.25pt;width:217.35pt;height:21.3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" filled="f" stroked="f">
                <v:textbox style="layout-flow:vertical;mso-layout-flow-alt:bottom-to-top">
                  <w:txbxContent>
                    <w:p w14:paraId="71E5C390" w14:textId="77777777" w:rsidR="008D3B3E" w:rsidRDefault="008D3B3E" w:rsidP="00A0551B">
                      <w:pPr>
                        <w:pStyle w:val="NormalWeb"/>
                        <w:spacing w:before="0"/>
                        <w:jc w:val="center"/>
                        <w:rPr>
                          <w:rFonts w:ascii="Arial" w:hAnsi="Arial"/>
                          <w:sz w:val="18"/>
                          <w:szCs w:val="18"/>
                        </w:rPr>
                      </w:pPr>
                      <w:r>
                        <w:rPr>
                          <w:rFonts w:ascii="Arial" w:hAnsi="Arial"/>
                          <w:b/>
                          <w:color w:val="000000"/>
                          <w:kern w:val="24"/>
                          <w:sz w:val="18"/>
                        </w:rPr>
                        <w:t>Meilleure évolution en % par rapport à la valeur de référence (lésions cibles)</w:t>
                      </w:r>
                    </w:p>
                  </w:txbxContent>
                </v:textbox>
              </v:shape>
            </w:pict>
          </mc:Fallback>
        </mc:AlternateContent>
      </w:r>
      <w:bookmarkEnd w:id="103"/>
      <w:bookmarkEnd w:id="104"/>
      <w:r w:rsidR="00A0551B" w:rsidRPr="007944F8">
        <w:rPr>
          <w:b/>
        </w:rPr>
        <w:t>Figure 1</w:t>
      </w:r>
      <w:r w:rsidR="00A0551B" w:rsidRPr="007944F8">
        <w:tab/>
      </w:r>
      <w:r w:rsidR="00A0551B" w:rsidRPr="007944F8">
        <w:rPr>
          <w:b/>
        </w:rPr>
        <w:t>Meilleure évolution, par rapport à la valeur de référence, des lésions cibles des patients atteints d’un CBCla selon la revue centralisée par population FAS</w:t>
      </w:r>
    </w:p>
    <w:p w14:paraId="77D85A84" w14:textId="77777777" w:rsidR="00335335" w:rsidRPr="007944F8" w:rsidRDefault="00335335" w:rsidP="00477090">
      <w:pPr>
        <w:widowControl w:val="0"/>
        <w:rPr>
          <w:rFonts w:eastAsia="MS Gothic"/>
          <w:noProof/>
        </w:rPr>
      </w:pPr>
      <w:bookmarkStart w:id="105" w:name="_Toc383439209"/>
    </w:p>
    <w:bookmarkEnd w:id="105"/>
    <w:p w14:paraId="684AAC88" w14:textId="77777777" w:rsidR="00A34F55" w:rsidRPr="007944F8" w:rsidRDefault="00CA226B" w:rsidP="00E93E8B">
      <w:pPr>
        <w:pStyle w:val="Text"/>
        <w:keepLines w:val="0"/>
        <w:widowControl w:val="0"/>
        <w:spacing w:before="0"/>
        <w:jc w:val="left"/>
        <w:rPr>
          <w:sz w:val="22"/>
          <w:szCs w:val="22"/>
        </w:rPr>
      </w:pPr>
      <w:r>
        <w:rPr>
          <w:noProof/>
          <w:lang w:val="en-US" w:eastAsia="en-US"/>
        </w:rPr>
        <w:pict w14:anchorId="5FB2EB20">
          <v:shapetype id="_x0000_t202" coordsize="21600,21600" o:spt="202" path="m,l,21600r21600,l21600,xe">
            <v:stroke joinstyle="miter"/>
            <v:path gradientshapeok="t" o:connecttype="rect"/>
          </v:shapetype>
          <v:shape id="Text Box 3" o:spid="_x0000_s1027" type="#_x0000_t202" style="position:absolute;margin-left:-103.45pt;margin-top:142.85pt;width:217.35pt;height:36.95pt;rotation:-90;z-index:251658242;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" filled="f" stroked="f">
            <v:textbox style="layout-flow:vertical;mso-layout-flow-alt:bottom-to-top;mso-next-textbox:#Text Box 3">
              <w:txbxContent>
                <w:p w14:paraId="1F21995A" w14:textId="77777777" w:rsidR="008D3B3E" w:rsidRPr="009C76F4" w:rsidRDefault="008D3B3E" w:rsidP="009C76F4">
                  <w:pPr>
                    <w:pStyle w:val="NormalWeb"/>
                    <w:spacing w:before="0"/>
                    <w:jc w:val="center"/>
                    <w:rPr>
                      <w:rFonts w:ascii="Arial" w:hAnsi="Arial"/>
                      <w:sz w:val="18"/>
                      <w:szCs w:val="18"/>
                    </w:rPr>
                  </w:pPr>
                  <w:r w:rsidRPr="003F1660">
                    <w:rPr>
                      <w:rFonts w:ascii="Arial" w:hAnsi="Arial"/>
                      <w:sz w:val="18"/>
                      <w:szCs w:val="18"/>
                    </w:rPr>
                    <w:t xml:space="preserve">Meilleure </w:t>
                  </w:r>
                  <w:r w:rsidRPr="009C76F4">
                    <w:rPr>
                      <w:rFonts w:ascii="Arial" w:hAnsi="Arial"/>
                      <w:sz w:val="18"/>
                      <w:szCs w:val="18"/>
                    </w:rPr>
                    <w:t>évolution</w:t>
                  </w:r>
                  <w:r w:rsidRPr="003F1660">
                    <w:rPr>
                      <w:rFonts w:ascii="Arial" w:hAnsi="Arial"/>
                      <w:sz w:val="18"/>
                      <w:szCs w:val="18"/>
                    </w:rPr>
                    <w:t xml:space="preserve"> en % par rapport à la valeur de référence (lésions cibles)</w:t>
                  </w:r>
                </w:p>
              </w:txbxContent>
            </v:textbox>
            <w10:wrap anchorx="margin"/>
          </v:shape>
        </w:pict>
      </w:r>
      <w:r>
        <w:rPr>
          <w:noProof/>
          <w:lang w:val="en-US" w:eastAsia="en-US"/>
        </w:rPr>
        <w:pict w14:anchorId="6DF3055C">
          <v:group id="Group 259" o:spid="_x0000_s1028" style="position:absolute;margin-left:48.85pt;margin-top:258.4pt;width:225.65pt;height:52.95pt;z-index:251658243;mso-width-relative:margin;mso-height-relative:margin" coordorigin="-17" coordsize="28669,6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">
            <v:rect id="Rectangle 72" o:spid="_x0000_s1029" style="position:absolute;top:3215;width:1012;height:93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kwwcMA&#10;AADbAAAADwAAAGRycy9kb3ducmV2LnhtbESPT4vCMBTE7wv7HcJb8LYmKqxSjSILgqAX/yB4ezbP&#10;tpi8lCZb67ffCILHYWZ+w8wWnbOipSZUnjUM+goEce5NxYWG42H1PQERIrJB65k0PCjAYv75McPM&#10;+DvvqN3HQiQIhww1lDHWmZQhL8lh6PuaOHlX3ziMSTaFNA3eE9xZOVTqRzqsOC2UWNNvSflt/+c0&#10;7NThtHHbkTpf1PEUVs5e2qXVuvfVLacgInXxHX6110bDeAjPL+kHy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lkwwcMAAADbAAAADwAAAAAAAAAAAAAAAACYAgAAZHJzL2Rv&#10;d25yZXYueG1sUEsFBgAAAAAEAAQA9QAAAIgDAAAAAA==&#10;" filled="f" strokecolor="windowText" strokeweight="1pt">
              <v:textbox style="mso-next-textbox:#Rectangle 72">
                <w:txbxContent>
                  <w:p w14:paraId="64D6E79A" w14:textId="77777777" w:rsidR="00BF4B22" w:rsidRDefault="00BF4B22"/>
                </w:txbxContent>
              </v:textbox>
            </v:rect>
            <v:shape id="_x0000_s1030" type="#_x0000_t202" style="position:absolute;left:433;width:28219;height:672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nW88MA&#10;AADbAAAADwAAAGRycy9kb3ducmV2LnhtbESP0WrCQBRE3wv9h+UWfCl1o4JK6ipFCIRQH6p+wG32&#10;mg1m74bsmsS/7wpCH4eZOcNsdqNtRE+drx0rmE0TEMSl0zVXCs6n7GMNwgdkjY1jUnAnD7vt68sG&#10;U+0G/qH+GCoRIexTVGBCaFMpfWnIop+6ljh6F9dZDFF2ldQdDhFuGzlPkqW0WHNcMNjS3lB5Pd6s&#10;gnfTJofvS/6b6WVproXHle0LpSZv49cniEBj+A8/27lWsFrA40v8AXL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TnW88MAAADbAAAADwAAAAAAAAAAAAAAAACYAgAAZHJzL2Rv&#10;d25yZXYueG1sUEsFBgAAAAAEAAQA9QAAAIgDAAAAAA==&#10;" filled="f" stroked="f">
              <v:textbox style="mso-next-textbox:#_x0000_s1030">
                <w:txbxContent>
                  <w:p w14:paraId="49E43E75" w14:textId="77777777" w:rsidR="008D3B3E" w:rsidRDefault="008D3B3E" w:rsidP="009C76F4">
                    <w:pPr>
                      <w:spacing w:before="20" w:line="240" w:lineRule="auto"/>
                      <w:rPr>
                        <w:rFonts w:ascii="Arial" w:hAnsi="Arial"/>
                        <w:sz w:val="16"/>
                        <w:szCs w:val="16"/>
                      </w:rPr>
                    </w:pPr>
                    <w:r>
                      <w:rPr>
                        <w:rFonts w:ascii="Arial" w:hAnsi="Arial"/>
                        <w:color w:val="000000"/>
                        <w:kern w:val="24"/>
                        <w:sz w:val="16"/>
                      </w:rPr>
                      <w:t>Répondeur (réponse complète/réponse partielle)</w:t>
                    </w:r>
                  </w:p>
                  <w:p w14:paraId="543CD875" w14:textId="77777777" w:rsidR="008D3B3E" w:rsidRDefault="008D3B3E" w:rsidP="009C76F4">
                    <w:pPr>
                      <w:spacing w:before="20" w:line="240" w:lineRule="auto"/>
                      <w:rPr>
                        <w:rFonts w:ascii="Arial" w:hAnsi="Arial"/>
                        <w:sz w:val="16"/>
                        <w:szCs w:val="16"/>
                      </w:rPr>
                    </w:pPr>
                    <w:r>
                      <w:rPr>
                        <w:rFonts w:ascii="Arial" w:hAnsi="Arial"/>
                        <w:color w:val="000000"/>
                        <w:kern w:val="24"/>
                        <w:sz w:val="16"/>
                      </w:rPr>
                      <w:t>Stabilisation de la maladie</w:t>
                    </w:r>
                  </w:p>
                  <w:p w14:paraId="3D48E50F" w14:textId="77777777" w:rsidR="008D3B3E" w:rsidRDefault="008D3B3E" w:rsidP="009C76F4">
                    <w:pPr>
                      <w:spacing w:before="20" w:line="240" w:lineRule="auto"/>
                      <w:rPr>
                        <w:rFonts w:ascii="Arial" w:hAnsi="Arial"/>
                        <w:sz w:val="16"/>
                        <w:szCs w:val="16"/>
                      </w:rPr>
                    </w:pPr>
                    <w:r>
                      <w:rPr>
                        <w:rFonts w:ascii="Arial" w:hAnsi="Arial"/>
                        <w:color w:val="000000"/>
                        <w:kern w:val="24"/>
                        <w:sz w:val="16"/>
                      </w:rPr>
                      <w:t>Progression de la maladie</w:t>
                    </w:r>
                  </w:p>
                  <w:p w14:paraId="30884126" w14:textId="77777777" w:rsidR="008D3B3E" w:rsidRDefault="008D3B3E" w:rsidP="009C76F4">
                    <w:pPr>
                      <w:spacing w:before="20" w:line="240" w:lineRule="auto"/>
                      <w:rPr>
                        <w:rFonts w:ascii="Arial" w:hAnsi="Arial"/>
                        <w:sz w:val="16"/>
                        <w:szCs w:val="16"/>
                      </w:rPr>
                    </w:pPr>
                    <w:r>
                      <w:rPr>
                        <w:rFonts w:ascii="Arial" w:hAnsi="Arial"/>
                        <w:color w:val="000000"/>
                        <w:kern w:val="24"/>
                        <w:sz w:val="16"/>
                      </w:rPr>
                      <w:t>Inconnue</w:t>
                    </w:r>
                  </w:p>
                </w:txbxContent>
              </v:textbox>
            </v:shape>
            <v:rect id="Rectangle 74" o:spid="_x0000_s1031" style="position:absolute;top:4471;width:1012;height:93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paJsIA&#10;AADbAAAADwAAAGRycy9kb3ducmV2LnhtbESPQWvCQBSE74L/YXmCF6mblmIkzUbaUqE3UYPnR/Y1&#10;m5p9G7Krbv99Vyj0OMzMN0y5ibYXVxp951jB4zIDQdw43XGroD5uH9YgfEDW2DsmBT/kYVNNJyUW&#10;2t14T9dDaEWCsC9QgQlhKKT0jSGLfukG4uR9udFiSHJspR7xluC2l09ZtpIWO04LBgd6N9ScDxer&#10;QOYu5/jhd9jHRf32bU6X+myVms/i6wuIQDH8h//an1pB/gz3L+kHy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ylomwgAAANsAAAAPAAAAAAAAAAAAAAAAAJgCAABkcnMvZG93&#10;bnJldi54bWxQSwUGAAAAAAQABAD1AAAAhwMAAAAA&#10;" fillcolor="windowText" strokeweight="1pt">
              <v:fill r:id="rId13" o:title="" color2="window" type="pattern"/>
              <v:textbox style="mso-next-textbox:#Rectangle 74">
                <w:txbxContent>
                  <w:p w14:paraId="41333ADE" w14:textId="77777777" w:rsidR="00BF4B22" w:rsidRDefault="00BF4B22"/>
                </w:txbxContent>
              </v:textbox>
            </v:rect>
            <v:rect id="_x0000_s1032" style="position:absolute;top:2009;width:1012;height:93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QH8MA&#10;AADbAAAADwAAAGRycy9kb3ducmV2LnhtbESP3WrCQBSE7wXfYTlCb0Q3Fv+IrqIFbeldow9wzB6T&#10;YPZs2F1j+vZuoeDlMDPfMOttZ2rRkvOVZQWTcQKCOLe64kLB+XQYLUH4gKyxtkwKfsnDdtPvrTHV&#10;9sE/1GahEBHCPkUFZQhNKqXPSzLox7Yhjt7VOoMhSldI7fAR4aaW70kylwYrjgslNvRRUn7L7kbB&#10;RVdu8TlsD35/PE6+r9P8nlmv1Nug261ABOrCK/zf/tIKFjP4+xJ/gN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qQH8MAAADbAAAADwAAAAAAAAAAAAAAAACYAgAAZHJzL2Rv&#10;d25yZXYueG1sUEsFBgAAAAAEAAQA9QAAAIgDAAAAAA==&#10;" fillcolor="windowText" strokecolor="windowText" strokeweight="1pt">
              <v:fill r:id="rId14" o:title="" color2="window" type="pattern"/>
              <v:textbox style="mso-next-textbox:#_x0000_s1032">
                <w:txbxContent>
                  <w:p w14:paraId="192BC1F1" w14:textId="77777777" w:rsidR="00BF4B22" w:rsidRDefault="00BF4B22"/>
                </w:txbxContent>
              </v:textbox>
            </v:rect>
            <v:rect id="_x0000_s1033" style="position:absolute;left:-17;top:753;width:1012;height:93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J5ycQA&#10;AADbAAAADwAAAGRycy9kb3ducmV2LnhtbESPQWsCMRSE7wX/Q3hCbzWrh7WsZpciCFoQW/Vgb4/N&#10;62bp5mVJoq7/3hQKPQ4z8w2zrAbbiSv50DpWMJ1kIIhrp1tuFJyO65dXECEia+wck4I7BajK0dMS&#10;C+1u/EnXQ2xEgnAoUIGJsS+kDLUhi2HieuLkfTtvMSbpG6k93hLcdnKWZbm02HJaMNjTylD9c7hY&#10;Bc1ut1/57h2pze/zzcd2a/D8pdTzeHhbgIg0xP/wX3ujFcxz+P2SfoAs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CecnEAAAA2wAAAA8AAAAAAAAAAAAAAAAAmAIAAGRycy9k&#10;b3ducmV2LnhtbFBLBQYAAAAABAAEAPUAAACJAwAAAAA=&#10;" fillcolor="windowText" strokecolor="windowText" strokeweight="1pt">
              <v:textbox style="mso-next-textbox:#_x0000_s1033">
                <w:txbxContent>
                  <w:p w14:paraId="4E1F8C41" w14:textId="77777777" w:rsidR="00BF4B22" w:rsidRDefault="00BF4B22"/>
                </w:txbxContent>
              </v:textbox>
            </v:rect>
          </v:group>
        </w:pict>
      </w:r>
      <w:r>
        <w:rPr>
          <w:noProof/>
        </w:rPr>
        <w:pict w14:anchorId="16B841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25pt;height:315pt;visibility:visible">
            <v:imagedata r:id="rId15" o:title=""/>
          </v:shape>
        </w:pict>
      </w:r>
    </w:p>
    <w:p w14:paraId="702A0DBE" w14:textId="77777777" w:rsidR="00C76DE7" w:rsidRDefault="00C76DE7" w:rsidP="00E96874">
      <w:pPr>
        <w:pStyle w:val="Text"/>
        <w:keepLines w:val="0"/>
        <w:widowControl w:val="0"/>
        <w:spacing w:before="0"/>
        <w:jc w:val="left"/>
        <w:rPr>
          <w:sz w:val="22"/>
        </w:rPr>
      </w:pPr>
    </w:p>
    <w:p w14:paraId="497B4AA1" w14:textId="5772F4E6" w:rsidR="00052971" w:rsidRPr="007944F8" w:rsidRDefault="00052971" w:rsidP="00E96874">
      <w:pPr>
        <w:pStyle w:val="Text"/>
        <w:keepLines w:val="0"/>
        <w:widowControl w:val="0"/>
        <w:spacing w:before="0"/>
        <w:jc w:val="left"/>
        <w:rPr>
          <w:sz w:val="22"/>
          <w:szCs w:val="22"/>
        </w:rPr>
      </w:pPr>
      <w:r w:rsidRPr="007944F8">
        <w:rPr>
          <w:sz w:val="22"/>
        </w:rPr>
        <w:t>Les résultats de l’auto</w:t>
      </w:r>
      <w:r w:rsidRPr="007944F8">
        <w:noBreakHyphen/>
      </w:r>
      <w:r w:rsidRPr="007944F8">
        <w:rPr>
          <w:sz w:val="22"/>
        </w:rPr>
        <w:t>évaluation des patients ont été évalués en tant que critère d’évaluation exploratoire à l’aide du questionnaire EORTC QLQ</w:t>
      </w:r>
      <w:r w:rsidRPr="007944F8">
        <w:noBreakHyphen/>
      </w:r>
      <w:r w:rsidRPr="007944F8">
        <w:rPr>
          <w:sz w:val="22"/>
        </w:rPr>
        <w:t>C30 (European Organisation for Research and Treatment of Cancer Quality of Life Questionnaire Core 30) et de son module complémentaire spécifique aux cancers de la tête et du cou (H&amp;N35).</w:t>
      </w:r>
    </w:p>
    <w:p w14:paraId="19EAD044" w14:textId="77777777" w:rsidR="003C515A" w:rsidRPr="007944F8" w:rsidRDefault="003C515A" w:rsidP="00E96874">
      <w:pPr>
        <w:pStyle w:val="Text"/>
        <w:keepLines w:val="0"/>
        <w:widowControl w:val="0"/>
        <w:spacing w:before="0"/>
        <w:jc w:val="left"/>
        <w:rPr>
          <w:sz w:val="22"/>
          <w:szCs w:val="22"/>
        </w:rPr>
      </w:pPr>
    </w:p>
    <w:p w14:paraId="60448902" w14:textId="77777777" w:rsidR="00052971" w:rsidRPr="007944F8" w:rsidRDefault="00052971" w:rsidP="00E96874">
      <w:pPr>
        <w:pStyle w:val="Text"/>
        <w:keepLines w:val="0"/>
        <w:widowControl w:val="0"/>
        <w:spacing w:before="0"/>
        <w:jc w:val="left"/>
        <w:rPr>
          <w:sz w:val="22"/>
          <w:lang w:val="fr-FR"/>
        </w:rPr>
      </w:pPr>
      <w:r w:rsidRPr="007944F8">
        <w:rPr>
          <w:sz w:val="22"/>
        </w:rPr>
        <w:t xml:space="preserve">Chez la majorité des patients, les symptômes liés à la maladie, le fonctionnement et l’état de santé se sont maintenus et/ou se sont améliorés. Le délai d’apparition d’une détérioration dans les échelles </w:t>
      </w:r>
      <w:r w:rsidR="0042023E" w:rsidRPr="007944F8">
        <w:rPr>
          <w:sz w:val="22"/>
        </w:rPr>
        <w:t xml:space="preserve">prédéfinies </w:t>
      </w:r>
      <w:r w:rsidRPr="007944F8">
        <w:rPr>
          <w:sz w:val="22"/>
        </w:rPr>
        <w:t>d’auto</w:t>
      </w:r>
      <w:r w:rsidRPr="007944F8">
        <w:noBreakHyphen/>
      </w:r>
      <w:r w:rsidRPr="007944F8">
        <w:rPr>
          <w:sz w:val="22"/>
        </w:rPr>
        <w:t>évaluation des patients (correspondant à des aggravations de plus de 10 points sans amélioration ultérieure) reflétait essentiellement</w:t>
      </w:r>
      <w:r w:rsidR="0042023E" w:rsidRPr="007944F8">
        <w:rPr>
          <w:sz w:val="22"/>
        </w:rPr>
        <w:t xml:space="preserve"> la </w:t>
      </w:r>
      <w:r w:rsidR="0042023E" w:rsidRPr="007944F8">
        <w:rPr>
          <w:sz w:val="22"/>
          <w:lang w:val="fr-FR"/>
        </w:rPr>
        <w:t>survie sans progression</w:t>
      </w:r>
      <w:r w:rsidRPr="007944F8">
        <w:rPr>
          <w:sz w:val="22"/>
        </w:rPr>
        <w:t xml:space="preserve"> estimée</w:t>
      </w:r>
      <w:r w:rsidR="00BB5AB9" w:rsidRPr="007944F8">
        <w:rPr>
          <w:sz w:val="22"/>
          <w:lang w:val="fr-FR"/>
        </w:rPr>
        <w:t>.</w:t>
      </w:r>
    </w:p>
    <w:p w14:paraId="4048F66E" w14:textId="77777777" w:rsidR="007F1B97" w:rsidRPr="007944F8" w:rsidRDefault="007F1B97" w:rsidP="00E96874">
      <w:pPr>
        <w:pStyle w:val="Text"/>
        <w:keepLines w:val="0"/>
        <w:widowControl w:val="0"/>
        <w:spacing w:before="0"/>
        <w:jc w:val="left"/>
        <w:rPr>
          <w:sz w:val="22"/>
          <w:lang w:val="fr-FR"/>
        </w:rPr>
      </w:pPr>
    </w:p>
    <w:p w14:paraId="4A22B898" w14:textId="77777777" w:rsidR="007F1B97" w:rsidRPr="007944F8" w:rsidRDefault="007F1B97" w:rsidP="00E96874">
      <w:pPr>
        <w:pStyle w:val="Text"/>
        <w:keepLines w:val="0"/>
        <w:widowControl w:val="0"/>
        <w:spacing w:before="0"/>
        <w:jc w:val="left"/>
        <w:rPr>
          <w:lang w:val="fr-FR"/>
        </w:rPr>
      </w:pPr>
      <w:r w:rsidRPr="007944F8">
        <w:rPr>
          <w:sz w:val="22"/>
          <w:lang w:val="fr-FR"/>
        </w:rPr>
        <w:t xml:space="preserve">Dans l’étude pivot, </w:t>
      </w:r>
      <w:r w:rsidR="0003494F" w:rsidRPr="007944F8">
        <w:rPr>
          <w:sz w:val="22"/>
          <w:lang w:val="fr-FR"/>
        </w:rPr>
        <w:t>29,1 </w:t>
      </w:r>
      <w:r w:rsidRPr="007944F8">
        <w:rPr>
          <w:sz w:val="22"/>
          <w:lang w:val="fr-FR"/>
        </w:rPr>
        <w:t xml:space="preserve">% des patients ont dû </w:t>
      </w:r>
      <w:r w:rsidR="00D04195" w:rsidRPr="007944F8">
        <w:rPr>
          <w:sz w:val="22"/>
          <w:lang w:val="fr-FR"/>
        </w:rPr>
        <w:t>interrompre</w:t>
      </w:r>
      <w:r w:rsidRPr="007944F8">
        <w:rPr>
          <w:sz w:val="22"/>
          <w:lang w:val="fr-FR"/>
        </w:rPr>
        <w:t xml:space="preserve"> </w:t>
      </w:r>
      <w:r w:rsidR="00C066F1" w:rsidRPr="007944F8">
        <w:rPr>
          <w:sz w:val="22"/>
          <w:lang w:val="fr-FR"/>
        </w:rPr>
        <w:t xml:space="preserve">l’étude </w:t>
      </w:r>
      <w:r w:rsidR="00BE7ABE" w:rsidRPr="007944F8">
        <w:rPr>
          <w:sz w:val="22"/>
          <w:lang w:val="fr-FR"/>
        </w:rPr>
        <w:t>en raison</w:t>
      </w:r>
      <w:r w:rsidRPr="007944F8">
        <w:rPr>
          <w:sz w:val="22"/>
          <w:lang w:val="fr-FR"/>
        </w:rPr>
        <w:t xml:space="preserve"> </w:t>
      </w:r>
      <w:r w:rsidR="00640C8C">
        <w:rPr>
          <w:sz w:val="22"/>
          <w:lang w:val="fr-FR"/>
        </w:rPr>
        <w:t>d’effets</w:t>
      </w:r>
      <w:r w:rsidR="00640C8C" w:rsidRPr="007944F8">
        <w:rPr>
          <w:sz w:val="22"/>
          <w:lang w:val="fr-FR"/>
        </w:rPr>
        <w:t xml:space="preserve"> </w:t>
      </w:r>
      <w:r w:rsidRPr="007944F8">
        <w:rPr>
          <w:sz w:val="22"/>
          <w:lang w:val="fr-FR"/>
        </w:rPr>
        <w:t xml:space="preserve">indésirables, qui étaient </w:t>
      </w:r>
      <w:r w:rsidR="00C066F1" w:rsidRPr="007944F8">
        <w:rPr>
          <w:sz w:val="22"/>
          <w:lang w:val="fr-FR"/>
        </w:rPr>
        <w:t>principalement</w:t>
      </w:r>
      <w:r w:rsidRPr="007944F8">
        <w:rPr>
          <w:sz w:val="22"/>
          <w:lang w:val="fr-FR"/>
        </w:rPr>
        <w:t xml:space="preserve"> légers ou modérés</w:t>
      </w:r>
      <w:r w:rsidR="00C066F1" w:rsidRPr="007944F8">
        <w:rPr>
          <w:sz w:val="22"/>
          <w:lang w:val="fr-FR"/>
        </w:rPr>
        <w:t xml:space="preserve"> (voir rub</w:t>
      </w:r>
      <w:r w:rsidR="002A3543" w:rsidRPr="007944F8">
        <w:rPr>
          <w:sz w:val="22"/>
          <w:lang w:val="fr-FR"/>
        </w:rPr>
        <w:t>r</w:t>
      </w:r>
      <w:r w:rsidR="00C066F1" w:rsidRPr="007944F8">
        <w:rPr>
          <w:sz w:val="22"/>
          <w:lang w:val="fr-FR"/>
        </w:rPr>
        <w:t>ique</w:t>
      </w:r>
      <w:r w:rsidR="00762D72" w:rsidRPr="007944F8">
        <w:rPr>
          <w:sz w:val="22"/>
          <w:lang w:val="fr-FR"/>
        </w:rPr>
        <w:t> </w:t>
      </w:r>
      <w:r w:rsidR="00C066F1" w:rsidRPr="007944F8">
        <w:rPr>
          <w:sz w:val="22"/>
          <w:lang w:val="fr-FR"/>
        </w:rPr>
        <w:t>4.8)</w:t>
      </w:r>
      <w:r w:rsidRPr="007944F8">
        <w:rPr>
          <w:sz w:val="22"/>
          <w:lang w:val="fr-FR"/>
        </w:rPr>
        <w:t>.</w:t>
      </w:r>
    </w:p>
    <w:bookmarkEnd w:id="102"/>
    <w:p w14:paraId="311088DE" w14:textId="77777777" w:rsidR="00CC596E" w:rsidRPr="007944F8" w:rsidRDefault="00CC596E" w:rsidP="00E96874">
      <w:pPr>
        <w:widowControl w:val="0"/>
        <w:tabs>
          <w:tab w:val="clear" w:pos="567"/>
        </w:tabs>
        <w:autoSpaceDE w:val="0"/>
        <w:autoSpaceDN w:val="0"/>
        <w:adjustRightInd w:val="0"/>
        <w:spacing w:line="240" w:lineRule="auto"/>
        <w:rPr>
          <w:szCs w:val="22"/>
          <w:lang w:val="x-none"/>
        </w:rPr>
      </w:pPr>
    </w:p>
    <w:p w14:paraId="625F8AD5" w14:textId="77777777" w:rsidR="00812D16" w:rsidRPr="007944F8" w:rsidRDefault="00812D16" w:rsidP="00BE7F7C">
      <w:pPr>
        <w:keepNext/>
        <w:widowControl w:val="0"/>
        <w:tabs>
          <w:tab w:val="clear" w:pos="567"/>
        </w:tabs>
        <w:spacing w:line="240" w:lineRule="auto"/>
        <w:outlineLvl w:val="0"/>
        <w:rPr>
          <w:bCs/>
          <w:iCs/>
          <w:szCs w:val="22"/>
        </w:rPr>
      </w:pPr>
      <w:r w:rsidRPr="007944F8">
        <w:rPr>
          <w:u w:val="single"/>
        </w:rPr>
        <w:t>Population pédiatrique</w:t>
      </w:r>
    </w:p>
    <w:p w14:paraId="065DF396" w14:textId="77777777" w:rsidR="00F64EEA" w:rsidRPr="007944F8" w:rsidRDefault="00F64EEA" w:rsidP="00E96874">
      <w:pPr>
        <w:keepNext/>
        <w:widowControl w:val="0"/>
        <w:spacing w:line="240" w:lineRule="auto"/>
      </w:pPr>
    </w:p>
    <w:p w14:paraId="5D566BAD" w14:textId="77777777" w:rsidR="008D6BE8" w:rsidRPr="007944F8" w:rsidRDefault="00812D16" w:rsidP="00E96874">
      <w:pPr>
        <w:widowControl w:val="0"/>
        <w:spacing w:line="240" w:lineRule="auto"/>
      </w:pPr>
      <w:r w:rsidRPr="007944F8">
        <w:t>L’Agence européenne des médicaments a accordé une dérogation à l’obligation de soumettre les résultats d’études réalisées avec Odomzo dans tous les sous-groupes de la population pédiatrique dans le carcinome basocellulaire (voir rubrique 4.2 pour les informations concernant l’usage pédiatrique).</w:t>
      </w:r>
    </w:p>
    <w:p w14:paraId="576DAFCD" w14:textId="77777777" w:rsidR="002B7E7E" w:rsidRDefault="002B7E7E" w:rsidP="00E96874">
      <w:pPr>
        <w:widowControl w:val="0"/>
        <w:numPr>
          <w:ilvl w:val="12"/>
          <w:numId w:val="0"/>
        </w:numPr>
        <w:tabs>
          <w:tab w:val="clear" w:pos="567"/>
        </w:tabs>
        <w:spacing w:line="240" w:lineRule="auto"/>
        <w:ind w:right="-2"/>
        <w:rPr>
          <w:iCs/>
          <w:noProof/>
          <w:szCs w:val="22"/>
        </w:rPr>
      </w:pPr>
    </w:p>
    <w:p w14:paraId="25FE3127" w14:textId="77777777" w:rsidR="0024639C" w:rsidRDefault="0024639C" w:rsidP="00E96874">
      <w:pPr>
        <w:widowControl w:val="0"/>
        <w:numPr>
          <w:ilvl w:val="12"/>
          <w:numId w:val="0"/>
        </w:numPr>
        <w:tabs>
          <w:tab w:val="clear" w:pos="567"/>
        </w:tabs>
        <w:spacing w:line="240" w:lineRule="auto"/>
        <w:ind w:right="-2"/>
        <w:rPr>
          <w:lang w:val="fr-BE"/>
        </w:rPr>
      </w:pPr>
      <w:r w:rsidRPr="0076380D">
        <w:rPr>
          <w:lang w:val="fr-BE"/>
        </w:rPr>
        <w:t>L'innocuité et l'efficacité du sonid</w:t>
      </w:r>
      <w:r w:rsidR="00931E42">
        <w:rPr>
          <w:lang w:val="fr-BE"/>
        </w:rPr>
        <w:t>é</w:t>
      </w:r>
      <w:r w:rsidRPr="0076380D">
        <w:rPr>
          <w:lang w:val="fr-BE"/>
        </w:rPr>
        <w:t xml:space="preserve">gib ont été étudiées dans le cadre de deux études cliniques menées chez 62 patients pédiatriques au total. L'étude CLDE225X2104 était une étude de phase I/II du </w:t>
      </w:r>
      <w:r w:rsidR="00931E42" w:rsidRPr="0076380D">
        <w:rPr>
          <w:lang w:val="fr-BE"/>
        </w:rPr>
        <w:t>sonid</w:t>
      </w:r>
      <w:r w:rsidR="00931E42">
        <w:rPr>
          <w:lang w:val="fr-BE"/>
        </w:rPr>
        <w:t>é</w:t>
      </w:r>
      <w:r w:rsidR="00931E42" w:rsidRPr="0076380D">
        <w:rPr>
          <w:lang w:val="fr-BE"/>
        </w:rPr>
        <w:t xml:space="preserve">gib </w:t>
      </w:r>
      <w:r w:rsidRPr="0076380D">
        <w:rPr>
          <w:lang w:val="fr-BE"/>
        </w:rPr>
        <w:t xml:space="preserve">menée chez des patients pédiatriques atteints d'un médulloblastome récidivant ou réfractaire ou d'autres tumeurs potentiellement dépendantes de la voie de signalisation Hedgehog (Hh) et chez des patients adultes atteints d'un médulloblastome récidivant ou réfractaire. L'étude CLDE225C2301 était une étude de phase II, multicentrique, en ouvert, à un seul bras menée sur l'efficacité et l'innocuité du </w:t>
      </w:r>
      <w:r w:rsidR="00931E42" w:rsidRPr="0076380D">
        <w:rPr>
          <w:lang w:val="fr-BE"/>
        </w:rPr>
        <w:t>sonid</w:t>
      </w:r>
      <w:r w:rsidR="00931E42">
        <w:rPr>
          <w:lang w:val="fr-BE"/>
        </w:rPr>
        <w:t>é</w:t>
      </w:r>
      <w:r w:rsidR="00931E42" w:rsidRPr="0076380D">
        <w:rPr>
          <w:lang w:val="fr-BE"/>
        </w:rPr>
        <w:t xml:space="preserve">gib </w:t>
      </w:r>
      <w:r w:rsidRPr="0076380D">
        <w:rPr>
          <w:lang w:val="fr-BE"/>
        </w:rPr>
        <w:t>par voie orale chez des patients présentant une rechute de médulloblastome activé par Hh. Les résultats indiquent un manque d'efficacité significatif malgré la stratégie d'enrichissement axée sur le médulloblastome activé par Hh.</w:t>
      </w:r>
    </w:p>
    <w:p w14:paraId="23B06B4E" w14:textId="77777777" w:rsidR="0024639C" w:rsidRPr="007944F8" w:rsidRDefault="0024639C" w:rsidP="00E96874">
      <w:pPr>
        <w:widowControl w:val="0"/>
        <w:numPr>
          <w:ilvl w:val="12"/>
          <w:numId w:val="0"/>
        </w:numPr>
        <w:tabs>
          <w:tab w:val="clear" w:pos="567"/>
        </w:tabs>
        <w:spacing w:line="240" w:lineRule="auto"/>
        <w:ind w:right="-2"/>
        <w:rPr>
          <w:iCs/>
          <w:noProof/>
          <w:szCs w:val="22"/>
        </w:rPr>
      </w:pPr>
    </w:p>
    <w:p w14:paraId="42114369" w14:textId="77777777" w:rsidR="00812D16" w:rsidRPr="007944F8" w:rsidRDefault="00812D16" w:rsidP="00BE7F7C">
      <w:pPr>
        <w:keepNext/>
        <w:widowControl w:val="0"/>
        <w:outlineLvl w:val="0"/>
        <w:rPr>
          <w:b/>
          <w:noProof/>
        </w:rPr>
      </w:pPr>
      <w:r w:rsidRPr="007944F8">
        <w:rPr>
          <w:b/>
        </w:rPr>
        <w:t>5.2</w:t>
      </w:r>
      <w:r w:rsidRPr="007944F8">
        <w:tab/>
      </w:r>
      <w:r w:rsidRPr="007944F8">
        <w:rPr>
          <w:b/>
        </w:rPr>
        <w:t>Propriétés pharmacodynamiques</w:t>
      </w:r>
    </w:p>
    <w:p w14:paraId="2B53F634" w14:textId="77777777" w:rsidR="00812D16" w:rsidRPr="007944F8" w:rsidRDefault="00812D16" w:rsidP="00E93E8B">
      <w:pPr>
        <w:keepNext/>
        <w:widowControl w:val="0"/>
        <w:spacing w:line="240" w:lineRule="auto"/>
        <w:rPr>
          <w:noProof/>
        </w:rPr>
      </w:pPr>
    </w:p>
    <w:p w14:paraId="4F18E150" w14:textId="77777777" w:rsidR="00812D16" w:rsidRPr="007944F8" w:rsidRDefault="00497D80" w:rsidP="00BE7F7C">
      <w:pPr>
        <w:keepNext/>
        <w:widowControl w:val="0"/>
        <w:numPr>
          <w:ilvl w:val="12"/>
          <w:numId w:val="0"/>
        </w:numPr>
        <w:tabs>
          <w:tab w:val="clear" w:pos="567"/>
        </w:tabs>
        <w:spacing w:line="240" w:lineRule="auto"/>
        <w:ind w:right="-2"/>
        <w:outlineLvl w:val="0"/>
        <w:rPr>
          <w:u w:val="single"/>
        </w:rPr>
      </w:pPr>
      <w:r w:rsidRPr="007944F8">
        <w:rPr>
          <w:u w:val="single"/>
        </w:rPr>
        <w:t>Absorption</w:t>
      </w:r>
    </w:p>
    <w:p w14:paraId="08888B4A" w14:textId="77777777" w:rsidR="00D8245B" w:rsidRPr="007944F8" w:rsidRDefault="00D8245B" w:rsidP="00E96874">
      <w:pPr>
        <w:keepNext/>
        <w:widowControl w:val="0"/>
        <w:numPr>
          <w:ilvl w:val="12"/>
          <w:numId w:val="0"/>
        </w:numPr>
        <w:tabs>
          <w:tab w:val="clear" w:pos="567"/>
        </w:tabs>
        <w:spacing w:line="240" w:lineRule="auto"/>
        <w:ind w:right="-2"/>
        <w:rPr>
          <w:iCs/>
          <w:noProof/>
          <w:szCs w:val="22"/>
        </w:rPr>
      </w:pPr>
    </w:p>
    <w:p w14:paraId="79544576" w14:textId="77777777" w:rsidR="00497D80" w:rsidRPr="007944F8" w:rsidRDefault="0042023E" w:rsidP="00E96874">
      <w:pPr>
        <w:widowControl w:val="0"/>
        <w:numPr>
          <w:ilvl w:val="12"/>
          <w:numId w:val="0"/>
        </w:numPr>
        <w:tabs>
          <w:tab w:val="clear" w:pos="567"/>
        </w:tabs>
        <w:spacing w:line="240" w:lineRule="auto"/>
        <w:ind w:right="-2"/>
        <w:rPr>
          <w:iCs/>
          <w:noProof/>
          <w:szCs w:val="22"/>
        </w:rPr>
      </w:pPr>
      <w:r w:rsidRPr="007944F8">
        <w:t>Suite à</w:t>
      </w:r>
      <w:r w:rsidR="00497D80" w:rsidRPr="007944F8">
        <w:t xml:space="preserve"> l’administration </w:t>
      </w:r>
      <w:r w:rsidRPr="007944F8">
        <w:t>en dehors d’une prise alimentaire</w:t>
      </w:r>
      <w:r w:rsidR="007A6117" w:rsidRPr="007944F8">
        <w:t xml:space="preserve"> </w:t>
      </w:r>
      <w:r w:rsidR="00497D80" w:rsidRPr="007944F8">
        <w:t>d’une dose unique d’</w:t>
      </w:r>
      <w:r w:rsidRPr="007944F8">
        <w:t xml:space="preserve">Odomzo (100 mg à 3 000 mg) </w:t>
      </w:r>
      <w:r w:rsidR="00497D80" w:rsidRPr="007944F8">
        <w:t>chez des patients atteints d’un cancer, le temps médian pour atteindre le pic de concentration (T</w:t>
      </w:r>
      <w:r w:rsidR="00497D80" w:rsidRPr="007944F8">
        <w:rPr>
          <w:noProof/>
          <w:vertAlign w:val="subscript"/>
        </w:rPr>
        <w:t>max</w:t>
      </w:r>
      <w:r w:rsidRPr="007944F8">
        <w:t>) était de 2 à 4 heures. S</w:t>
      </w:r>
      <w:r w:rsidR="00497D80" w:rsidRPr="007944F8">
        <w:t>onidégib a montré des augmentations de l’ASC et de C</w:t>
      </w:r>
      <w:r w:rsidR="00497D80" w:rsidRPr="007944F8">
        <w:rPr>
          <w:noProof/>
          <w:vertAlign w:val="subscript"/>
        </w:rPr>
        <w:t>max</w:t>
      </w:r>
      <w:r w:rsidR="00497D80" w:rsidRPr="007944F8">
        <w:t xml:space="preserve"> proportionnelles à la dose pour des doses allant de 100 mg à 400 mg, ma</w:t>
      </w:r>
      <w:r w:rsidRPr="007944F8">
        <w:t>is inférieures aux</w:t>
      </w:r>
      <w:r w:rsidR="00497D80" w:rsidRPr="007944F8">
        <w:t xml:space="preserve"> augmentations proportionnelles </w:t>
      </w:r>
      <w:r w:rsidRPr="007944F8">
        <w:t>pour les</w:t>
      </w:r>
      <w:r w:rsidR="00497D80" w:rsidRPr="007944F8">
        <w:t xml:space="preserve"> dose</w:t>
      </w:r>
      <w:r w:rsidRPr="007944F8">
        <w:t>s</w:t>
      </w:r>
      <w:r w:rsidR="00497D80" w:rsidRPr="007944F8">
        <w:t xml:space="preserve"> </w:t>
      </w:r>
      <w:r w:rsidRPr="007944F8">
        <w:t>supérieures à</w:t>
      </w:r>
      <w:r w:rsidR="00497D80" w:rsidRPr="007944F8">
        <w:t xml:space="preserve"> 400 mg. D’après l’analyse pharmacocinétique de population, aucune modification de la clairance n’a été mise en évidence après une administration répétée et l’accumulation estimée, à l’état d’équilibre, était 19 fois supérieure, quelle que soit la dose. L’état d’équilibre a été atteint environ 4 mois apr</w:t>
      </w:r>
      <w:r w:rsidR="00561ED8" w:rsidRPr="007944F8">
        <w:t>ès le début du traitement par</w:t>
      </w:r>
      <w:r w:rsidR="00497D80" w:rsidRPr="007944F8">
        <w:t xml:space="preserve"> sonidégib. La C</w:t>
      </w:r>
      <w:r w:rsidR="00497D80" w:rsidRPr="007944F8">
        <w:rPr>
          <w:noProof/>
          <w:vertAlign w:val="subscript"/>
        </w:rPr>
        <w:t>min</w:t>
      </w:r>
      <w:r w:rsidR="00497D80" w:rsidRPr="007944F8">
        <w:t xml:space="preserve"> moyenne, à l’état d’équilibre, pour 200 mg était de 830 ng/ml (étendue : de 200 à 2 400 ng/ml) chez les patients atteints d’un cancer. Comparées à l’administration à jeun, la C</w:t>
      </w:r>
      <w:r w:rsidR="00497D80" w:rsidRPr="007944F8">
        <w:rPr>
          <w:noProof/>
          <w:vertAlign w:val="subscript"/>
        </w:rPr>
        <w:t>max</w:t>
      </w:r>
      <w:r w:rsidR="00497D80" w:rsidRPr="007944F8">
        <w:t xml:space="preserve"> et l’ASC d’Odomzo 800 mg étaient 7,8 fois et 7,4 fois plus élevées, respectivement, lorsque la dose était administrée avec un repas riche en lipides.</w:t>
      </w:r>
      <w:r w:rsidR="00591152">
        <w:t xml:space="preserve"> </w:t>
      </w:r>
      <w:r w:rsidR="00591152" w:rsidRPr="007944F8">
        <w:t>Comparées à l’administration à jeun, la C</w:t>
      </w:r>
      <w:r w:rsidR="00591152" w:rsidRPr="007944F8">
        <w:rPr>
          <w:noProof/>
          <w:vertAlign w:val="subscript"/>
        </w:rPr>
        <w:t>max</w:t>
      </w:r>
      <w:r w:rsidR="00591152">
        <w:t xml:space="preserve"> et l’ASC d’Odomzo 200 mg étaient 2,8 fois et 3,5 fois plus élevées, respectivement</w:t>
      </w:r>
      <w:r w:rsidR="00723CCF">
        <w:t>,</w:t>
      </w:r>
      <w:r w:rsidR="00591152">
        <w:t xml:space="preserve"> lorsque la dose </w:t>
      </w:r>
      <w:r w:rsidR="00723CCF">
        <w:t xml:space="preserve">était </w:t>
      </w:r>
      <w:r w:rsidR="00591152">
        <w:t xml:space="preserve">administrée avec un repas léger. </w:t>
      </w:r>
      <w:r w:rsidR="00591152" w:rsidRPr="007944F8">
        <w:t>Comparées à l’administration à jeun, la C</w:t>
      </w:r>
      <w:r w:rsidR="00591152" w:rsidRPr="007944F8">
        <w:rPr>
          <w:noProof/>
          <w:vertAlign w:val="subscript"/>
        </w:rPr>
        <w:t>max</w:t>
      </w:r>
      <w:r w:rsidR="00591152">
        <w:t xml:space="preserve"> et l’ASC d’Odomzo 200 mg étaient 1,8 fois et 1,6 fois plus élevées, respectivement</w:t>
      </w:r>
      <w:r w:rsidR="00723CCF">
        <w:t>,</w:t>
      </w:r>
      <w:r w:rsidR="00591152">
        <w:t xml:space="preserve"> lorsqu’un repas modéré </w:t>
      </w:r>
      <w:r w:rsidR="00723CCF">
        <w:t>a été</w:t>
      </w:r>
      <w:r w:rsidR="00591152">
        <w:t xml:space="preserve"> pris 2 heures avant l’administration. Un repas modéré pris 1 heure après l’administration d’Odomzo 200 mg</w:t>
      </w:r>
      <w:r w:rsidR="00A9649D">
        <w:t xml:space="preserve"> </w:t>
      </w:r>
      <w:r w:rsidR="00D2101D">
        <w:t xml:space="preserve">a montré des </w:t>
      </w:r>
      <w:r w:rsidR="00A9649D">
        <w:t>exposition</w:t>
      </w:r>
      <w:r w:rsidR="00D2101D">
        <w:t>s</w:t>
      </w:r>
      <w:r w:rsidR="00A9649D">
        <w:t xml:space="preserve"> semblables </w:t>
      </w:r>
      <w:r w:rsidR="00723CCF">
        <w:t>compar</w:t>
      </w:r>
      <w:r w:rsidR="00D2101D">
        <w:t>ées</w:t>
      </w:r>
      <w:r w:rsidR="00723CCF">
        <w:t xml:space="preserve"> à un état de jeû</w:t>
      </w:r>
      <w:r w:rsidR="00A9649D">
        <w:t>ne.</w:t>
      </w:r>
    </w:p>
    <w:p w14:paraId="30F9A6D2" w14:textId="77777777" w:rsidR="00497D80" w:rsidRPr="007944F8" w:rsidRDefault="00497D80" w:rsidP="00E96874">
      <w:pPr>
        <w:widowControl w:val="0"/>
        <w:numPr>
          <w:ilvl w:val="12"/>
          <w:numId w:val="0"/>
        </w:numPr>
        <w:tabs>
          <w:tab w:val="clear" w:pos="567"/>
        </w:tabs>
        <w:spacing w:line="240" w:lineRule="auto"/>
        <w:ind w:right="-2"/>
      </w:pPr>
    </w:p>
    <w:p w14:paraId="74818FF1" w14:textId="77777777" w:rsidR="00812D16" w:rsidRPr="007944F8" w:rsidRDefault="00497D80" w:rsidP="00E96874">
      <w:pPr>
        <w:keepNext/>
        <w:widowControl w:val="0"/>
        <w:numPr>
          <w:ilvl w:val="12"/>
          <w:numId w:val="0"/>
        </w:numPr>
        <w:tabs>
          <w:tab w:val="clear" w:pos="567"/>
        </w:tabs>
        <w:spacing w:line="240" w:lineRule="auto"/>
        <w:rPr>
          <w:u w:val="single"/>
        </w:rPr>
      </w:pPr>
      <w:r w:rsidRPr="007944F8">
        <w:rPr>
          <w:u w:val="single"/>
        </w:rPr>
        <w:t>Distribution</w:t>
      </w:r>
    </w:p>
    <w:p w14:paraId="297BFF99" w14:textId="77777777" w:rsidR="00D8245B" w:rsidRPr="007944F8" w:rsidRDefault="00D8245B" w:rsidP="00E96874">
      <w:pPr>
        <w:keepNext/>
        <w:widowControl w:val="0"/>
        <w:numPr>
          <w:ilvl w:val="12"/>
          <w:numId w:val="0"/>
        </w:numPr>
        <w:tabs>
          <w:tab w:val="clear" w:pos="567"/>
        </w:tabs>
        <w:spacing w:line="240" w:lineRule="auto"/>
        <w:rPr>
          <w:iCs/>
          <w:noProof/>
          <w:szCs w:val="22"/>
        </w:rPr>
      </w:pPr>
    </w:p>
    <w:p w14:paraId="15094B8E" w14:textId="77777777" w:rsidR="00497D80" w:rsidRPr="007944F8" w:rsidRDefault="00497D80" w:rsidP="00E96874">
      <w:pPr>
        <w:widowControl w:val="0"/>
        <w:numPr>
          <w:ilvl w:val="12"/>
          <w:numId w:val="0"/>
        </w:numPr>
        <w:tabs>
          <w:tab w:val="clear" w:pos="567"/>
        </w:tabs>
        <w:spacing w:line="240" w:lineRule="auto"/>
        <w:ind w:right="-2"/>
        <w:rPr>
          <w:iCs/>
          <w:noProof/>
          <w:szCs w:val="22"/>
        </w:rPr>
      </w:pPr>
      <w:r w:rsidRPr="007944F8">
        <w:t xml:space="preserve">Sur la base d’une analyse pharmacocinétique de population portant sur 351 patients ayant reçu, par voie orale, des doses d’Odomzo allant de 100 mg à 3 000 mg, le volume de distribution apparent à l’état d’équilibre (Vss/F) était de 9 170 litres. </w:t>
      </w:r>
      <w:r w:rsidR="00063C0A">
        <w:t>A</w:t>
      </w:r>
      <w:r w:rsidR="0042023E" w:rsidRPr="007944F8">
        <w:t xml:space="preserve"> l’état d’équilibre, l</w:t>
      </w:r>
      <w:r w:rsidRPr="007944F8">
        <w:t>e</w:t>
      </w:r>
      <w:r w:rsidR="007A6117" w:rsidRPr="007944F8">
        <w:t xml:space="preserve"> taux de sonidégib dans la peau</w:t>
      </w:r>
      <w:r w:rsidRPr="007944F8">
        <w:t xml:space="preserve"> était 6 fois plus élevé que dans le plasma.</w:t>
      </w:r>
    </w:p>
    <w:p w14:paraId="20A43831" w14:textId="77777777" w:rsidR="00D8245B" w:rsidRPr="007944F8" w:rsidRDefault="00D8245B" w:rsidP="00E96874">
      <w:pPr>
        <w:widowControl w:val="0"/>
        <w:numPr>
          <w:ilvl w:val="12"/>
          <w:numId w:val="0"/>
        </w:numPr>
        <w:tabs>
          <w:tab w:val="clear" w:pos="567"/>
        </w:tabs>
        <w:spacing w:line="240" w:lineRule="auto"/>
        <w:ind w:right="-2"/>
        <w:rPr>
          <w:iCs/>
          <w:noProof/>
          <w:szCs w:val="22"/>
        </w:rPr>
      </w:pPr>
    </w:p>
    <w:p w14:paraId="570C6CB7" w14:textId="77777777" w:rsidR="00830F80" w:rsidRPr="007944F8" w:rsidRDefault="0042023E" w:rsidP="00E96874">
      <w:pPr>
        <w:widowControl w:val="0"/>
        <w:numPr>
          <w:ilvl w:val="12"/>
          <w:numId w:val="0"/>
        </w:numPr>
        <w:tabs>
          <w:tab w:val="clear" w:pos="567"/>
        </w:tabs>
        <w:spacing w:line="240" w:lineRule="auto"/>
        <w:ind w:right="-2"/>
        <w:rPr>
          <w:iCs/>
          <w:noProof/>
          <w:szCs w:val="22"/>
        </w:rPr>
      </w:pPr>
      <w:r w:rsidRPr="007944F8">
        <w:t>S</w:t>
      </w:r>
      <w:r w:rsidR="00497D80" w:rsidRPr="007944F8">
        <w:t>onidégib était fortement lié aux protéines plasmatiques humaines (albumine sérique et alpha</w:t>
      </w:r>
      <w:r w:rsidR="00497D80" w:rsidRPr="007944F8">
        <w:noBreakHyphen/>
        <w:t>1</w:t>
      </w:r>
      <w:r w:rsidR="00497D80" w:rsidRPr="007944F8">
        <w:noBreakHyphen/>
        <w:t xml:space="preserve">glycoprotéine acide humaines) </w:t>
      </w:r>
      <w:r w:rsidR="00497D80" w:rsidRPr="007944F8">
        <w:rPr>
          <w:i/>
          <w:noProof/>
        </w:rPr>
        <w:t>in vitro</w:t>
      </w:r>
      <w:r w:rsidR="00497D80" w:rsidRPr="007944F8">
        <w:t xml:space="preserve"> (&gt; 97 %), et la liaison n’était pas dépendante de la concentration de 1 ng/ml à 2 500 ng/ml.</w:t>
      </w:r>
    </w:p>
    <w:p w14:paraId="12B39C2C" w14:textId="77777777" w:rsidR="001A12EC" w:rsidRPr="007944F8" w:rsidRDefault="001A12EC" w:rsidP="00E96874">
      <w:pPr>
        <w:widowControl w:val="0"/>
        <w:numPr>
          <w:ilvl w:val="12"/>
          <w:numId w:val="0"/>
        </w:numPr>
        <w:tabs>
          <w:tab w:val="clear" w:pos="567"/>
        </w:tabs>
        <w:spacing w:line="240" w:lineRule="auto"/>
        <w:ind w:right="-2"/>
      </w:pPr>
    </w:p>
    <w:p w14:paraId="0F7B08D9" w14:textId="77777777" w:rsidR="00497D80" w:rsidRPr="007944F8" w:rsidRDefault="0042023E" w:rsidP="00E96874">
      <w:pPr>
        <w:widowControl w:val="0"/>
        <w:numPr>
          <w:ilvl w:val="12"/>
          <w:numId w:val="0"/>
        </w:numPr>
        <w:tabs>
          <w:tab w:val="clear" w:pos="567"/>
        </w:tabs>
        <w:spacing w:line="240" w:lineRule="auto"/>
        <w:ind w:right="-2"/>
        <w:rPr>
          <w:iCs/>
          <w:noProof/>
          <w:szCs w:val="22"/>
        </w:rPr>
      </w:pPr>
      <w:r w:rsidRPr="007944F8">
        <w:t>Sur la base</w:t>
      </w:r>
      <w:r w:rsidR="001433D8" w:rsidRPr="007944F8">
        <w:t xml:space="preserve"> </w:t>
      </w:r>
      <w:r w:rsidRPr="007944F8">
        <w:t>d</w:t>
      </w:r>
      <w:r w:rsidR="001433D8" w:rsidRPr="007944F8">
        <w:t xml:space="preserve">es données </w:t>
      </w:r>
      <w:r w:rsidR="001433D8" w:rsidRPr="007944F8">
        <w:rPr>
          <w:i/>
        </w:rPr>
        <w:t>in vitro</w:t>
      </w:r>
      <w:r w:rsidR="00561ED8" w:rsidRPr="007944F8">
        <w:t>,</w:t>
      </w:r>
      <w:r w:rsidR="001433D8" w:rsidRPr="007944F8">
        <w:t xml:space="preserve"> sonidégib n’est pas un substrat des protéines P</w:t>
      </w:r>
      <w:r w:rsidR="001433D8" w:rsidRPr="007944F8">
        <w:noBreakHyphen/>
        <w:t>gp, BCRP ou MRP2 (multi</w:t>
      </w:r>
      <w:r w:rsidR="001433D8" w:rsidRPr="007944F8">
        <w:noBreakHyphen/>
        <w:t xml:space="preserve">resistance protein 2). </w:t>
      </w:r>
      <w:r w:rsidR="0041645F">
        <w:t>A</w:t>
      </w:r>
      <w:r w:rsidR="001433D8" w:rsidRPr="007944F8">
        <w:t xml:space="preserve"> des concentrations cliniquement significatives, sonidégib n’est pas un inhibiteur des transporteurs d’efflux apicaux, P</w:t>
      </w:r>
      <w:r w:rsidR="001433D8" w:rsidRPr="007944F8">
        <w:noBreakHyphen/>
        <w:t>gp ou MRP2, des transporteurs d’influx hépatiques OATP1B1 et OATP1B3, des transporteurs rénaux d’anions organiques OAT1 et OAT3 ni des transporteurs de cations organiques OCT1 et OCT2.</w:t>
      </w:r>
    </w:p>
    <w:p w14:paraId="7E0F1D88" w14:textId="77777777" w:rsidR="00497D80" w:rsidRPr="007944F8" w:rsidRDefault="00497D80" w:rsidP="00E96874">
      <w:pPr>
        <w:widowControl w:val="0"/>
        <w:numPr>
          <w:ilvl w:val="12"/>
          <w:numId w:val="0"/>
        </w:numPr>
        <w:tabs>
          <w:tab w:val="clear" w:pos="567"/>
        </w:tabs>
        <w:spacing w:line="240" w:lineRule="auto"/>
        <w:ind w:right="-2"/>
      </w:pPr>
    </w:p>
    <w:p w14:paraId="24ECED28" w14:textId="77777777" w:rsidR="00812D16" w:rsidRPr="007944F8" w:rsidRDefault="00497D80" w:rsidP="00BE7F7C">
      <w:pPr>
        <w:keepNext/>
        <w:widowControl w:val="0"/>
        <w:numPr>
          <w:ilvl w:val="12"/>
          <w:numId w:val="0"/>
        </w:numPr>
        <w:tabs>
          <w:tab w:val="clear" w:pos="567"/>
        </w:tabs>
        <w:spacing w:line="240" w:lineRule="auto"/>
        <w:outlineLvl w:val="0"/>
        <w:rPr>
          <w:u w:val="single"/>
        </w:rPr>
      </w:pPr>
      <w:r w:rsidRPr="007944F8">
        <w:rPr>
          <w:u w:val="single"/>
        </w:rPr>
        <w:t>Biotransformation</w:t>
      </w:r>
    </w:p>
    <w:p w14:paraId="3052F006" w14:textId="77777777" w:rsidR="00D8245B" w:rsidRPr="007944F8" w:rsidRDefault="00D8245B" w:rsidP="00E96874">
      <w:pPr>
        <w:keepNext/>
        <w:widowControl w:val="0"/>
        <w:numPr>
          <w:ilvl w:val="12"/>
          <w:numId w:val="0"/>
        </w:numPr>
        <w:tabs>
          <w:tab w:val="clear" w:pos="567"/>
        </w:tabs>
        <w:spacing w:line="240" w:lineRule="auto"/>
        <w:rPr>
          <w:iCs/>
          <w:noProof/>
          <w:szCs w:val="22"/>
        </w:rPr>
      </w:pPr>
    </w:p>
    <w:p w14:paraId="78CEDD82" w14:textId="77777777" w:rsidR="00497D80" w:rsidRPr="007944F8" w:rsidRDefault="0042023E" w:rsidP="00E96874">
      <w:pPr>
        <w:widowControl w:val="0"/>
        <w:numPr>
          <w:ilvl w:val="12"/>
          <w:numId w:val="0"/>
        </w:numPr>
        <w:tabs>
          <w:tab w:val="clear" w:pos="567"/>
        </w:tabs>
        <w:spacing w:line="240" w:lineRule="auto"/>
        <w:ind w:right="-2"/>
        <w:rPr>
          <w:iCs/>
          <w:noProof/>
          <w:szCs w:val="22"/>
        </w:rPr>
      </w:pPr>
      <w:r w:rsidRPr="007944F8">
        <w:t>S</w:t>
      </w:r>
      <w:r w:rsidR="00497D80" w:rsidRPr="007944F8">
        <w:t>onidégib est principaleme</w:t>
      </w:r>
      <w:r w:rsidRPr="007944F8">
        <w:t>nt métabolisé par le CYP3A4. S</w:t>
      </w:r>
      <w:r w:rsidR="00497D80" w:rsidRPr="007944F8">
        <w:t xml:space="preserve">onidégib sous forme inchangée représentait 36 % de la radioactivité circulante et le principal métabolite circulant (45 % de l’exposition à la molécule mère) identifié dans le plasma </w:t>
      </w:r>
      <w:r w:rsidRPr="007944F8">
        <w:t>est le produit de l’hydrolyse de</w:t>
      </w:r>
      <w:r w:rsidR="00497D80" w:rsidRPr="007944F8">
        <w:t xml:space="preserve"> sonidégib, qui est pharmacologiquement inactif. Tous les métabolites ont été jugés comme étant 4 </w:t>
      </w:r>
      <w:r w:rsidRPr="007944F8">
        <w:t>à 90 fois moins puissants que</w:t>
      </w:r>
      <w:r w:rsidR="00497D80" w:rsidRPr="007944F8">
        <w:t xml:space="preserve"> sonidégib.</w:t>
      </w:r>
    </w:p>
    <w:p w14:paraId="3314C16F" w14:textId="77777777" w:rsidR="00497D80" w:rsidRPr="007944F8" w:rsidRDefault="00497D80" w:rsidP="00E96874">
      <w:pPr>
        <w:widowControl w:val="0"/>
        <w:numPr>
          <w:ilvl w:val="12"/>
          <w:numId w:val="0"/>
        </w:numPr>
        <w:tabs>
          <w:tab w:val="clear" w:pos="567"/>
        </w:tabs>
        <w:spacing w:line="240" w:lineRule="auto"/>
        <w:ind w:right="-2"/>
      </w:pPr>
    </w:p>
    <w:p w14:paraId="3E4D86E2" w14:textId="77777777" w:rsidR="00812D16" w:rsidRPr="007944F8" w:rsidRDefault="00497D80" w:rsidP="00BE7F7C">
      <w:pPr>
        <w:keepNext/>
        <w:widowControl w:val="0"/>
        <w:numPr>
          <w:ilvl w:val="12"/>
          <w:numId w:val="0"/>
        </w:numPr>
        <w:tabs>
          <w:tab w:val="clear" w:pos="567"/>
        </w:tabs>
        <w:spacing w:line="240" w:lineRule="auto"/>
        <w:outlineLvl w:val="0"/>
        <w:rPr>
          <w:u w:val="single"/>
        </w:rPr>
      </w:pPr>
      <w:r w:rsidRPr="007944F8">
        <w:rPr>
          <w:u w:val="single"/>
        </w:rPr>
        <w:t>Élimination</w:t>
      </w:r>
    </w:p>
    <w:p w14:paraId="3F3C517C" w14:textId="77777777" w:rsidR="00D8245B" w:rsidRPr="007944F8" w:rsidRDefault="00D8245B" w:rsidP="00E96874">
      <w:pPr>
        <w:keepNext/>
        <w:widowControl w:val="0"/>
        <w:numPr>
          <w:ilvl w:val="12"/>
          <w:numId w:val="0"/>
        </w:numPr>
        <w:tabs>
          <w:tab w:val="clear" w:pos="567"/>
        </w:tabs>
        <w:spacing w:line="240" w:lineRule="auto"/>
        <w:rPr>
          <w:iCs/>
          <w:noProof/>
          <w:szCs w:val="22"/>
        </w:rPr>
      </w:pPr>
      <w:bookmarkStart w:id="106" w:name="_Toc259706947"/>
      <w:bookmarkStart w:id="107" w:name="_Toc259707119"/>
      <w:bookmarkStart w:id="108" w:name="_Toc259707182"/>
      <w:bookmarkStart w:id="109" w:name="_Toc259713128"/>
    </w:p>
    <w:p w14:paraId="080EE388" w14:textId="77777777" w:rsidR="00497D80" w:rsidRPr="007944F8" w:rsidRDefault="0042023E" w:rsidP="00E96874">
      <w:pPr>
        <w:widowControl w:val="0"/>
        <w:numPr>
          <w:ilvl w:val="12"/>
          <w:numId w:val="0"/>
        </w:numPr>
        <w:tabs>
          <w:tab w:val="clear" w:pos="567"/>
        </w:tabs>
        <w:spacing w:line="240" w:lineRule="auto"/>
        <w:ind w:right="-2"/>
        <w:rPr>
          <w:iCs/>
          <w:noProof/>
          <w:szCs w:val="22"/>
        </w:rPr>
      </w:pPr>
      <w:r w:rsidRPr="007944F8">
        <w:t>S</w:t>
      </w:r>
      <w:r w:rsidR="00497D80" w:rsidRPr="007944F8">
        <w:t xml:space="preserve">onidégib et ses métabolites sont </w:t>
      </w:r>
      <w:r w:rsidRPr="007944F8">
        <w:t>essentiellement</w:t>
      </w:r>
      <w:r w:rsidR="00497D80" w:rsidRPr="007944F8">
        <w:t xml:space="preserve"> éliminés par voie hépatique, 93,4 % de la dose administrée se retrouvant dans les fèces</w:t>
      </w:r>
      <w:r w:rsidRPr="007944F8">
        <w:t xml:space="preserve"> et 1,95 % dans les urines. S</w:t>
      </w:r>
      <w:r w:rsidR="00497D80" w:rsidRPr="007944F8">
        <w:t>onidégib sous forme inchangée</w:t>
      </w:r>
      <w:r w:rsidR="00522CDC" w:rsidRPr="007944F8">
        <w:t xml:space="preserve"> dans les fèces</w:t>
      </w:r>
      <w:r w:rsidR="00497D80" w:rsidRPr="007944F8">
        <w:t xml:space="preserve"> représentait 88,7 % de la dose administrée et n’était pas détectable dans les urines. La demi</w:t>
      </w:r>
      <w:r w:rsidR="00497D80" w:rsidRPr="007944F8">
        <w:noBreakHyphen/>
        <w:t>vie d’élimination (t</w:t>
      </w:r>
      <w:r w:rsidR="00497D80" w:rsidRPr="007944F8">
        <w:rPr>
          <w:noProof/>
          <w:vertAlign w:val="subscript"/>
        </w:rPr>
        <w:t>1/2</w:t>
      </w:r>
      <w:r w:rsidRPr="007944F8">
        <w:t>) de</w:t>
      </w:r>
      <w:r w:rsidR="00497D80" w:rsidRPr="007944F8">
        <w:t xml:space="preserve"> sonidégib estimée à partir d’une modélisation pharmacocinétique de population était d’environ 28 jours </w:t>
      </w:r>
      <w:bookmarkEnd w:id="106"/>
      <w:bookmarkEnd w:id="107"/>
      <w:bookmarkEnd w:id="108"/>
      <w:bookmarkEnd w:id="109"/>
    </w:p>
    <w:p w14:paraId="3E3B97F2" w14:textId="77777777" w:rsidR="00497D80" w:rsidRPr="007944F8" w:rsidRDefault="00497D80" w:rsidP="00E96874">
      <w:pPr>
        <w:widowControl w:val="0"/>
        <w:numPr>
          <w:ilvl w:val="12"/>
          <w:numId w:val="0"/>
        </w:numPr>
        <w:tabs>
          <w:tab w:val="clear" w:pos="567"/>
        </w:tabs>
        <w:spacing w:line="240" w:lineRule="auto"/>
        <w:ind w:right="-2"/>
      </w:pPr>
    </w:p>
    <w:p w14:paraId="0F40F9F5" w14:textId="77777777" w:rsidR="003650BA" w:rsidRPr="007944F8" w:rsidRDefault="00056F59" w:rsidP="00BE7F7C">
      <w:pPr>
        <w:keepNext/>
        <w:widowControl w:val="0"/>
        <w:tabs>
          <w:tab w:val="clear" w:pos="567"/>
        </w:tabs>
        <w:spacing w:line="240" w:lineRule="auto"/>
        <w:outlineLvl w:val="0"/>
        <w:rPr>
          <w:noProof/>
          <w:szCs w:val="22"/>
          <w:u w:val="single"/>
        </w:rPr>
      </w:pPr>
      <w:r w:rsidRPr="007944F8">
        <w:rPr>
          <w:noProof/>
          <w:u w:val="single"/>
        </w:rPr>
        <w:t>Populations particulières</w:t>
      </w:r>
    </w:p>
    <w:p w14:paraId="4AC1D3B7" w14:textId="77777777" w:rsidR="00D8245B" w:rsidRPr="007944F8" w:rsidRDefault="00D8245B" w:rsidP="00E96874">
      <w:pPr>
        <w:keepNext/>
        <w:widowControl w:val="0"/>
        <w:tabs>
          <w:tab w:val="clear" w:pos="567"/>
        </w:tabs>
        <w:spacing w:line="240" w:lineRule="auto"/>
        <w:rPr>
          <w:noProof/>
          <w:szCs w:val="22"/>
        </w:rPr>
      </w:pPr>
    </w:p>
    <w:p w14:paraId="08E3F7AA" w14:textId="77777777" w:rsidR="0042023E" w:rsidRPr="007944F8" w:rsidRDefault="0042023E" w:rsidP="00BE7F7C">
      <w:pPr>
        <w:keepNext/>
        <w:widowControl w:val="0"/>
        <w:tabs>
          <w:tab w:val="clear" w:pos="567"/>
        </w:tabs>
        <w:spacing w:line="240" w:lineRule="auto"/>
        <w:outlineLvl w:val="0"/>
        <w:rPr>
          <w:i/>
          <w:noProof/>
          <w:szCs w:val="22"/>
          <w:u w:val="single"/>
        </w:rPr>
      </w:pPr>
      <w:bookmarkStart w:id="110" w:name="_Toc259706949"/>
      <w:bookmarkStart w:id="111" w:name="_Toc259707121"/>
      <w:bookmarkStart w:id="112" w:name="_Toc259707184"/>
      <w:bookmarkStart w:id="113" w:name="_Toc259713130"/>
      <w:r w:rsidRPr="007944F8">
        <w:rPr>
          <w:i/>
          <w:noProof/>
          <w:u w:val="single"/>
        </w:rPr>
        <w:t>Patients présentant une insuffisance hépatique</w:t>
      </w:r>
      <w:bookmarkStart w:id="114" w:name="_4231754Patients_with_hepatic_impa"/>
      <w:bookmarkEnd w:id="114"/>
    </w:p>
    <w:p w14:paraId="2CA0E29E" w14:textId="3CB86009" w:rsidR="006D74FE" w:rsidRPr="007944F8" w:rsidRDefault="002F47D9" w:rsidP="00E96874">
      <w:pPr>
        <w:widowControl w:val="0"/>
        <w:tabs>
          <w:tab w:val="clear" w:pos="567"/>
        </w:tabs>
        <w:spacing w:line="240" w:lineRule="auto"/>
      </w:pPr>
      <w:r w:rsidRPr="007944F8">
        <w:t>Les propriétés pharmacocinétiques d</w:t>
      </w:r>
      <w:r w:rsidR="0042023E" w:rsidRPr="007944F8">
        <w:t>e</w:t>
      </w:r>
      <w:r w:rsidRPr="007944F8">
        <w:t xml:space="preserve"> sonidégib ont été examinées chez des patients présentant une insuffisance hépatique légère (classe A de Child</w:t>
      </w:r>
      <w:r w:rsidRPr="007944F8">
        <w:noBreakHyphen/>
        <w:t>Pugh ; n = 8)</w:t>
      </w:r>
      <w:r w:rsidR="00393ADF" w:rsidRPr="007944F8">
        <w:t>,</w:t>
      </w:r>
      <w:r w:rsidRPr="007944F8">
        <w:t xml:space="preserve"> modérée (classe B de Child</w:t>
      </w:r>
      <w:r w:rsidRPr="007944F8">
        <w:noBreakHyphen/>
        <w:t>Pugh ; n = 8)</w:t>
      </w:r>
      <w:r w:rsidR="00393ADF" w:rsidRPr="007944F8">
        <w:t xml:space="preserve"> ou sévère (classe C de Child</w:t>
      </w:r>
      <w:r w:rsidR="00393ADF" w:rsidRPr="007944F8">
        <w:noBreakHyphen/>
        <w:t>Pugh ; n = 9)</w:t>
      </w:r>
      <w:r w:rsidRPr="007944F8">
        <w:t>, ainsi que chez 8 sujets sains ayant une fonction hépatique normale. La C</w:t>
      </w:r>
      <w:r w:rsidRPr="007944F8">
        <w:rPr>
          <w:vertAlign w:val="subscript"/>
        </w:rPr>
        <w:t>max</w:t>
      </w:r>
      <w:r w:rsidRPr="007944F8">
        <w:t xml:space="preserve"> </w:t>
      </w:r>
      <w:r w:rsidR="00561ED8" w:rsidRPr="007944F8">
        <w:t>de sonidégib</w:t>
      </w:r>
      <w:r w:rsidRPr="007944F8">
        <w:t xml:space="preserve"> après l’administration par voie orale d’une dose unique de 800 mg était inférieure de </w:t>
      </w:r>
      <w:r w:rsidR="00393ADF" w:rsidRPr="007944F8">
        <w:t>20 </w:t>
      </w:r>
      <w:r w:rsidRPr="007944F8">
        <w:t>%</w:t>
      </w:r>
      <w:r w:rsidR="00393ADF" w:rsidRPr="007944F8">
        <w:t>,</w:t>
      </w:r>
      <w:r w:rsidR="005733A9">
        <w:t xml:space="preserve"> </w:t>
      </w:r>
      <w:r w:rsidR="00393ADF" w:rsidRPr="007944F8">
        <w:t>21</w:t>
      </w:r>
      <w:r w:rsidRPr="007944F8">
        <w:t> %</w:t>
      </w:r>
      <w:r w:rsidR="00393ADF" w:rsidRPr="007944F8">
        <w:t xml:space="preserve"> et 60 %</w:t>
      </w:r>
      <w:r w:rsidRPr="007944F8">
        <w:t xml:space="preserve"> dans les cas d’insuffisance hépatique légère</w:t>
      </w:r>
      <w:r w:rsidR="00393ADF" w:rsidRPr="007944F8">
        <w:t>,</w:t>
      </w:r>
      <w:r w:rsidRPr="007944F8">
        <w:t xml:space="preserve"> modérée</w:t>
      </w:r>
      <w:r w:rsidR="00393ADF" w:rsidRPr="007944F8">
        <w:t xml:space="preserve"> et sévère</w:t>
      </w:r>
      <w:r w:rsidRPr="007944F8">
        <w:t>, respectivement, par rapport à une fonction hépatique normale. L’ASC</w:t>
      </w:r>
      <w:r w:rsidRPr="007944F8">
        <w:rPr>
          <w:vertAlign w:val="subscript"/>
        </w:rPr>
        <w:t>inf</w:t>
      </w:r>
      <w:r w:rsidRPr="007944F8">
        <w:t xml:space="preserve"> </w:t>
      </w:r>
      <w:r w:rsidR="00561ED8" w:rsidRPr="007944F8">
        <w:t>de sonidégib</w:t>
      </w:r>
      <w:r w:rsidRPr="007944F8">
        <w:t xml:space="preserve"> était inférieure de </w:t>
      </w:r>
      <w:r w:rsidR="00393ADF" w:rsidRPr="007944F8">
        <w:t>40 </w:t>
      </w:r>
      <w:r w:rsidRPr="007944F8">
        <w:t>%</w:t>
      </w:r>
      <w:r w:rsidR="00393ADF" w:rsidRPr="007944F8">
        <w:t>, 22</w:t>
      </w:r>
      <w:r w:rsidR="00393ADF" w:rsidRPr="007944F8">
        <w:rPr>
          <w:sz w:val="20"/>
        </w:rPr>
        <w:t> %</w:t>
      </w:r>
      <w:r w:rsidRPr="007944F8">
        <w:t xml:space="preserve"> et </w:t>
      </w:r>
      <w:r w:rsidR="00393ADF" w:rsidRPr="007944F8">
        <w:t>8 </w:t>
      </w:r>
      <w:r w:rsidRPr="007944F8">
        <w:t>%, respectivement. L’ASC</w:t>
      </w:r>
      <w:r w:rsidRPr="007944F8">
        <w:rPr>
          <w:vertAlign w:val="subscript"/>
        </w:rPr>
        <w:t>t</w:t>
      </w:r>
      <w:r w:rsidRPr="007944F8">
        <w:t xml:space="preserve"> était inférieure de </w:t>
      </w:r>
      <w:r w:rsidR="00393ADF" w:rsidRPr="007944F8">
        <w:t>35 </w:t>
      </w:r>
      <w:r w:rsidRPr="007944F8">
        <w:t>% dans les cas d’insuffisance hépatique légère</w:t>
      </w:r>
      <w:r w:rsidR="00393ADF" w:rsidRPr="007944F8">
        <w:t>,</w:t>
      </w:r>
      <w:r w:rsidRPr="007944F8">
        <w:t xml:space="preserve"> supérieure de </w:t>
      </w:r>
      <w:r w:rsidR="00393ADF" w:rsidRPr="007944F8">
        <w:t>14 </w:t>
      </w:r>
      <w:r w:rsidRPr="007944F8">
        <w:t>% dans les cas d’insuffisance hépatique modérée</w:t>
      </w:r>
      <w:r w:rsidR="00393ADF" w:rsidRPr="007944F8">
        <w:t xml:space="preserve"> et inférieure de 23 % dans les cas d’insuffisance hépatique sévère</w:t>
      </w:r>
      <w:r w:rsidRPr="007944F8">
        <w:t>. Aucune adaptation posologique n’est nécessaire chez les patients présentant une insuffisance hépatique</w:t>
      </w:r>
      <w:r w:rsidR="0042023E" w:rsidRPr="007944F8">
        <w:t>.</w:t>
      </w:r>
    </w:p>
    <w:p w14:paraId="3322812B" w14:textId="77777777" w:rsidR="00056F59" w:rsidRPr="007944F8" w:rsidRDefault="00056F59" w:rsidP="00E96874">
      <w:pPr>
        <w:widowControl w:val="0"/>
        <w:tabs>
          <w:tab w:val="clear" w:pos="567"/>
        </w:tabs>
        <w:spacing w:line="240" w:lineRule="auto"/>
        <w:rPr>
          <w:noProof/>
          <w:szCs w:val="22"/>
        </w:rPr>
      </w:pPr>
    </w:p>
    <w:p w14:paraId="4DC22A2F" w14:textId="77777777" w:rsidR="00056F59" w:rsidRPr="007944F8" w:rsidRDefault="0042023E" w:rsidP="00BE7F7C">
      <w:pPr>
        <w:keepNext/>
        <w:widowControl w:val="0"/>
        <w:tabs>
          <w:tab w:val="clear" w:pos="567"/>
        </w:tabs>
        <w:spacing w:line="240" w:lineRule="auto"/>
        <w:outlineLvl w:val="0"/>
        <w:rPr>
          <w:i/>
          <w:noProof/>
          <w:szCs w:val="22"/>
          <w:u w:val="single"/>
        </w:rPr>
      </w:pPr>
      <w:r w:rsidRPr="007944F8">
        <w:rPr>
          <w:i/>
          <w:noProof/>
          <w:u w:val="single"/>
        </w:rPr>
        <w:t>Patients présentant une i</w:t>
      </w:r>
      <w:r w:rsidR="00056F59" w:rsidRPr="007944F8">
        <w:rPr>
          <w:i/>
          <w:noProof/>
          <w:u w:val="single"/>
        </w:rPr>
        <w:t>nsuffisance rénale</w:t>
      </w:r>
      <w:bookmarkStart w:id="115" w:name="_4332021Patients_with_renal_impair"/>
      <w:bookmarkEnd w:id="115"/>
    </w:p>
    <w:p w14:paraId="2CD92591" w14:textId="77777777" w:rsidR="00056F59" w:rsidRPr="007944F8" w:rsidRDefault="008809DB" w:rsidP="00E96874">
      <w:pPr>
        <w:widowControl w:val="0"/>
        <w:tabs>
          <w:tab w:val="clear" w:pos="567"/>
        </w:tabs>
        <w:spacing w:line="240" w:lineRule="auto"/>
        <w:rPr>
          <w:noProof/>
          <w:szCs w:val="22"/>
        </w:rPr>
      </w:pPr>
      <w:r w:rsidRPr="007944F8">
        <w:t xml:space="preserve">L’effet de l’insuffisance rénale sur l’exposition systémique au sonidégib n’a pas été étudié. Dans la mesure où sonidégib n’est pas excrété par les reins, aucune modification de l’exposition systémique n’est attendue chez les patients atteints d’insuffisance rénale. Dans une analyse pharmacocinétique de population, il n’a pas été observé d’influence significative de la fonction rénale (clairance de la créatinine &gt; 27 ml/min) sur </w:t>
      </w:r>
      <w:r w:rsidR="0042023E" w:rsidRPr="007944F8">
        <w:t>la clairance apparente (CL/F) de</w:t>
      </w:r>
      <w:r w:rsidRPr="007944F8">
        <w:t xml:space="preserve"> sonidégib, ce qui laisse penser qu’une adaptation posologique n’est pas nécessaire chez les patients atteints d’insuffisance rénale.</w:t>
      </w:r>
    </w:p>
    <w:p w14:paraId="2182F302" w14:textId="77777777" w:rsidR="00D8245B" w:rsidRPr="007944F8" w:rsidRDefault="00D8245B" w:rsidP="00E96874">
      <w:pPr>
        <w:widowControl w:val="0"/>
        <w:tabs>
          <w:tab w:val="clear" w:pos="567"/>
        </w:tabs>
        <w:spacing w:line="240" w:lineRule="auto"/>
        <w:rPr>
          <w:noProof/>
          <w:szCs w:val="22"/>
        </w:rPr>
      </w:pPr>
    </w:p>
    <w:p w14:paraId="37B16A92" w14:textId="77777777" w:rsidR="00EE3A04" w:rsidRPr="007944F8" w:rsidRDefault="00EE3A04" w:rsidP="00BE7F7C">
      <w:pPr>
        <w:keepNext/>
        <w:widowControl w:val="0"/>
        <w:tabs>
          <w:tab w:val="clear" w:pos="567"/>
        </w:tabs>
        <w:spacing w:line="240" w:lineRule="auto"/>
        <w:outlineLvl w:val="0"/>
        <w:rPr>
          <w:i/>
          <w:noProof/>
          <w:szCs w:val="22"/>
          <w:u w:val="single"/>
        </w:rPr>
      </w:pPr>
      <w:r w:rsidRPr="007944F8">
        <w:rPr>
          <w:i/>
          <w:noProof/>
          <w:u w:val="single"/>
        </w:rPr>
        <w:t>Effet de l’âge, du poids et du sexe</w:t>
      </w:r>
    </w:p>
    <w:p w14:paraId="2C522A86" w14:textId="77777777" w:rsidR="00EE3A04" w:rsidRPr="007944F8" w:rsidRDefault="00EE3A04" w:rsidP="00E96874">
      <w:pPr>
        <w:widowControl w:val="0"/>
        <w:tabs>
          <w:tab w:val="clear" w:pos="567"/>
        </w:tabs>
        <w:spacing w:line="240" w:lineRule="auto"/>
        <w:rPr>
          <w:noProof/>
          <w:szCs w:val="22"/>
        </w:rPr>
      </w:pPr>
      <w:r w:rsidRPr="007944F8">
        <w:t>Les analyses pharmacocinétiques de population ont montré que l’âge (intervalle étudié : 20</w:t>
      </w:r>
      <w:r w:rsidRPr="007944F8">
        <w:noBreakHyphen/>
        <w:t>93 ans ; moyenne : 61 ans), le poids (intervalle étudié : 42</w:t>
      </w:r>
      <w:r w:rsidRPr="007944F8">
        <w:noBreakHyphen/>
        <w:t>181 kg ; moyenne : 77 kg), le sexe ou la clairance de la créatinine (intervalle étudié : 27,3</w:t>
      </w:r>
      <w:r w:rsidRPr="007944F8">
        <w:noBreakHyphen/>
        <w:t>290 ml/min ; moyenne : 92.9 ml/min) n’avaient pas d’effets cliniquement significatifs sur l’exposition systémique au sonidégib.</w:t>
      </w:r>
    </w:p>
    <w:p w14:paraId="67361518" w14:textId="77777777" w:rsidR="00056F59" w:rsidRPr="007944F8" w:rsidRDefault="00056F59" w:rsidP="00E96874">
      <w:pPr>
        <w:widowControl w:val="0"/>
        <w:tabs>
          <w:tab w:val="clear" w:pos="567"/>
        </w:tabs>
        <w:spacing w:line="240" w:lineRule="auto"/>
        <w:rPr>
          <w:noProof/>
          <w:szCs w:val="22"/>
        </w:rPr>
      </w:pPr>
    </w:p>
    <w:p w14:paraId="20D41F53" w14:textId="77777777" w:rsidR="00056F59" w:rsidRPr="007944F8" w:rsidRDefault="00056F59" w:rsidP="00BE7F7C">
      <w:pPr>
        <w:keepNext/>
        <w:widowControl w:val="0"/>
        <w:tabs>
          <w:tab w:val="clear" w:pos="567"/>
        </w:tabs>
        <w:spacing w:line="240" w:lineRule="auto"/>
        <w:outlineLvl w:val="0"/>
        <w:rPr>
          <w:i/>
          <w:noProof/>
          <w:szCs w:val="22"/>
          <w:u w:val="single"/>
        </w:rPr>
      </w:pPr>
      <w:r w:rsidRPr="007944F8">
        <w:rPr>
          <w:i/>
          <w:noProof/>
          <w:u w:val="single"/>
        </w:rPr>
        <w:t>Effet de l’origine ethnique</w:t>
      </w:r>
      <w:bookmarkStart w:id="116" w:name="_4532526Effect_of_Ethnicity"/>
      <w:bookmarkEnd w:id="116"/>
    </w:p>
    <w:p w14:paraId="04C27252" w14:textId="77777777" w:rsidR="00056F59" w:rsidRPr="007944F8" w:rsidRDefault="00056F59" w:rsidP="00E96874">
      <w:pPr>
        <w:widowControl w:val="0"/>
        <w:tabs>
          <w:tab w:val="clear" w:pos="567"/>
        </w:tabs>
        <w:spacing w:line="240" w:lineRule="auto"/>
        <w:rPr>
          <w:noProof/>
          <w:szCs w:val="22"/>
        </w:rPr>
      </w:pPr>
      <w:r w:rsidRPr="007944F8">
        <w:t>La C</w:t>
      </w:r>
      <w:r w:rsidRPr="007944F8">
        <w:rPr>
          <w:noProof/>
          <w:vertAlign w:val="subscript"/>
        </w:rPr>
        <w:t>max</w:t>
      </w:r>
      <w:r w:rsidRPr="007944F8">
        <w:t xml:space="preserve"> et l’ASC</w:t>
      </w:r>
      <w:r w:rsidRPr="007944F8">
        <w:rPr>
          <w:noProof/>
          <w:vertAlign w:val="subscript"/>
        </w:rPr>
        <w:t>inf</w:t>
      </w:r>
      <w:r w:rsidR="0042023E" w:rsidRPr="007944F8">
        <w:t xml:space="preserve"> de</w:t>
      </w:r>
      <w:r w:rsidRPr="007944F8">
        <w:t xml:space="preserve"> sonidégib chez des sujets sains japonais étaient 1,56 et 1,68 fois plus élevées, respectivement, que celles observées chez des sujets sains occidentaux pour une dose unique de 200 mg.</w:t>
      </w:r>
    </w:p>
    <w:bookmarkEnd w:id="110"/>
    <w:bookmarkEnd w:id="111"/>
    <w:bookmarkEnd w:id="112"/>
    <w:bookmarkEnd w:id="113"/>
    <w:p w14:paraId="32A86BFD" w14:textId="77777777" w:rsidR="00056F59" w:rsidRPr="007944F8" w:rsidRDefault="00056F59" w:rsidP="00E93E8B">
      <w:pPr>
        <w:widowControl w:val="0"/>
        <w:numPr>
          <w:ilvl w:val="12"/>
          <w:numId w:val="0"/>
        </w:numPr>
        <w:tabs>
          <w:tab w:val="clear" w:pos="567"/>
        </w:tabs>
        <w:spacing w:line="240" w:lineRule="auto"/>
        <w:ind w:right="-2"/>
      </w:pPr>
    </w:p>
    <w:p w14:paraId="0243853B" w14:textId="77777777" w:rsidR="00812D16" w:rsidRPr="007944F8" w:rsidRDefault="00812D16" w:rsidP="00BE7F7C">
      <w:pPr>
        <w:keepNext/>
        <w:widowControl w:val="0"/>
        <w:outlineLvl w:val="0"/>
        <w:rPr>
          <w:b/>
          <w:noProof/>
        </w:rPr>
      </w:pPr>
      <w:r w:rsidRPr="007944F8">
        <w:rPr>
          <w:b/>
        </w:rPr>
        <w:t>5.3</w:t>
      </w:r>
      <w:r w:rsidRPr="007944F8">
        <w:tab/>
      </w:r>
      <w:r w:rsidRPr="007944F8">
        <w:rPr>
          <w:b/>
        </w:rPr>
        <w:t>Données de sécurité préclinique</w:t>
      </w:r>
    </w:p>
    <w:p w14:paraId="735AE460" w14:textId="77777777" w:rsidR="00812D16" w:rsidRPr="007944F8" w:rsidRDefault="00812D16" w:rsidP="00E93E8B">
      <w:pPr>
        <w:keepNext/>
        <w:widowControl w:val="0"/>
        <w:tabs>
          <w:tab w:val="clear" w:pos="567"/>
        </w:tabs>
        <w:spacing w:line="240" w:lineRule="auto"/>
        <w:rPr>
          <w:noProof/>
          <w:szCs w:val="22"/>
        </w:rPr>
      </w:pPr>
    </w:p>
    <w:p w14:paraId="00F81CB6" w14:textId="77777777" w:rsidR="000E2146" w:rsidRPr="007944F8" w:rsidRDefault="0042023E" w:rsidP="00BE7F7C">
      <w:pPr>
        <w:widowControl w:val="0"/>
        <w:tabs>
          <w:tab w:val="clear" w:pos="567"/>
        </w:tabs>
        <w:spacing w:line="240" w:lineRule="auto"/>
        <w:outlineLvl w:val="0"/>
        <w:rPr>
          <w:noProof/>
          <w:szCs w:val="22"/>
        </w:rPr>
      </w:pPr>
      <w:r w:rsidRPr="007944F8">
        <w:t>S</w:t>
      </w:r>
      <w:r w:rsidR="000E2146" w:rsidRPr="007944F8">
        <w:t>onidégib a été évalué chez le rat et le chien.</w:t>
      </w:r>
    </w:p>
    <w:p w14:paraId="49721077" w14:textId="77777777" w:rsidR="000E2146" w:rsidRPr="007944F8" w:rsidRDefault="000E2146" w:rsidP="00E96874">
      <w:pPr>
        <w:widowControl w:val="0"/>
        <w:tabs>
          <w:tab w:val="clear" w:pos="567"/>
        </w:tabs>
        <w:spacing w:line="240" w:lineRule="auto"/>
        <w:rPr>
          <w:noProof/>
          <w:szCs w:val="22"/>
        </w:rPr>
      </w:pPr>
    </w:p>
    <w:p w14:paraId="37EE6E5D" w14:textId="77777777" w:rsidR="0001677A" w:rsidRPr="007944F8" w:rsidRDefault="0001677A" w:rsidP="00BE7F7C">
      <w:pPr>
        <w:keepNext/>
        <w:widowControl w:val="0"/>
        <w:tabs>
          <w:tab w:val="clear" w:pos="567"/>
        </w:tabs>
        <w:spacing w:line="240" w:lineRule="auto"/>
        <w:outlineLvl w:val="0"/>
        <w:rPr>
          <w:noProof/>
          <w:szCs w:val="22"/>
          <w:u w:val="single"/>
        </w:rPr>
      </w:pPr>
      <w:bookmarkStart w:id="117" w:name="_4648456Safety_pharmacology"/>
      <w:bookmarkEnd w:id="117"/>
      <w:r w:rsidRPr="007944F8">
        <w:rPr>
          <w:noProof/>
          <w:u w:val="single"/>
        </w:rPr>
        <w:t>Toxicologie générale</w:t>
      </w:r>
    </w:p>
    <w:p w14:paraId="510CAF84" w14:textId="77777777" w:rsidR="00D8245B" w:rsidRPr="007944F8" w:rsidRDefault="00D8245B" w:rsidP="00E96874">
      <w:pPr>
        <w:keepNext/>
        <w:widowControl w:val="0"/>
        <w:tabs>
          <w:tab w:val="clear" w:pos="567"/>
        </w:tabs>
        <w:spacing w:line="240" w:lineRule="auto"/>
      </w:pPr>
    </w:p>
    <w:p w14:paraId="6EB62A99" w14:textId="7523C841" w:rsidR="000E2146" w:rsidRPr="007944F8" w:rsidRDefault="0001677A" w:rsidP="00E96874">
      <w:pPr>
        <w:widowControl w:val="0"/>
        <w:tabs>
          <w:tab w:val="clear" w:pos="567"/>
        </w:tabs>
        <w:spacing w:line="240" w:lineRule="auto"/>
      </w:pPr>
      <w:r w:rsidRPr="007944F8">
        <w:t xml:space="preserve">La majorité des effets indésirables </w:t>
      </w:r>
      <w:r w:rsidR="00561ED8" w:rsidRPr="007944F8">
        <w:t>de sonidégib</w:t>
      </w:r>
      <w:r w:rsidRPr="007944F8">
        <w:t xml:space="preserve"> peuvent être attribués à son mécanisme d’action pharmacologique sur les voies de développement, et les effets chez le rat et le chien sont similaires. La plupart des effets sont apparus </w:t>
      </w:r>
      <w:r w:rsidR="004B782B" w:rsidRPr="007944F8">
        <w:t xml:space="preserve">à une exposition </w:t>
      </w:r>
      <w:r w:rsidR="00DC5861" w:rsidRPr="007944F8">
        <w:t>proche de ce</w:t>
      </w:r>
      <w:r w:rsidR="004B782B" w:rsidRPr="007944F8">
        <w:t>lle</w:t>
      </w:r>
      <w:r w:rsidR="00DC5861" w:rsidRPr="007944F8">
        <w:t xml:space="preserve"> </w:t>
      </w:r>
      <w:r w:rsidRPr="007944F8">
        <w:t>prévu</w:t>
      </w:r>
      <w:r w:rsidR="004B782B" w:rsidRPr="007944F8">
        <w:t>e</w:t>
      </w:r>
      <w:r w:rsidRPr="007944F8">
        <w:t xml:space="preserve"> chez l’</w:t>
      </w:r>
      <w:r w:rsidR="00DA4E2C">
        <w:t>H</w:t>
      </w:r>
      <w:r w:rsidRPr="007944F8">
        <w:t>omme. Ces effets</w:t>
      </w:r>
      <w:r w:rsidR="007240FD" w:rsidRPr="007944F8">
        <w:t xml:space="preserve"> observés à des expositions cliniquement significatives</w:t>
      </w:r>
      <w:r w:rsidRPr="007944F8">
        <w:t xml:space="preserve"> comprennent la fermeture du cartilage de croissance, des effets sur les dents en croissance, des effets sur l’appareil reproducteur masculin et féminin, une atrophie des follicules pileux associée à une alopécie</w:t>
      </w:r>
      <w:r w:rsidR="007240FD" w:rsidRPr="007944F8">
        <w:t>,</w:t>
      </w:r>
      <w:r w:rsidRPr="007944F8">
        <w:t xml:space="preserve"> une toxicité gastro-intestinale associée à une perte de poids et des effets sur les ganglions lymphatiques. </w:t>
      </w:r>
      <w:r w:rsidR="00063C0A">
        <w:t>A</w:t>
      </w:r>
      <w:r w:rsidR="007240FD" w:rsidRPr="007944F8">
        <w:t xml:space="preserve"> des expositions bien supérieures à l’exposition clinique, u</w:t>
      </w:r>
      <w:r w:rsidRPr="007944F8">
        <w:t>n autre organe cible était le rein.</w:t>
      </w:r>
    </w:p>
    <w:p w14:paraId="5D8D3301" w14:textId="77777777" w:rsidR="0001677A" w:rsidRPr="007944F8" w:rsidRDefault="0001677A" w:rsidP="00E96874">
      <w:pPr>
        <w:widowControl w:val="0"/>
        <w:tabs>
          <w:tab w:val="clear" w:pos="567"/>
        </w:tabs>
        <w:spacing w:line="240" w:lineRule="auto"/>
      </w:pPr>
    </w:p>
    <w:p w14:paraId="0CEA9E49" w14:textId="77777777" w:rsidR="000E2146" w:rsidRPr="007944F8" w:rsidRDefault="000E2146" w:rsidP="00BE7F7C">
      <w:pPr>
        <w:keepNext/>
        <w:widowControl w:val="0"/>
        <w:tabs>
          <w:tab w:val="clear" w:pos="567"/>
        </w:tabs>
        <w:spacing w:line="240" w:lineRule="auto"/>
        <w:outlineLvl w:val="0"/>
        <w:rPr>
          <w:u w:val="single"/>
        </w:rPr>
      </w:pPr>
      <w:bookmarkStart w:id="118" w:name="_4751177Genotoxicity"/>
      <w:bookmarkEnd w:id="118"/>
      <w:r w:rsidRPr="007944F8">
        <w:rPr>
          <w:u w:val="single"/>
        </w:rPr>
        <w:t>Carcinogenèse et mutagenèse</w:t>
      </w:r>
      <w:bookmarkStart w:id="119" w:name="_4851319Carcinogenesis_and_mutagen"/>
      <w:bookmarkEnd w:id="119"/>
    </w:p>
    <w:p w14:paraId="1FC6FFBB" w14:textId="77777777" w:rsidR="00D8245B" w:rsidRPr="007944F8" w:rsidRDefault="00D8245B" w:rsidP="00E96874">
      <w:pPr>
        <w:keepNext/>
        <w:widowControl w:val="0"/>
        <w:tabs>
          <w:tab w:val="clear" w:pos="567"/>
        </w:tabs>
        <w:spacing w:line="240" w:lineRule="auto"/>
      </w:pPr>
    </w:p>
    <w:p w14:paraId="4BF76644" w14:textId="061A1C7F" w:rsidR="00E804B5" w:rsidRPr="00690C89" w:rsidRDefault="00E804B5" w:rsidP="0034757A">
      <w:r>
        <w:t xml:space="preserve">Le sonidegib ne s’est pas révélé génotoxique dans des études menées </w:t>
      </w:r>
      <w:r w:rsidRPr="00F93C9E">
        <w:rPr>
          <w:i/>
        </w:rPr>
        <w:t>in vitro</w:t>
      </w:r>
      <w:r>
        <w:t xml:space="preserve"> et </w:t>
      </w:r>
      <w:r w:rsidRPr="00F93C9E">
        <w:rPr>
          <w:i/>
        </w:rPr>
        <w:t>in vivo</w:t>
      </w:r>
      <w:r>
        <w:t>. Aucun potentiel cancérogène n’a été identifié dans des études de cancérogénicité chez le rat et la souris. Toutefois, les niveaux d’exposition étaient bien inférieurs aux niveaux d’exposition cliniques chez les rats, et proches des niveaux d’exposition cliniques chez les souris</w:t>
      </w:r>
      <w:r w:rsidR="00B50F78">
        <w:t>.</w:t>
      </w:r>
    </w:p>
    <w:p w14:paraId="6235B9CD" w14:textId="77777777" w:rsidR="000E2146" w:rsidRPr="007944F8" w:rsidRDefault="000E2146" w:rsidP="00E96874">
      <w:pPr>
        <w:widowControl w:val="0"/>
        <w:tabs>
          <w:tab w:val="clear" w:pos="567"/>
        </w:tabs>
        <w:spacing w:line="240" w:lineRule="auto"/>
      </w:pPr>
    </w:p>
    <w:p w14:paraId="4225CF54" w14:textId="77777777" w:rsidR="000E2146" w:rsidRPr="007944F8" w:rsidRDefault="00AF6C43" w:rsidP="00BE7F7C">
      <w:pPr>
        <w:keepNext/>
        <w:widowControl w:val="0"/>
        <w:tabs>
          <w:tab w:val="clear" w:pos="567"/>
        </w:tabs>
        <w:spacing w:line="240" w:lineRule="auto"/>
        <w:outlineLvl w:val="0"/>
        <w:rPr>
          <w:u w:val="single"/>
        </w:rPr>
      </w:pPr>
      <w:bookmarkStart w:id="120" w:name="_4951424Pregnancy47fertility"/>
      <w:bookmarkEnd w:id="120"/>
      <w:r w:rsidRPr="007944F8">
        <w:rPr>
          <w:u w:val="single"/>
        </w:rPr>
        <w:t xml:space="preserve">Toxicité </w:t>
      </w:r>
      <w:r w:rsidR="004B782B" w:rsidRPr="007944F8">
        <w:rPr>
          <w:u w:val="single"/>
        </w:rPr>
        <w:t>sur</w:t>
      </w:r>
      <w:r w:rsidRPr="007944F8">
        <w:rPr>
          <w:u w:val="single"/>
        </w:rPr>
        <w:t xml:space="preserve"> la reproduction et le développement</w:t>
      </w:r>
    </w:p>
    <w:p w14:paraId="3F8FABE6" w14:textId="77777777" w:rsidR="00D8245B" w:rsidRPr="007944F8" w:rsidRDefault="00D8245B" w:rsidP="00E96874">
      <w:pPr>
        <w:keepNext/>
        <w:widowControl w:val="0"/>
        <w:tabs>
          <w:tab w:val="clear" w:pos="567"/>
        </w:tabs>
        <w:spacing w:line="240" w:lineRule="auto"/>
      </w:pPr>
    </w:p>
    <w:p w14:paraId="05C25CFE" w14:textId="324F08CC" w:rsidR="003650BA" w:rsidRPr="007944F8" w:rsidRDefault="0042023E" w:rsidP="00E96874">
      <w:pPr>
        <w:widowControl w:val="0"/>
        <w:tabs>
          <w:tab w:val="clear" w:pos="567"/>
        </w:tabs>
        <w:spacing w:line="240" w:lineRule="auto"/>
      </w:pPr>
      <w:r w:rsidRPr="007944F8">
        <w:t>S</w:t>
      </w:r>
      <w:r w:rsidR="000E2146" w:rsidRPr="007944F8">
        <w:t>onidégib s’est avéré être fœtotoxique chez le lapin, comme l’ont démontré des avortements et/ou des résorptions fœtales totales, et tératogène, entraînant des malformations sévères à une exposition très faible. Les effets tératogènes comprenaient des malformations des vertèbres, des extrémités des membres et des doigts, des malformations cranofaciales sévères et d’autres anomalies sévères de la ligne médiane. La fœtotoxicité chez le lapin a également été observée à une exposition maternelle très faible. Une diminution de la fertilité a été constatée à une faible exposition</w:t>
      </w:r>
      <w:r w:rsidR="00BB5AB9" w:rsidRPr="007944F8">
        <w:t xml:space="preserve"> chez les rats femelles</w:t>
      </w:r>
      <w:r w:rsidR="000E2146" w:rsidRPr="007944F8">
        <w:t>. Concernant</w:t>
      </w:r>
      <w:r w:rsidRPr="007944F8">
        <w:t xml:space="preserve"> les rats mâles traités par </w:t>
      </w:r>
      <w:r w:rsidR="000E2146" w:rsidRPr="007944F8">
        <w:t>sonidégib, une exposition environ 2</w:t>
      </w:r>
      <w:r w:rsidR="00B50F78">
        <w:t>-</w:t>
      </w:r>
      <w:r w:rsidR="000E2146" w:rsidRPr="007944F8">
        <w:t>fois plus élevée que l’exposition clinique n’a pas eu d’impact sur la fertilité.</w:t>
      </w:r>
    </w:p>
    <w:p w14:paraId="0C7625DD" w14:textId="77777777" w:rsidR="000E2146" w:rsidRPr="007944F8" w:rsidRDefault="000E2146" w:rsidP="00E96874">
      <w:pPr>
        <w:widowControl w:val="0"/>
        <w:tabs>
          <w:tab w:val="clear" w:pos="567"/>
        </w:tabs>
        <w:spacing w:line="240" w:lineRule="auto"/>
        <w:rPr>
          <w:noProof/>
          <w:szCs w:val="22"/>
        </w:rPr>
      </w:pPr>
    </w:p>
    <w:p w14:paraId="5AF07C4E" w14:textId="1D6CAA7B" w:rsidR="000D222D" w:rsidRPr="00650C66" w:rsidRDefault="000D222D" w:rsidP="000D222D">
      <w:pPr>
        <w:widowControl w:val="0"/>
        <w:tabs>
          <w:tab w:val="clear" w:pos="567"/>
        </w:tabs>
        <w:spacing w:line="240" w:lineRule="auto"/>
        <w:rPr>
          <w:noProof/>
          <w:szCs w:val="22"/>
          <w:u w:val="single"/>
        </w:rPr>
      </w:pPr>
      <w:r w:rsidRPr="00650C66">
        <w:rPr>
          <w:noProof/>
          <w:szCs w:val="22"/>
          <w:u w:val="single"/>
        </w:rPr>
        <w:t>Évaluation des risques pour l’environnement (ERA)</w:t>
      </w:r>
      <w:r w:rsidRPr="00650C66">
        <w:rPr>
          <w:noProof/>
          <w:szCs w:val="22"/>
          <w:u w:val="single"/>
        </w:rPr>
        <w:br/>
      </w:r>
    </w:p>
    <w:p w14:paraId="2B973B7F" w14:textId="414F4D1F" w:rsidR="00812D16" w:rsidRPr="007944F8" w:rsidRDefault="000D222D" w:rsidP="000D222D">
      <w:pPr>
        <w:widowControl w:val="0"/>
        <w:tabs>
          <w:tab w:val="clear" w:pos="567"/>
        </w:tabs>
        <w:spacing w:line="240" w:lineRule="auto"/>
        <w:rPr>
          <w:noProof/>
          <w:szCs w:val="22"/>
        </w:rPr>
      </w:pPr>
      <w:r w:rsidRPr="000D222D">
        <w:rPr>
          <w:noProof/>
          <w:szCs w:val="22"/>
        </w:rPr>
        <w:t>Des études d’évaluation des risques pour l’environnement ont montré que le sonidegib pourrait présenter un risque pour les eaux de surface (voir rubrique 6.6).</w:t>
      </w:r>
      <w:r>
        <w:rPr>
          <w:noProof/>
          <w:szCs w:val="22"/>
        </w:rPr>
        <w:br/>
      </w:r>
    </w:p>
    <w:p w14:paraId="63D2310E" w14:textId="77777777" w:rsidR="00812D16" w:rsidRPr="007944F8" w:rsidRDefault="00812D16" w:rsidP="00BE7F7C">
      <w:pPr>
        <w:keepNext/>
        <w:widowControl w:val="0"/>
        <w:tabs>
          <w:tab w:val="clear" w:pos="567"/>
        </w:tabs>
        <w:suppressAutoHyphens/>
        <w:spacing w:line="240" w:lineRule="auto"/>
        <w:ind w:left="567" w:hanging="567"/>
        <w:outlineLvl w:val="0"/>
        <w:rPr>
          <w:b/>
          <w:noProof/>
          <w:szCs w:val="22"/>
        </w:rPr>
      </w:pPr>
      <w:r w:rsidRPr="007944F8">
        <w:rPr>
          <w:b/>
          <w:noProof/>
        </w:rPr>
        <w:t>6.</w:t>
      </w:r>
      <w:r w:rsidRPr="007944F8">
        <w:tab/>
      </w:r>
      <w:r w:rsidRPr="007944F8">
        <w:rPr>
          <w:b/>
          <w:noProof/>
        </w:rPr>
        <w:t>DONNÉES PHARMACEUTIQUES</w:t>
      </w:r>
    </w:p>
    <w:p w14:paraId="11B0CF97" w14:textId="77777777" w:rsidR="00812D16" w:rsidRPr="007944F8" w:rsidRDefault="00812D16" w:rsidP="00E93E8B">
      <w:pPr>
        <w:keepNext/>
        <w:widowControl w:val="0"/>
        <w:tabs>
          <w:tab w:val="clear" w:pos="567"/>
        </w:tabs>
        <w:spacing w:line="240" w:lineRule="auto"/>
        <w:rPr>
          <w:noProof/>
          <w:szCs w:val="22"/>
        </w:rPr>
      </w:pPr>
    </w:p>
    <w:p w14:paraId="47187DBE" w14:textId="77777777" w:rsidR="00812D16" w:rsidRPr="007944F8" w:rsidRDefault="00812D16" w:rsidP="00BE7F7C">
      <w:pPr>
        <w:keepNext/>
        <w:widowControl w:val="0"/>
        <w:outlineLvl w:val="0"/>
        <w:rPr>
          <w:b/>
          <w:noProof/>
        </w:rPr>
      </w:pPr>
      <w:r w:rsidRPr="007944F8">
        <w:rPr>
          <w:b/>
        </w:rPr>
        <w:t>6.1</w:t>
      </w:r>
      <w:r w:rsidRPr="007944F8">
        <w:tab/>
      </w:r>
      <w:r w:rsidRPr="007944F8">
        <w:rPr>
          <w:b/>
        </w:rPr>
        <w:t>Liste des excipients</w:t>
      </w:r>
    </w:p>
    <w:p w14:paraId="119CAA1C" w14:textId="77777777" w:rsidR="00812D16" w:rsidRPr="007944F8" w:rsidRDefault="00812D16" w:rsidP="00E93E8B">
      <w:pPr>
        <w:keepNext/>
        <w:widowControl w:val="0"/>
        <w:tabs>
          <w:tab w:val="clear" w:pos="567"/>
        </w:tabs>
        <w:spacing w:line="240" w:lineRule="auto"/>
        <w:rPr>
          <w:noProof/>
          <w:szCs w:val="22"/>
        </w:rPr>
      </w:pPr>
    </w:p>
    <w:p w14:paraId="42369D9B" w14:textId="77777777" w:rsidR="00741D2C" w:rsidRPr="007944F8" w:rsidRDefault="00DC6725" w:rsidP="00BE7F7C">
      <w:pPr>
        <w:keepNext/>
        <w:widowControl w:val="0"/>
        <w:tabs>
          <w:tab w:val="clear" w:pos="567"/>
        </w:tabs>
        <w:spacing w:line="240" w:lineRule="auto"/>
        <w:outlineLvl w:val="0"/>
        <w:rPr>
          <w:noProof/>
          <w:szCs w:val="22"/>
        </w:rPr>
      </w:pPr>
      <w:r w:rsidRPr="007944F8">
        <w:rPr>
          <w:noProof/>
          <w:u w:val="single"/>
        </w:rPr>
        <w:t>Contenu de la gélule</w:t>
      </w:r>
    </w:p>
    <w:p w14:paraId="44492E4E" w14:textId="77777777" w:rsidR="00D8245B" w:rsidRPr="007944F8" w:rsidRDefault="00D8245B" w:rsidP="00E93E8B">
      <w:pPr>
        <w:keepNext/>
        <w:widowControl w:val="0"/>
        <w:tabs>
          <w:tab w:val="clear" w:pos="567"/>
        </w:tabs>
        <w:spacing w:line="240" w:lineRule="auto"/>
        <w:rPr>
          <w:noProof/>
          <w:szCs w:val="22"/>
        </w:rPr>
      </w:pPr>
    </w:p>
    <w:p w14:paraId="46824EDC" w14:textId="77777777" w:rsidR="007E3CA7" w:rsidRPr="007944F8" w:rsidRDefault="007E3CA7" w:rsidP="00E93E8B">
      <w:pPr>
        <w:widowControl w:val="0"/>
        <w:tabs>
          <w:tab w:val="clear" w:pos="567"/>
        </w:tabs>
        <w:spacing w:line="240" w:lineRule="auto"/>
        <w:rPr>
          <w:noProof/>
          <w:szCs w:val="22"/>
        </w:rPr>
      </w:pPr>
      <w:r w:rsidRPr="007944F8">
        <w:t>Crospovidone</w:t>
      </w:r>
      <w:r w:rsidR="00BB5AB9" w:rsidRPr="007944F8">
        <w:t xml:space="preserve"> </w:t>
      </w:r>
      <w:r w:rsidR="00AF6C43" w:rsidRPr="007944F8">
        <w:t>(</w:t>
      </w:r>
      <w:r w:rsidR="00BB5AB9" w:rsidRPr="007944F8">
        <w:t>Type A</w:t>
      </w:r>
      <w:r w:rsidR="00AF6C43" w:rsidRPr="007944F8">
        <w:t>)</w:t>
      </w:r>
    </w:p>
    <w:p w14:paraId="101836AD" w14:textId="77777777" w:rsidR="002B3A7E" w:rsidRPr="007944F8" w:rsidRDefault="007E3CA7" w:rsidP="00E93E8B">
      <w:pPr>
        <w:widowControl w:val="0"/>
        <w:tabs>
          <w:tab w:val="clear" w:pos="567"/>
        </w:tabs>
        <w:spacing w:line="240" w:lineRule="auto"/>
        <w:rPr>
          <w:noProof/>
          <w:szCs w:val="22"/>
        </w:rPr>
      </w:pPr>
      <w:r w:rsidRPr="007944F8">
        <w:t>Lactose monohydraté</w:t>
      </w:r>
    </w:p>
    <w:p w14:paraId="0BF63BC8" w14:textId="77777777" w:rsidR="002B3A7E" w:rsidRPr="007944F8" w:rsidRDefault="007E3CA7" w:rsidP="00E93E8B">
      <w:pPr>
        <w:widowControl w:val="0"/>
        <w:tabs>
          <w:tab w:val="clear" w:pos="567"/>
        </w:tabs>
        <w:spacing w:line="240" w:lineRule="auto"/>
        <w:rPr>
          <w:noProof/>
          <w:szCs w:val="22"/>
        </w:rPr>
      </w:pPr>
      <w:r w:rsidRPr="007944F8">
        <w:t>Stéarate de magnésium</w:t>
      </w:r>
    </w:p>
    <w:p w14:paraId="00600C3A" w14:textId="77777777" w:rsidR="002B3A7E" w:rsidRPr="007944F8" w:rsidRDefault="007E3CA7" w:rsidP="00E93E8B">
      <w:pPr>
        <w:widowControl w:val="0"/>
        <w:tabs>
          <w:tab w:val="clear" w:pos="567"/>
        </w:tabs>
        <w:spacing w:line="240" w:lineRule="auto"/>
        <w:rPr>
          <w:noProof/>
          <w:szCs w:val="22"/>
        </w:rPr>
      </w:pPr>
      <w:r w:rsidRPr="007944F8">
        <w:t>Poloxamer (188)</w:t>
      </w:r>
    </w:p>
    <w:p w14:paraId="7FC1B2C1" w14:textId="77777777" w:rsidR="002B3A7E" w:rsidRPr="007944F8" w:rsidRDefault="007E3CA7" w:rsidP="00E93E8B">
      <w:pPr>
        <w:widowControl w:val="0"/>
        <w:tabs>
          <w:tab w:val="clear" w:pos="567"/>
        </w:tabs>
        <w:spacing w:line="240" w:lineRule="auto"/>
        <w:rPr>
          <w:noProof/>
          <w:szCs w:val="22"/>
        </w:rPr>
      </w:pPr>
      <w:r w:rsidRPr="007944F8">
        <w:t>Silice colloïdale anhydre</w:t>
      </w:r>
    </w:p>
    <w:p w14:paraId="44F3A454" w14:textId="77777777" w:rsidR="00DC6725" w:rsidRPr="007944F8" w:rsidRDefault="007E3CA7" w:rsidP="00E93E8B">
      <w:pPr>
        <w:widowControl w:val="0"/>
        <w:tabs>
          <w:tab w:val="clear" w:pos="567"/>
        </w:tabs>
        <w:spacing w:line="240" w:lineRule="auto"/>
        <w:rPr>
          <w:noProof/>
          <w:szCs w:val="22"/>
        </w:rPr>
      </w:pPr>
      <w:r w:rsidRPr="007944F8">
        <w:t>Laurylsulfate de sodium</w:t>
      </w:r>
    </w:p>
    <w:p w14:paraId="51F4094D" w14:textId="77777777" w:rsidR="00741D2C" w:rsidRPr="007944F8" w:rsidRDefault="00741D2C" w:rsidP="00E93E8B">
      <w:pPr>
        <w:widowControl w:val="0"/>
        <w:tabs>
          <w:tab w:val="clear" w:pos="567"/>
        </w:tabs>
        <w:spacing w:line="240" w:lineRule="auto"/>
        <w:rPr>
          <w:noProof/>
          <w:szCs w:val="22"/>
        </w:rPr>
      </w:pPr>
    </w:p>
    <w:p w14:paraId="1A15A033" w14:textId="77777777" w:rsidR="00741D2C" w:rsidRPr="007944F8" w:rsidRDefault="00DC6725" w:rsidP="00BE7F7C">
      <w:pPr>
        <w:keepNext/>
        <w:widowControl w:val="0"/>
        <w:tabs>
          <w:tab w:val="clear" w:pos="567"/>
        </w:tabs>
        <w:spacing w:line="240" w:lineRule="auto"/>
        <w:outlineLvl w:val="0"/>
        <w:rPr>
          <w:noProof/>
          <w:szCs w:val="22"/>
        </w:rPr>
      </w:pPr>
      <w:r w:rsidRPr="007944F8">
        <w:rPr>
          <w:noProof/>
          <w:u w:val="single"/>
        </w:rPr>
        <w:t>Enveloppe de la gélule</w:t>
      </w:r>
    </w:p>
    <w:p w14:paraId="4AAF741B" w14:textId="77777777" w:rsidR="00D8245B" w:rsidRPr="007944F8" w:rsidRDefault="00D8245B" w:rsidP="00E93E8B">
      <w:pPr>
        <w:keepNext/>
        <w:widowControl w:val="0"/>
        <w:tabs>
          <w:tab w:val="clear" w:pos="567"/>
        </w:tabs>
        <w:spacing w:line="240" w:lineRule="auto"/>
        <w:rPr>
          <w:noProof/>
          <w:szCs w:val="22"/>
        </w:rPr>
      </w:pPr>
    </w:p>
    <w:p w14:paraId="480616C3" w14:textId="77777777" w:rsidR="002B3A7E" w:rsidRPr="007944F8" w:rsidRDefault="007E3CA7" w:rsidP="00BE7F7C">
      <w:pPr>
        <w:widowControl w:val="0"/>
        <w:tabs>
          <w:tab w:val="clear" w:pos="567"/>
        </w:tabs>
        <w:spacing w:line="240" w:lineRule="auto"/>
        <w:outlineLvl w:val="0"/>
        <w:rPr>
          <w:noProof/>
          <w:szCs w:val="22"/>
        </w:rPr>
      </w:pPr>
      <w:r w:rsidRPr="007944F8">
        <w:t>Gélatine</w:t>
      </w:r>
    </w:p>
    <w:p w14:paraId="2CA40059" w14:textId="77777777" w:rsidR="002B3A7E" w:rsidRPr="007944F8" w:rsidRDefault="007E3CA7" w:rsidP="00E93E8B">
      <w:pPr>
        <w:widowControl w:val="0"/>
        <w:tabs>
          <w:tab w:val="clear" w:pos="567"/>
        </w:tabs>
        <w:spacing w:line="240" w:lineRule="auto"/>
        <w:rPr>
          <w:noProof/>
          <w:szCs w:val="22"/>
        </w:rPr>
      </w:pPr>
      <w:r w:rsidRPr="007944F8">
        <w:t>Oxyde de fer rouge (E172)</w:t>
      </w:r>
    </w:p>
    <w:p w14:paraId="2AAE1114" w14:textId="77777777" w:rsidR="00DC6725" w:rsidRPr="007944F8" w:rsidRDefault="007E3CA7" w:rsidP="00E93E8B">
      <w:pPr>
        <w:widowControl w:val="0"/>
        <w:tabs>
          <w:tab w:val="clear" w:pos="567"/>
        </w:tabs>
        <w:spacing w:line="240" w:lineRule="auto"/>
        <w:rPr>
          <w:noProof/>
          <w:szCs w:val="22"/>
        </w:rPr>
      </w:pPr>
      <w:r w:rsidRPr="007944F8">
        <w:t>Dioxyde de titane</w:t>
      </w:r>
      <w:r w:rsidR="00317776">
        <w:t xml:space="preserve"> (E171)</w:t>
      </w:r>
    </w:p>
    <w:p w14:paraId="72D1EF53" w14:textId="77777777" w:rsidR="00741D2C" w:rsidRPr="007944F8" w:rsidRDefault="00741D2C" w:rsidP="00E93E8B">
      <w:pPr>
        <w:widowControl w:val="0"/>
        <w:tabs>
          <w:tab w:val="clear" w:pos="567"/>
        </w:tabs>
        <w:spacing w:line="240" w:lineRule="auto"/>
        <w:rPr>
          <w:noProof/>
          <w:szCs w:val="22"/>
        </w:rPr>
      </w:pPr>
    </w:p>
    <w:p w14:paraId="7AD732CB" w14:textId="77777777" w:rsidR="00741D2C" w:rsidRPr="007944F8" w:rsidRDefault="004E7E1E" w:rsidP="00BE7F7C">
      <w:pPr>
        <w:keepNext/>
        <w:widowControl w:val="0"/>
        <w:tabs>
          <w:tab w:val="clear" w:pos="567"/>
        </w:tabs>
        <w:spacing w:line="240" w:lineRule="auto"/>
        <w:outlineLvl w:val="0"/>
        <w:rPr>
          <w:noProof/>
          <w:szCs w:val="22"/>
        </w:rPr>
      </w:pPr>
      <w:r w:rsidRPr="007944F8">
        <w:rPr>
          <w:noProof/>
          <w:u w:val="single"/>
        </w:rPr>
        <w:t>Encre d’impression</w:t>
      </w:r>
    </w:p>
    <w:p w14:paraId="2CC48876" w14:textId="77777777" w:rsidR="00D8245B" w:rsidRPr="007944F8" w:rsidRDefault="00D8245B" w:rsidP="00E93E8B">
      <w:pPr>
        <w:keepNext/>
        <w:widowControl w:val="0"/>
        <w:tabs>
          <w:tab w:val="clear" w:pos="567"/>
        </w:tabs>
        <w:spacing w:line="240" w:lineRule="auto"/>
        <w:rPr>
          <w:noProof/>
          <w:szCs w:val="22"/>
        </w:rPr>
      </w:pPr>
    </w:p>
    <w:p w14:paraId="0AB3F44E" w14:textId="77777777" w:rsidR="002B3A7E" w:rsidRPr="007944F8" w:rsidRDefault="007E3CA7" w:rsidP="00E93E8B">
      <w:pPr>
        <w:widowControl w:val="0"/>
        <w:tabs>
          <w:tab w:val="clear" w:pos="567"/>
        </w:tabs>
        <w:spacing w:line="240" w:lineRule="auto"/>
        <w:rPr>
          <w:noProof/>
          <w:szCs w:val="22"/>
        </w:rPr>
      </w:pPr>
      <w:r w:rsidRPr="007944F8">
        <w:t>Oxyde de fer noir (E172)</w:t>
      </w:r>
    </w:p>
    <w:p w14:paraId="34B01B38" w14:textId="77777777" w:rsidR="002B3A7E" w:rsidRPr="007944F8" w:rsidRDefault="007E3CA7" w:rsidP="00E93E8B">
      <w:pPr>
        <w:widowControl w:val="0"/>
        <w:tabs>
          <w:tab w:val="clear" w:pos="567"/>
        </w:tabs>
        <w:spacing w:line="240" w:lineRule="auto"/>
        <w:rPr>
          <w:noProof/>
          <w:szCs w:val="22"/>
        </w:rPr>
      </w:pPr>
      <w:r w:rsidRPr="007944F8">
        <w:t>Propylène glycol</w:t>
      </w:r>
      <w:r w:rsidR="00317776">
        <w:t>(E1520)</w:t>
      </w:r>
    </w:p>
    <w:p w14:paraId="631106BD" w14:textId="77777777" w:rsidR="00812D16" w:rsidRPr="007944F8" w:rsidRDefault="007E3CA7" w:rsidP="00E93E8B">
      <w:pPr>
        <w:widowControl w:val="0"/>
        <w:tabs>
          <w:tab w:val="clear" w:pos="567"/>
        </w:tabs>
        <w:spacing w:line="240" w:lineRule="auto"/>
        <w:rPr>
          <w:noProof/>
          <w:szCs w:val="22"/>
        </w:rPr>
      </w:pPr>
      <w:r w:rsidRPr="007944F8">
        <w:t>Gomme laque</w:t>
      </w:r>
    </w:p>
    <w:p w14:paraId="1F3C60DF" w14:textId="77777777" w:rsidR="00DC6725" w:rsidRPr="007944F8" w:rsidRDefault="00DC6725" w:rsidP="00E93E8B">
      <w:pPr>
        <w:widowControl w:val="0"/>
        <w:tabs>
          <w:tab w:val="clear" w:pos="567"/>
        </w:tabs>
        <w:spacing w:line="240" w:lineRule="auto"/>
        <w:rPr>
          <w:noProof/>
          <w:szCs w:val="22"/>
        </w:rPr>
      </w:pPr>
    </w:p>
    <w:p w14:paraId="6A5D072D" w14:textId="77777777" w:rsidR="00812D16" w:rsidRPr="007944F8" w:rsidRDefault="00812D16" w:rsidP="00BE7F7C">
      <w:pPr>
        <w:keepNext/>
        <w:widowControl w:val="0"/>
        <w:outlineLvl w:val="0"/>
        <w:rPr>
          <w:b/>
          <w:noProof/>
        </w:rPr>
      </w:pPr>
      <w:r w:rsidRPr="007944F8">
        <w:rPr>
          <w:b/>
        </w:rPr>
        <w:t>6.2</w:t>
      </w:r>
      <w:r w:rsidRPr="007944F8">
        <w:tab/>
      </w:r>
      <w:r w:rsidRPr="007944F8">
        <w:rPr>
          <w:b/>
        </w:rPr>
        <w:t>Incompatibilités</w:t>
      </w:r>
    </w:p>
    <w:p w14:paraId="0DE94415" w14:textId="77777777" w:rsidR="00812D16" w:rsidRPr="007944F8" w:rsidRDefault="00812D16" w:rsidP="00E93E8B">
      <w:pPr>
        <w:keepNext/>
        <w:widowControl w:val="0"/>
        <w:tabs>
          <w:tab w:val="clear" w:pos="567"/>
        </w:tabs>
        <w:spacing w:line="240" w:lineRule="auto"/>
        <w:rPr>
          <w:noProof/>
          <w:szCs w:val="22"/>
        </w:rPr>
      </w:pPr>
    </w:p>
    <w:p w14:paraId="48E5A156" w14:textId="77777777" w:rsidR="00812D16" w:rsidRPr="007944F8" w:rsidRDefault="00B37AA5" w:rsidP="00BE7F7C">
      <w:pPr>
        <w:widowControl w:val="0"/>
        <w:tabs>
          <w:tab w:val="clear" w:pos="567"/>
        </w:tabs>
        <w:spacing w:line="240" w:lineRule="auto"/>
        <w:outlineLvl w:val="0"/>
        <w:rPr>
          <w:noProof/>
          <w:szCs w:val="22"/>
        </w:rPr>
      </w:pPr>
      <w:r w:rsidRPr="007944F8">
        <w:t>Sans objet.</w:t>
      </w:r>
    </w:p>
    <w:p w14:paraId="2C6B3390" w14:textId="77777777" w:rsidR="00560EDA" w:rsidRPr="007944F8" w:rsidRDefault="00560EDA" w:rsidP="00E93E8B">
      <w:pPr>
        <w:widowControl w:val="0"/>
        <w:tabs>
          <w:tab w:val="clear" w:pos="567"/>
        </w:tabs>
        <w:spacing w:line="240" w:lineRule="auto"/>
        <w:rPr>
          <w:noProof/>
          <w:szCs w:val="22"/>
        </w:rPr>
      </w:pPr>
    </w:p>
    <w:p w14:paraId="27A5F48E" w14:textId="77777777" w:rsidR="00812D16" w:rsidRPr="007944F8" w:rsidRDefault="00812D16" w:rsidP="00BE7F7C">
      <w:pPr>
        <w:keepNext/>
        <w:widowControl w:val="0"/>
        <w:outlineLvl w:val="0"/>
        <w:rPr>
          <w:b/>
          <w:noProof/>
        </w:rPr>
      </w:pPr>
      <w:r w:rsidRPr="007944F8">
        <w:rPr>
          <w:b/>
        </w:rPr>
        <w:t>6.3</w:t>
      </w:r>
      <w:r w:rsidRPr="007944F8">
        <w:tab/>
      </w:r>
      <w:r w:rsidRPr="007944F8">
        <w:rPr>
          <w:b/>
        </w:rPr>
        <w:t>Durée de conservation</w:t>
      </w:r>
    </w:p>
    <w:p w14:paraId="24A3ABE0" w14:textId="77777777" w:rsidR="00812D16" w:rsidRPr="007944F8" w:rsidRDefault="00812D16" w:rsidP="00E93E8B">
      <w:pPr>
        <w:keepNext/>
        <w:widowControl w:val="0"/>
        <w:tabs>
          <w:tab w:val="clear" w:pos="567"/>
        </w:tabs>
        <w:spacing w:line="240" w:lineRule="auto"/>
        <w:rPr>
          <w:noProof/>
          <w:szCs w:val="22"/>
        </w:rPr>
      </w:pPr>
    </w:p>
    <w:p w14:paraId="3605845F" w14:textId="77777777" w:rsidR="00812D16" w:rsidRPr="007944F8" w:rsidRDefault="00FD126C" w:rsidP="00E93E8B">
      <w:pPr>
        <w:widowControl w:val="0"/>
        <w:tabs>
          <w:tab w:val="clear" w:pos="567"/>
        </w:tabs>
        <w:spacing w:line="240" w:lineRule="auto"/>
        <w:rPr>
          <w:noProof/>
          <w:szCs w:val="22"/>
        </w:rPr>
      </w:pPr>
      <w:r>
        <w:t>5</w:t>
      </w:r>
      <w:r w:rsidR="00D80667" w:rsidRPr="007944F8">
        <w:t> </w:t>
      </w:r>
      <w:r w:rsidR="00D8245B" w:rsidRPr="007944F8">
        <w:t>ans</w:t>
      </w:r>
      <w:r w:rsidR="00BB5AB9" w:rsidRPr="007944F8">
        <w:t>.</w:t>
      </w:r>
    </w:p>
    <w:p w14:paraId="0CB3FBBE" w14:textId="77777777" w:rsidR="00B06F37" w:rsidRPr="007944F8" w:rsidRDefault="00B06F37" w:rsidP="00E93E8B">
      <w:pPr>
        <w:widowControl w:val="0"/>
        <w:spacing w:line="240" w:lineRule="auto"/>
        <w:rPr>
          <w:noProof/>
        </w:rPr>
      </w:pPr>
    </w:p>
    <w:p w14:paraId="6FCD6995" w14:textId="77777777" w:rsidR="00812D16" w:rsidRPr="007944F8" w:rsidRDefault="00812D16" w:rsidP="00BE7F7C">
      <w:pPr>
        <w:keepNext/>
        <w:widowControl w:val="0"/>
        <w:outlineLvl w:val="0"/>
        <w:rPr>
          <w:b/>
          <w:noProof/>
        </w:rPr>
      </w:pPr>
      <w:r w:rsidRPr="007944F8">
        <w:rPr>
          <w:b/>
        </w:rPr>
        <w:t>6.4</w:t>
      </w:r>
      <w:r w:rsidRPr="007944F8">
        <w:tab/>
      </w:r>
      <w:r w:rsidRPr="007944F8">
        <w:rPr>
          <w:b/>
        </w:rPr>
        <w:t>Précautions particulières de conservation</w:t>
      </w:r>
    </w:p>
    <w:p w14:paraId="365876DC" w14:textId="77777777" w:rsidR="005108A3" w:rsidRPr="007944F8" w:rsidRDefault="005108A3" w:rsidP="00E93E8B">
      <w:pPr>
        <w:keepNext/>
        <w:widowControl w:val="0"/>
        <w:tabs>
          <w:tab w:val="clear" w:pos="567"/>
        </w:tabs>
        <w:spacing w:line="240" w:lineRule="auto"/>
        <w:rPr>
          <w:noProof/>
          <w:szCs w:val="22"/>
        </w:rPr>
      </w:pPr>
    </w:p>
    <w:p w14:paraId="7AD4A7F7" w14:textId="77777777" w:rsidR="004B5B9B" w:rsidRPr="007944F8" w:rsidRDefault="0041645F" w:rsidP="00E93E8B">
      <w:pPr>
        <w:widowControl w:val="0"/>
        <w:tabs>
          <w:tab w:val="clear" w:pos="567"/>
        </w:tabs>
        <w:spacing w:line="240" w:lineRule="auto"/>
        <w:rPr>
          <w:noProof/>
          <w:szCs w:val="22"/>
        </w:rPr>
      </w:pPr>
      <w:r>
        <w:t>A</w:t>
      </w:r>
      <w:r w:rsidR="00B37AA5" w:rsidRPr="007944F8">
        <w:t xml:space="preserve"> conserver à une température ne dépassant pas 30 °C.</w:t>
      </w:r>
    </w:p>
    <w:p w14:paraId="4B3CAAF6" w14:textId="77777777" w:rsidR="00B37AA5" w:rsidRPr="007944F8" w:rsidRDefault="0041645F" w:rsidP="00E93E8B">
      <w:pPr>
        <w:widowControl w:val="0"/>
        <w:tabs>
          <w:tab w:val="clear" w:pos="567"/>
        </w:tabs>
        <w:spacing w:line="240" w:lineRule="auto"/>
        <w:rPr>
          <w:noProof/>
          <w:szCs w:val="22"/>
        </w:rPr>
      </w:pPr>
      <w:r>
        <w:t>A</w:t>
      </w:r>
      <w:r w:rsidR="00121D2B" w:rsidRPr="007944F8">
        <w:t xml:space="preserve"> conserver dans l’emballage extérieur d’origine à l’abri de l’humidité.</w:t>
      </w:r>
    </w:p>
    <w:p w14:paraId="71777F7F" w14:textId="77777777" w:rsidR="00B37AA5" w:rsidRPr="007944F8" w:rsidRDefault="00B37AA5" w:rsidP="00E93E8B">
      <w:pPr>
        <w:widowControl w:val="0"/>
        <w:tabs>
          <w:tab w:val="clear" w:pos="567"/>
        </w:tabs>
        <w:spacing w:line="240" w:lineRule="auto"/>
        <w:rPr>
          <w:noProof/>
          <w:szCs w:val="22"/>
        </w:rPr>
      </w:pPr>
    </w:p>
    <w:p w14:paraId="10632D11" w14:textId="77777777" w:rsidR="00812D16" w:rsidRPr="007944F8" w:rsidRDefault="00F9016F" w:rsidP="00BE7F7C">
      <w:pPr>
        <w:keepNext/>
        <w:widowControl w:val="0"/>
        <w:outlineLvl w:val="0"/>
        <w:rPr>
          <w:b/>
          <w:noProof/>
        </w:rPr>
      </w:pPr>
      <w:r w:rsidRPr="007944F8">
        <w:rPr>
          <w:b/>
        </w:rPr>
        <w:t>6.5</w:t>
      </w:r>
      <w:r w:rsidRPr="007944F8">
        <w:tab/>
      </w:r>
      <w:r w:rsidRPr="007944F8">
        <w:rPr>
          <w:b/>
        </w:rPr>
        <w:t>Nature et contenu de l’emballage extérieur</w:t>
      </w:r>
    </w:p>
    <w:p w14:paraId="47C49774" w14:textId="77777777" w:rsidR="00812D16" w:rsidRPr="007944F8" w:rsidRDefault="00812D16" w:rsidP="00E93E8B">
      <w:pPr>
        <w:keepNext/>
        <w:widowControl w:val="0"/>
        <w:tabs>
          <w:tab w:val="clear" w:pos="567"/>
          <w:tab w:val="left" w:pos="2805"/>
        </w:tabs>
        <w:spacing w:line="240" w:lineRule="auto"/>
        <w:rPr>
          <w:noProof/>
          <w:szCs w:val="22"/>
        </w:rPr>
      </w:pPr>
    </w:p>
    <w:p w14:paraId="5BF31268" w14:textId="77777777" w:rsidR="001D261C" w:rsidRPr="007944F8" w:rsidRDefault="009D5D74" w:rsidP="00E93E8B">
      <w:pPr>
        <w:widowControl w:val="0"/>
        <w:tabs>
          <w:tab w:val="clear" w:pos="567"/>
        </w:tabs>
        <w:spacing w:line="240" w:lineRule="auto"/>
        <w:rPr>
          <w:noProof/>
          <w:szCs w:val="22"/>
        </w:rPr>
      </w:pPr>
      <w:r w:rsidRPr="007944F8">
        <w:t>10 x 1 </w:t>
      </w:r>
      <w:r w:rsidR="00AF6C43" w:rsidRPr="007944F8">
        <w:t>gélule dans des p</w:t>
      </w:r>
      <w:r w:rsidR="00347ABD" w:rsidRPr="007944F8">
        <w:t xml:space="preserve">laquettes </w:t>
      </w:r>
      <w:r w:rsidR="00E42964" w:rsidRPr="007944F8">
        <w:t>de</w:t>
      </w:r>
      <w:r w:rsidR="00AF6C43" w:rsidRPr="007944F8">
        <w:t xml:space="preserve"> doses unitaires perforées </w:t>
      </w:r>
      <w:r w:rsidR="00347ABD" w:rsidRPr="007944F8">
        <w:t>en PCTFE/PVC/aluminium.</w:t>
      </w:r>
    </w:p>
    <w:p w14:paraId="171614BF" w14:textId="77777777" w:rsidR="001D261C" w:rsidRPr="007944F8" w:rsidRDefault="001D261C" w:rsidP="00E93E8B">
      <w:pPr>
        <w:widowControl w:val="0"/>
        <w:tabs>
          <w:tab w:val="clear" w:pos="567"/>
        </w:tabs>
        <w:spacing w:line="240" w:lineRule="auto"/>
        <w:rPr>
          <w:noProof/>
          <w:szCs w:val="22"/>
        </w:rPr>
      </w:pPr>
    </w:p>
    <w:p w14:paraId="4526AB9E" w14:textId="77777777" w:rsidR="00F44E1B" w:rsidRPr="007944F8" w:rsidRDefault="004E7E1E" w:rsidP="00BE7F7C">
      <w:pPr>
        <w:widowControl w:val="0"/>
        <w:tabs>
          <w:tab w:val="clear" w:pos="567"/>
        </w:tabs>
        <w:spacing w:line="240" w:lineRule="auto"/>
        <w:outlineLvl w:val="0"/>
        <w:rPr>
          <w:noProof/>
          <w:szCs w:val="22"/>
        </w:rPr>
      </w:pPr>
      <w:r w:rsidRPr="007944F8">
        <w:t>Chaque boîte contient 10 ou 30 gélules.</w:t>
      </w:r>
    </w:p>
    <w:p w14:paraId="7792AA21" w14:textId="77777777" w:rsidR="00F44E1B" w:rsidRPr="007944F8" w:rsidRDefault="00F44E1B" w:rsidP="00E93E8B">
      <w:pPr>
        <w:widowControl w:val="0"/>
        <w:tabs>
          <w:tab w:val="clear" w:pos="567"/>
        </w:tabs>
        <w:spacing w:line="240" w:lineRule="auto"/>
        <w:rPr>
          <w:noProof/>
          <w:szCs w:val="22"/>
        </w:rPr>
      </w:pPr>
    </w:p>
    <w:p w14:paraId="5095BD1B" w14:textId="77777777" w:rsidR="00812D16" w:rsidRPr="007944F8" w:rsidRDefault="00812D16" w:rsidP="00BE7F7C">
      <w:pPr>
        <w:widowControl w:val="0"/>
        <w:tabs>
          <w:tab w:val="clear" w:pos="567"/>
        </w:tabs>
        <w:spacing w:line="240" w:lineRule="auto"/>
        <w:outlineLvl w:val="0"/>
        <w:rPr>
          <w:noProof/>
          <w:szCs w:val="22"/>
        </w:rPr>
      </w:pPr>
      <w:r w:rsidRPr="007944F8">
        <w:t>Toutes les présentations peuvent ne pas être commercialisées.</w:t>
      </w:r>
    </w:p>
    <w:p w14:paraId="1B849E3C" w14:textId="77777777" w:rsidR="00812D16" w:rsidRPr="007944F8" w:rsidRDefault="00812D16" w:rsidP="00E93E8B">
      <w:pPr>
        <w:widowControl w:val="0"/>
        <w:tabs>
          <w:tab w:val="clear" w:pos="567"/>
        </w:tabs>
        <w:spacing w:line="240" w:lineRule="auto"/>
        <w:rPr>
          <w:noProof/>
          <w:szCs w:val="22"/>
        </w:rPr>
      </w:pPr>
    </w:p>
    <w:p w14:paraId="49B72D14" w14:textId="77777777" w:rsidR="00812D16" w:rsidRPr="007944F8" w:rsidRDefault="00812D16" w:rsidP="00BE7F7C">
      <w:pPr>
        <w:keepNext/>
        <w:widowControl w:val="0"/>
        <w:outlineLvl w:val="0"/>
        <w:rPr>
          <w:b/>
          <w:noProof/>
        </w:rPr>
      </w:pPr>
      <w:bookmarkStart w:id="121" w:name="OLE_LINK1"/>
      <w:r w:rsidRPr="007944F8">
        <w:rPr>
          <w:b/>
        </w:rPr>
        <w:t>6.6</w:t>
      </w:r>
      <w:r w:rsidRPr="007944F8">
        <w:tab/>
      </w:r>
      <w:r w:rsidRPr="007944F8">
        <w:rPr>
          <w:b/>
        </w:rPr>
        <w:t>Précautions particulières d’élimination</w:t>
      </w:r>
    </w:p>
    <w:p w14:paraId="13492479" w14:textId="6D1B1F82" w:rsidR="00812D16" w:rsidRDefault="00812D16" w:rsidP="00E93E8B">
      <w:pPr>
        <w:keepNext/>
        <w:widowControl w:val="0"/>
        <w:tabs>
          <w:tab w:val="clear" w:pos="567"/>
        </w:tabs>
        <w:spacing w:line="240" w:lineRule="auto"/>
        <w:rPr>
          <w:noProof/>
          <w:szCs w:val="22"/>
        </w:rPr>
      </w:pPr>
    </w:p>
    <w:p w14:paraId="4494B224" w14:textId="460DCDAF" w:rsidR="00E804B5" w:rsidRDefault="00E804B5" w:rsidP="00E93E8B">
      <w:pPr>
        <w:keepNext/>
        <w:widowControl w:val="0"/>
        <w:tabs>
          <w:tab w:val="clear" w:pos="567"/>
        </w:tabs>
        <w:spacing w:line="240" w:lineRule="auto"/>
      </w:pPr>
      <w:r>
        <w:t>Ce médicament peut présenter un risque pour l’environnement (voir rubrique 5.3).</w:t>
      </w:r>
    </w:p>
    <w:p w14:paraId="1A988838" w14:textId="77777777" w:rsidR="00E804B5" w:rsidRPr="007944F8" w:rsidRDefault="00E804B5" w:rsidP="00E93E8B">
      <w:pPr>
        <w:keepNext/>
        <w:widowControl w:val="0"/>
        <w:tabs>
          <w:tab w:val="clear" w:pos="567"/>
        </w:tabs>
        <w:spacing w:line="240" w:lineRule="auto"/>
        <w:rPr>
          <w:noProof/>
          <w:szCs w:val="22"/>
        </w:rPr>
      </w:pPr>
    </w:p>
    <w:p w14:paraId="7808DF04" w14:textId="77777777" w:rsidR="00812D16" w:rsidRPr="007944F8" w:rsidRDefault="00812D16" w:rsidP="00BE7F7C">
      <w:pPr>
        <w:widowControl w:val="0"/>
        <w:tabs>
          <w:tab w:val="clear" w:pos="567"/>
        </w:tabs>
        <w:spacing w:line="240" w:lineRule="auto"/>
        <w:outlineLvl w:val="0"/>
      </w:pPr>
      <w:r w:rsidRPr="007944F8">
        <w:t>Tout médicament non utilisé ou déchet doit être éliminé conformément à la réglementation en vigueur.</w:t>
      </w:r>
      <w:bookmarkEnd w:id="121"/>
    </w:p>
    <w:p w14:paraId="07608AFA" w14:textId="77777777" w:rsidR="00812D16" w:rsidRPr="007944F8" w:rsidRDefault="00812D16" w:rsidP="00E93E8B">
      <w:pPr>
        <w:widowControl w:val="0"/>
        <w:tabs>
          <w:tab w:val="clear" w:pos="567"/>
        </w:tabs>
        <w:spacing w:line="240" w:lineRule="auto"/>
        <w:rPr>
          <w:noProof/>
          <w:szCs w:val="22"/>
        </w:rPr>
      </w:pPr>
    </w:p>
    <w:p w14:paraId="1DC0494D" w14:textId="77777777" w:rsidR="00D8245B" w:rsidRPr="007944F8" w:rsidRDefault="00D8245B" w:rsidP="00E93E8B">
      <w:pPr>
        <w:widowControl w:val="0"/>
        <w:tabs>
          <w:tab w:val="clear" w:pos="567"/>
        </w:tabs>
        <w:spacing w:line="240" w:lineRule="auto"/>
        <w:rPr>
          <w:noProof/>
          <w:szCs w:val="22"/>
        </w:rPr>
      </w:pPr>
    </w:p>
    <w:p w14:paraId="74C8D674" w14:textId="77777777" w:rsidR="00812D16" w:rsidRPr="007944F8" w:rsidRDefault="00812D16" w:rsidP="00BE7F7C">
      <w:pPr>
        <w:keepNext/>
        <w:widowControl w:val="0"/>
        <w:tabs>
          <w:tab w:val="clear" w:pos="567"/>
        </w:tabs>
        <w:spacing w:line="240" w:lineRule="auto"/>
        <w:ind w:left="567" w:hanging="567"/>
        <w:outlineLvl w:val="0"/>
        <w:rPr>
          <w:noProof/>
          <w:szCs w:val="22"/>
        </w:rPr>
      </w:pPr>
      <w:r w:rsidRPr="007944F8">
        <w:rPr>
          <w:b/>
          <w:noProof/>
        </w:rPr>
        <w:t>7.</w:t>
      </w:r>
      <w:r w:rsidRPr="007944F8">
        <w:tab/>
      </w:r>
      <w:r w:rsidRPr="007944F8">
        <w:rPr>
          <w:b/>
          <w:noProof/>
        </w:rPr>
        <w:t>TITULAIRE DE L’AUTORISATION DE MISE SUR LE MARCHÉ</w:t>
      </w:r>
    </w:p>
    <w:p w14:paraId="57D804EB" w14:textId="77777777" w:rsidR="00812D16" w:rsidRPr="007944F8" w:rsidRDefault="00812D16" w:rsidP="00E93E8B">
      <w:pPr>
        <w:keepNext/>
        <w:widowControl w:val="0"/>
        <w:tabs>
          <w:tab w:val="clear" w:pos="567"/>
        </w:tabs>
        <w:spacing w:line="240" w:lineRule="auto"/>
        <w:rPr>
          <w:noProof/>
          <w:szCs w:val="22"/>
        </w:rPr>
      </w:pPr>
    </w:p>
    <w:p w14:paraId="1541910D" w14:textId="77777777" w:rsidR="00882BCB" w:rsidRDefault="00882BCB" w:rsidP="00882BCB">
      <w:pPr>
        <w:keepNext/>
        <w:widowControl w:val="0"/>
        <w:tabs>
          <w:tab w:val="clear" w:pos="567"/>
          <w:tab w:val="left" w:pos="720"/>
        </w:tabs>
        <w:spacing w:line="240" w:lineRule="auto"/>
        <w:rPr>
          <w:noProof/>
          <w:szCs w:val="22"/>
        </w:rPr>
      </w:pPr>
      <w:r>
        <w:rPr>
          <w:noProof/>
          <w:szCs w:val="22"/>
        </w:rPr>
        <w:t>Sun Pharmaceutical Industries Europe B.V.</w:t>
      </w:r>
    </w:p>
    <w:p w14:paraId="0F6665DC" w14:textId="77777777" w:rsidR="00882BCB" w:rsidRDefault="00882BCB" w:rsidP="00882BCB">
      <w:pPr>
        <w:keepNext/>
        <w:widowControl w:val="0"/>
        <w:tabs>
          <w:tab w:val="clear" w:pos="567"/>
          <w:tab w:val="left" w:pos="720"/>
        </w:tabs>
        <w:spacing w:line="240" w:lineRule="auto"/>
        <w:rPr>
          <w:noProof/>
          <w:szCs w:val="22"/>
        </w:rPr>
      </w:pPr>
      <w:r>
        <w:rPr>
          <w:noProof/>
          <w:szCs w:val="22"/>
        </w:rPr>
        <w:t>Polarisavenue 87</w:t>
      </w:r>
    </w:p>
    <w:p w14:paraId="665E5CFF" w14:textId="77777777" w:rsidR="00882BCB" w:rsidRDefault="00882BCB" w:rsidP="00882BCB">
      <w:pPr>
        <w:keepNext/>
        <w:widowControl w:val="0"/>
        <w:tabs>
          <w:tab w:val="clear" w:pos="567"/>
          <w:tab w:val="left" w:pos="720"/>
        </w:tabs>
        <w:spacing w:line="240" w:lineRule="auto"/>
        <w:rPr>
          <w:noProof/>
          <w:szCs w:val="22"/>
        </w:rPr>
      </w:pPr>
      <w:r>
        <w:rPr>
          <w:noProof/>
          <w:szCs w:val="22"/>
        </w:rPr>
        <w:t>2132JH Hoofddorp</w:t>
      </w:r>
    </w:p>
    <w:p w14:paraId="4D2285B1" w14:textId="77777777" w:rsidR="005D01D3" w:rsidRDefault="005D01D3" w:rsidP="00E93E8B">
      <w:pPr>
        <w:widowControl w:val="0"/>
        <w:tabs>
          <w:tab w:val="clear" w:pos="567"/>
        </w:tabs>
        <w:spacing w:line="240" w:lineRule="auto"/>
        <w:rPr>
          <w:noProof/>
          <w:szCs w:val="22"/>
        </w:rPr>
      </w:pPr>
      <w:r w:rsidRPr="005D01D3">
        <w:rPr>
          <w:noProof/>
          <w:szCs w:val="22"/>
        </w:rPr>
        <w:t>Pays-Bas</w:t>
      </w:r>
    </w:p>
    <w:p w14:paraId="406FB616" w14:textId="77777777" w:rsidR="00D8245B" w:rsidRPr="007944F8" w:rsidRDefault="00D8245B" w:rsidP="00E93E8B">
      <w:pPr>
        <w:widowControl w:val="0"/>
        <w:tabs>
          <w:tab w:val="clear" w:pos="567"/>
        </w:tabs>
        <w:spacing w:line="240" w:lineRule="auto"/>
        <w:rPr>
          <w:noProof/>
          <w:szCs w:val="22"/>
        </w:rPr>
      </w:pPr>
    </w:p>
    <w:p w14:paraId="18A93B38" w14:textId="77777777" w:rsidR="00812D16" w:rsidRPr="007944F8" w:rsidRDefault="00812D16" w:rsidP="00E93E8B">
      <w:pPr>
        <w:widowControl w:val="0"/>
        <w:tabs>
          <w:tab w:val="clear" w:pos="567"/>
        </w:tabs>
        <w:spacing w:line="240" w:lineRule="auto"/>
        <w:rPr>
          <w:noProof/>
          <w:szCs w:val="22"/>
        </w:rPr>
      </w:pPr>
    </w:p>
    <w:p w14:paraId="2F5182ED" w14:textId="77777777" w:rsidR="003650BA" w:rsidRPr="007944F8" w:rsidRDefault="00812D16" w:rsidP="00BE7F7C">
      <w:pPr>
        <w:keepNext/>
        <w:widowControl w:val="0"/>
        <w:tabs>
          <w:tab w:val="clear" w:pos="567"/>
        </w:tabs>
        <w:spacing w:line="240" w:lineRule="auto"/>
        <w:ind w:left="567" w:hanging="567"/>
        <w:outlineLvl w:val="0"/>
        <w:rPr>
          <w:b/>
          <w:noProof/>
        </w:rPr>
      </w:pPr>
      <w:r w:rsidRPr="007944F8">
        <w:rPr>
          <w:b/>
          <w:noProof/>
        </w:rPr>
        <w:t>8.</w:t>
      </w:r>
      <w:r w:rsidRPr="007944F8">
        <w:tab/>
      </w:r>
      <w:r w:rsidRPr="007944F8">
        <w:rPr>
          <w:b/>
          <w:noProof/>
        </w:rPr>
        <w:t>NUMÉRO(S) D’AUTORISATION DE MISE SUR LE MARCHÉ</w:t>
      </w:r>
    </w:p>
    <w:p w14:paraId="65187EAF" w14:textId="77777777" w:rsidR="00AF6C43" w:rsidRPr="007944F8" w:rsidRDefault="00AF6C43" w:rsidP="00E418EE">
      <w:pPr>
        <w:keepNext/>
        <w:widowControl w:val="0"/>
        <w:tabs>
          <w:tab w:val="clear" w:pos="567"/>
        </w:tabs>
        <w:spacing w:line="240" w:lineRule="auto"/>
        <w:ind w:left="567" w:hanging="567"/>
        <w:rPr>
          <w:noProof/>
        </w:rPr>
      </w:pPr>
    </w:p>
    <w:p w14:paraId="77C0EF70" w14:textId="77777777" w:rsidR="00AF6C43" w:rsidRPr="007944F8" w:rsidRDefault="00AF6C43" w:rsidP="00BE7F7C">
      <w:pPr>
        <w:keepNext/>
        <w:widowControl w:val="0"/>
        <w:tabs>
          <w:tab w:val="clear" w:pos="567"/>
        </w:tabs>
        <w:spacing w:line="240" w:lineRule="auto"/>
        <w:outlineLvl w:val="0"/>
        <w:rPr>
          <w:noProof/>
          <w:szCs w:val="22"/>
        </w:rPr>
      </w:pPr>
      <w:r w:rsidRPr="007944F8">
        <w:rPr>
          <w:noProof/>
          <w:szCs w:val="22"/>
        </w:rPr>
        <w:t>EU/1/15/1030/001</w:t>
      </w:r>
    </w:p>
    <w:p w14:paraId="3FAEA328" w14:textId="77777777" w:rsidR="00812D16" w:rsidRPr="007944F8" w:rsidRDefault="00AF6C43" w:rsidP="00BE7F7C">
      <w:pPr>
        <w:widowControl w:val="0"/>
        <w:tabs>
          <w:tab w:val="clear" w:pos="567"/>
        </w:tabs>
        <w:spacing w:line="240" w:lineRule="auto"/>
        <w:outlineLvl w:val="0"/>
        <w:rPr>
          <w:noProof/>
          <w:szCs w:val="22"/>
        </w:rPr>
      </w:pPr>
      <w:r w:rsidRPr="007944F8">
        <w:rPr>
          <w:noProof/>
          <w:szCs w:val="22"/>
        </w:rPr>
        <w:t>EU/1/15/1030/002</w:t>
      </w:r>
    </w:p>
    <w:p w14:paraId="29B61EF5" w14:textId="77777777" w:rsidR="00812D16" w:rsidRPr="007944F8" w:rsidRDefault="00812D16" w:rsidP="00E93E8B">
      <w:pPr>
        <w:widowControl w:val="0"/>
        <w:tabs>
          <w:tab w:val="clear" w:pos="567"/>
        </w:tabs>
        <w:spacing w:line="240" w:lineRule="auto"/>
        <w:rPr>
          <w:noProof/>
          <w:szCs w:val="22"/>
        </w:rPr>
      </w:pPr>
    </w:p>
    <w:p w14:paraId="4ACE6649" w14:textId="77777777" w:rsidR="00D8245B" w:rsidRPr="007944F8" w:rsidRDefault="00D8245B" w:rsidP="00E93E8B">
      <w:pPr>
        <w:widowControl w:val="0"/>
        <w:tabs>
          <w:tab w:val="clear" w:pos="567"/>
        </w:tabs>
        <w:spacing w:line="240" w:lineRule="auto"/>
        <w:rPr>
          <w:noProof/>
          <w:szCs w:val="22"/>
        </w:rPr>
      </w:pPr>
    </w:p>
    <w:p w14:paraId="6B36CAB8" w14:textId="77777777" w:rsidR="00812D16" w:rsidRPr="007944F8" w:rsidRDefault="00812D16" w:rsidP="00BE7F7C">
      <w:pPr>
        <w:keepNext/>
        <w:widowControl w:val="0"/>
        <w:tabs>
          <w:tab w:val="clear" w:pos="567"/>
        </w:tabs>
        <w:spacing w:line="240" w:lineRule="auto"/>
        <w:ind w:left="567" w:hanging="567"/>
        <w:outlineLvl w:val="0"/>
        <w:rPr>
          <w:noProof/>
          <w:szCs w:val="22"/>
        </w:rPr>
      </w:pPr>
      <w:r w:rsidRPr="007944F8">
        <w:rPr>
          <w:b/>
          <w:noProof/>
        </w:rPr>
        <w:t>9.</w:t>
      </w:r>
      <w:r w:rsidRPr="007944F8">
        <w:tab/>
      </w:r>
      <w:r w:rsidRPr="007944F8">
        <w:rPr>
          <w:b/>
          <w:noProof/>
        </w:rPr>
        <w:t>DATE DE PREMIÈRE AUTORISATION/DE RENOUVELLEMENT DE L’AUTORISATION</w:t>
      </w:r>
    </w:p>
    <w:p w14:paraId="300BEAA2" w14:textId="77777777" w:rsidR="00812D16" w:rsidRPr="007944F8" w:rsidRDefault="00812D16" w:rsidP="00D62124">
      <w:pPr>
        <w:keepNext/>
        <w:widowControl w:val="0"/>
        <w:tabs>
          <w:tab w:val="clear" w:pos="567"/>
        </w:tabs>
        <w:spacing w:line="240" w:lineRule="auto"/>
        <w:rPr>
          <w:noProof/>
          <w:szCs w:val="22"/>
        </w:rPr>
      </w:pPr>
    </w:p>
    <w:p w14:paraId="54351102" w14:textId="77777777" w:rsidR="00812D16" w:rsidRDefault="000554CF" w:rsidP="00E93E8B">
      <w:pPr>
        <w:widowControl w:val="0"/>
        <w:tabs>
          <w:tab w:val="clear" w:pos="567"/>
        </w:tabs>
        <w:spacing w:line="240" w:lineRule="auto"/>
        <w:rPr>
          <w:noProof/>
          <w:szCs w:val="22"/>
        </w:rPr>
      </w:pPr>
      <w:r>
        <w:rPr>
          <w:noProof/>
          <w:szCs w:val="22"/>
        </w:rPr>
        <w:t xml:space="preserve">Date de première autorisation : </w:t>
      </w:r>
      <w:r w:rsidR="00AB4ADF" w:rsidRPr="007944F8">
        <w:rPr>
          <w:noProof/>
          <w:szCs w:val="22"/>
        </w:rPr>
        <w:t>14 août 2015</w:t>
      </w:r>
    </w:p>
    <w:p w14:paraId="12DA507F" w14:textId="77777777" w:rsidR="000554CF" w:rsidRPr="007944F8" w:rsidRDefault="000554CF" w:rsidP="00E93E8B">
      <w:pPr>
        <w:widowControl w:val="0"/>
        <w:tabs>
          <w:tab w:val="clear" w:pos="567"/>
        </w:tabs>
        <w:spacing w:line="240" w:lineRule="auto"/>
        <w:rPr>
          <w:noProof/>
          <w:szCs w:val="22"/>
        </w:rPr>
      </w:pPr>
      <w:r>
        <w:rPr>
          <w:noProof/>
          <w:szCs w:val="22"/>
        </w:rPr>
        <w:t>Date du der</w:t>
      </w:r>
      <w:r w:rsidR="0091047A">
        <w:rPr>
          <w:noProof/>
          <w:szCs w:val="22"/>
        </w:rPr>
        <w:t>n</w:t>
      </w:r>
      <w:r>
        <w:rPr>
          <w:noProof/>
          <w:szCs w:val="22"/>
        </w:rPr>
        <w:t>ier renouvellement :</w:t>
      </w:r>
      <w:r w:rsidR="00255015">
        <w:rPr>
          <w:noProof/>
          <w:szCs w:val="22"/>
        </w:rPr>
        <w:t xml:space="preserve"> 20 mai 2020</w:t>
      </w:r>
    </w:p>
    <w:p w14:paraId="5C4ED8A6" w14:textId="77777777" w:rsidR="00AB4ADF" w:rsidRPr="007944F8" w:rsidRDefault="00AB4ADF" w:rsidP="00E93E8B">
      <w:pPr>
        <w:widowControl w:val="0"/>
        <w:tabs>
          <w:tab w:val="clear" w:pos="567"/>
        </w:tabs>
        <w:spacing w:line="240" w:lineRule="auto"/>
        <w:rPr>
          <w:noProof/>
          <w:szCs w:val="22"/>
        </w:rPr>
      </w:pPr>
    </w:p>
    <w:p w14:paraId="57DA4134" w14:textId="77777777" w:rsidR="00812D16" w:rsidRPr="007944F8" w:rsidRDefault="00812D16" w:rsidP="00E93E8B">
      <w:pPr>
        <w:widowControl w:val="0"/>
        <w:tabs>
          <w:tab w:val="clear" w:pos="567"/>
        </w:tabs>
        <w:spacing w:line="240" w:lineRule="auto"/>
        <w:rPr>
          <w:noProof/>
          <w:szCs w:val="22"/>
        </w:rPr>
      </w:pPr>
    </w:p>
    <w:p w14:paraId="6B044D1E" w14:textId="77777777" w:rsidR="00812D16" w:rsidRPr="007944F8" w:rsidRDefault="00812D16" w:rsidP="00BE7F7C">
      <w:pPr>
        <w:widowControl w:val="0"/>
        <w:tabs>
          <w:tab w:val="clear" w:pos="567"/>
        </w:tabs>
        <w:spacing w:line="240" w:lineRule="auto"/>
        <w:ind w:left="567" w:hanging="567"/>
        <w:outlineLvl w:val="0"/>
        <w:rPr>
          <w:b/>
          <w:noProof/>
          <w:szCs w:val="22"/>
        </w:rPr>
      </w:pPr>
      <w:r w:rsidRPr="007944F8">
        <w:rPr>
          <w:b/>
          <w:noProof/>
        </w:rPr>
        <w:t>10.</w:t>
      </w:r>
      <w:r w:rsidRPr="007944F8">
        <w:tab/>
      </w:r>
      <w:r w:rsidRPr="007944F8">
        <w:rPr>
          <w:b/>
          <w:noProof/>
        </w:rPr>
        <w:t>DATE DE MISE À JOUR DU TEXTE</w:t>
      </w:r>
    </w:p>
    <w:p w14:paraId="1F0F60F3" w14:textId="77777777" w:rsidR="00812D16" w:rsidRPr="007944F8" w:rsidRDefault="00812D16" w:rsidP="00E93E8B">
      <w:pPr>
        <w:widowControl w:val="0"/>
        <w:tabs>
          <w:tab w:val="clear" w:pos="567"/>
        </w:tabs>
        <w:spacing w:line="240" w:lineRule="auto"/>
        <w:rPr>
          <w:noProof/>
          <w:szCs w:val="22"/>
        </w:rPr>
      </w:pPr>
    </w:p>
    <w:p w14:paraId="2C07173B" w14:textId="77777777" w:rsidR="00947CF3" w:rsidRPr="007944F8" w:rsidRDefault="00947CF3" w:rsidP="00E93E8B">
      <w:pPr>
        <w:widowControl w:val="0"/>
        <w:numPr>
          <w:ilvl w:val="12"/>
          <w:numId w:val="0"/>
        </w:numPr>
        <w:tabs>
          <w:tab w:val="clear" w:pos="567"/>
        </w:tabs>
        <w:spacing w:line="240" w:lineRule="auto"/>
        <w:ind w:right="-2"/>
      </w:pPr>
    </w:p>
    <w:p w14:paraId="2712FAD1" w14:textId="77777777" w:rsidR="008929AA" w:rsidRPr="007944F8" w:rsidRDefault="00812D16" w:rsidP="00E93E8B">
      <w:pPr>
        <w:widowControl w:val="0"/>
        <w:numPr>
          <w:ilvl w:val="12"/>
          <w:numId w:val="0"/>
        </w:numPr>
        <w:tabs>
          <w:tab w:val="clear" w:pos="567"/>
        </w:tabs>
        <w:spacing w:line="240" w:lineRule="auto"/>
        <w:ind w:right="-2"/>
      </w:pPr>
      <w:r w:rsidRPr="007944F8">
        <w:t>Des informations détaillées sur ce médicament sont disponibles sur le site internet de l’Agence européenne des médicaments http://www.ema.europa.eu.</w:t>
      </w:r>
    </w:p>
    <w:p w14:paraId="1E2CE93D" w14:textId="77777777" w:rsidR="006C76A2" w:rsidRPr="007944F8" w:rsidRDefault="006C76A2" w:rsidP="00E93E8B">
      <w:pPr>
        <w:widowControl w:val="0"/>
        <w:spacing w:line="240" w:lineRule="auto"/>
        <w:ind w:right="566"/>
      </w:pPr>
    </w:p>
    <w:p w14:paraId="3BFC7D50" w14:textId="77777777" w:rsidR="006C76A2" w:rsidRPr="007944F8" w:rsidRDefault="00D74198" w:rsidP="00E93E8B">
      <w:pPr>
        <w:widowControl w:val="0"/>
        <w:spacing w:line="240" w:lineRule="auto"/>
        <w:ind w:right="566"/>
      </w:pPr>
      <w:r w:rsidRPr="007944F8">
        <w:br w:type="page"/>
      </w:r>
    </w:p>
    <w:p w14:paraId="606029B9" w14:textId="77777777" w:rsidR="006C76A2" w:rsidRPr="007944F8" w:rsidRDefault="006C76A2" w:rsidP="00E93E8B">
      <w:pPr>
        <w:widowControl w:val="0"/>
        <w:spacing w:line="240" w:lineRule="auto"/>
        <w:ind w:right="566"/>
      </w:pPr>
    </w:p>
    <w:p w14:paraId="642D78DE" w14:textId="77777777" w:rsidR="006C76A2" w:rsidRPr="007944F8" w:rsidRDefault="006C76A2" w:rsidP="00E93E8B">
      <w:pPr>
        <w:widowControl w:val="0"/>
        <w:spacing w:line="240" w:lineRule="auto"/>
        <w:ind w:right="566"/>
      </w:pPr>
    </w:p>
    <w:p w14:paraId="3F82D49C" w14:textId="77777777" w:rsidR="006C76A2" w:rsidRPr="007944F8" w:rsidRDefault="006C76A2" w:rsidP="00E93E8B">
      <w:pPr>
        <w:widowControl w:val="0"/>
        <w:spacing w:line="240" w:lineRule="auto"/>
        <w:ind w:right="566"/>
      </w:pPr>
    </w:p>
    <w:p w14:paraId="19233718" w14:textId="77777777" w:rsidR="006C76A2" w:rsidRPr="007944F8" w:rsidRDefault="006C76A2" w:rsidP="00E93E8B">
      <w:pPr>
        <w:widowControl w:val="0"/>
        <w:spacing w:line="240" w:lineRule="auto"/>
        <w:ind w:right="566"/>
      </w:pPr>
    </w:p>
    <w:p w14:paraId="77056610" w14:textId="77777777" w:rsidR="006C76A2" w:rsidRPr="007944F8" w:rsidRDefault="006C76A2" w:rsidP="00E93E8B">
      <w:pPr>
        <w:widowControl w:val="0"/>
        <w:spacing w:line="240" w:lineRule="auto"/>
        <w:ind w:right="566"/>
      </w:pPr>
    </w:p>
    <w:p w14:paraId="2529658E" w14:textId="77777777" w:rsidR="006C76A2" w:rsidRPr="007944F8" w:rsidRDefault="006C76A2" w:rsidP="00E93E8B">
      <w:pPr>
        <w:widowControl w:val="0"/>
        <w:spacing w:line="240" w:lineRule="auto"/>
        <w:ind w:right="566"/>
      </w:pPr>
    </w:p>
    <w:p w14:paraId="4029C83C" w14:textId="77777777" w:rsidR="006C76A2" w:rsidRPr="007944F8" w:rsidRDefault="006C76A2" w:rsidP="00E93E8B">
      <w:pPr>
        <w:widowControl w:val="0"/>
        <w:spacing w:line="240" w:lineRule="auto"/>
        <w:ind w:right="566"/>
      </w:pPr>
    </w:p>
    <w:p w14:paraId="1DF382DC" w14:textId="77777777" w:rsidR="006C76A2" w:rsidRPr="007944F8" w:rsidRDefault="006C76A2" w:rsidP="00E93E8B">
      <w:pPr>
        <w:widowControl w:val="0"/>
        <w:spacing w:line="240" w:lineRule="auto"/>
        <w:ind w:right="566"/>
      </w:pPr>
    </w:p>
    <w:p w14:paraId="21EFFC54" w14:textId="77777777" w:rsidR="006C76A2" w:rsidRPr="007944F8" w:rsidRDefault="006C76A2" w:rsidP="00E93E8B">
      <w:pPr>
        <w:widowControl w:val="0"/>
        <w:spacing w:line="240" w:lineRule="auto"/>
        <w:ind w:right="566"/>
      </w:pPr>
    </w:p>
    <w:p w14:paraId="0EAFE428" w14:textId="77777777" w:rsidR="006C76A2" w:rsidRPr="007944F8" w:rsidRDefault="006C76A2" w:rsidP="00E93E8B">
      <w:pPr>
        <w:widowControl w:val="0"/>
        <w:spacing w:line="240" w:lineRule="auto"/>
        <w:ind w:right="566"/>
      </w:pPr>
    </w:p>
    <w:p w14:paraId="0CD08A82" w14:textId="77777777" w:rsidR="006C76A2" w:rsidRPr="007944F8" w:rsidRDefault="006C76A2" w:rsidP="00E93E8B">
      <w:pPr>
        <w:widowControl w:val="0"/>
        <w:spacing w:line="240" w:lineRule="auto"/>
        <w:ind w:right="566"/>
      </w:pPr>
    </w:p>
    <w:p w14:paraId="375E44A4" w14:textId="77777777" w:rsidR="006C76A2" w:rsidRPr="007944F8" w:rsidRDefault="006C76A2" w:rsidP="00E93E8B">
      <w:pPr>
        <w:widowControl w:val="0"/>
        <w:spacing w:line="240" w:lineRule="auto"/>
        <w:ind w:right="566"/>
      </w:pPr>
    </w:p>
    <w:p w14:paraId="367C0FE3" w14:textId="77777777" w:rsidR="006C76A2" w:rsidRPr="007944F8" w:rsidRDefault="006C76A2" w:rsidP="00E93E8B">
      <w:pPr>
        <w:widowControl w:val="0"/>
        <w:spacing w:line="240" w:lineRule="auto"/>
        <w:ind w:right="566"/>
      </w:pPr>
    </w:p>
    <w:p w14:paraId="507A35CE" w14:textId="77777777" w:rsidR="006C76A2" w:rsidRPr="007944F8" w:rsidRDefault="006C76A2" w:rsidP="00E93E8B">
      <w:pPr>
        <w:widowControl w:val="0"/>
        <w:spacing w:line="240" w:lineRule="auto"/>
        <w:ind w:right="566"/>
      </w:pPr>
    </w:p>
    <w:p w14:paraId="7B6EFE78" w14:textId="77777777" w:rsidR="006C76A2" w:rsidRPr="007944F8" w:rsidRDefault="006C76A2" w:rsidP="00E93E8B">
      <w:pPr>
        <w:widowControl w:val="0"/>
        <w:spacing w:line="240" w:lineRule="auto"/>
        <w:ind w:right="566"/>
      </w:pPr>
    </w:p>
    <w:p w14:paraId="6C252B3E" w14:textId="77777777" w:rsidR="006C76A2" w:rsidRPr="007944F8" w:rsidRDefault="006C76A2" w:rsidP="00E93E8B">
      <w:pPr>
        <w:widowControl w:val="0"/>
        <w:spacing w:line="240" w:lineRule="auto"/>
        <w:ind w:right="566"/>
      </w:pPr>
    </w:p>
    <w:p w14:paraId="68F8C7DB" w14:textId="77777777" w:rsidR="006C76A2" w:rsidRPr="007944F8" w:rsidRDefault="006C76A2" w:rsidP="00E93E8B">
      <w:pPr>
        <w:widowControl w:val="0"/>
        <w:spacing w:line="240" w:lineRule="auto"/>
        <w:ind w:right="566"/>
      </w:pPr>
    </w:p>
    <w:p w14:paraId="2B1810C6" w14:textId="77777777" w:rsidR="006C76A2" w:rsidRPr="007944F8" w:rsidRDefault="006C76A2" w:rsidP="00E93E8B">
      <w:pPr>
        <w:widowControl w:val="0"/>
        <w:spacing w:line="240" w:lineRule="auto"/>
        <w:ind w:right="566"/>
      </w:pPr>
    </w:p>
    <w:p w14:paraId="55484B34" w14:textId="77777777" w:rsidR="006C76A2" w:rsidRPr="007944F8" w:rsidRDefault="006C76A2" w:rsidP="00E93E8B">
      <w:pPr>
        <w:widowControl w:val="0"/>
        <w:spacing w:line="240" w:lineRule="auto"/>
        <w:ind w:right="566"/>
      </w:pPr>
    </w:p>
    <w:p w14:paraId="5179EA79" w14:textId="77777777" w:rsidR="006C76A2" w:rsidRPr="007944F8" w:rsidRDefault="006C76A2" w:rsidP="00E93E8B">
      <w:pPr>
        <w:widowControl w:val="0"/>
        <w:spacing w:line="240" w:lineRule="auto"/>
        <w:ind w:right="566"/>
      </w:pPr>
    </w:p>
    <w:p w14:paraId="4D2502F7" w14:textId="77777777" w:rsidR="006C76A2" w:rsidRPr="007944F8" w:rsidRDefault="006C76A2" w:rsidP="00BE7F7C">
      <w:pPr>
        <w:jc w:val="center"/>
        <w:outlineLvl w:val="0"/>
        <w:rPr>
          <w:szCs w:val="22"/>
          <w:lang w:val="fr-BE"/>
        </w:rPr>
      </w:pPr>
      <w:r w:rsidRPr="007944F8">
        <w:rPr>
          <w:b/>
        </w:rPr>
        <w:t>ANNEXE II</w:t>
      </w:r>
    </w:p>
    <w:p w14:paraId="1FEFA3DC" w14:textId="77777777" w:rsidR="006C76A2" w:rsidRPr="007944F8" w:rsidRDefault="006C76A2" w:rsidP="006C76A2">
      <w:pPr>
        <w:ind w:right="1416"/>
        <w:rPr>
          <w:lang w:val="fr-BE"/>
        </w:rPr>
      </w:pPr>
    </w:p>
    <w:p w14:paraId="476DF880" w14:textId="77777777" w:rsidR="006C76A2" w:rsidRPr="007944F8" w:rsidRDefault="006C76A2" w:rsidP="00EC6B73">
      <w:pPr>
        <w:pStyle w:val="TitleEMA2"/>
      </w:pPr>
      <w:r w:rsidRPr="007944F8">
        <w:t>A.</w:t>
      </w:r>
      <w:r w:rsidRPr="007944F8">
        <w:rPr>
          <w:szCs w:val="22"/>
        </w:rPr>
        <w:tab/>
      </w:r>
      <w:r w:rsidR="00D6395E" w:rsidRPr="007944F8">
        <w:rPr>
          <w:szCs w:val="22"/>
        </w:rPr>
        <w:t>FABRICANT</w:t>
      </w:r>
      <w:r w:rsidR="00D6395E" w:rsidRPr="007944F8">
        <w:t xml:space="preserve"> RESPONSABLE</w:t>
      </w:r>
      <w:r w:rsidRPr="007944F8">
        <w:t xml:space="preserve"> DE LA LIBÉRATION DES LOTS</w:t>
      </w:r>
    </w:p>
    <w:p w14:paraId="60E32E93" w14:textId="77777777" w:rsidR="006C76A2" w:rsidRPr="007944F8" w:rsidRDefault="006C76A2" w:rsidP="00EC6B73">
      <w:pPr>
        <w:pStyle w:val="TitleEMA2"/>
      </w:pPr>
    </w:p>
    <w:p w14:paraId="067EA2B6" w14:textId="77777777" w:rsidR="006C76A2" w:rsidRPr="007944F8" w:rsidRDefault="006C76A2" w:rsidP="00EC6B73">
      <w:pPr>
        <w:pStyle w:val="TitleEMA2"/>
      </w:pPr>
      <w:r w:rsidRPr="007944F8">
        <w:rPr>
          <w:szCs w:val="22"/>
        </w:rPr>
        <w:t>B.</w:t>
      </w:r>
      <w:r w:rsidRPr="007944F8">
        <w:rPr>
          <w:szCs w:val="22"/>
        </w:rPr>
        <w:tab/>
      </w:r>
      <w:r w:rsidRPr="007944F8">
        <w:t>CONDITIONS OU RESTRICTIONS DE DÉLIVRANCE ET D’UTILISATION</w:t>
      </w:r>
    </w:p>
    <w:p w14:paraId="4334C369" w14:textId="77777777" w:rsidR="006C76A2" w:rsidRPr="007944F8" w:rsidRDefault="006C76A2" w:rsidP="00EC6B73">
      <w:pPr>
        <w:pStyle w:val="TitleEMA2"/>
        <w:rPr>
          <w:szCs w:val="22"/>
        </w:rPr>
      </w:pPr>
    </w:p>
    <w:p w14:paraId="5A395BD3" w14:textId="77777777" w:rsidR="006C76A2" w:rsidRPr="007944F8" w:rsidRDefault="006C76A2" w:rsidP="00EC6B73">
      <w:pPr>
        <w:pStyle w:val="TitleEMA2"/>
      </w:pPr>
      <w:r w:rsidRPr="007944F8">
        <w:rPr>
          <w:szCs w:val="22"/>
        </w:rPr>
        <w:t>C.</w:t>
      </w:r>
      <w:r w:rsidRPr="007944F8">
        <w:rPr>
          <w:szCs w:val="22"/>
        </w:rPr>
        <w:tab/>
      </w:r>
      <w:r w:rsidRPr="007944F8">
        <w:t>AUTRES CONDITIONS ET OBLIGATIONS DE L’AUTORISATION DE MISE SUR LE MARCHÉ</w:t>
      </w:r>
    </w:p>
    <w:p w14:paraId="65848ED5" w14:textId="77777777" w:rsidR="006C76A2" w:rsidRPr="007944F8" w:rsidRDefault="006C76A2" w:rsidP="00EC6B73">
      <w:pPr>
        <w:pStyle w:val="TitleEMA2"/>
        <w:rPr>
          <w:szCs w:val="22"/>
        </w:rPr>
      </w:pPr>
    </w:p>
    <w:p w14:paraId="296871C6" w14:textId="77777777" w:rsidR="006C76A2" w:rsidRPr="007944F8" w:rsidRDefault="006C76A2" w:rsidP="00EC6B73">
      <w:pPr>
        <w:pStyle w:val="TitleEMA2"/>
        <w:rPr>
          <w:szCs w:val="22"/>
        </w:rPr>
      </w:pPr>
      <w:r w:rsidRPr="007944F8">
        <w:t>D.</w:t>
      </w:r>
      <w:r w:rsidRPr="007944F8">
        <w:tab/>
        <w:t>CONDITIONS OU RESTRICTIONS EN VUE D’UNE UTILISATION SÛRE ET EFFICACE DU MÉDICAMENT</w:t>
      </w:r>
    </w:p>
    <w:p w14:paraId="26E17E17" w14:textId="77777777" w:rsidR="006C76A2" w:rsidRPr="007944F8" w:rsidRDefault="00762D72" w:rsidP="006C76A2">
      <w:pPr>
        <w:suppressAutoHyphens/>
        <w:spacing w:line="240" w:lineRule="auto"/>
        <w:ind w:left="567" w:hanging="567"/>
        <w:rPr>
          <w:b/>
          <w:szCs w:val="22"/>
          <w:lang w:val="fr-BE"/>
        </w:rPr>
      </w:pPr>
      <w:r w:rsidRPr="007944F8">
        <w:rPr>
          <w:szCs w:val="22"/>
          <w:lang w:val="fr-BE"/>
        </w:rPr>
        <w:br w:type="page"/>
      </w:r>
      <w:r w:rsidR="006C76A2" w:rsidRPr="007944F8">
        <w:rPr>
          <w:b/>
          <w:lang w:val="fr-BE"/>
        </w:rPr>
        <w:t>A.</w:t>
      </w:r>
      <w:r w:rsidR="006C76A2" w:rsidRPr="007944F8">
        <w:rPr>
          <w:b/>
          <w:szCs w:val="22"/>
          <w:lang w:val="fr-BE"/>
        </w:rPr>
        <w:tab/>
      </w:r>
      <w:r w:rsidR="00943D4D" w:rsidRPr="007944F8">
        <w:rPr>
          <w:b/>
          <w:lang w:val="fr-BE"/>
        </w:rPr>
        <w:t>FABRICANT</w:t>
      </w:r>
      <w:r w:rsidR="00943D4D" w:rsidRPr="007944F8">
        <w:rPr>
          <w:b/>
          <w:szCs w:val="22"/>
          <w:lang w:val="fr-BE"/>
        </w:rPr>
        <w:t xml:space="preserve"> RESPONSABLE</w:t>
      </w:r>
      <w:r w:rsidR="006C76A2" w:rsidRPr="007944F8">
        <w:rPr>
          <w:b/>
          <w:szCs w:val="22"/>
          <w:lang w:val="fr-BE"/>
        </w:rPr>
        <w:t xml:space="preserve"> DE LA LIBÉRATION DES LOTS</w:t>
      </w:r>
    </w:p>
    <w:p w14:paraId="33AF04EF" w14:textId="77777777" w:rsidR="006C76A2" w:rsidRPr="007944F8" w:rsidRDefault="006C76A2" w:rsidP="006C76A2">
      <w:pPr>
        <w:suppressAutoHyphens/>
        <w:spacing w:line="240" w:lineRule="auto"/>
        <w:ind w:left="567" w:hanging="567"/>
        <w:rPr>
          <w:szCs w:val="22"/>
          <w:lang w:val="fr-BE"/>
        </w:rPr>
      </w:pPr>
    </w:p>
    <w:p w14:paraId="5C5D10BA" w14:textId="77777777" w:rsidR="006C76A2" w:rsidRPr="007944F8" w:rsidRDefault="006C76A2" w:rsidP="00BE7F7C">
      <w:pPr>
        <w:suppressAutoHyphens/>
        <w:spacing w:line="240" w:lineRule="auto"/>
        <w:outlineLvl w:val="0"/>
        <w:rPr>
          <w:szCs w:val="22"/>
          <w:u w:val="single"/>
          <w:lang w:val="fr-BE"/>
        </w:rPr>
      </w:pPr>
      <w:r w:rsidRPr="007944F8">
        <w:rPr>
          <w:szCs w:val="22"/>
          <w:u w:val="single"/>
          <w:lang w:val="fr-BE"/>
        </w:rPr>
        <w:t>Nom et adresse du fabricant responsable de la libération des lots</w:t>
      </w:r>
    </w:p>
    <w:p w14:paraId="7957897B" w14:textId="77777777" w:rsidR="006C76A2" w:rsidRPr="007944F8" w:rsidRDefault="006C76A2" w:rsidP="006C76A2">
      <w:pPr>
        <w:suppressAutoHyphens/>
        <w:spacing w:line="240" w:lineRule="auto"/>
        <w:rPr>
          <w:szCs w:val="22"/>
          <w:lang w:val="fr-BE"/>
        </w:rPr>
      </w:pPr>
    </w:p>
    <w:p w14:paraId="2E4232B0" w14:textId="77777777" w:rsidR="00AB0B0A" w:rsidRDefault="00AB0B0A" w:rsidP="00AB0B0A">
      <w:pPr>
        <w:widowControl w:val="0"/>
        <w:tabs>
          <w:tab w:val="clear" w:pos="567"/>
          <w:tab w:val="left" w:pos="720"/>
        </w:tabs>
        <w:spacing w:line="240" w:lineRule="auto"/>
        <w:rPr>
          <w:noProof/>
          <w:szCs w:val="22"/>
        </w:rPr>
      </w:pPr>
      <w:r>
        <w:rPr>
          <w:noProof/>
          <w:szCs w:val="22"/>
        </w:rPr>
        <w:t>Sun Pharmaceutical Industries Europe B.V.</w:t>
      </w:r>
    </w:p>
    <w:p w14:paraId="3C9F5F48" w14:textId="77777777" w:rsidR="00AB0B0A" w:rsidRDefault="00AB0B0A" w:rsidP="00AB0B0A">
      <w:pPr>
        <w:widowControl w:val="0"/>
        <w:tabs>
          <w:tab w:val="clear" w:pos="567"/>
          <w:tab w:val="left" w:pos="720"/>
        </w:tabs>
        <w:spacing w:line="240" w:lineRule="auto"/>
        <w:rPr>
          <w:noProof/>
          <w:szCs w:val="22"/>
        </w:rPr>
      </w:pPr>
      <w:r>
        <w:rPr>
          <w:noProof/>
          <w:szCs w:val="22"/>
        </w:rPr>
        <w:t>Polarisavenue 87</w:t>
      </w:r>
    </w:p>
    <w:p w14:paraId="491722B9" w14:textId="77777777" w:rsidR="00AB0B0A" w:rsidRDefault="00AB0B0A" w:rsidP="00AB0B0A">
      <w:pPr>
        <w:widowControl w:val="0"/>
        <w:tabs>
          <w:tab w:val="clear" w:pos="567"/>
          <w:tab w:val="left" w:pos="720"/>
        </w:tabs>
        <w:spacing w:line="240" w:lineRule="auto"/>
        <w:rPr>
          <w:noProof/>
          <w:szCs w:val="22"/>
        </w:rPr>
      </w:pPr>
      <w:r>
        <w:rPr>
          <w:noProof/>
          <w:szCs w:val="22"/>
        </w:rPr>
        <w:t>2132JH Hoofddorp</w:t>
      </w:r>
    </w:p>
    <w:p w14:paraId="179BFDAF" w14:textId="77777777" w:rsidR="005D01D3" w:rsidRDefault="005D01D3" w:rsidP="006C76A2">
      <w:pPr>
        <w:suppressAutoHyphens/>
        <w:spacing w:line="240" w:lineRule="auto"/>
        <w:rPr>
          <w:noProof/>
          <w:szCs w:val="22"/>
        </w:rPr>
      </w:pPr>
      <w:r w:rsidRPr="005D01D3">
        <w:rPr>
          <w:noProof/>
          <w:szCs w:val="22"/>
        </w:rPr>
        <w:t>Pays-Bas</w:t>
      </w:r>
    </w:p>
    <w:p w14:paraId="565FDA52" w14:textId="77777777" w:rsidR="006C76A2" w:rsidRPr="007944F8" w:rsidRDefault="006C76A2" w:rsidP="006C76A2">
      <w:pPr>
        <w:suppressAutoHyphens/>
        <w:spacing w:line="240" w:lineRule="auto"/>
        <w:rPr>
          <w:szCs w:val="22"/>
          <w:lang w:val="fr-BE"/>
        </w:rPr>
      </w:pPr>
    </w:p>
    <w:p w14:paraId="36475B06" w14:textId="77777777" w:rsidR="006C76A2" w:rsidRPr="007944F8" w:rsidRDefault="006C76A2" w:rsidP="00E93E8B">
      <w:pPr>
        <w:widowControl w:val="0"/>
        <w:spacing w:line="240" w:lineRule="auto"/>
        <w:ind w:right="566"/>
        <w:rPr>
          <w:szCs w:val="22"/>
          <w:lang w:val="fr-BE"/>
        </w:rPr>
      </w:pPr>
    </w:p>
    <w:p w14:paraId="6A7BC9D9" w14:textId="77777777" w:rsidR="006C76A2" w:rsidRPr="007944F8" w:rsidRDefault="006C76A2" w:rsidP="00BE7F7C">
      <w:pPr>
        <w:keepNext/>
        <w:spacing w:line="240" w:lineRule="auto"/>
        <w:ind w:left="567" w:hanging="567"/>
        <w:outlineLvl w:val="0"/>
        <w:rPr>
          <w:b/>
          <w:szCs w:val="22"/>
          <w:lang w:val="fr-BE"/>
        </w:rPr>
      </w:pPr>
      <w:r w:rsidRPr="007944F8">
        <w:rPr>
          <w:b/>
          <w:szCs w:val="22"/>
          <w:lang w:val="fr-BE"/>
        </w:rPr>
        <w:t>B.</w:t>
      </w:r>
      <w:r w:rsidRPr="007944F8">
        <w:rPr>
          <w:b/>
          <w:szCs w:val="22"/>
          <w:lang w:val="fr-BE"/>
        </w:rPr>
        <w:tab/>
        <w:t>CONDITIONS OU RESTRICTIONS DE DÉLIVRANCE ET D’UTILISATION</w:t>
      </w:r>
    </w:p>
    <w:p w14:paraId="29FB6D6A" w14:textId="77777777" w:rsidR="006C76A2" w:rsidRPr="007944F8" w:rsidRDefault="006C76A2" w:rsidP="00E418EE">
      <w:pPr>
        <w:keepNext/>
        <w:spacing w:line="240" w:lineRule="auto"/>
        <w:rPr>
          <w:szCs w:val="22"/>
          <w:lang w:val="fr-BE"/>
        </w:rPr>
      </w:pPr>
    </w:p>
    <w:p w14:paraId="2DA13E58" w14:textId="77777777" w:rsidR="006C76A2" w:rsidRPr="007944F8" w:rsidRDefault="006C76A2" w:rsidP="007A488D">
      <w:pPr>
        <w:numPr>
          <w:ilvl w:val="12"/>
          <w:numId w:val="0"/>
        </w:numPr>
        <w:suppressAutoHyphens/>
        <w:spacing w:line="240" w:lineRule="auto"/>
        <w:rPr>
          <w:szCs w:val="22"/>
        </w:rPr>
      </w:pPr>
      <w:r w:rsidRPr="007944F8">
        <w:rPr>
          <w:lang w:val="fr-BE"/>
        </w:rPr>
        <w:t>Médicament soumis à prescription médicale restreinte (voir Annexe I:</w:t>
      </w:r>
      <w:r w:rsidRPr="007944F8">
        <w:rPr>
          <w:szCs w:val="22"/>
          <w:lang w:val="fr-BE"/>
        </w:rPr>
        <w:t xml:space="preserve"> </w:t>
      </w:r>
      <w:r w:rsidRPr="007944F8">
        <w:rPr>
          <w:lang w:val="fr-BE"/>
        </w:rPr>
        <w:t>résumé</w:t>
      </w:r>
      <w:r w:rsidRPr="007944F8">
        <w:rPr>
          <w:szCs w:val="22"/>
          <w:lang w:val="fr-BE"/>
        </w:rPr>
        <w:t xml:space="preserve"> des </w:t>
      </w:r>
      <w:r w:rsidRPr="007944F8">
        <w:rPr>
          <w:lang w:val="fr-BE"/>
        </w:rPr>
        <w:t>caractéristiques</w:t>
      </w:r>
      <w:r w:rsidRPr="007944F8">
        <w:rPr>
          <w:szCs w:val="22"/>
          <w:lang w:val="fr-BE"/>
        </w:rPr>
        <w:t xml:space="preserve"> du </w:t>
      </w:r>
      <w:r w:rsidRPr="007944F8">
        <w:rPr>
          <w:lang w:val="fr-BE"/>
        </w:rPr>
        <w:t>produit</w:t>
      </w:r>
      <w:r w:rsidRPr="007944F8">
        <w:rPr>
          <w:szCs w:val="22"/>
          <w:lang w:val="fr-BE"/>
        </w:rPr>
        <w:t>, rubrique</w:t>
      </w:r>
      <w:r w:rsidR="00762D72" w:rsidRPr="007944F8">
        <w:rPr>
          <w:szCs w:val="22"/>
          <w:lang w:val="fr-BE"/>
        </w:rPr>
        <w:t> </w:t>
      </w:r>
      <w:r w:rsidRPr="007944F8">
        <w:rPr>
          <w:szCs w:val="22"/>
          <w:lang w:val="fr-BE"/>
        </w:rPr>
        <w:t>4.2).</w:t>
      </w:r>
    </w:p>
    <w:p w14:paraId="1DE190B6" w14:textId="77777777" w:rsidR="00651B15" w:rsidRPr="007944F8" w:rsidRDefault="00651B15" w:rsidP="00E93E8B">
      <w:pPr>
        <w:widowControl w:val="0"/>
        <w:spacing w:line="240" w:lineRule="auto"/>
        <w:ind w:right="566"/>
      </w:pPr>
    </w:p>
    <w:p w14:paraId="71794851" w14:textId="77777777" w:rsidR="00651B15" w:rsidRPr="007944F8" w:rsidRDefault="00651B15" w:rsidP="00E93E8B">
      <w:pPr>
        <w:widowControl w:val="0"/>
        <w:spacing w:line="240" w:lineRule="auto"/>
        <w:ind w:right="566"/>
      </w:pPr>
    </w:p>
    <w:p w14:paraId="54D84017" w14:textId="77777777" w:rsidR="00651B15" w:rsidRPr="007944F8" w:rsidRDefault="00651B15" w:rsidP="00BE7F7C">
      <w:pPr>
        <w:keepNext/>
        <w:tabs>
          <w:tab w:val="clear" w:pos="567"/>
          <w:tab w:val="left" w:pos="720"/>
        </w:tabs>
        <w:spacing w:line="240" w:lineRule="auto"/>
        <w:ind w:left="567" w:hanging="567"/>
        <w:outlineLvl w:val="0"/>
        <w:rPr>
          <w:b/>
          <w:szCs w:val="22"/>
        </w:rPr>
      </w:pPr>
      <w:r w:rsidRPr="007944F8">
        <w:rPr>
          <w:b/>
          <w:szCs w:val="22"/>
        </w:rPr>
        <w:t>C.</w:t>
      </w:r>
      <w:r w:rsidRPr="007944F8">
        <w:rPr>
          <w:b/>
          <w:szCs w:val="22"/>
        </w:rPr>
        <w:tab/>
      </w:r>
      <w:r w:rsidRPr="007944F8">
        <w:rPr>
          <w:b/>
          <w:szCs w:val="22"/>
          <w:lang w:val="fr-BE"/>
        </w:rPr>
        <w:t>AUTRES CONDITIONS ET OBLIGATIONS DE L’AUTORISATION DE MISE SUR LE MARCHÉ</w:t>
      </w:r>
    </w:p>
    <w:p w14:paraId="071F8528" w14:textId="77777777" w:rsidR="00651B15" w:rsidRPr="007944F8" w:rsidRDefault="00651B15" w:rsidP="00E418EE">
      <w:pPr>
        <w:keepNext/>
        <w:spacing w:line="240" w:lineRule="auto"/>
        <w:rPr>
          <w:szCs w:val="22"/>
          <w:lang w:val="fr-BE"/>
        </w:rPr>
      </w:pPr>
    </w:p>
    <w:p w14:paraId="5F43F7FE" w14:textId="77777777" w:rsidR="00651B15" w:rsidRPr="007944F8" w:rsidRDefault="00651B15" w:rsidP="00E418EE">
      <w:pPr>
        <w:keepNext/>
        <w:numPr>
          <w:ilvl w:val="0"/>
          <w:numId w:val="37"/>
        </w:numPr>
        <w:spacing w:line="240" w:lineRule="auto"/>
        <w:ind w:hanging="766"/>
        <w:rPr>
          <w:b/>
          <w:szCs w:val="22"/>
          <w:lang w:val="fr-BE"/>
        </w:rPr>
      </w:pPr>
      <w:r w:rsidRPr="007944F8">
        <w:rPr>
          <w:b/>
          <w:szCs w:val="22"/>
          <w:lang w:val="fr-BE"/>
        </w:rPr>
        <w:t>Rapports périodiques actualisés de sécurité (PSUR)</w:t>
      </w:r>
    </w:p>
    <w:p w14:paraId="4D8DA869" w14:textId="77777777" w:rsidR="00651B15" w:rsidRPr="007944F8" w:rsidRDefault="00651B15" w:rsidP="00E418EE">
      <w:pPr>
        <w:pStyle w:val="Default"/>
        <w:keepNext/>
        <w:rPr>
          <w:sz w:val="22"/>
          <w:lang w:val="fr-BE"/>
        </w:rPr>
      </w:pPr>
    </w:p>
    <w:p w14:paraId="4E829584" w14:textId="77777777" w:rsidR="00056A88" w:rsidRPr="004E68D0" w:rsidRDefault="006C1C0A" w:rsidP="004E68D0">
      <w:pPr>
        <w:widowControl w:val="0"/>
        <w:tabs>
          <w:tab w:val="clear" w:pos="567"/>
          <w:tab w:val="left" w:pos="708"/>
        </w:tabs>
        <w:autoSpaceDE w:val="0"/>
        <w:autoSpaceDN w:val="0"/>
        <w:adjustRightInd w:val="0"/>
        <w:spacing w:line="240" w:lineRule="auto"/>
        <w:rPr>
          <w:rFonts w:cs="Verdana"/>
          <w:color w:val="000000"/>
        </w:rPr>
      </w:pPr>
      <w:r>
        <w:t>Les </w:t>
      </w:r>
      <w:r w:rsidR="005345A1" w:rsidRPr="004E68D0">
        <w:rPr>
          <w:rFonts w:cs="Verdana"/>
          <w:color w:val="000000"/>
        </w:rPr>
        <w:t>exigences relatives</w:t>
      </w:r>
      <w:r>
        <w:t> à la </w:t>
      </w:r>
      <w:r w:rsidR="005345A1" w:rsidRPr="004E68D0">
        <w:rPr>
          <w:rFonts w:cs="Verdana"/>
          <w:color w:val="000000"/>
        </w:rPr>
        <w:t>soumission</w:t>
      </w:r>
      <w:r>
        <w:t> des PSURs </w:t>
      </w:r>
      <w:r w:rsidR="005345A1" w:rsidRPr="004E68D0">
        <w:rPr>
          <w:rFonts w:cs="Verdana"/>
          <w:color w:val="000000"/>
        </w:rPr>
        <w:t>pour</w:t>
      </w:r>
      <w:r>
        <w:t> ce </w:t>
      </w:r>
      <w:r w:rsidR="005345A1" w:rsidRPr="004E68D0">
        <w:rPr>
          <w:rFonts w:cs="Verdana"/>
          <w:color w:val="000000"/>
        </w:rPr>
        <w:t>médicament sont définies</w:t>
      </w:r>
      <w:r>
        <w:t> dans la </w:t>
      </w:r>
      <w:r w:rsidR="005345A1" w:rsidRPr="004E68D0">
        <w:rPr>
          <w:rFonts w:cs="Verdana"/>
          <w:color w:val="000000"/>
        </w:rPr>
        <w:t>liste</w:t>
      </w:r>
      <w:r>
        <w:t> des </w:t>
      </w:r>
      <w:r w:rsidR="005345A1" w:rsidRPr="004E68D0">
        <w:rPr>
          <w:rFonts w:cs="Verdana"/>
          <w:color w:val="000000"/>
        </w:rPr>
        <w:t>dates</w:t>
      </w:r>
      <w:r>
        <w:t> de </w:t>
      </w:r>
      <w:r w:rsidR="005345A1" w:rsidRPr="004E68D0">
        <w:rPr>
          <w:rFonts w:cs="Verdana"/>
          <w:color w:val="000000"/>
        </w:rPr>
        <w:t>référence pour l'Union</w:t>
      </w:r>
      <w:r>
        <w:t> (</w:t>
      </w:r>
      <w:r w:rsidR="005345A1" w:rsidRPr="004E68D0">
        <w:rPr>
          <w:rFonts w:cs="Verdana"/>
          <w:color w:val="000000"/>
        </w:rPr>
        <w:t>liste EURD</w:t>
      </w:r>
      <w:r>
        <w:t>) </w:t>
      </w:r>
      <w:r w:rsidR="005345A1" w:rsidRPr="004E68D0">
        <w:rPr>
          <w:rFonts w:cs="Verdana"/>
          <w:color w:val="000000"/>
        </w:rPr>
        <w:t>prévue</w:t>
      </w:r>
      <w:r>
        <w:t> à </w:t>
      </w:r>
      <w:r w:rsidR="005345A1" w:rsidRPr="004E68D0">
        <w:rPr>
          <w:rFonts w:cs="Verdana"/>
          <w:color w:val="000000"/>
        </w:rPr>
        <w:t>l'article 107 quater</w:t>
      </w:r>
      <w:r>
        <w:t>, </w:t>
      </w:r>
      <w:r w:rsidR="005345A1" w:rsidRPr="004E68D0">
        <w:rPr>
          <w:rFonts w:cs="Verdana"/>
          <w:color w:val="000000"/>
        </w:rPr>
        <w:t>paragraphe 7</w:t>
      </w:r>
      <w:r>
        <w:t>, de la </w:t>
      </w:r>
      <w:r w:rsidR="005345A1" w:rsidRPr="004E68D0">
        <w:rPr>
          <w:rFonts w:cs="Verdana"/>
          <w:color w:val="000000"/>
        </w:rPr>
        <w:t>directive 2001/83</w:t>
      </w:r>
      <w:r>
        <w:t>/CE et </w:t>
      </w:r>
      <w:r w:rsidR="005345A1" w:rsidRPr="004E68D0">
        <w:rPr>
          <w:rFonts w:cs="Verdana"/>
          <w:color w:val="000000"/>
        </w:rPr>
        <w:t>ses actualisations publiées</w:t>
      </w:r>
      <w:r>
        <w:t xml:space="preserve"> sur le </w:t>
      </w:r>
      <w:r w:rsidR="00743929" w:rsidRPr="004E68D0">
        <w:rPr>
          <w:rFonts w:cs="Verdana"/>
          <w:color w:val="000000"/>
        </w:rPr>
        <w:t>portail web européen des médicaments.</w:t>
      </w:r>
    </w:p>
    <w:p w14:paraId="02AECCD6" w14:textId="77777777" w:rsidR="00651B15" w:rsidRPr="007944F8" w:rsidRDefault="00651B15" w:rsidP="00E93E8B">
      <w:pPr>
        <w:widowControl w:val="0"/>
        <w:spacing w:line="240" w:lineRule="auto"/>
        <w:ind w:right="566"/>
      </w:pPr>
    </w:p>
    <w:p w14:paraId="06F4E618" w14:textId="77777777" w:rsidR="00651B15" w:rsidRPr="007944F8" w:rsidRDefault="00651B15" w:rsidP="00E93E8B">
      <w:pPr>
        <w:widowControl w:val="0"/>
        <w:spacing w:line="240" w:lineRule="auto"/>
        <w:ind w:right="566"/>
      </w:pPr>
    </w:p>
    <w:p w14:paraId="7C2BCA9C" w14:textId="77777777" w:rsidR="00651B15" w:rsidRPr="007944F8" w:rsidRDefault="00651B15" w:rsidP="00BE7F7C">
      <w:pPr>
        <w:keepNext/>
        <w:widowControl w:val="0"/>
        <w:spacing w:line="240" w:lineRule="auto"/>
        <w:ind w:left="567" w:right="567" w:hanging="567"/>
        <w:outlineLvl w:val="0"/>
        <w:rPr>
          <w:b/>
        </w:rPr>
      </w:pPr>
      <w:r w:rsidRPr="007944F8">
        <w:rPr>
          <w:b/>
        </w:rPr>
        <w:t>D.</w:t>
      </w:r>
      <w:r w:rsidRPr="007944F8">
        <w:rPr>
          <w:b/>
        </w:rPr>
        <w:tab/>
        <w:t>CONDITIONS OU RESTRICTIONS EN VUE D’UNE UTILISATION SÛRE ET EFFICACE DU MÉDICAMENT</w:t>
      </w:r>
    </w:p>
    <w:p w14:paraId="3708B3BB" w14:textId="77777777" w:rsidR="00651B15" w:rsidRPr="007944F8" w:rsidRDefault="00651B15" w:rsidP="00E418EE">
      <w:pPr>
        <w:keepNext/>
        <w:widowControl w:val="0"/>
        <w:spacing w:line="240" w:lineRule="auto"/>
        <w:ind w:right="567"/>
      </w:pPr>
    </w:p>
    <w:p w14:paraId="63E3DB3B" w14:textId="77777777" w:rsidR="00651B15" w:rsidRPr="007944F8" w:rsidRDefault="00651B15" w:rsidP="00E418EE">
      <w:pPr>
        <w:keepNext/>
        <w:widowControl w:val="0"/>
        <w:numPr>
          <w:ilvl w:val="0"/>
          <w:numId w:val="37"/>
        </w:numPr>
        <w:tabs>
          <w:tab w:val="clear" w:pos="567"/>
        </w:tabs>
        <w:spacing w:line="240" w:lineRule="auto"/>
        <w:ind w:left="567" w:right="567" w:hanging="567"/>
      </w:pPr>
      <w:r w:rsidRPr="007944F8">
        <w:rPr>
          <w:b/>
        </w:rPr>
        <w:t>Plan de gestion des risques (PGR)</w:t>
      </w:r>
    </w:p>
    <w:p w14:paraId="375E5F85" w14:textId="77777777" w:rsidR="00651B15" w:rsidRPr="007944F8" w:rsidRDefault="00651B15" w:rsidP="00E418EE">
      <w:pPr>
        <w:keepNext/>
        <w:widowControl w:val="0"/>
        <w:spacing w:line="240" w:lineRule="auto"/>
        <w:ind w:right="567"/>
      </w:pPr>
    </w:p>
    <w:p w14:paraId="3A83392C" w14:textId="77777777" w:rsidR="00651B15" w:rsidRPr="007944F8" w:rsidRDefault="00651B15" w:rsidP="00E96874">
      <w:pPr>
        <w:widowControl w:val="0"/>
        <w:spacing w:line="240" w:lineRule="auto"/>
        <w:ind w:right="566"/>
      </w:pPr>
      <w:r w:rsidRPr="007944F8">
        <w:t>Le titulaire de l’autorisation de mise sur le marché</w:t>
      </w:r>
      <w:r w:rsidR="005A1BB6">
        <w:t xml:space="preserve">) </w:t>
      </w:r>
      <w:r w:rsidRPr="007944F8">
        <w:t>réalisera les activités de pharmacovigilance et interventions requises décrites dans le PGR adopté et présenté dans le Module 1.8.2 de l’autorisation de mise sur le marché, ainsi que toutes actualisations ultérieures adoptées du PGR.</w:t>
      </w:r>
    </w:p>
    <w:p w14:paraId="57352E3D" w14:textId="77777777" w:rsidR="00651B15" w:rsidRPr="007944F8" w:rsidRDefault="00651B15" w:rsidP="00E96874">
      <w:pPr>
        <w:widowControl w:val="0"/>
        <w:spacing w:line="240" w:lineRule="auto"/>
        <w:ind w:right="566"/>
      </w:pPr>
    </w:p>
    <w:p w14:paraId="2E3BD186" w14:textId="77777777" w:rsidR="00651B15" w:rsidRPr="007944F8" w:rsidRDefault="00651B15" w:rsidP="00E96874">
      <w:pPr>
        <w:keepNext/>
        <w:widowControl w:val="0"/>
        <w:spacing w:line="240" w:lineRule="auto"/>
        <w:ind w:right="567"/>
      </w:pPr>
      <w:r w:rsidRPr="007944F8">
        <w:t>De plus, un PGR actualisé doit être soumis</w:t>
      </w:r>
      <w:r w:rsidR="00762D72" w:rsidRPr="007944F8">
        <w:t> </w:t>
      </w:r>
      <w:r w:rsidRPr="007944F8">
        <w:t>:</w:t>
      </w:r>
    </w:p>
    <w:p w14:paraId="47E1C2B8" w14:textId="77777777" w:rsidR="00651B15" w:rsidRPr="007944F8" w:rsidRDefault="00FE69ED" w:rsidP="00E96874">
      <w:pPr>
        <w:keepNext/>
        <w:widowControl w:val="0"/>
        <w:numPr>
          <w:ilvl w:val="0"/>
          <w:numId w:val="44"/>
        </w:numPr>
        <w:spacing w:line="240" w:lineRule="auto"/>
        <w:ind w:left="567" w:right="567" w:hanging="567"/>
      </w:pPr>
      <w:r w:rsidRPr="007944F8">
        <w:t>à</w:t>
      </w:r>
      <w:r w:rsidR="00651B15" w:rsidRPr="007944F8">
        <w:t xml:space="preserve"> la demande de l’Agence européenne des médicaments;</w:t>
      </w:r>
    </w:p>
    <w:p w14:paraId="3AF7D9CC" w14:textId="77777777" w:rsidR="00651B15" w:rsidRPr="007944F8" w:rsidRDefault="00FE69ED" w:rsidP="00E96874">
      <w:pPr>
        <w:widowControl w:val="0"/>
        <w:numPr>
          <w:ilvl w:val="0"/>
          <w:numId w:val="44"/>
        </w:numPr>
        <w:spacing w:line="240" w:lineRule="auto"/>
        <w:ind w:left="567" w:right="566" w:hanging="567"/>
      </w:pPr>
      <w:r w:rsidRPr="007944F8">
        <w:t>d</w:t>
      </w:r>
      <w:r w:rsidR="00651B15" w:rsidRPr="007944F8">
        <w:t>ès lors que le système de gestion des risques est modifié, notamment en cas de réception de nouvelles informations pouvant entraîner un changement significatif du profil bénéfice/risque, ou lorsqu’une étape importante (pharmacovigilance ou minimisation du risque) est franchie.</w:t>
      </w:r>
    </w:p>
    <w:p w14:paraId="516B2F7D" w14:textId="77777777" w:rsidR="00651B15" w:rsidRPr="007944F8" w:rsidRDefault="00651B15" w:rsidP="00E96874">
      <w:pPr>
        <w:widowControl w:val="0"/>
        <w:spacing w:line="240" w:lineRule="auto"/>
        <w:ind w:right="566"/>
      </w:pPr>
    </w:p>
    <w:p w14:paraId="1809BA16" w14:textId="77777777" w:rsidR="00C62683" w:rsidRPr="007944F8" w:rsidRDefault="00C62683" w:rsidP="00E96874">
      <w:pPr>
        <w:widowControl w:val="0"/>
        <w:spacing w:line="240" w:lineRule="auto"/>
        <w:ind w:right="566"/>
      </w:pPr>
      <w:r w:rsidRPr="007944F8">
        <w:t>Lorsque les dates de soumission d’un PSUR coïncident avec l’actualisation d’un PGR, les deux documents doivent être soumis en même temps.</w:t>
      </w:r>
    </w:p>
    <w:p w14:paraId="48349224" w14:textId="77777777" w:rsidR="00C62683" w:rsidRPr="007944F8" w:rsidRDefault="00C62683" w:rsidP="00E96874">
      <w:pPr>
        <w:widowControl w:val="0"/>
        <w:spacing w:line="240" w:lineRule="auto"/>
        <w:ind w:right="566"/>
      </w:pPr>
    </w:p>
    <w:p w14:paraId="23D7591B" w14:textId="77777777" w:rsidR="00651B15" w:rsidRPr="007944F8" w:rsidRDefault="00651B15" w:rsidP="00E96874">
      <w:pPr>
        <w:keepNext/>
        <w:widowControl w:val="0"/>
        <w:numPr>
          <w:ilvl w:val="0"/>
          <w:numId w:val="45"/>
        </w:numPr>
        <w:tabs>
          <w:tab w:val="clear" w:pos="567"/>
        </w:tabs>
        <w:spacing w:line="240" w:lineRule="auto"/>
        <w:ind w:left="567" w:right="567" w:hanging="567"/>
      </w:pPr>
      <w:r w:rsidRPr="007944F8">
        <w:rPr>
          <w:b/>
        </w:rPr>
        <w:t>Mesures additionn</w:t>
      </w:r>
      <w:r w:rsidR="00C62683" w:rsidRPr="007944F8">
        <w:rPr>
          <w:b/>
        </w:rPr>
        <w:t>elles de minimisation du risque</w:t>
      </w:r>
    </w:p>
    <w:p w14:paraId="1782151D" w14:textId="77777777" w:rsidR="00C62683" w:rsidRPr="007944F8" w:rsidRDefault="00C62683" w:rsidP="00E96874">
      <w:pPr>
        <w:keepNext/>
        <w:widowControl w:val="0"/>
        <w:spacing w:line="240" w:lineRule="auto"/>
        <w:ind w:right="567"/>
      </w:pPr>
    </w:p>
    <w:p w14:paraId="7470A4C4" w14:textId="77777777" w:rsidR="00820F65" w:rsidRPr="007944F8" w:rsidRDefault="00C62683" w:rsidP="00E96874">
      <w:pPr>
        <w:widowControl w:val="0"/>
        <w:spacing w:line="240" w:lineRule="auto"/>
        <w:ind w:right="566"/>
      </w:pPr>
      <w:r w:rsidRPr="007944F8">
        <w:t xml:space="preserve">Avant </w:t>
      </w:r>
      <w:r w:rsidR="00FE69ED" w:rsidRPr="007944F8">
        <w:t>la mise sur le marché</w:t>
      </w:r>
      <w:r w:rsidRPr="007944F8">
        <w:t xml:space="preserve"> dans chaque </w:t>
      </w:r>
      <w:r w:rsidR="0091047A">
        <w:t>É</w:t>
      </w:r>
      <w:r w:rsidRPr="007944F8">
        <w:t xml:space="preserve">tat </w:t>
      </w:r>
      <w:r w:rsidR="0091047A">
        <w:t>m</w:t>
      </w:r>
      <w:r w:rsidRPr="007944F8">
        <w:t>embre, le titulaire de l’Autorisa</w:t>
      </w:r>
      <w:r w:rsidR="00820F65" w:rsidRPr="007944F8">
        <w:t>tion de Mise sur le Marché</w:t>
      </w:r>
      <w:r w:rsidRPr="007944F8">
        <w:t xml:space="preserve"> </w:t>
      </w:r>
      <w:r w:rsidR="00FE69ED" w:rsidRPr="007944F8">
        <w:t xml:space="preserve">(AMM) doit s’accorder </w:t>
      </w:r>
      <w:r w:rsidR="00820F65" w:rsidRPr="007944F8">
        <w:t xml:space="preserve">avec l’Autorité </w:t>
      </w:r>
      <w:r w:rsidR="0091047A">
        <w:t>n</w:t>
      </w:r>
      <w:r w:rsidR="00FE69ED" w:rsidRPr="007944F8">
        <w:t xml:space="preserve">ationale </w:t>
      </w:r>
      <w:r w:rsidR="0091047A">
        <w:t>c</w:t>
      </w:r>
      <w:r w:rsidR="00820F65" w:rsidRPr="007944F8">
        <w:t xml:space="preserve">ompétente </w:t>
      </w:r>
      <w:r w:rsidR="00FE69ED" w:rsidRPr="007944F8">
        <w:t>sur les éléments suivants</w:t>
      </w:r>
      <w:r w:rsidR="00820F65" w:rsidRPr="007944F8">
        <w:t> :</w:t>
      </w:r>
    </w:p>
    <w:p w14:paraId="206DEBFD" w14:textId="77777777" w:rsidR="00820F65" w:rsidRPr="007944F8" w:rsidRDefault="00820F65" w:rsidP="00E96874">
      <w:pPr>
        <w:widowControl w:val="0"/>
        <w:numPr>
          <w:ilvl w:val="0"/>
          <w:numId w:val="46"/>
        </w:numPr>
        <w:spacing w:line="240" w:lineRule="auto"/>
        <w:ind w:left="567" w:right="566" w:hanging="567"/>
      </w:pPr>
      <w:r w:rsidRPr="007944F8">
        <w:t xml:space="preserve">La partie nationale de la </w:t>
      </w:r>
      <w:r w:rsidR="00FE69ED" w:rsidRPr="007944F8">
        <w:t>lettre d’information destinée aux professionnels de santé</w:t>
      </w:r>
    </w:p>
    <w:p w14:paraId="34031B42" w14:textId="77777777" w:rsidR="00820F65" w:rsidRPr="007944F8" w:rsidRDefault="00FE69ED" w:rsidP="00E96874">
      <w:pPr>
        <w:widowControl w:val="0"/>
        <w:numPr>
          <w:ilvl w:val="0"/>
          <w:numId w:val="46"/>
        </w:numPr>
        <w:spacing w:line="240" w:lineRule="auto"/>
        <w:ind w:left="567" w:right="566" w:hanging="567"/>
      </w:pPr>
      <w:r w:rsidRPr="007944F8">
        <w:t>La</w:t>
      </w:r>
      <w:r w:rsidR="00820F65" w:rsidRPr="007944F8">
        <w:t xml:space="preserve"> méthodologie </w:t>
      </w:r>
      <w:r w:rsidRPr="007944F8">
        <w:t xml:space="preserve">pour </w:t>
      </w:r>
      <w:r w:rsidR="00820F65" w:rsidRPr="007944F8">
        <w:t xml:space="preserve">collecter les informations sur l’utilisation d’Odomzo </w:t>
      </w:r>
      <w:r w:rsidRPr="007944F8">
        <w:t>et</w:t>
      </w:r>
      <w:r w:rsidR="00A7619E" w:rsidRPr="007944F8">
        <w:t xml:space="preserve"> </w:t>
      </w:r>
      <w:r w:rsidR="00B57532" w:rsidRPr="007944F8">
        <w:t>sur l’adhérence</w:t>
      </w:r>
      <w:r w:rsidR="00820F65" w:rsidRPr="007944F8">
        <w:t xml:space="preserve"> </w:t>
      </w:r>
      <w:r w:rsidRPr="007944F8">
        <w:t>au</w:t>
      </w:r>
      <w:r w:rsidR="00820F65" w:rsidRPr="007944F8">
        <w:t xml:space="preserve"> programme de pharma</w:t>
      </w:r>
      <w:r w:rsidR="00A7619E" w:rsidRPr="007944F8">
        <w:t>covigilance de</w:t>
      </w:r>
      <w:r w:rsidR="00820F65" w:rsidRPr="007944F8">
        <w:t xml:space="preserve"> grossesse</w:t>
      </w:r>
      <w:r w:rsidRPr="007944F8">
        <w:t xml:space="preserve"> et son efficacité</w:t>
      </w:r>
    </w:p>
    <w:p w14:paraId="76397E5A" w14:textId="77777777" w:rsidR="00820F65" w:rsidRPr="007944F8" w:rsidRDefault="00820F65" w:rsidP="00E96874">
      <w:pPr>
        <w:widowControl w:val="0"/>
        <w:numPr>
          <w:ilvl w:val="0"/>
          <w:numId w:val="46"/>
        </w:numPr>
        <w:spacing w:line="240" w:lineRule="auto"/>
        <w:ind w:left="567" w:right="566" w:hanging="567"/>
      </w:pPr>
      <w:r w:rsidRPr="007944F8">
        <w:t xml:space="preserve">Le format et le contenu du matériel </w:t>
      </w:r>
      <w:r w:rsidR="00FE69ED" w:rsidRPr="007944F8">
        <w:t xml:space="preserve">destiné aux </w:t>
      </w:r>
      <w:r w:rsidRPr="007944F8">
        <w:t xml:space="preserve">professionnels de </w:t>
      </w:r>
      <w:r w:rsidR="00FE69ED" w:rsidRPr="007944F8">
        <w:t>s</w:t>
      </w:r>
      <w:r w:rsidRPr="007944F8">
        <w:t>anté</w:t>
      </w:r>
      <w:r w:rsidR="00FE69ED" w:rsidRPr="007944F8">
        <w:t xml:space="preserve"> </w:t>
      </w:r>
      <w:r w:rsidR="00B64D64" w:rsidRPr="007944F8">
        <w:t>et aux</w:t>
      </w:r>
      <w:r w:rsidR="00FE69ED" w:rsidRPr="007944F8">
        <w:t xml:space="preserve"> patient</w:t>
      </w:r>
      <w:r w:rsidR="00B64D64" w:rsidRPr="007944F8">
        <w:t>s</w:t>
      </w:r>
    </w:p>
    <w:p w14:paraId="16B1388F" w14:textId="77777777" w:rsidR="00A7619E" w:rsidRPr="007944F8" w:rsidRDefault="00A7619E" w:rsidP="00E96874">
      <w:pPr>
        <w:widowControl w:val="0"/>
        <w:spacing w:line="240" w:lineRule="auto"/>
        <w:ind w:right="566"/>
      </w:pPr>
    </w:p>
    <w:p w14:paraId="27D39526" w14:textId="77777777" w:rsidR="00820F65" w:rsidRPr="007944F8" w:rsidRDefault="00B64D64" w:rsidP="00E96874">
      <w:pPr>
        <w:keepNext/>
        <w:widowControl w:val="0"/>
        <w:spacing w:line="240" w:lineRule="auto"/>
        <w:ind w:right="567"/>
      </w:pPr>
      <w:r w:rsidRPr="007944F8">
        <w:t>Lors de la mise sur le marché, l</w:t>
      </w:r>
      <w:r w:rsidR="00820F65" w:rsidRPr="007944F8">
        <w:t xml:space="preserve">e titulaire de l’AMM doit </w:t>
      </w:r>
      <w:r w:rsidR="00724D19" w:rsidRPr="007944F8">
        <w:t>adresser</w:t>
      </w:r>
      <w:r w:rsidR="00820F65" w:rsidRPr="007944F8">
        <w:t xml:space="preserve"> </w:t>
      </w:r>
      <w:r w:rsidRPr="007944F8">
        <w:rPr>
          <w:u w:val="single"/>
        </w:rPr>
        <w:t>une</w:t>
      </w:r>
      <w:r w:rsidR="00820F65" w:rsidRPr="007944F8">
        <w:rPr>
          <w:u w:val="single"/>
        </w:rPr>
        <w:t xml:space="preserve"> lettre</w:t>
      </w:r>
      <w:r w:rsidRPr="007944F8">
        <w:rPr>
          <w:u w:val="single"/>
        </w:rPr>
        <w:t xml:space="preserve"> d’information destinée</w:t>
      </w:r>
      <w:r w:rsidR="00820F65" w:rsidRPr="007944F8">
        <w:rPr>
          <w:u w:val="single"/>
        </w:rPr>
        <w:t xml:space="preserve"> aux professionnels de </w:t>
      </w:r>
      <w:r w:rsidR="003D3EC5" w:rsidRPr="007944F8">
        <w:rPr>
          <w:u w:val="single"/>
        </w:rPr>
        <w:t>s</w:t>
      </w:r>
      <w:r w:rsidR="00820F65" w:rsidRPr="007944F8">
        <w:rPr>
          <w:u w:val="single"/>
        </w:rPr>
        <w:t>anté</w:t>
      </w:r>
      <w:r w:rsidRPr="007944F8">
        <w:t>,</w:t>
      </w:r>
      <w:r w:rsidR="00820F65" w:rsidRPr="007944F8">
        <w:t xml:space="preserve"> </w:t>
      </w:r>
      <w:r w:rsidRPr="007944F8">
        <w:t>contenant</w:t>
      </w:r>
      <w:r w:rsidR="00820F65" w:rsidRPr="007944F8">
        <w:t xml:space="preserve"> les éléments suivants :</w:t>
      </w:r>
    </w:p>
    <w:p w14:paraId="7B0DAC6A" w14:textId="77777777" w:rsidR="000B45C4" w:rsidRPr="007944F8" w:rsidRDefault="000B45C4" w:rsidP="00E96874">
      <w:pPr>
        <w:widowControl w:val="0"/>
        <w:numPr>
          <w:ilvl w:val="0"/>
          <w:numId w:val="47"/>
        </w:numPr>
        <w:tabs>
          <w:tab w:val="clear" w:pos="567"/>
        </w:tabs>
        <w:spacing w:line="240" w:lineRule="auto"/>
        <w:ind w:left="567" w:right="566" w:hanging="567"/>
      </w:pPr>
      <w:r w:rsidRPr="007944F8">
        <w:t xml:space="preserve">Un texte </w:t>
      </w:r>
      <w:r w:rsidR="00B64D64" w:rsidRPr="007944F8">
        <w:t>commun</w:t>
      </w:r>
      <w:r w:rsidRPr="007944F8">
        <w:t xml:space="preserve"> </w:t>
      </w:r>
      <w:r w:rsidR="00B64D64" w:rsidRPr="007944F8">
        <w:t xml:space="preserve">aux </w:t>
      </w:r>
      <w:r w:rsidR="0091047A">
        <w:t>É</w:t>
      </w:r>
      <w:r w:rsidR="00B64D64" w:rsidRPr="007944F8">
        <w:t xml:space="preserve">tats </w:t>
      </w:r>
      <w:r w:rsidR="0091047A">
        <w:t>m</w:t>
      </w:r>
      <w:r w:rsidR="00B64D64" w:rsidRPr="007944F8">
        <w:t>embres comme convenu avec</w:t>
      </w:r>
      <w:r w:rsidRPr="007944F8">
        <w:t xml:space="preserve"> le CHMP</w:t>
      </w:r>
    </w:p>
    <w:p w14:paraId="569C6800" w14:textId="77777777" w:rsidR="000B45C4" w:rsidRPr="007944F8" w:rsidRDefault="000B45C4" w:rsidP="00E96874">
      <w:pPr>
        <w:widowControl w:val="0"/>
        <w:numPr>
          <w:ilvl w:val="0"/>
          <w:numId w:val="47"/>
        </w:numPr>
        <w:tabs>
          <w:tab w:val="clear" w:pos="567"/>
        </w:tabs>
        <w:spacing w:line="240" w:lineRule="auto"/>
        <w:ind w:left="567" w:right="566" w:hanging="567"/>
      </w:pPr>
      <w:r w:rsidRPr="007944F8">
        <w:t xml:space="preserve">Des exigences </w:t>
      </w:r>
      <w:r w:rsidR="00B64D64" w:rsidRPr="007944F8">
        <w:t xml:space="preserve">nationales </w:t>
      </w:r>
      <w:r w:rsidRPr="007944F8">
        <w:t>spécifiques</w:t>
      </w:r>
      <w:r w:rsidR="00B64D64" w:rsidRPr="007944F8">
        <w:t>, en accord avec</w:t>
      </w:r>
      <w:r w:rsidRPr="007944F8">
        <w:t xml:space="preserve"> l’Autorité </w:t>
      </w:r>
      <w:r w:rsidR="0091047A">
        <w:t>n</w:t>
      </w:r>
      <w:r w:rsidR="003D3EC5" w:rsidRPr="007944F8">
        <w:t xml:space="preserve">ationale </w:t>
      </w:r>
      <w:r w:rsidR="0091047A">
        <w:t>c</w:t>
      </w:r>
      <w:r w:rsidRPr="007944F8">
        <w:t>ompétente concernant :</w:t>
      </w:r>
    </w:p>
    <w:p w14:paraId="494EADD4" w14:textId="77777777" w:rsidR="000B45C4" w:rsidRPr="007944F8" w:rsidRDefault="000B45C4" w:rsidP="00E96874">
      <w:pPr>
        <w:widowControl w:val="0"/>
        <w:tabs>
          <w:tab w:val="clear" w:pos="567"/>
        </w:tabs>
        <w:spacing w:line="240" w:lineRule="auto"/>
        <w:ind w:left="1134" w:right="566" w:hanging="567"/>
      </w:pPr>
      <w:r w:rsidRPr="007944F8">
        <w:t>-</w:t>
      </w:r>
      <w:r w:rsidR="00A7619E" w:rsidRPr="007944F8">
        <w:tab/>
      </w:r>
      <w:r w:rsidRPr="007944F8">
        <w:t>La distribution du produit</w:t>
      </w:r>
    </w:p>
    <w:p w14:paraId="6A6F7215" w14:textId="77777777" w:rsidR="00651B15" w:rsidRPr="007944F8" w:rsidRDefault="000B45C4" w:rsidP="00E96874">
      <w:pPr>
        <w:widowControl w:val="0"/>
        <w:tabs>
          <w:tab w:val="clear" w:pos="567"/>
        </w:tabs>
        <w:spacing w:line="240" w:lineRule="auto"/>
        <w:ind w:left="1134" w:right="566" w:hanging="567"/>
      </w:pPr>
      <w:r w:rsidRPr="007944F8">
        <w:t>-</w:t>
      </w:r>
      <w:r w:rsidR="00A7619E" w:rsidRPr="007944F8">
        <w:tab/>
      </w:r>
      <w:r w:rsidRPr="007944F8">
        <w:t xml:space="preserve">Les mesures </w:t>
      </w:r>
      <w:r w:rsidR="00B64D64" w:rsidRPr="007944F8">
        <w:t>permettant de s’assurer</w:t>
      </w:r>
      <w:r w:rsidRPr="007944F8">
        <w:t xml:space="preserve"> que toutes les actions appropriées ont été </w:t>
      </w:r>
      <w:r w:rsidR="00B64D64" w:rsidRPr="007944F8">
        <w:t>mises en place</w:t>
      </w:r>
      <w:r w:rsidRPr="007944F8">
        <w:t xml:space="preserve"> avant</w:t>
      </w:r>
      <w:r w:rsidR="00A7619E" w:rsidRPr="007944F8">
        <w:t xml:space="preserve"> qu’</w:t>
      </w:r>
      <w:r w:rsidRPr="007944F8">
        <w:t xml:space="preserve">Odomzo </w:t>
      </w:r>
      <w:r w:rsidR="00B64D64" w:rsidRPr="007944F8">
        <w:t xml:space="preserve">ne </w:t>
      </w:r>
      <w:r w:rsidRPr="007944F8">
        <w:t>soit prescrit et délivré</w:t>
      </w:r>
    </w:p>
    <w:p w14:paraId="50788830" w14:textId="77777777" w:rsidR="000B45C4" w:rsidRPr="007944F8" w:rsidRDefault="000B45C4" w:rsidP="000B45C4">
      <w:pPr>
        <w:widowControl w:val="0"/>
        <w:spacing w:line="240" w:lineRule="auto"/>
        <w:ind w:right="566"/>
      </w:pPr>
    </w:p>
    <w:p w14:paraId="3B0D7D3E" w14:textId="77777777" w:rsidR="000B45C4" w:rsidRPr="007944F8" w:rsidRDefault="000B45C4" w:rsidP="00E96874">
      <w:pPr>
        <w:keepNext/>
        <w:widowControl w:val="0"/>
        <w:spacing w:line="240" w:lineRule="auto"/>
        <w:ind w:right="567"/>
      </w:pPr>
      <w:r w:rsidRPr="007944F8">
        <w:t xml:space="preserve">Le titulaire de l’Autorisation de Mise sur le Marché doit </w:t>
      </w:r>
      <w:r w:rsidR="00B64D64" w:rsidRPr="007944F8">
        <w:t xml:space="preserve">continuellement s’assurer </w:t>
      </w:r>
      <w:r w:rsidRPr="007944F8">
        <w:t xml:space="preserve">que tous les médecins </w:t>
      </w:r>
      <w:r w:rsidR="00B64D64" w:rsidRPr="007944F8">
        <w:t>prescripteurs potentiels d’</w:t>
      </w:r>
      <w:r w:rsidRPr="007944F8">
        <w:t xml:space="preserve">Odomzo </w:t>
      </w:r>
      <w:r w:rsidR="00B64D64" w:rsidRPr="007944F8">
        <w:t>reçoivent les éléments suivants</w:t>
      </w:r>
      <w:r w:rsidRPr="007944F8">
        <w:t> :</w:t>
      </w:r>
    </w:p>
    <w:p w14:paraId="0F8A8B45" w14:textId="77777777" w:rsidR="000B45C4" w:rsidRPr="007944F8" w:rsidRDefault="00B64D64" w:rsidP="00E96874">
      <w:pPr>
        <w:widowControl w:val="0"/>
        <w:numPr>
          <w:ilvl w:val="0"/>
          <w:numId w:val="48"/>
        </w:numPr>
        <w:spacing w:line="240" w:lineRule="auto"/>
        <w:ind w:left="567" w:right="566" w:hanging="567"/>
      </w:pPr>
      <w:r w:rsidRPr="007944F8">
        <w:t>Résumé des Caractéristiques du Produit</w:t>
      </w:r>
    </w:p>
    <w:p w14:paraId="510D7E14" w14:textId="77777777" w:rsidR="000B45C4" w:rsidRPr="007944F8" w:rsidRDefault="000B45C4" w:rsidP="00E96874">
      <w:pPr>
        <w:widowControl w:val="0"/>
        <w:numPr>
          <w:ilvl w:val="0"/>
          <w:numId w:val="48"/>
        </w:numPr>
        <w:spacing w:line="240" w:lineRule="auto"/>
        <w:ind w:left="567" w:right="566" w:hanging="567"/>
      </w:pPr>
      <w:r w:rsidRPr="007944F8">
        <w:t xml:space="preserve">Matériel </w:t>
      </w:r>
      <w:r w:rsidR="00B64D64" w:rsidRPr="007944F8">
        <w:t>éducationnel</w:t>
      </w:r>
      <w:r w:rsidR="0038539B" w:rsidRPr="007944F8">
        <w:t xml:space="preserve"> d</w:t>
      </w:r>
      <w:r w:rsidR="0033148F" w:rsidRPr="007944F8">
        <w:t>estiné a</w:t>
      </w:r>
      <w:r w:rsidR="0038539B" w:rsidRPr="007944F8">
        <w:t>u</w:t>
      </w:r>
      <w:r w:rsidR="00B64D64" w:rsidRPr="007944F8">
        <w:t>x</w:t>
      </w:r>
      <w:r w:rsidRPr="007944F8">
        <w:t xml:space="preserve"> </w:t>
      </w:r>
      <w:r w:rsidR="00B64D64" w:rsidRPr="007944F8">
        <w:t>p</w:t>
      </w:r>
      <w:r w:rsidRPr="007944F8">
        <w:t>rofessionnel</w:t>
      </w:r>
      <w:r w:rsidR="00B64D64" w:rsidRPr="007944F8">
        <w:t>s</w:t>
      </w:r>
      <w:r w:rsidRPr="007944F8">
        <w:t xml:space="preserve"> de </w:t>
      </w:r>
      <w:r w:rsidR="00B64D64" w:rsidRPr="007944F8">
        <w:t>s</w:t>
      </w:r>
      <w:r w:rsidRPr="007944F8">
        <w:t>anté</w:t>
      </w:r>
    </w:p>
    <w:p w14:paraId="0DAA9EF5" w14:textId="77777777" w:rsidR="000B45C4" w:rsidRPr="007944F8" w:rsidRDefault="0038539B" w:rsidP="00E96874">
      <w:pPr>
        <w:widowControl w:val="0"/>
        <w:numPr>
          <w:ilvl w:val="0"/>
          <w:numId w:val="48"/>
        </w:numPr>
        <w:spacing w:line="240" w:lineRule="auto"/>
        <w:ind w:left="567" w:right="566" w:hanging="567"/>
      </w:pPr>
      <w:r w:rsidRPr="007944F8">
        <w:t>Aide-mémoire d</w:t>
      </w:r>
      <w:r w:rsidR="0033148F" w:rsidRPr="007944F8">
        <w:t>estiné a</w:t>
      </w:r>
      <w:r w:rsidRPr="007944F8">
        <w:t>u</w:t>
      </w:r>
      <w:r w:rsidR="00B64D64" w:rsidRPr="007944F8">
        <w:t>x</w:t>
      </w:r>
      <w:r w:rsidRPr="007944F8">
        <w:t xml:space="preserve"> </w:t>
      </w:r>
      <w:r w:rsidR="00B64D64" w:rsidRPr="007944F8">
        <w:t>p</w:t>
      </w:r>
      <w:r w:rsidRPr="007944F8">
        <w:t>rofessionnel</w:t>
      </w:r>
      <w:r w:rsidR="00B64D64" w:rsidRPr="007944F8">
        <w:t>s</w:t>
      </w:r>
      <w:r w:rsidR="000B45C4" w:rsidRPr="007944F8">
        <w:t xml:space="preserve"> de </w:t>
      </w:r>
      <w:r w:rsidR="00B64D64" w:rsidRPr="007944F8">
        <w:t>s</w:t>
      </w:r>
      <w:r w:rsidR="000B45C4" w:rsidRPr="007944F8">
        <w:t>anté</w:t>
      </w:r>
    </w:p>
    <w:p w14:paraId="65A0E0BD" w14:textId="77777777" w:rsidR="000B45C4" w:rsidRPr="007944F8" w:rsidRDefault="000B45C4" w:rsidP="00E96874">
      <w:pPr>
        <w:widowControl w:val="0"/>
        <w:numPr>
          <w:ilvl w:val="0"/>
          <w:numId w:val="48"/>
        </w:numPr>
        <w:spacing w:line="240" w:lineRule="auto"/>
        <w:ind w:left="567" w:right="566" w:hanging="567"/>
      </w:pPr>
      <w:r w:rsidRPr="007944F8">
        <w:t xml:space="preserve">Matériel </w:t>
      </w:r>
      <w:r w:rsidR="00B64D64" w:rsidRPr="007944F8">
        <w:t>éducationnel</w:t>
      </w:r>
      <w:r w:rsidRPr="007944F8">
        <w:t xml:space="preserve"> d</w:t>
      </w:r>
      <w:r w:rsidR="0033148F" w:rsidRPr="007944F8">
        <w:t>estiné a</w:t>
      </w:r>
      <w:r w:rsidRPr="007944F8">
        <w:t xml:space="preserve">u </w:t>
      </w:r>
      <w:r w:rsidR="00B64D64" w:rsidRPr="007944F8">
        <w:t>p</w:t>
      </w:r>
      <w:r w:rsidRPr="007944F8">
        <w:t>atient</w:t>
      </w:r>
    </w:p>
    <w:p w14:paraId="67DA944A" w14:textId="77777777" w:rsidR="000B45C4" w:rsidRPr="007944F8" w:rsidRDefault="000B45C4" w:rsidP="00E96874">
      <w:pPr>
        <w:widowControl w:val="0"/>
        <w:numPr>
          <w:ilvl w:val="0"/>
          <w:numId w:val="48"/>
        </w:numPr>
        <w:spacing w:line="240" w:lineRule="auto"/>
        <w:ind w:left="567" w:right="566" w:hanging="567"/>
      </w:pPr>
      <w:r w:rsidRPr="007944F8">
        <w:t>Aide-mémoire</w:t>
      </w:r>
      <w:r w:rsidR="00414B5B" w:rsidRPr="007944F8">
        <w:t xml:space="preserve"> d</w:t>
      </w:r>
      <w:r w:rsidR="0033148F" w:rsidRPr="007944F8">
        <w:t>estiné a</w:t>
      </w:r>
      <w:r w:rsidR="00414B5B" w:rsidRPr="007944F8">
        <w:t xml:space="preserve">u </w:t>
      </w:r>
      <w:r w:rsidR="00B64D64" w:rsidRPr="007944F8">
        <w:t>p</w:t>
      </w:r>
      <w:r w:rsidRPr="007944F8">
        <w:t>atient</w:t>
      </w:r>
    </w:p>
    <w:p w14:paraId="4777CEB9" w14:textId="77777777" w:rsidR="00414B5B" w:rsidRPr="007944F8" w:rsidRDefault="00414B5B" w:rsidP="00E96874">
      <w:pPr>
        <w:widowControl w:val="0"/>
        <w:spacing w:line="240" w:lineRule="auto"/>
        <w:ind w:right="566"/>
      </w:pPr>
    </w:p>
    <w:p w14:paraId="5A426200" w14:textId="77777777" w:rsidR="00414B5B" w:rsidRPr="007944F8" w:rsidRDefault="00414B5B" w:rsidP="00E96874">
      <w:pPr>
        <w:keepNext/>
        <w:widowControl w:val="0"/>
        <w:spacing w:line="240" w:lineRule="auto"/>
        <w:ind w:right="567"/>
      </w:pPr>
      <w:r w:rsidRPr="007944F8">
        <w:t xml:space="preserve">Le matériel </w:t>
      </w:r>
      <w:r w:rsidR="00B64D64" w:rsidRPr="007944F8">
        <w:t>éducationnel</w:t>
      </w:r>
      <w:r w:rsidRPr="007944F8">
        <w:t xml:space="preserve"> d’Odomzo </w:t>
      </w:r>
      <w:r w:rsidR="00A7619E" w:rsidRPr="007944F8">
        <w:t>destiné aux</w:t>
      </w:r>
      <w:r w:rsidRPr="007944F8">
        <w:t xml:space="preserve"> professionnels de santé</w:t>
      </w:r>
      <w:r w:rsidR="0038539B" w:rsidRPr="007944F8">
        <w:t xml:space="preserve"> doi</w:t>
      </w:r>
      <w:r w:rsidRPr="007944F8">
        <w:t>t contenir les éléments clés suivants :</w:t>
      </w:r>
    </w:p>
    <w:p w14:paraId="3FB68F30" w14:textId="77777777" w:rsidR="00414B5B" w:rsidRPr="007944F8" w:rsidRDefault="00B57532" w:rsidP="00E96874">
      <w:pPr>
        <w:widowControl w:val="0"/>
        <w:numPr>
          <w:ilvl w:val="0"/>
          <w:numId w:val="49"/>
        </w:numPr>
        <w:tabs>
          <w:tab w:val="clear" w:pos="567"/>
        </w:tabs>
        <w:spacing w:line="240" w:lineRule="auto"/>
        <w:ind w:left="567" w:right="566" w:hanging="567"/>
      </w:pPr>
      <w:r w:rsidRPr="007944F8">
        <w:t>Résumé</w:t>
      </w:r>
      <w:r w:rsidR="00B64D64" w:rsidRPr="007944F8">
        <w:t xml:space="preserve"> sur </w:t>
      </w:r>
      <w:r w:rsidR="00414B5B" w:rsidRPr="007944F8">
        <w:t>Odomzo, son indication autorisée et sa posologie</w:t>
      </w:r>
    </w:p>
    <w:p w14:paraId="59A00192" w14:textId="77777777" w:rsidR="00414B5B" w:rsidRPr="007944F8" w:rsidRDefault="00B64D64" w:rsidP="00E96874">
      <w:pPr>
        <w:widowControl w:val="0"/>
        <w:numPr>
          <w:ilvl w:val="0"/>
          <w:numId w:val="49"/>
        </w:numPr>
        <w:tabs>
          <w:tab w:val="clear" w:pos="567"/>
        </w:tabs>
        <w:spacing w:line="240" w:lineRule="auto"/>
        <w:ind w:left="567" w:right="566" w:hanging="567"/>
      </w:pPr>
      <w:r w:rsidRPr="007944F8">
        <w:t>Exigence</w:t>
      </w:r>
      <w:r w:rsidR="00414B5B" w:rsidRPr="007944F8">
        <w:t xml:space="preserve"> d’inform</w:t>
      </w:r>
      <w:r w:rsidRPr="007944F8">
        <w:t>er</w:t>
      </w:r>
      <w:r w:rsidR="00414B5B" w:rsidRPr="007944F8">
        <w:t xml:space="preserve"> </w:t>
      </w:r>
      <w:r w:rsidRPr="007944F8">
        <w:t>l</w:t>
      </w:r>
      <w:r w:rsidR="00414B5B" w:rsidRPr="007944F8">
        <w:t xml:space="preserve">es patients sur les risques de tératogénicité associés à Odomzo </w:t>
      </w:r>
      <w:r w:rsidRPr="007944F8">
        <w:t>et sur</w:t>
      </w:r>
      <w:r w:rsidR="00414B5B" w:rsidRPr="007944F8">
        <w:t xml:space="preserve"> la nécessité d’éviter toute exposition </w:t>
      </w:r>
      <w:r w:rsidR="0033148F" w:rsidRPr="007944F8">
        <w:t>fœtale</w:t>
      </w:r>
    </w:p>
    <w:p w14:paraId="6A6935C6" w14:textId="77777777" w:rsidR="0038539B" w:rsidRPr="007944F8" w:rsidRDefault="00B64D64" w:rsidP="00E96874">
      <w:pPr>
        <w:widowControl w:val="0"/>
        <w:numPr>
          <w:ilvl w:val="0"/>
          <w:numId w:val="49"/>
        </w:numPr>
        <w:tabs>
          <w:tab w:val="clear" w:pos="567"/>
        </w:tabs>
        <w:spacing w:line="240" w:lineRule="auto"/>
        <w:ind w:left="567" w:right="566" w:hanging="567"/>
      </w:pPr>
      <w:r w:rsidRPr="007944F8">
        <w:t>D</w:t>
      </w:r>
      <w:r w:rsidR="00414B5B" w:rsidRPr="007944F8">
        <w:t xml:space="preserve">escription du Programme de Prévention de la Grossesse et catégorisation des patients </w:t>
      </w:r>
      <w:r w:rsidRPr="007944F8">
        <w:t>selon</w:t>
      </w:r>
      <w:r w:rsidR="00414B5B" w:rsidRPr="007944F8">
        <w:t xml:space="preserve"> le sexe et</w:t>
      </w:r>
      <w:r w:rsidR="0038539B" w:rsidRPr="007944F8">
        <w:t xml:space="preserve"> la possibilité d’avoir des enfants</w:t>
      </w:r>
    </w:p>
    <w:p w14:paraId="6140D0CF" w14:textId="77777777" w:rsidR="0038539B" w:rsidRPr="007944F8" w:rsidRDefault="00B64D64" w:rsidP="00E96874">
      <w:pPr>
        <w:widowControl w:val="0"/>
        <w:numPr>
          <w:ilvl w:val="0"/>
          <w:numId w:val="49"/>
        </w:numPr>
        <w:tabs>
          <w:tab w:val="clear" w:pos="567"/>
        </w:tabs>
        <w:spacing w:line="240" w:lineRule="auto"/>
        <w:ind w:left="567" w:right="566" w:hanging="567"/>
      </w:pPr>
      <w:r w:rsidRPr="007944F8">
        <w:t>I</w:t>
      </w:r>
      <w:r w:rsidR="0038539B" w:rsidRPr="007944F8">
        <w:t>nformation sur les méthodes de contraception recommandées pour les femmes et les hommes</w:t>
      </w:r>
    </w:p>
    <w:p w14:paraId="0E9773E9" w14:textId="77777777" w:rsidR="0038539B" w:rsidRPr="007944F8" w:rsidRDefault="00FC0705" w:rsidP="00E96874">
      <w:pPr>
        <w:widowControl w:val="0"/>
        <w:numPr>
          <w:ilvl w:val="0"/>
          <w:numId w:val="49"/>
        </w:numPr>
        <w:tabs>
          <w:tab w:val="clear" w:pos="567"/>
        </w:tabs>
        <w:spacing w:line="240" w:lineRule="auto"/>
        <w:ind w:left="567" w:right="566" w:hanging="567"/>
      </w:pPr>
      <w:r w:rsidRPr="007944F8">
        <w:t>O</w:t>
      </w:r>
      <w:r w:rsidR="0038539B" w:rsidRPr="007944F8">
        <w:t xml:space="preserve">bligations </w:t>
      </w:r>
      <w:r w:rsidRPr="007944F8">
        <w:t>du</w:t>
      </w:r>
      <w:r w:rsidR="0038539B" w:rsidRPr="007944F8">
        <w:t xml:space="preserve"> professionnel de santé </w:t>
      </w:r>
      <w:r w:rsidRPr="007944F8">
        <w:t>relatives</w:t>
      </w:r>
      <w:r w:rsidR="0038539B" w:rsidRPr="007944F8">
        <w:t xml:space="preserve"> à la prescription d’Odomzo</w:t>
      </w:r>
    </w:p>
    <w:p w14:paraId="63467BE6" w14:textId="77777777" w:rsidR="0038539B" w:rsidRPr="007944F8" w:rsidRDefault="00FC0705" w:rsidP="00E96874">
      <w:pPr>
        <w:widowControl w:val="0"/>
        <w:numPr>
          <w:ilvl w:val="0"/>
          <w:numId w:val="49"/>
        </w:numPr>
        <w:tabs>
          <w:tab w:val="clear" w:pos="567"/>
        </w:tabs>
        <w:spacing w:line="240" w:lineRule="auto"/>
        <w:ind w:left="567" w:right="566" w:hanging="567"/>
      </w:pPr>
      <w:r w:rsidRPr="007944F8">
        <w:t>C</w:t>
      </w:r>
      <w:r w:rsidR="0038539B" w:rsidRPr="007944F8">
        <w:t xml:space="preserve">onseils de sécurité </w:t>
      </w:r>
      <w:r w:rsidRPr="007944F8">
        <w:t xml:space="preserve">destinés aux </w:t>
      </w:r>
      <w:r w:rsidR="0038539B" w:rsidRPr="007944F8">
        <w:t>femmes en âge d’avoir des enfants</w:t>
      </w:r>
    </w:p>
    <w:p w14:paraId="220C009F" w14:textId="77777777" w:rsidR="0038539B" w:rsidRPr="007944F8" w:rsidRDefault="00FC0705" w:rsidP="00E96874">
      <w:pPr>
        <w:widowControl w:val="0"/>
        <w:numPr>
          <w:ilvl w:val="0"/>
          <w:numId w:val="49"/>
        </w:numPr>
        <w:tabs>
          <w:tab w:val="clear" w:pos="567"/>
        </w:tabs>
        <w:spacing w:line="240" w:lineRule="auto"/>
        <w:ind w:left="567" w:right="566" w:hanging="567"/>
      </w:pPr>
      <w:r w:rsidRPr="007944F8">
        <w:t>C</w:t>
      </w:r>
      <w:r w:rsidR="0038539B" w:rsidRPr="007944F8">
        <w:t xml:space="preserve">onseils de sécurité </w:t>
      </w:r>
      <w:r w:rsidRPr="007944F8">
        <w:t xml:space="preserve">destinés aux </w:t>
      </w:r>
      <w:r w:rsidR="0038539B" w:rsidRPr="007944F8">
        <w:t>hommes</w:t>
      </w:r>
    </w:p>
    <w:p w14:paraId="418093FA" w14:textId="77777777" w:rsidR="0038539B" w:rsidRPr="007944F8" w:rsidRDefault="00FC0705" w:rsidP="00E96874">
      <w:pPr>
        <w:widowControl w:val="0"/>
        <w:numPr>
          <w:ilvl w:val="0"/>
          <w:numId w:val="49"/>
        </w:numPr>
        <w:tabs>
          <w:tab w:val="clear" w:pos="567"/>
        </w:tabs>
        <w:spacing w:line="240" w:lineRule="auto"/>
        <w:ind w:left="567" w:right="566" w:hanging="567"/>
      </w:pPr>
      <w:r w:rsidRPr="007944F8">
        <w:t>E</w:t>
      </w:r>
      <w:r w:rsidR="0038539B" w:rsidRPr="007944F8">
        <w:t>xigences en cas de grossesse</w:t>
      </w:r>
    </w:p>
    <w:p w14:paraId="7CB9AAD8" w14:textId="77777777" w:rsidR="0038539B" w:rsidRPr="007944F8" w:rsidRDefault="00FC0705" w:rsidP="00E96874">
      <w:pPr>
        <w:widowControl w:val="0"/>
        <w:numPr>
          <w:ilvl w:val="0"/>
          <w:numId w:val="49"/>
        </w:numPr>
        <w:tabs>
          <w:tab w:val="clear" w:pos="567"/>
        </w:tabs>
        <w:spacing w:line="240" w:lineRule="auto"/>
        <w:ind w:left="567" w:right="566" w:hanging="567"/>
      </w:pPr>
      <w:r w:rsidRPr="007944F8">
        <w:t>I</w:t>
      </w:r>
      <w:r w:rsidR="0038539B" w:rsidRPr="007944F8">
        <w:t xml:space="preserve">nformation </w:t>
      </w:r>
      <w:r w:rsidR="00B57532" w:rsidRPr="007944F8">
        <w:t>d</w:t>
      </w:r>
      <w:r w:rsidR="0038539B" w:rsidRPr="007944F8">
        <w:t xml:space="preserve">es patients </w:t>
      </w:r>
      <w:r w:rsidR="00B57532" w:rsidRPr="007944F8">
        <w:t xml:space="preserve">pour qu’ils ne donnent pas </w:t>
      </w:r>
      <w:r w:rsidR="0038539B" w:rsidRPr="007944F8">
        <w:t>leur sang durant leur traitement par Odomzo et pendant au moins 20</w:t>
      </w:r>
      <w:r w:rsidR="00762D72" w:rsidRPr="007944F8">
        <w:t> </w:t>
      </w:r>
      <w:r w:rsidR="0038539B" w:rsidRPr="007944F8">
        <w:t>mois après la dernière prise</w:t>
      </w:r>
    </w:p>
    <w:p w14:paraId="79DC162E" w14:textId="77777777" w:rsidR="0038539B" w:rsidRPr="007944F8" w:rsidRDefault="00B57532" w:rsidP="00E96874">
      <w:pPr>
        <w:widowControl w:val="0"/>
        <w:numPr>
          <w:ilvl w:val="0"/>
          <w:numId w:val="49"/>
        </w:numPr>
        <w:tabs>
          <w:tab w:val="clear" w:pos="567"/>
        </w:tabs>
        <w:spacing w:line="240" w:lineRule="auto"/>
        <w:ind w:left="567" w:right="566" w:hanging="567"/>
      </w:pPr>
      <w:r w:rsidRPr="007944F8">
        <w:t>L</w:t>
      </w:r>
      <w:r w:rsidR="00FC0705" w:rsidRPr="007944F8">
        <w:t>iste répertoriant les actions</w:t>
      </w:r>
      <w:r w:rsidR="0038539B" w:rsidRPr="007944F8">
        <w:t xml:space="preserve"> </w:t>
      </w:r>
      <w:r w:rsidR="00FC0705" w:rsidRPr="007944F8">
        <w:t>que</w:t>
      </w:r>
      <w:r w:rsidR="0038539B" w:rsidRPr="007944F8">
        <w:t xml:space="preserve"> le professionnel de santé</w:t>
      </w:r>
      <w:r w:rsidR="00FC0705" w:rsidRPr="007944F8">
        <w:t xml:space="preserve"> doit mener pour s’assurer que les patients reçoivent les conseils appropriés</w:t>
      </w:r>
    </w:p>
    <w:p w14:paraId="0B4BCA57" w14:textId="77777777" w:rsidR="000B150E" w:rsidRPr="007944F8" w:rsidRDefault="00FC0705" w:rsidP="00E96874">
      <w:pPr>
        <w:widowControl w:val="0"/>
        <w:numPr>
          <w:ilvl w:val="0"/>
          <w:numId w:val="49"/>
        </w:numPr>
        <w:tabs>
          <w:tab w:val="clear" w:pos="567"/>
        </w:tabs>
        <w:spacing w:line="240" w:lineRule="auto"/>
        <w:ind w:left="567" w:right="566" w:hanging="567"/>
      </w:pPr>
      <w:r w:rsidRPr="007944F8">
        <w:t>N</w:t>
      </w:r>
      <w:r w:rsidR="0038539B" w:rsidRPr="007944F8">
        <w:t xml:space="preserve">écessité de </w:t>
      </w:r>
      <w:r w:rsidRPr="007944F8">
        <w:t xml:space="preserve">s’assurer que </w:t>
      </w:r>
      <w:r w:rsidR="0038539B" w:rsidRPr="007944F8">
        <w:t xml:space="preserve">tous les patients aient rempli et signé le </w:t>
      </w:r>
      <w:r w:rsidRPr="007944F8">
        <w:t>f</w:t>
      </w:r>
      <w:r w:rsidR="0038539B" w:rsidRPr="007944F8">
        <w:t xml:space="preserve">ormulaire de Vérification des Conseils d’Odomzo qui est présent dans le matériel </w:t>
      </w:r>
      <w:r w:rsidRPr="007944F8">
        <w:t>éducationnel</w:t>
      </w:r>
      <w:r w:rsidR="0038539B" w:rsidRPr="007944F8">
        <w:t xml:space="preserve"> du professionnel de santé</w:t>
      </w:r>
    </w:p>
    <w:p w14:paraId="759E272C" w14:textId="77777777" w:rsidR="0033148F" w:rsidRPr="007944F8" w:rsidRDefault="00B57532" w:rsidP="00E96874">
      <w:pPr>
        <w:widowControl w:val="0"/>
        <w:numPr>
          <w:ilvl w:val="0"/>
          <w:numId w:val="49"/>
        </w:numPr>
        <w:tabs>
          <w:tab w:val="clear" w:pos="567"/>
        </w:tabs>
        <w:spacing w:line="240" w:lineRule="auto"/>
        <w:ind w:left="567" w:right="566" w:hanging="567"/>
      </w:pPr>
      <w:r w:rsidRPr="007944F8">
        <w:t>Modalités</w:t>
      </w:r>
      <w:r w:rsidR="00FC0705" w:rsidRPr="007944F8">
        <w:t xml:space="preserve"> de déclaration</w:t>
      </w:r>
      <w:r w:rsidR="000B150E" w:rsidRPr="007944F8">
        <w:t xml:space="preserve"> d’effets indésirables</w:t>
      </w:r>
    </w:p>
    <w:p w14:paraId="4F51AC55" w14:textId="77777777" w:rsidR="0033148F" w:rsidRPr="007944F8" w:rsidRDefault="0033148F" w:rsidP="00E96874">
      <w:pPr>
        <w:widowControl w:val="0"/>
        <w:spacing w:line="240" w:lineRule="auto"/>
        <w:ind w:right="566"/>
      </w:pPr>
    </w:p>
    <w:p w14:paraId="0B4D21B5" w14:textId="77777777" w:rsidR="0038539B" w:rsidRPr="007944F8" w:rsidRDefault="0033148F" w:rsidP="00E96874">
      <w:pPr>
        <w:keepNext/>
        <w:widowControl w:val="0"/>
        <w:spacing w:line="240" w:lineRule="auto"/>
        <w:ind w:right="567"/>
      </w:pPr>
      <w:r w:rsidRPr="007944F8">
        <w:t xml:space="preserve">Le matériel </w:t>
      </w:r>
      <w:r w:rsidR="00FC0705" w:rsidRPr="007944F8">
        <w:t>éducationnel</w:t>
      </w:r>
      <w:r w:rsidRPr="007944F8">
        <w:t xml:space="preserve"> </w:t>
      </w:r>
      <w:r w:rsidR="00A7619E" w:rsidRPr="007944F8">
        <w:t xml:space="preserve">d’Odomzo </w:t>
      </w:r>
      <w:r w:rsidRPr="007944F8">
        <w:t>destiné au patient doit contenir les éléments clés suivants :</w:t>
      </w:r>
    </w:p>
    <w:p w14:paraId="2912D4A7" w14:textId="77777777" w:rsidR="0033148F" w:rsidRPr="007944F8" w:rsidRDefault="00FC0705" w:rsidP="00E96874">
      <w:pPr>
        <w:widowControl w:val="0"/>
        <w:numPr>
          <w:ilvl w:val="0"/>
          <w:numId w:val="50"/>
        </w:numPr>
        <w:tabs>
          <w:tab w:val="clear" w:pos="567"/>
        </w:tabs>
        <w:spacing w:line="240" w:lineRule="auto"/>
        <w:ind w:left="567" w:right="566" w:hanging="567"/>
      </w:pPr>
      <w:r w:rsidRPr="007944F8">
        <w:t>I</w:t>
      </w:r>
      <w:r w:rsidR="0033148F" w:rsidRPr="007944F8">
        <w:t xml:space="preserve">nformations </w:t>
      </w:r>
      <w:r w:rsidRPr="007944F8">
        <w:t>aux</w:t>
      </w:r>
      <w:r w:rsidR="0033148F" w:rsidRPr="007944F8">
        <w:t xml:space="preserve"> patients </w:t>
      </w:r>
      <w:r w:rsidRPr="007944F8">
        <w:t>sur les</w:t>
      </w:r>
      <w:r w:rsidR="0033148F" w:rsidRPr="007944F8">
        <w:t xml:space="preserve"> risques de tératogénicité associés à Odomzo </w:t>
      </w:r>
      <w:r w:rsidRPr="007944F8">
        <w:t xml:space="preserve">et sur </w:t>
      </w:r>
      <w:r w:rsidR="00B57532" w:rsidRPr="007944F8">
        <w:t>la nécessité</w:t>
      </w:r>
      <w:r w:rsidR="0033148F" w:rsidRPr="007944F8">
        <w:t xml:space="preserve"> d’éviter toute exposition fœtale</w:t>
      </w:r>
    </w:p>
    <w:p w14:paraId="5274D179" w14:textId="77777777" w:rsidR="0033148F" w:rsidRPr="007944F8" w:rsidRDefault="00FC0705" w:rsidP="00E96874">
      <w:pPr>
        <w:widowControl w:val="0"/>
        <w:numPr>
          <w:ilvl w:val="0"/>
          <w:numId w:val="50"/>
        </w:numPr>
        <w:tabs>
          <w:tab w:val="clear" w:pos="567"/>
        </w:tabs>
        <w:spacing w:line="240" w:lineRule="auto"/>
        <w:ind w:left="567" w:right="566" w:hanging="567"/>
      </w:pPr>
      <w:r w:rsidRPr="007944F8">
        <w:t>N</w:t>
      </w:r>
      <w:r w:rsidR="0033148F" w:rsidRPr="007944F8">
        <w:t xml:space="preserve">écessité d’une contraception adéquate et définition </w:t>
      </w:r>
      <w:r w:rsidRPr="007944F8">
        <w:t>d’une</w:t>
      </w:r>
      <w:r w:rsidR="0033148F" w:rsidRPr="007944F8">
        <w:t xml:space="preserve"> contraception adéquate</w:t>
      </w:r>
    </w:p>
    <w:p w14:paraId="669501BF" w14:textId="77777777" w:rsidR="0039162D" w:rsidRPr="007944F8" w:rsidRDefault="00FC0705" w:rsidP="00E96874">
      <w:pPr>
        <w:widowControl w:val="0"/>
        <w:numPr>
          <w:ilvl w:val="0"/>
          <w:numId w:val="50"/>
        </w:numPr>
        <w:tabs>
          <w:tab w:val="clear" w:pos="567"/>
        </w:tabs>
        <w:spacing w:line="240" w:lineRule="auto"/>
        <w:ind w:left="567" w:right="566" w:hanging="567"/>
      </w:pPr>
      <w:r w:rsidRPr="007944F8">
        <w:t>Spécificités nationales liées à la prescription d’Odomzo et à sa dispensation</w:t>
      </w:r>
    </w:p>
    <w:p w14:paraId="7D70E0B6" w14:textId="77777777" w:rsidR="0039162D" w:rsidRPr="007944F8" w:rsidRDefault="0039162D" w:rsidP="00E96874">
      <w:pPr>
        <w:widowControl w:val="0"/>
        <w:numPr>
          <w:ilvl w:val="0"/>
          <w:numId w:val="50"/>
        </w:numPr>
        <w:tabs>
          <w:tab w:val="clear" w:pos="567"/>
        </w:tabs>
        <w:spacing w:line="240" w:lineRule="auto"/>
        <w:ind w:left="567" w:right="566" w:hanging="567"/>
      </w:pPr>
      <w:r w:rsidRPr="007944F8">
        <w:t xml:space="preserve">Ne pas donner Odomzo à </w:t>
      </w:r>
      <w:r w:rsidR="007F7D7A" w:rsidRPr="007944F8">
        <w:t>d’</w:t>
      </w:r>
      <w:r w:rsidRPr="007944F8">
        <w:t>autre</w:t>
      </w:r>
      <w:r w:rsidR="007F7D7A" w:rsidRPr="007944F8">
        <w:t>s</w:t>
      </w:r>
      <w:r w:rsidRPr="007944F8">
        <w:t xml:space="preserve"> personne</w:t>
      </w:r>
      <w:r w:rsidR="007F7D7A" w:rsidRPr="007944F8">
        <w:t>s. Information sur les modalités d’élimination des médicaments non utilisés. Nécessité de conserver les gélules d’Odomzo hors de la vue et de la portée des enfants</w:t>
      </w:r>
    </w:p>
    <w:p w14:paraId="6E69AEA2" w14:textId="77777777" w:rsidR="00E37518" w:rsidRPr="007944F8" w:rsidRDefault="00E37518" w:rsidP="00E96874">
      <w:pPr>
        <w:widowControl w:val="0"/>
        <w:numPr>
          <w:ilvl w:val="0"/>
          <w:numId w:val="50"/>
        </w:numPr>
        <w:tabs>
          <w:tab w:val="clear" w:pos="567"/>
        </w:tabs>
        <w:spacing w:line="240" w:lineRule="auto"/>
        <w:ind w:left="567" w:right="566" w:hanging="567"/>
      </w:pPr>
      <w:r w:rsidRPr="007944F8">
        <w:t>Le patient ne doit pas donner son sang durant son traitement par Odomzo et pendant au moins 20</w:t>
      </w:r>
      <w:r w:rsidR="00762D72" w:rsidRPr="007944F8">
        <w:t> </w:t>
      </w:r>
      <w:r w:rsidRPr="007944F8">
        <w:t>mois après la dernière prise</w:t>
      </w:r>
    </w:p>
    <w:p w14:paraId="675D7B41" w14:textId="77777777" w:rsidR="00E37518" w:rsidRPr="007944F8" w:rsidRDefault="00E37518" w:rsidP="00E96874">
      <w:pPr>
        <w:widowControl w:val="0"/>
        <w:numPr>
          <w:ilvl w:val="0"/>
          <w:numId w:val="50"/>
        </w:numPr>
        <w:tabs>
          <w:tab w:val="clear" w:pos="567"/>
        </w:tabs>
        <w:spacing w:line="240" w:lineRule="auto"/>
        <w:ind w:left="567" w:right="566" w:hanging="567"/>
      </w:pPr>
      <w:r w:rsidRPr="007944F8">
        <w:t>La patiente ne d</w:t>
      </w:r>
      <w:r w:rsidR="00AE6216" w:rsidRPr="007944F8">
        <w:t>evra</w:t>
      </w:r>
      <w:r w:rsidRPr="007944F8">
        <w:t xml:space="preserve"> pas allaiter durant toute la durée du traitement et pendant les 20</w:t>
      </w:r>
      <w:r w:rsidR="00762D72" w:rsidRPr="007944F8">
        <w:t> </w:t>
      </w:r>
      <w:r w:rsidRPr="007944F8">
        <w:t>mois qui suivent la dernière prise</w:t>
      </w:r>
    </w:p>
    <w:p w14:paraId="084E56F1" w14:textId="77777777" w:rsidR="00E37518" w:rsidRPr="007944F8" w:rsidRDefault="003D1944" w:rsidP="00E96874">
      <w:pPr>
        <w:widowControl w:val="0"/>
        <w:numPr>
          <w:ilvl w:val="0"/>
          <w:numId w:val="50"/>
        </w:numPr>
        <w:tabs>
          <w:tab w:val="clear" w:pos="567"/>
        </w:tabs>
        <w:spacing w:line="240" w:lineRule="auto"/>
        <w:ind w:left="567" w:right="566" w:hanging="567"/>
      </w:pPr>
      <w:r w:rsidRPr="007944F8">
        <w:t>Le patient d</w:t>
      </w:r>
      <w:r w:rsidR="00AE6216" w:rsidRPr="007944F8">
        <w:t>evra</w:t>
      </w:r>
      <w:r w:rsidRPr="007944F8">
        <w:t xml:space="preserve"> prévenir son professionnel de santé </w:t>
      </w:r>
      <w:r w:rsidR="007F7D7A" w:rsidRPr="007944F8">
        <w:t>de la survenue</w:t>
      </w:r>
      <w:r w:rsidRPr="007944F8">
        <w:t xml:space="preserve"> </w:t>
      </w:r>
      <w:r w:rsidR="00724D19" w:rsidRPr="007944F8">
        <w:t xml:space="preserve">de tout </w:t>
      </w:r>
      <w:r w:rsidRPr="007944F8">
        <w:t>év</w:t>
      </w:r>
      <w:r w:rsidR="0091047A">
        <w:t>é</w:t>
      </w:r>
      <w:r w:rsidRPr="007944F8">
        <w:t>nement indésirable</w:t>
      </w:r>
    </w:p>
    <w:p w14:paraId="406A055C" w14:textId="77777777" w:rsidR="003D1944" w:rsidRPr="007944F8" w:rsidRDefault="007F7D7A" w:rsidP="00E96874">
      <w:pPr>
        <w:widowControl w:val="0"/>
        <w:numPr>
          <w:ilvl w:val="0"/>
          <w:numId w:val="50"/>
        </w:numPr>
        <w:tabs>
          <w:tab w:val="clear" w:pos="567"/>
        </w:tabs>
        <w:spacing w:line="240" w:lineRule="auto"/>
        <w:ind w:left="567" w:right="566" w:hanging="567"/>
      </w:pPr>
      <w:r w:rsidRPr="007944F8">
        <w:t>I</w:t>
      </w:r>
      <w:r w:rsidR="003D1944" w:rsidRPr="007944F8">
        <w:t xml:space="preserve">nformations </w:t>
      </w:r>
      <w:r w:rsidRPr="007944F8">
        <w:t>destinées aux</w:t>
      </w:r>
      <w:r w:rsidR="003D1944" w:rsidRPr="007944F8">
        <w:t xml:space="preserve"> femmes en âge d’avoir des enfants</w:t>
      </w:r>
    </w:p>
    <w:p w14:paraId="3E5C81E6" w14:textId="77777777" w:rsidR="003D1944" w:rsidRPr="007944F8" w:rsidRDefault="007F7D7A" w:rsidP="00E96874">
      <w:pPr>
        <w:widowControl w:val="0"/>
        <w:numPr>
          <w:ilvl w:val="0"/>
          <w:numId w:val="50"/>
        </w:numPr>
        <w:tabs>
          <w:tab w:val="clear" w:pos="567"/>
        </w:tabs>
        <w:spacing w:line="240" w:lineRule="auto"/>
        <w:ind w:left="567" w:right="566" w:hanging="567"/>
      </w:pPr>
      <w:r w:rsidRPr="007944F8">
        <w:t>I</w:t>
      </w:r>
      <w:r w:rsidR="003D1944" w:rsidRPr="007944F8">
        <w:t xml:space="preserve">nformations </w:t>
      </w:r>
      <w:r w:rsidRPr="007944F8">
        <w:t xml:space="preserve">destinées aux </w:t>
      </w:r>
      <w:r w:rsidR="003D1944" w:rsidRPr="007944F8">
        <w:t>hommes</w:t>
      </w:r>
    </w:p>
    <w:p w14:paraId="7DF02879" w14:textId="77777777" w:rsidR="003D1944" w:rsidRPr="007944F8" w:rsidRDefault="003D1944" w:rsidP="00E96874">
      <w:pPr>
        <w:widowControl w:val="0"/>
        <w:spacing w:line="240" w:lineRule="auto"/>
        <w:ind w:right="566"/>
      </w:pPr>
    </w:p>
    <w:p w14:paraId="014D9496" w14:textId="77777777" w:rsidR="003D1944" w:rsidRPr="007944F8" w:rsidRDefault="003D1944" w:rsidP="00E96874">
      <w:pPr>
        <w:keepNext/>
        <w:widowControl w:val="0"/>
        <w:spacing w:line="240" w:lineRule="auto"/>
        <w:ind w:right="567"/>
      </w:pPr>
      <w:r w:rsidRPr="007944F8">
        <w:rPr>
          <w:u w:val="single"/>
        </w:rPr>
        <w:t>L’aide-mémoire destiné aux professionnels de santé</w:t>
      </w:r>
      <w:r w:rsidRPr="007944F8">
        <w:t xml:space="preserve"> doit contenir les éléments clés suivants :</w:t>
      </w:r>
    </w:p>
    <w:p w14:paraId="1849DDE4" w14:textId="77777777" w:rsidR="003D1944" w:rsidRPr="007944F8" w:rsidRDefault="007F7D7A" w:rsidP="00E96874">
      <w:pPr>
        <w:widowControl w:val="0"/>
        <w:numPr>
          <w:ilvl w:val="0"/>
          <w:numId w:val="51"/>
        </w:numPr>
        <w:spacing w:line="240" w:lineRule="auto"/>
        <w:ind w:left="567" w:right="566" w:hanging="567"/>
      </w:pPr>
      <w:r w:rsidRPr="007944F8">
        <w:t>I</w:t>
      </w:r>
      <w:r w:rsidR="003D1944" w:rsidRPr="007944F8">
        <w:t xml:space="preserve">nformations </w:t>
      </w:r>
      <w:r w:rsidRPr="007944F8">
        <w:t xml:space="preserve">destinées aux </w:t>
      </w:r>
      <w:r w:rsidR="003D1944" w:rsidRPr="007944F8">
        <w:t>femmes en âge d’avoir des enfants</w:t>
      </w:r>
    </w:p>
    <w:p w14:paraId="64D22B6D" w14:textId="77777777" w:rsidR="003D1944" w:rsidRPr="007944F8" w:rsidRDefault="007F7D7A" w:rsidP="00E418EE">
      <w:pPr>
        <w:widowControl w:val="0"/>
        <w:numPr>
          <w:ilvl w:val="0"/>
          <w:numId w:val="51"/>
        </w:numPr>
        <w:spacing w:line="240" w:lineRule="auto"/>
        <w:ind w:left="567" w:right="566" w:hanging="567"/>
      </w:pPr>
      <w:r w:rsidRPr="007944F8">
        <w:t>I</w:t>
      </w:r>
      <w:r w:rsidR="003D1944" w:rsidRPr="007944F8">
        <w:t xml:space="preserve">nformations </w:t>
      </w:r>
      <w:r w:rsidRPr="007944F8">
        <w:t xml:space="preserve">destinées aux </w:t>
      </w:r>
      <w:r w:rsidR="003D1944" w:rsidRPr="007944F8">
        <w:t>hommes</w:t>
      </w:r>
    </w:p>
    <w:p w14:paraId="6DD8D165" w14:textId="77777777" w:rsidR="003D1944" w:rsidRPr="007944F8" w:rsidRDefault="007F7D7A" w:rsidP="00E418EE">
      <w:pPr>
        <w:widowControl w:val="0"/>
        <w:numPr>
          <w:ilvl w:val="0"/>
          <w:numId w:val="51"/>
        </w:numPr>
        <w:spacing w:line="240" w:lineRule="auto"/>
        <w:ind w:left="567" w:right="566" w:hanging="567"/>
      </w:pPr>
      <w:r w:rsidRPr="007944F8">
        <w:t>N</w:t>
      </w:r>
      <w:r w:rsidR="003D1944" w:rsidRPr="007944F8">
        <w:t xml:space="preserve">écessité </w:t>
      </w:r>
      <w:r w:rsidRPr="007944F8">
        <w:t>d’informer les</w:t>
      </w:r>
      <w:r w:rsidR="003D1944" w:rsidRPr="007944F8">
        <w:t xml:space="preserve"> patients</w:t>
      </w:r>
      <w:r w:rsidRPr="007944F8">
        <w:t xml:space="preserve"> qu’ils doivent immédiatement rapporter</w:t>
      </w:r>
      <w:r w:rsidR="003D1944" w:rsidRPr="007944F8">
        <w:t xml:space="preserve"> </w:t>
      </w:r>
      <w:r w:rsidRPr="007944F8">
        <w:t>à</w:t>
      </w:r>
      <w:r w:rsidR="003D1944" w:rsidRPr="007944F8">
        <w:t xml:space="preserve"> leur professionnel de santé</w:t>
      </w:r>
      <w:r w:rsidRPr="007944F8">
        <w:t xml:space="preserve"> toute suspicion de grossesse chez une patiente ou chez une partenaire d’un patient</w:t>
      </w:r>
    </w:p>
    <w:p w14:paraId="31E5FB4A" w14:textId="77777777" w:rsidR="002077B0" w:rsidRPr="007944F8" w:rsidRDefault="002077B0" w:rsidP="00E418EE">
      <w:pPr>
        <w:widowControl w:val="0"/>
        <w:numPr>
          <w:ilvl w:val="0"/>
          <w:numId w:val="51"/>
        </w:numPr>
        <w:spacing w:line="240" w:lineRule="auto"/>
        <w:ind w:left="567" w:right="566" w:hanging="567"/>
      </w:pPr>
      <w:r w:rsidRPr="007944F8">
        <w:t xml:space="preserve">Rappeler aux patients </w:t>
      </w:r>
      <w:r w:rsidR="007F7D7A" w:rsidRPr="007944F8">
        <w:t>de</w:t>
      </w:r>
      <w:r w:rsidRPr="007944F8">
        <w:t xml:space="preserve"> rapporter les gélules non utilisées à la fin du traitement (</w:t>
      </w:r>
      <w:r w:rsidR="007F7D7A" w:rsidRPr="007944F8">
        <w:t>l’élimination</w:t>
      </w:r>
      <w:r w:rsidRPr="007944F8">
        <w:t xml:space="preserve"> dépendra des exigences locales)</w:t>
      </w:r>
    </w:p>
    <w:p w14:paraId="5EE6196D" w14:textId="77777777" w:rsidR="002077B0" w:rsidRPr="007944F8" w:rsidRDefault="002077B0" w:rsidP="00E418EE">
      <w:pPr>
        <w:widowControl w:val="0"/>
        <w:numPr>
          <w:ilvl w:val="0"/>
          <w:numId w:val="51"/>
        </w:numPr>
        <w:spacing w:line="240" w:lineRule="auto"/>
        <w:ind w:left="567" w:right="566" w:hanging="567"/>
      </w:pPr>
      <w:r w:rsidRPr="007944F8">
        <w:t xml:space="preserve">Rappeler aux patients </w:t>
      </w:r>
      <w:r w:rsidR="007F7D7A" w:rsidRPr="007944F8">
        <w:t xml:space="preserve">de ne pas </w:t>
      </w:r>
      <w:r w:rsidRPr="007944F8">
        <w:t>donner leur sang durant leur traitement par Odomzo et pendant au moins 20</w:t>
      </w:r>
      <w:r w:rsidR="00762D72" w:rsidRPr="007944F8">
        <w:t> </w:t>
      </w:r>
      <w:r w:rsidRPr="007944F8">
        <w:t>mois après la dernière prise</w:t>
      </w:r>
    </w:p>
    <w:p w14:paraId="3C6A58BE" w14:textId="77777777" w:rsidR="002077B0" w:rsidRPr="007944F8" w:rsidRDefault="002077B0" w:rsidP="002077B0">
      <w:pPr>
        <w:widowControl w:val="0"/>
        <w:spacing w:line="240" w:lineRule="auto"/>
        <w:ind w:right="566"/>
      </w:pPr>
    </w:p>
    <w:p w14:paraId="56DB4B50" w14:textId="77777777" w:rsidR="002077B0" w:rsidRPr="007944F8" w:rsidRDefault="002077B0" w:rsidP="00E418EE">
      <w:pPr>
        <w:keepNext/>
        <w:widowControl w:val="0"/>
        <w:spacing w:line="240" w:lineRule="auto"/>
        <w:ind w:right="567"/>
      </w:pPr>
      <w:r w:rsidRPr="007944F8">
        <w:t>L’aide-mémoire destiné aux patients doit contenir les éléments clés suivants :</w:t>
      </w:r>
    </w:p>
    <w:p w14:paraId="35E5112F" w14:textId="77777777" w:rsidR="002077B0" w:rsidRPr="007944F8" w:rsidRDefault="007F7D7A" w:rsidP="00E418EE">
      <w:pPr>
        <w:numPr>
          <w:ilvl w:val="0"/>
          <w:numId w:val="52"/>
        </w:numPr>
        <w:ind w:left="567" w:hanging="567"/>
      </w:pPr>
      <w:r w:rsidRPr="007944F8">
        <w:t>I</w:t>
      </w:r>
      <w:r w:rsidR="002077B0" w:rsidRPr="007944F8">
        <w:t xml:space="preserve">nformations </w:t>
      </w:r>
      <w:r w:rsidRPr="007944F8">
        <w:t>aux</w:t>
      </w:r>
      <w:r w:rsidR="002077B0" w:rsidRPr="007944F8">
        <w:t xml:space="preserve"> patients </w:t>
      </w:r>
      <w:r w:rsidRPr="007944F8">
        <w:t>sur les</w:t>
      </w:r>
      <w:r w:rsidR="002077B0" w:rsidRPr="007944F8">
        <w:t xml:space="preserve"> risques de tératogénicité associés à Odomzo </w:t>
      </w:r>
      <w:r w:rsidRPr="007944F8">
        <w:t>et sur</w:t>
      </w:r>
      <w:r w:rsidR="002077B0" w:rsidRPr="007944F8">
        <w:t xml:space="preserve"> la nécessité d’éviter toute exposition fœtale</w:t>
      </w:r>
    </w:p>
    <w:p w14:paraId="2FD0F8BD" w14:textId="77777777" w:rsidR="002077B0" w:rsidRPr="007944F8" w:rsidRDefault="002077B0" w:rsidP="00E418EE">
      <w:pPr>
        <w:widowControl w:val="0"/>
        <w:numPr>
          <w:ilvl w:val="0"/>
          <w:numId w:val="52"/>
        </w:numPr>
        <w:spacing w:line="240" w:lineRule="auto"/>
        <w:ind w:left="567" w:right="566" w:hanging="567"/>
      </w:pPr>
      <w:r w:rsidRPr="007944F8">
        <w:t xml:space="preserve">Ne pas donner son sang durant </w:t>
      </w:r>
      <w:r w:rsidR="00EE6AE3" w:rsidRPr="007944F8">
        <w:t>le</w:t>
      </w:r>
      <w:r w:rsidRPr="007944F8">
        <w:t xml:space="preserve"> traitement et pendant au moins 20</w:t>
      </w:r>
      <w:r w:rsidR="00043CA9" w:rsidRPr="007944F8">
        <w:t> </w:t>
      </w:r>
      <w:r w:rsidRPr="007944F8">
        <w:t>mois après la dernière prise</w:t>
      </w:r>
    </w:p>
    <w:p w14:paraId="7EE33B21" w14:textId="77777777" w:rsidR="002077B0" w:rsidRPr="007944F8" w:rsidRDefault="00037109" w:rsidP="00E418EE">
      <w:pPr>
        <w:widowControl w:val="0"/>
        <w:numPr>
          <w:ilvl w:val="0"/>
          <w:numId w:val="52"/>
        </w:numPr>
        <w:spacing w:line="240" w:lineRule="auto"/>
        <w:ind w:left="567" w:right="566" w:hanging="567"/>
      </w:pPr>
      <w:r w:rsidRPr="007944F8">
        <w:t>I</w:t>
      </w:r>
      <w:r w:rsidR="00EE6AE3" w:rsidRPr="007944F8">
        <w:t xml:space="preserve">nformations </w:t>
      </w:r>
      <w:r w:rsidRPr="007944F8">
        <w:t>destinées aux</w:t>
      </w:r>
      <w:r w:rsidR="00EE6AE3" w:rsidRPr="007944F8">
        <w:t xml:space="preserve"> femmes en âge d’avoir des enfants</w:t>
      </w:r>
    </w:p>
    <w:p w14:paraId="6E606456" w14:textId="77777777" w:rsidR="00EE6AE3" w:rsidRPr="007944F8" w:rsidRDefault="00037109" w:rsidP="00E418EE">
      <w:pPr>
        <w:widowControl w:val="0"/>
        <w:numPr>
          <w:ilvl w:val="0"/>
          <w:numId w:val="52"/>
        </w:numPr>
        <w:spacing w:line="240" w:lineRule="auto"/>
        <w:ind w:left="567" w:right="566" w:hanging="567"/>
      </w:pPr>
      <w:r w:rsidRPr="007944F8">
        <w:t>I</w:t>
      </w:r>
      <w:r w:rsidR="00EE6AE3" w:rsidRPr="007944F8">
        <w:t xml:space="preserve">nformations </w:t>
      </w:r>
      <w:r w:rsidRPr="007944F8">
        <w:t xml:space="preserve">destinées aux </w:t>
      </w:r>
      <w:r w:rsidR="00EE6AE3" w:rsidRPr="007944F8">
        <w:t>hommes</w:t>
      </w:r>
    </w:p>
    <w:p w14:paraId="02F6211F" w14:textId="77777777" w:rsidR="00EE6AE3" w:rsidRPr="007944F8" w:rsidRDefault="00EE6AE3" w:rsidP="00E418EE">
      <w:pPr>
        <w:widowControl w:val="0"/>
        <w:numPr>
          <w:ilvl w:val="0"/>
          <w:numId w:val="52"/>
        </w:numPr>
        <w:spacing w:line="240" w:lineRule="auto"/>
        <w:ind w:left="567" w:right="566" w:hanging="567"/>
      </w:pPr>
      <w:r w:rsidRPr="007944F8">
        <w:t>Rapporter les gélules non utilisées à la fin du traitement (</w:t>
      </w:r>
      <w:r w:rsidR="00037109" w:rsidRPr="007944F8">
        <w:t>l’élimination</w:t>
      </w:r>
      <w:r w:rsidRPr="007944F8">
        <w:t xml:space="preserve"> dépendra des exigences locales)</w:t>
      </w:r>
    </w:p>
    <w:p w14:paraId="376148B3" w14:textId="77777777" w:rsidR="00EE6AE3" w:rsidRPr="007944F8" w:rsidRDefault="00037109" w:rsidP="00E418EE">
      <w:pPr>
        <w:widowControl w:val="0"/>
        <w:numPr>
          <w:ilvl w:val="0"/>
          <w:numId w:val="52"/>
        </w:numPr>
        <w:spacing w:line="240" w:lineRule="auto"/>
        <w:ind w:left="567" w:right="566" w:hanging="567"/>
      </w:pPr>
      <w:r w:rsidRPr="007944F8">
        <w:t>N</w:t>
      </w:r>
      <w:r w:rsidR="00EE6AE3" w:rsidRPr="007944F8">
        <w:t>uméros de téléphone des contacts en cas d'urgence</w:t>
      </w:r>
    </w:p>
    <w:p w14:paraId="2A2EDBD7" w14:textId="77777777" w:rsidR="000B2638" w:rsidRPr="007944F8" w:rsidRDefault="000B2638" w:rsidP="000B2638">
      <w:pPr>
        <w:widowControl w:val="0"/>
        <w:spacing w:line="240" w:lineRule="auto"/>
        <w:ind w:right="566"/>
      </w:pPr>
    </w:p>
    <w:p w14:paraId="62B4854B" w14:textId="77777777" w:rsidR="00ED220C" w:rsidRPr="007944F8" w:rsidRDefault="00ED220C" w:rsidP="00ED220C">
      <w:pPr>
        <w:widowControl w:val="0"/>
        <w:tabs>
          <w:tab w:val="clear" w:pos="567"/>
        </w:tabs>
        <w:autoSpaceDE w:val="0"/>
        <w:autoSpaceDN w:val="0"/>
        <w:adjustRightInd w:val="0"/>
        <w:spacing w:line="240" w:lineRule="auto"/>
        <w:rPr>
          <w:color w:val="000000"/>
          <w:szCs w:val="22"/>
        </w:rPr>
      </w:pPr>
    </w:p>
    <w:p w14:paraId="426A854F" w14:textId="77777777" w:rsidR="00651B15" w:rsidRPr="007944F8" w:rsidRDefault="00651B15" w:rsidP="00651B15">
      <w:pPr>
        <w:widowControl w:val="0"/>
        <w:spacing w:line="240" w:lineRule="auto"/>
        <w:ind w:right="566"/>
      </w:pPr>
    </w:p>
    <w:p w14:paraId="0B88F33B" w14:textId="77777777" w:rsidR="00D74198" w:rsidRPr="007944F8" w:rsidRDefault="006C76A2" w:rsidP="00E93E8B">
      <w:pPr>
        <w:widowControl w:val="0"/>
        <w:spacing w:line="240" w:lineRule="auto"/>
        <w:ind w:right="566"/>
        <w:rPr>
          <w:noProof/>
          <w:szCs w:val="22"/>
        </w:rPr>
      </w:pPr>
      <w:r w:rsidRPr="007944F8">
        <w:br w:type="page"/>
      </w:r>
    </w:p>
    <w:p w14:paraId="1FE7D582" w14:textId="77777777" w:rsidR="00D74198" w:rsidRPr="007944F8" w:rsidRDefault="00D74198" w:rsidP="00E93E8B">
      <w:pPr>
        <w:widowControl w:val="0"/>
        <w:spacing w:line="240" w:lineRule="auto"/>
        <w:rPr>
          <w:noProof/>
          <w:szCs w:val="22"/>
        </w:rPr>
      </w:pPr>
    </w:p>
    <w:p w14:paraId="1BF6A31C" w14:textId="77777777" w:rsidR="00D74198" w:rsidRPr="007944F8" w:rsidRDefault="00D74198" w:rsidP="00E93E8B">
      <w:pPr>
        <w:widowControl w:val="0"/>
        <w:spacing w:line="240" w:lineRule="auto"/>
        <w:rPr>
          <w:noProof/>
          <w:szCs w:val="22"/>
        </w:rPr>
      </w:pPr>
    </w:p>
    <w:p w14:paraId="5FDC3C91" w14:textId="77777777" w:rsidR="00D74198" w:rsidRPr="007944F8" w:rsidRDefault="00D74198" w:rsidP="00E93E8B">
      <w:pPr>
        <w:widowControl w:val="0"/>
        <w:spacing w:line="240" w:lineRule="auto"/>
        <w:rPr>
          <w:noProof/>
          <w:szCs w:val="22"/>
        </w:rPr>
      </w:pPr>
    </w:p>
    <w:p w14:paraId="1F0C66E3" w14:textId="77777777" w:rsidR="00D74198" w:rsidRPr="007944F8" w:rsidRDefault="00D74198" w:rsidP="00E93E8B">
      <w:pPr>
        <w:widowControl w:val="0"/>
        <w:spacing w:line="240" w:lineRule="auto"/>
        <w:rPr>
          <w:noProof/>
          <w:szCs w:val="22"/>
        </w:rPr>
      </w:pPr>
    </w:p>
    <w:p w14:paraId="39D3CEA2" w14:textId="77777777" w:rsidR="00D74198" w:rsidRPr="007944F8" w:rsidRDefault="00D74198" w:rsidP="00E93E8B">
      <w:pPr>
        <w:widowControl w:val="0"/>
        <w:spacing w:line="240" w:lineRule="auto"/>
      </w:pPr>
    </w:p>
    <w:p w14:paraId="0DAAF139" w14:textId="77777777" w:rsidR="00D74198" w:rsidRPr="007944F8" w:rsidRDefault="00D74198" w:rsidP="00E93E8B">
      <w:pPr>
        <w:widowControl w:val="0"/>
        <w:spacing w:line="240" w:lineRule="auto"/>
      </w:pPr>
    </w:p>
    <w:p w14:paraId="71F4DF69" w14:textId="77777777" w:rsidR="00D74198" w:rsidRPr="007944F8" w:rsidRDefault="00D74198" w:rsidP="00E93E8B">
      <w:pPr>
        <w:widowControl w:val="0"/>
        <w:spacing w:line="240" w:lineRule="auto"/>
      </w:pPr>
    </w:p>
    <w:p w14:paraId="5A2BB8D4" w14:textId="77777777" w:rsidR="00D74198" w:rsidRPr="007944F8" w:rsidRDefault="00D74198" w:rsidP="00E93E8B">
      <w:pPr>
        <w:widowControl w:val="0"/>
        <w:spacing w:line="240" w:lineRule="auto"/>
      </w:pPr>
    </w:p>
    <w:p w14:paraId="5A5E7641" w14:textId="77777777" w:rsidR="00D74198" w:rsidRPr="007944F8" w:rsidRDefault="00D74198" w:rsidP="00E93E8B">
      <w:pPr>
        <w:widowControl w:val="0"/>
        <w:spacing w:line="240" w:lineRule="auto"/>
      </w:pPr>
    </w:p>
    <w:p w14:paraId="74EB8243" w14:textId="77777777" w:rsidR="00D74198" w:rsidRPr="007944F8" w:rsidRDefault="00D74198" w:rsidP="00E93E8B">
      <w:pPr>
        <w:widowControl w:val="0"/>
        <w:spacing w:line="240" w:lineRule="auto"/>
        <w:rPr>
          <w:noProof/>
          <w:szCs w:val="22"/>
        </w:rPr>
      </w:pPr>
    </w:p>
    <w:p w14:paraId="09F13EB4" w14:textId="77777777" w:rsidR="00D74198" w:rsidRPr="007944F8" w:rsidRDefault="00D74198" w:rsidP="00E93E8B">
      <w:pPr>
        <w:widowControl w:val="0"/>
        <w:spacing w:line="240" w:lineRule="auto"/>
        <w:rPr>
          <w:noProof/>
          <w:szCs w:val="22"/>
        </w:rPr>
      </w:pPr>
    </w:p>
    <w:p w14:paraId="06FF2456" w14:textId="77777777" w:rsidR="00D74198" w:rsidRPr="007944F8" w:rsidRDefault="00D74198" w:rsidP="00E93E8B">
      <w:pPr>
        <w:widowControl w:val="0"/>
        <w:spacing w:line="240" w:lineRule="auto"/>
        <w:rPr>
          <w:noProof/>
          <w:szCs w:val="22"/>
        </w:rPr>
      </w:pPr>
    </w:p>
    <w:p w14:paraId="0521996A" w14:textId="77777777" w:rsidR="00D74198" w:rsidRPr="007944F8" w:rsidRDefault="00D74198" w:rsidP="00E93E8B">
      <w:pPr>
        <w:widowControl w:val="0"/>
        <w:spacing w:line="240" w:lineRule="auto"/>
        <w:rPr>
          <w:noProof/>
          <w:szCs w:val="22"/>
        </w:rPr>
      </w:pPr>
    </w:p>
    <w:p w14:paraId="75072463" w14:textId="77777777" w:rsidR="00D74198" w:rsidRPr="007944F8" w:rsidRDefault="00D74198" w:rsidP="00E93E8B">
      <w:pPr>
        <w:widowControl w:val="0"/>
        <w:spacing w:line="240" w:lineRule="auto"/>
        <w:rPr>
          <w:noProof/>
          <w:szCs w:val="22"/>
        </w:rPr>
      </w:pPr>
    </w:p>
    <w:p w14:paraId="2E0BE29A" w14:textId="77777777" w:rsidR="00D74198" w:rsidRPr="007944F8" w:rsidRDefault="00D74198" w:rsidP="00E93E8B">
      <w:pPr>
        <w:widowControl w:val="0"/>
        <w:spacing w:line="240" w:lineRule="auto"/>
        <w:rPr>
          <w:noProof/>
          <w:szCs w:val="22"/>
        </w:rPr>
      </w:pPr>
    </w:p>
    <w:p w14:paraId="1900F282" w14:textId="77777777" w:rsidR="00D74198" w:rsidRPr="007944F8" w:rsidRDefault="00D74198" w:rsidP="00E93E8B">
      <w:pPr>
        <w:widowControl w:val="0"/>
        <w:spacing w:line="240" w:lineRule="auto"/>
        <w:rPr>
          <w:noProof/>
          <w:szCs w:val="22"/>
        </w:rPr>
      </w:pPr>
    </w:p>
    <w:p w14:paraId="5464206B" w14:textId="77777777" w:rsidR="00D74198" w:rsidRPr="007944F8" w:rsidRDefault="00D74198" w:rsidP="00E93E8B">
      <w:pPr>
        <w:widowControl w:val="0"/>
        <w:rPr>
          <w:noProof/>
        </w:rPr>
      </w:pPr>
    </w:p>
    <w:p w14:paraId="203C95BF" w14:textId="77777777" w:rsidR="00D74198" w:rsidRPr="007944F8" w:rsidRDefault="00D74198" w:rsidP="00E93E8B">
      <w:pPr>
        <w:widowControl w:val="0"/>
        <w:rPr>
          <w:noProof/>
        </w:rPr>
      </w:pPr>
    </w:p>
    <w:p w14:paraId="4F4970F1" w14:textId="77777777" w:rsidR="00D74198" w:rsidRPr="007944F8" w:rsidRDefault="00D74198" w:rsidP="00E93E8B">
      <w:pPr>
        <w:widowControl w:val="0"/>
        <w:rPr>
          <w:noProof/>
        </w:rPr>
      </w:pPr>
    </w:p>
    <w:p w14:paraId="4F7E9C00" w14:textId="77777777" w:rsidR="00D74198" w:rsidRPr="007944F8" w:rsidRDefault="00D74198" w:rsidP="00E93E8B">
      <w:pPr>
        <w:widowControl w:val="0"/>
        <w:rPr>
          <w:noProof/>
        </w:rPr>
      </w:pPr>
    </w:p>
    <w:p w14:paraId="47338CA8" w14:textId="77777777" w:rsidR="00D74198" w:rsidRPr="007944F8" w:rsidRDefault="00D74198" w:rsidP="00E93E8B">
      <w:pPr>
        <w:widowControl w:val="0"/>
        <w:rPr>
          <w:noProof/>
        </w:rPr>
      </w:pPr>
    </w:p>
    <w:p w14:paraId="1FA7EF03" w14:textId="77777777" w:rsidR="00D74198" w:rsidRPr="007944F8" w:rsidRDefault="00D74198" w:rsidP="00E93E8B">
      <w:pPr>
        <w:widowControl w:val="0"/>
        <w:rPr>
          <w:noProof/>
        </w:rPr>
      </w:pPr>
    </w:p>
    <w:p w14:paraId="088901BD" w14:textId="77777777" w:rsidR="00D74198" w:rsidRPr="007944F8" w:rsidRDefault="00D74198" w:rsidP="00BE7F7C">
      <w:pPr>
        <w:widowControl w:val="0"/>
        <w:jc w:val="center"/>
        <w:outlineLvl w:val="0"/>
        <w:rPr>
          <w:b/>
          <w:noProof/>
        </w:rPr>
      </w:pPr>
      <w:r w:rsidRPr="007944F8">
        <w:rPr>
          <w:b/>
          <w:noProof/>
        </w:rPr>
        <w:t>ANNEXE</w:t>
      </w:r>
      <w:r w:rsidR="00697034" w:rsidRPr="007944F8">
        <w:rPr>
          <w:b/>
          <w:noProof/>
        </w:rPr>
        <w:t> </w:t>
      </w:r>
      <w:r w:rsidRPr="007944F8">
        <w:rPr>
          <w:b/>
          <w:noProof/>
        </w:rPr>
        <w:t>III</w:t>
      </w:r>
    </w:p>
    <w:p w14:paraId="0B145341" w14:textId="77777777" w:rsidR="00D74198" w:rsidRPr="007944F8" w:rsidRDefault="00D74198" w:rsidP="00E93E8B">
      <w:pPr>
        <w:widowControl w:val="0"/>
        <w:jc w:val="center"/>
        <w:rPr>
          <w:b/>
          <w:noProof/>
        </w:rPr>
      </w:pPr>
    </w:p>
    <w:p w14:paraId="25CAA2CE" w14:textId="77777777" w:rsidR="00D74198" w:rsidRPr="007944F8" w:rsidRDefault="00D74198" w:rsidP="00BE7F7C">
      <w:pPr>
        <w:widowControl w:val="0"/>
        <w:jc w:val="center"/>
        <w:outlineLvl w:val="0"/>
        <w:rPr>
          <w:b/>
          <w:noProof/>
        </w:rPr>
      </w:pPr>
      <w:r w:rsidRPr="007944F8">
        <w:rPr>
          <w:b/>
          <w:noProof/>
        </w:rPr>
        <w:t>ÉTIQUETAGE ET NOTICE</w:t>
      </w:r>
    </w:p>
    <w:p w14:paraId="69D48988" w14:textId="77777777" w:rsidR="00D74198" w:rsidRPr="007944F8" w:rsidRDefault="00D74198" w:rsidP="00E93E8B">
      <w:pPr>
        <w:widowControl w:val="0"/>
        <w:rPr>
          <w:noProof/>
        </w:rPr>
      </w:pPr>
      <w:r w:rsidRPr="007944F8">
        <w:br w:type="page"/>
      </w:r>
    </w:p>
    <w:p w14:paraId="19AD184D" w14:textId="77777777" w:rsidR="00D74198" w:rsidRPr="007944F8" w:rsidRDefault="00D74198" w:rsidP="00E93E8B">
      <w:pPr>
        <w:widowControl w:val="0"/>
        <w:rPr>
          <w:noProof/>
        </w:rPr>
      </w:pPr>
    </w:p>
    <w:p w14:paraId="2089F90C" w14:textId="77777777" w:rsidR="00D74198" w:rsidRPr="007944F8" w:rsidRDefault="00D74198" w:rsidP="00E93E8B">
      <w:pPr>
        <w:widowControl w:val="0"/>
        <w:rPr>
          <w:noProof/>
        </w:rPr>
      </w:pPr>
    </w:p>
    <w:p w14:paraId="6824083D" w14:textId="77777777" w:rsidR="00D74198" w:rsidRPr="007944F8" w:rsidRDefault="00D74198" w:rsidP="00E93E8B">
      <w:pPr>
        <w:widowControl w:val="0"/>
        <w:rPr>
          <w:noProof/>
        </w:rPr>
      </w:pPr>
    </w:p>
    <w:p w14:paraId="495D05EB" w14:textId="77777777" w:rsidR="00D74198" w:rsidRPr="007944F8" w:rsidRDefault="00D74198" w:rsidP="00E93E8B">
      <w:pPr>
        <w:widowControl w:val="0"/>
        <w:rPr>
          <w:noProof/>
        </w:rPr>
      </w:pPr>
    </w:p>
    <w:p w14:paraId="10B8E895" w14:textId="77777777" w:rsidR="00D74198" w:rsidRPr="007944F8" w:rsidRDefault="00D74198" w:rsidP="00E93E8B">
      <w:pPr>
        <w:widowControl w:val="0"/>
        <w:rPr>
          <w:noProof/>
        </w:rPr>
      </w:pPr>
    </w:p>
    <w:p w14:paraId="20BF584C" w14:textId="77777777" w:rsidR="00D74198" w:rsidRPr="007944F8" w:rsidRDefault="00D74198" w:rsidP="00E93E8B">
      <w:pPr>
        <w:widowControl w:val="0"/>
        <w:rPr>
          <w:noProof/>
        </w:rPr>
      </w:pPr>
    </w:p>
    <w:p w14:paraId="67AB2FFA" w14:textId="77777777" w:rsidR="00D74198" w:rsidRPr="007944F8" w:rsidRDefault="00D74198" w:rsidP="00E93E8B">
      <w:pPr>
        <w:widowControl w:val="0"/>
        <w:rPr>
          <w:noProof/>
        </w:rPr>
      </w:pPr>
    </w:p>
    <w:p w14:paraId="2D5C77E4" w14:textId="77777777" w:rsidR="00D74198" w:rsidRPr="007944F8" w:rsidRDefault="00D74198" w:rsidP="00E93E8B">
      <w:pPr>
        <w:widowControl w:val="0"/>
        <w:rPr>
          <w:noProof/>
        </w:rPr>
      </w:pPr>
    </w:p>
    <w:p w14:paraId="4F703926" w14:textId="77777777" w:rsidR="00D74198" w:rsidRPr="007944F8" w:rsidRDefault="00D74198" w:rsidP="00E93E8B">
      <w:pPr>
        <w:widowControl w:val="0"/>
        <w:rPr>
          <w:noProof/>
        </w:rPr>
      </w:pPr>
    </w:p>
    <w:p w14:paraId="1F4D400C" w14:textId="77777777" w:rsidR="00D74198" w:rsidRPr="007944F8" w:rsidRDefault="00D74198" w:rsidP="00E93E8B">
      <w:pPr>
        <w:widowControl w:val="0"/>
        <w:rPr>
          <w:noProof/>
        </w:rPr>
      </w:pPr>
    </w:p>
    <w:p w14:paraId="719ECCA5" w14:textId="77777777" w:rsidR="00D74198" w:rsidRPr="007944F8" w:rsidRDefault="00D74198" w:rsidP="00E93E8B">
      <w:pPr>
        <w:widowControl w:val="0"/>
        <w:rPr>
          <w:noProof/>
        </w:rPr>
      </w:pPr>
    </w:p>
    <w:p w14:paraId="741DD04C" w14:textId="77777777" w:rsidR="00D74198" w:rsidRPr="007944F8" w:rsidRDefault="00D74198" w:rsidP="00E93E8B">
      <w:pPr>
        <w:widowControl w:val="0"/>
        <w:rPr>
          <w:noProof/>
        </w:rPr>
      </w:pPr>
    </w:p>
    <w:p w14:paraId="36CCE547" w14:textId="77777777" w:rsidR="00D74198" w:rsidRPr="007944F8" w:rsidRDefault="00D74198" w:rsidP="00E93E8B">
      <w:pPr>
        <w:widowControl w:val="0"/>
        <w:rPr>
          <w:noProof/>
        </w:rPr>
      </w:pPr>
    </w:p>
    <w:p w14:paraId="6D849D65" w14:textId="77777777" w:rsidR="00D74198" w:rsidRPr="007944F8" w:rsidRDefault="00D74198" w:rsidP="00E93E8B">
      <w:pPr>
        <w:widowControl w:val="0"/>
        <w:rPr>
          <w:noProof/>
        </w:rPr>
      </w:pPr>
    </w:p>
    <w:p w14:paraId="13972C45" w14:textId="77777777" w:rsidR="00D74198" w:rsidRPr="007944F8" w:rsidRDefault="00D74198" w:rsidP="00E93E8B">
      <w:pPr>
        <w:widowControl w:val="0"/>
        <w:rPr>
          <w:noProof/>
        </w:rPr>
      </w:pPr>
    </w:p>
    <w:p w14:paraId="298A2138" w14:textId="77777777" w:rsidR="00D74198" w:rsidRPr="007944F8" w:rsidRDefault="00D74198" w:rsidP="00E93E8B">
      <w:pPr>
        <w:widowControl w:val="0"/>
        <w:rPr>
          <w:noProof/>
        </w:rPr>
      </w:pPr>
    </w:p>
    <w:p w14:paraId="33292621" w14:textId="77777777" w:rsidR="00D74198" w:rsidRPr="007944F8" w:rsidRDefault="00D74198" w:rsidP="00E93E8B">
      <w:pPr>
        <w:widowControl w:val="0"/>
        <w:rPr>
          <w:noProof/>
        </w:rPr>
      </w:pPr>
    </w:p>
    <w:p w14:paraId="4CA89016" w14:textId="77777777" w:rsidR="00D74198" w:rsidRPr="007944F8" w:rsidRDefault="00D74198" w:rsidP="00E93E8B">
      <w:pPr>
        <w:widowControl w:val="0"/>
        <w:rPr>
          <w:noProof/>
        </w:rPr>
      </w:pPr>
    </w:p>
    <w:p w14:paraId="79AC7C7F" w14:textId="77777777" w:rsidR="00D74198" w:rsidRPr="007944F8" w:rsidRDefault="00D74198" w:rsidP="00E93E8B">
      <w:pPr>
        <w:widowControl w:val="0"/>
        <w:rPr>
          <w:noProof/>
        </w:rPr>
      </w:pPr>
    </w:p>
    <w:p w14:paraId="6931128A" w14:textId="77777777" w:rsidR="00D74198" w:rsidRPr="007944F8" w:rsidRDefault="00D74198" w:rsidP="00E93E8B">
      <w:pPr>
        <w:widowControl w:val="0"/>
        <w:rPr>
          <w:noProof/>
        </w:rPr>
      </w:pPr>
    </w:p>
    <w:p w14:paraId="1AA12275" w14:textId="77777777" w:rsidR="00D74198" w:rsidRPr="007944F8" w:rsidRDefault="00D74198" w:rsidP="00E93E8B">
      <w:pPr>
        <w:widowControl w:val="0"/>
        <w:rPr>
          <w:noProof/>
        </w:rPr>
      </w:pPr>
    </w:p>
    <w:p w14:paraId="32B3B2AE" w14:textId="77777777" w:rsidR="00D74198" w:rsidRPr="007944F8" w:rsidRDefault="00D74198" w:rsidP="00E93E8B">
      <w:pPr>
        <w:widowControl w:val="0"/>
        <w:rPr>
          <w:noProof/>
        </w:rPr>
      </w:pPr>
    </w:p>
    <w:p w14:paraId="32DA7E53" w14:textId="77777777" w:rsidR="00D74198" w:rsidRPr="007944F8" w:rsidRDefault="00D74198" w:rsidP="0017061D">
      <w:pPr>
        <w:pStyle w:val="TitleEMA1"/>
      </w:pPr>
      <w:r w:rsidRPr="007944F8">
        <w:t>A. ÉTIQUETAGE</w:t>
      </w:r>
    </w:p>
    <w:p w14:paraId="032D0A13" w14:textId="77777777" w:rsidR="00D74198" w:rsidRPr="007944F8" w:rsidRDefault="00D74198" w:rsidP="00E93E8B">
      <w:pPr>
        <w:widowControl w:val="0"/>
        <w:shd w:val="clear" w:color="auto" w:fill="FFFFFF"/>
        <w:spacing w:line="240" w:lineRule="auto"/>
        <w:rPr>
          <w:noProof/>
          <w:szCs w:val="22"/>
        </w:rPr>
      </w:pPr>
      <w:r w:rsidRPr="007944F8">
        <w:br w:type="page"/>
      </w:r>
    </w:p>
    <w:p w14:paraId="71E83F29" w14:textId="77777777" w:rsidR="00D74198" w:rsidRPr="007944F8" w:rsidRDefault="00D74198" w:rsidP="00BE7F7C">
      <w:pPr>
        <w:widowControl w:val="0"/>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7944F8">
        <w:rPr>
          <w:b/>
          <w:noProof/>
        </w:rPr>
        <w:t>MENTIONS DEVANT FIGURER SUR L’EMBALLAGE EXTÉRIEUR</w:t>
      </w:r>
    </w:p>
    <w:p w14:paraId="75CBF3F1" w14:textId="77777777" w:rsidR="00D74198" w:rsidRPr="007944F8" w:rsidRDefault="00D74198" w:rsidP="00E93E8B">
      <w:pPr>
        <w:widowControl w:val="0"/>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2C5A529F" w14:textId="77777777" w:rsidR="00D74198" w:rsidRPr="007944F8" w:rsidRDefault="002B4F2F" w:rsidP="00BE7F7C">
      <w:pPr>
        <w:widowControl w:val="0"/>
        <w:pBdr>
          <w:top w:val="single" w:sz="4" w:space="1" w:color="auto"/>
          <w:left w:val="single" w:sz="4" w:space="4" w:color="auto"/>
          <w:bottom w:val="single" w:sz="4" w:space="1" w:color="auto"/>
          <w:right w:val="single" w:sz="4" w:space="4" w:color="auto"/>
        </w:pBdr>
        <w:spacing w:line="240" w:lineRule="auto"/>
        <w:outlineLvl w:val="0"/>
        <w:rPr>
          <w:bCs/>
          <w:noProof/>
          <w:szCs w:val="22"/>
        </w:rPr>
      </w:pPr>
      <w:r w:rsidRPr="007944F8">
        <w:rPr>
          <w:b/>
          <w:noProof/>
        </w:rPr>
        <w:t xml:space="preserve">EMBALLAGE </w:t>
      </w:r>
      <w:r w:rsidR="00D74198" w:rsidRPr="007944F8">
        <w:rPr>
          <w:b/>
          <w:noProof/>
        </w:rPr>
        <w:t>EXTÉRIEUR</w:t>
      </w:r>
    </w:p>
    <w:p w14:paraId="20207129" w14:textId="77777777" w:rsidR="00D74198" w:rsidRPr="007944F8" w:rsidRDefault="00D74198" w:rsidP="00E93E8B">
      <w:pPr>
        <w:widowControl w:val="0"/>
        <w:spacing w:line="240" w:lineRule="auto"/>
      </w:pPr>
    </w:p>
    <w:p w14:paraId="17A1EBBE" w14:textId="77777777" w:rsidR="00D74198" w:rsidRPr="007944F8" w:rsidRDefault="00D74198" w:rsidP="00E93E8B">
      <w:pPr>
        <w:widowControl w:val="0"/>
        <w:spacing w:line="240" w:lineRule="auto"/>
        <w:rPr>
          <w:noProof/>
          <w:szCs w:val="22"/>
        </w:rPr>
      </w:pPr>
    </w:p>
    <w:p w14:paraId="39DD9431" w14:textId="77777777" w:rsidR="00D74198" w:rsidRPr="007944F8" w:rsidRDefault="00D74198" w:rsidP="00E93E8B">
      <w:pPr>
        <w:keepNext/>
        <w:widowControl w:val="0"/>
        <w:pBdr>
          <w:top w:val="single" w:sz="4" w:space="1" w:color="auto"/>
          <w:left w:val="single" w:sz="4" w:space="4" w:color="auto"/>
          <w:bottom w:val="single" w:sz="4" w:space="1" w:color="auto"/>
          <w:right w:val="single" w:sz="4" w:space="4" w:color="auto"/>
        </w:pBdr>
        <w:spacing w:line="240" w:lineRule="auto"/>
        <w:rPr>
          <w:b/>
          <w:noProof/>
          <w:szCs w:val="22"/>
        </w:rPr>
      </w:pPr>
      <w:r w:rsidRPr="007944F8">
        <w:rPr>
          <w:b/>
          <w:noProof/>
        </w:rPr>
        <w:t>1.</w:t>
      </w:r>
      <w:r w:rsidRPr="007944F8">
        <w:tab/>
      </w:r>
      <w:r w:rsidRPr="007944F8">
        <w:rPr>
          <w:b/>
          <w:noProof/>
        </w:rPr>
        <w:t>DÉNOMINATION DU MÉDICAMENT</w:t>
      </w:r>
    </w:p>
    <w:p w14:paraId="048AF02D" w14:textId="77777777" w:rsidR="00D74198" w:rsidRPr="007944F8" w:rsidRDefault="00D74198" w:rsidP="00E93E8B">
      <w:pPr>
        <w:keepNext/>
        <w:widowControl w:val="0"/>
        <w:spacing w:line="240" w:lineRule="auto"/>
        <w:rPr>
          <w:noProof/>
          <w:szCs w:val="22"/>
        </w:rPr>
      </w:pPr>
    </w:p>
    <w:p w14:paraId="612C8FB0" w14:textId="77777777" w:rsidR="00D74198" w:rsidRPr="007944F8" w:rsidRDefault="00D74198" w:rsidP="00BE7F7C">
      <w:pPr>
        <w:keepNext/>
        <w:widowControl w:val="0"/>
        <w:spacing w:line="240" w:lineRule="auto"/>
        <w:outlineLvl w:val="0"/>
        <w:rPr>
          <w:noProof/>
          <w:szCs w:val="22"/>
        </w:rPr>
      </w:pPr>
      <w:r w:rsidRPr="007944F8">
        <w:t>Odomzo 200 mg gélule</w:t>
      </w:r>
      <w:r w:rsidR="00D8372F" w:rsidRPr="007944F8">
        <w:t>s</w:t>
      </w:r>
    </w:p>
    <w:p w14:paraId="05914CA0" w14:textId="77777777" w:rsidR="00D74198" w:rsidRPr="007944F8" w:rsidRDefault="00962FCB" w:rsidP="00E93E8B">
      <w:pPr>
        <w:widowControl w:val="0"/>
        <w:spacing w:line="240" w:lineRule="auto"/>
        <w:rPr>
          <w:b/>
          <w:szCs w:val="22"/>
        </w:rPr>
      </w:pPr>
      <w:r>
        <w:t>s</w:t>
      </w:r>
      <w:r w:rsidR="00D74198" w:rsidRPr="007944F8">
        <w:t>onidégib</w:t>
      </w:r>
    </w:p>
    <w:p w14:paraId="32354901" w14:textId="77777777" w:rsidR="00D74198" w:rsidRPr="007944F8" w:rsidRDefault="00D74198" w:rsidP="00E93E8B">
      <w:pPr>
        <w:widowControl w:val="0"/>
        <w:spacing w:line="240" w:lineRule="auto"/>
        <w:rPr>
          <w:noProof/>
          <w:szCs w:val="22"/>
        </w:rPr>
      </w:pPr>
    </w:p>
    <w:p w14:paraId="413E6BA7" w14:textId="77777777" w:rsidR="00D74198" w:rsidRPr="007944F8" w:rsidRDefault="00D74198" w:rsidP="00E93E8B">
      <w:pPr>
        <w:widowControl w:val="0"/>
        <w:spacing w:line="240" w:lineRule="auto"/>
        <w:rPr>
          <w:noProof/>
          <w:szCs w:val="22"/>
        </w:rPr>
      </w:pPr>
    </w:p>
    <w:p w14:paraId="12B4B9AA" w14:textId="77777777" w:rsidR="00D74198" w:rsidRPr="007944F8" w:rsidRDefault="00D74198" w:rsidP="00E93E8B">
      <w:pPr>
        <w:keepNext/>
        <w:widowControl w:val="0"/>
        <w:pBdr>
          <w:top w:val="single" w:sz="4" w:space="1" w:color="auto"/>
          <w:left w:val="single" w:sz="4" w:space="4" w:color="auto"/>
          <w:bottom w:val="single" w:sz="4" w:space="1" w:color="auto"/>
          <w:right w:val="single" w:sz="4" w:space="4" w:color="auto"/>
        </w:pBdr>
        <w:spacing w:line="240" w:lineRule="auto"/>
        <w:ind w:left="567" w:hanging="567"/>
        <w:rPr>
          <w:b/>
          <w:bCs/>
          <w:noProof/>
          <w:szCs w:val="22"/>
        </w:rPr>
      </w:pPr>
      <w:r w:rsidRPr="007944F8">
        <w:rPr>
          <w:b/>
          <w:noProof/>
        </w:rPr>
        <w:t>2.</w:t>
      </w:r>
      <w:r w:rsidRPr="007944F8">
        <w:tab/>
      </w:r>
      <w:r w:rsidRPr="007944F8">
        <w:rPr>
          <w:b/>
          <w:noProof/>
        </w:rPr>
        <w:t xml:space="preserve">COMPOSITION EN </w:t>
      </w:r>
      <w:r w:rsidR="004B782B" w:rsidRPr="007944F8">
        <w:rPr>
          <w:b/>
          <w:noProof/>
        </w:rPr>
        <w:t>SUBSTANCE</w:t>
      </w:r>
      <w:r w:rsidRPr="007944F8">
        <w:rPr>
          <w:b/>
          <w:noProof/>
        </w:rPr>
        <w:t>(S) ACTI</w:t>
      </w:r>
      <w:r w:rsidR="004B782B" w:rsidRPr="007944F8">
        <w:rPr>
          <w:b/>
          <w:noProof/>
        </w:rPr>
        <w:t>VE</w:t>
      </w:r>
      <w:r w:rsidRPr="007944F8">
        <w:rPr>
          <w:b/>
          <w:noProof/>
        </w:rPr>
        <w:t>(S)</w:t>
      </w:r>
    </w:p>
    <w:p w14:paraId="3A4379FD" w14:textId="77777777" w:rsidR="00D74198" w:rsidRPr="007944F8" w:rsidRDefault="00D74198" w:rsidP="00E93E8B">
      <w:pPr>
        <w:keepNext/>
        <w:widowControl w:val="0"/>
        <w:spacing w:line="240" w:lineRule="auto"/>
        <w:rPr>
          <w:noProof/>
          <w:szCs w:val="22"/>
        </w:rPr>
      </w:pPr>
    </w:p>
    <w:p w14:paraId="49ABA079" w14:textId="77777777" w:rsidR="00D74198" w:rsidRPr="007944F8" w:rsidRDefault="00D74198" w:rsidP="00BE7F7C">
      <w:pPr>
        <w:widowControl w:val="0"/>
        <w:spacing w:line="240" w:lineRule="auto"/>
        <w:outlineLvl w:val="0"/>
        <w:rPr>
          <w:noProof/>
          <w:szCs w:val="22"/>
        </w:rPr>
      </w:pPr>
      <w:r w:rsidRPr="007944F8">
        <w:t>Chaque gélule contient 200 mg de sonidégib (sous forme de phosphate).</w:t>
      </w:r>
    </w:p>
    <w:p w14:paraId="58381953" w14:textId="77777777" w:rsidR="00D74198" w:rsidRPr="007944F8" w:rsidRDefault="00D74198" w:rsidP="00E93E8B">
      <w:pPr>
        <w:widowControl w:val="0"/>
        <w:spacing w:line="240" w:lineRule="auto"/>
        <w:rPr>
          <w:noProof/>
          <w:szCs w:val="22"/>
        </w:rPr>
      </w:pPr>
    </w:p>
    <w:p w14:paraId="7B30570C" w14:textId="77777777" w:rsidR="00D74198" w:rsidRPr="007944F8" w:rsidRDefault="00D74198" w:rsidP="00E93E8B">
      <w:pPr>
        <w:widowControl w:val="0"/>
        <w:spacing w:line="240" w:lineRule="auto"/>
        <w:rPr>
          <w:noProof/>
          <w:szCs w:val="22"/>
        </w:rPr>
      </w:pPr>
    </w:p>
    <w:p w14:paraId="088855A8" w14:textId="77777777" w:rsidR="00D74198" w:rsidRPr="007944F8" w:rsidRDefault="00D74198" w:rsidP="00E93E8B">
      <w:pPr>
        <w:keepNext/>
        <w:widowControl w:val="0"/>
        <w:pBdr>
          <w:top w:val="single" w:sz="4" w:space="1" w:color="auto"/>
          <w:left w:val="single" w:sz="4" w:space="4" w:color="auto"/>
          <w:bottom w:val="single" w:sz="4" w:space="1" w:color="auto"/>
          <w:right w:val="single" w:sz="4" w:space="4" w:color="auto"/>
        </w:pBdr>
        <w:spacing w:line="240" w:lineRule="auto"/>
        <w:ind w:left="567" w:hanging="567"/>
        <w:rPr>
          <w:b/>
          <w:bCs/>
          <w:noProof/>
          <w:szCs w:val="22"/>
        </w:rPr>
      </w:pPr>
      <w:r w:rsidRPr="007944F8">
        <w:rPr>
          <w:b/>
          <w:noProof/>
        </w:rPr>
        <w:t>3.</w:t>
      </w:r>
      <w:r w:rsidRPr="007944F8">
        <w:tab/>
      </w:r>
      <w:r w:rsidRPr="007944F8">
        <w:rPr>
          <w:b/>
          <w:noProof/>
        </w:rPr>
        <w:t>LISTE DES EXCIPIENTS</w:t>
      </w:r>
    </w:p>
    <w:p w14:paraId="714ACFE4" w14:textId="77777777" w:rsidR="00D74198" w:rsidRPr="007944F8" w:rsidRDefault="00D74198" w:rsidP="00E93E8B">
      <w:pPr>
        <w:keepNext/>
        <w:widowControl w:val="0"/>
        <w:spacing w:line="240" w:lineRule="auto"/>
        <w:rPr>
          <w:noProof/>
          <w:szCs w:val="22"/>
        </w:rPr>
      </w:pPr>
    </w:p>
    <w:p w14:paraId="5E165111" w14:textId="77777777" w:rsidR="00D74198" w:rsidRPr="004E68D0" w:rsidRDefault="00D74198" w:rsidP="00BE7F7C">
      <w:pPr>
        <w:keepNext/>
        <w:widowControl w:val="0"/>
        <w:spacing w:line="240" w:lineRule="auto"/>
        <w:outlineLvl w:val="0"/>
      </w:pPr>
      <w:r w:rsidRPr="007944F8">
        <w:t>Contient du lactose.</w:t>
      </w:r>
      <w:r w:rsidR="005A1BB6">
        <w:t xml:space="preserve"> </w:t>
      </w:r>
      <w:r w:rsidR="005A1BB6" w:rsidRPr="004E68D0">
        <w:t>Lire la notice pour plus d’informations.</w:t>
      </w:r>
    </w:p>
    <w:p w14:paraId="1930E11B" w14:textId="77777777" w:rsidR="00D74198" w:rsidRPr="007944F8" w:rsidRDefault="00D74198" w:rsidP="00E93E8B">
      <w:pPr>
        <w:widowControl w:val="0"/>
        <w:spacing w:line="240" w:lineRule="auto"/>
        <w:rPr>
          <w:noProof/>
          <w:szCs w:val="22"/>
        </w:rPr>
      </w:pPr>
    </w:p>
    <w:p w14:paraId="033879D1" w14:textId="77777777" w:rsidR="00D74198" w:rsidRPr="007944F8" w:rsidRDefault="00D74198" w:rsidP="00E93E8B">
      <w:pPr>
        <w:widowControl w:val="0"/>
        <w:spacing w:line="240" w:lineRule="auto"/>
        <w:rPr>
          <w:noProof/>
          <w:szCs w:val="22"/>
        </w:rPr>
      </w:pPr>
    </w:p>
    <w:p w14:paraId="28A5F276" w14:textId="77777777" w:rsidR="00D74198" w:rsidRPr="007944F8" w:rsidRDefault="00D74198" w:rsidP="00E93E8B">
      <w:pPr>
        <w:keepNext/>
        <w:widowControl w:val="0"/>
        <w:pBdr>
          <w:top w:val="single" w:sz="4" w:space="1" w:color="auto"/>
          <w:left w:val="single" w:sz="4" w:space="4" w:color="auto"/>
          <w:bottom w:val="single" w:sz="4" w:space="1" w:color="auto"/>
          <w:right w:val="single" w:sz="4" w:space="4" w:color="auto"/>
        </w:pBdr>
        <w:spacing w:line="240" w:lineRule="auto"/>
        <w:ind w:left="567" w:hanging="567"/>
        <w:rPr>
          <w:b/>
          <w:bCs/>
          <w:noProof/>
          <w:szCs w:val="22"/>
        </w:rPr>
      </w:pPr>
      <w:r w:rsidRPr="007944F8">
        <w:rPr>
          <w:b/>
          <w:noProof/>
        </w:rPr>
        <w:t>4.</w:t>
      </w:r>
      <w:r w:rsidRPr="007944F8">
        <w:tab/>
      </w:r>
      <w:r w:rsidRPr="007944F8">
        <w:rPr>
          <w:b/>
          <w:noProof/>
        </w:rPr>
        <w:t>FORME PHARMACEUTIQUE ET CONTENU</w:t>
      </w:r>
    </w:p>
    <w:p w14:paraId="015360CE" w14:textId="77777777" w:rsidR="00D74198" w:rsidRPr="007944F8" w:rsidRDefault="00D74198" w:rsidP="00E93E8B">
      <w:pPr>
        <w:keepNext/>
        <w:widowControl w:val="0"/>
        <w:spacing w:line="240" w:lineRule="auto"/>
        <w:rPr>
          <w:noProof/>
          <w:szCs w:val="22"/>
        </w:rPr>
      </w:pPr>
    </w:p>
    <w:p w14:paraId="76B57156" w14:textId="77777777" w:rsidR="00D74198" w:rsidRPr="007944F8" w:rsidRDefault="00D74198" w:rsidP="00BE7F7C">
      <w:pPr>
        <w:keepNext/>
        <w:widowControl w:val="0"/>
        <w:tabs>
          <w:tab w:val="clear" w:pos="567"/>
        </w:tabs>
        <w:spacing w:line="240" w:lineRule="auto"/>
        <w:outlineLvl w:val="0"/>
        <w:rPr>
          <w:szCs w:val="22"/>
          <w:shd w:val="pct15" w:color="auto" w:fill="auto"/>
        </w:rPr>
      </w:pPr>
      <w:r w:rsidRPr="007944F8">
        <w:rPr>
          <w:shd w:val="pct15" w:color="auto" w:fill="auto"/>
        </w:rPr>
        <w:t>Gélule</w:t>
      </w:r>
      <w:r w:rsidR="00F42218" w:rsidRPr="007944F8">
        <w:rPr>
          <w:shd w:val="pct15" w:color="auto" w:fill="auto"/>
        </w:rPr>
        <w:t>s</w:t>
      </w:r>
    </w:p>
    <w:p w14:paraId="29C9DA6B" w14:textId="77777777" w:rsidR="00D74198" w:rsidRPr="007944F8" w:rsidRDefault="00D74198" w:rsidP="00E93E8B">
      <w:pPr>
        <w:widowControl w:val="0"/>
        <w:spacing w:line="240" w:lineRule="auto"/>
        <w:rPr>
          <w:noProof/>
          <w:szCs w:val="22"/>
        </w:rPr>
      </w:pPr>
    </w:p>
    <w:p w14:paraId="3FCD08B9" w14:textId="77777777" w:rsidR="00D74198" w:rsidRPr="007944F8" w:rsidRDefault="00D74198" w:rsidP="00E93E8B">
      <w:pPr>
        <w:widowControl w:val="0"/>
        <w:spacing w:line="240" w:lineRule="auto"/>
        <w:rPr>
          <w:noProof/>
          <w:szCs w:val="22"/>
        </w:rPr>
      </w:pPr>
      <w:r w:rsidRPr="007944F8">
        <w:t>10</w:t>
      </w:r>
      <w:r w:rsidR="009D5D74" w:rsidRPr="007944F8">
        <w:t> x 1 </w:t>
      </w:r>
      <w:r w:rsidRPr="007944F8">
        <w:t>gélule</w:t>
      </w:r>
    </w:p>
    <w:p w14:paraId="37D4707B" w14:textId="77777777" w:rsidR="00D74198" w:rsidRPr="007944F8" w:rsidRDefault="00D74198" w:rsidP="00E93E8B">
      <w:pPr>
        <w:keepNext/>
        <w:widowControl w:val="0"/>
        <w:tabs>
          <w:tab w:val="clear" w:pos="567"/>
        </w:tabs>
        <w:spacing w:line="240" w:lineRule="auto"/>
        <w:rPr>
          <w:szCs w:val="22"/>
          <w:shd w:val="pct15" w:color="auto" w:fill="auto"/>
        </w:rPr>
      </w:pPr>
      <w:r w:rsidRPr="007944F8">
        <w:rPr>
          <w:shd w:val="pct15" w:color="auto" w:fill="auto"/>
        </w:rPr>
        <w:t>30</w:t>
      </w:r>
      <w:r w:rsidR="009D5D74" w:rsidRPr="007944F8">
        <w:rPr>
          <w:shd w:val="pct15" w:color="auto" w:fill="auto"/>
        </w:rPr>
        <w:t> x 1 </w:t>
      </w:r>
      <w:r w:rsidRPr="007944F8">
        <w:rPr>
          <w:shd w:val="pct15" w:color="auto" w:fill="auto"/>
        </w:rPr>
        <w:t>gélule</w:t>
      </w:r>
    </w:p>
    <w:p w14:paraId="6BEBFF44" w14:textId="77777777" w:rsidR="00D74198" w:rsidRPr="007944F8" w:rsidRDefault="00D74198" w:rsidP="00E93E8B">
      <w:pPr>
        <w:widowControl w:val="0"/>
        <w:spacing w:line="240" w:lineRule="auto"/>
        <w:rPr>
          <w:noProof/>
          <w:szCs w:val="22"/>
        </w:rPr>
      </w:pPr>
    </w:p>
    <w:p w14:paraId="57ACB2B6" w14:textId="77777777" w:rsidR="00D74198" w:rsidRPr="007944F8" w:rsidRDefault="00D74198" w:rsidP="00E93E8B">
      <w:pPr>
        <w:widowControl w:val="0"/>
        <w:spacing w:line="240" w:lineRule="auto"/>
        <w:rPr>
          <w:noProof/>
          <w:szCs w:val="22"/>
        </w:rPr>
      </w:pPr>
    </w:p>
    <w:p w14:paraId="1750D63F" w14:textId="77777777" w:rsidR="00D74198" w:rsidRPr="007944F8" w:rsidRDefault="00D74198" w:rsidP="00E93E8B">
      <w:pPr>
        <w:keepNext/>
        <w:widowControl w:val="0"/>
        <w:pBdr>
          <w:top w:val="single" w:sz="4" w:space="1" w:color="auto"/>
          <w:left w:val="single" w:sz="4" w:space="4" w:color="auto"/>
          <w:bottom w:val="single" w:sz="4" w:space="1" w:color="auto"/>
          <w:right w:val="single" w:sz="4" w:space="4" w:color="auto"/>
        </w:pBdr>
        <w:spacing w:line="240" w:lineRule="auto"/>
        <w:ind w:left="567" w:hanging="567"/>
        <w:rPr>
          <w:b/>
          <w:bCs/>
          <w:noProof/>
          <w:szCs w:val="22"/>
        </w:rPr>
      </w:pPr>
      <w:r w:rsidRPr="007944F8">
        <w:rPr>
          <w:b/>
          <w:noProof/>
        </w:rPr>
        <w:t>5.</w:t>
      </w:r>
      <w:r w:rsidRPr="007944F8">
        <w:tab/>
      </w:r>
      <w:r w:rsidRPr="007944F8">
        <w:rPr>
          <w:b/>
          <w:noProof/>
        </w:rPr>
        <w:t>MODE ET VOIE(S) D’ADMINISTRATION</w:t>
      </w:r>
    </w:p>
    <w:p w14:paraId="1337F878" w14:textId="77777777" w:rsidR="00D74198" w:rsidRPr="007944F8" w:rsidRDefault="00D74198" w:rsidP="00E93E8B">
      <w:pPr>
        <w:keepNext/>
        <w:widowControl w:val="0"/>
        <w:spacing w:line="240" w:lineRule="auto"/>
        <w:rPr>
          <w:noProof/>
          <w:szCs w:val="22"/>
        </w:rPr>
      </w:pPr>
    </w:p>
    <w:p w14:paraId="6543D54E" w14:textId="77777777" w:rsidR="00D74198" w:rsidRPr="007944F8" w:rsidRDefault="00D74198" w:rsidP="00BE7F7C">
      <w:pPr>
        <w:keepNext/>
        <w:widowControl w:val="0"/>
        <w:spacing w:line="240" w:lineRule="auto"/>
        <w:outlineLvl w:val="0"/>
      </w:pPr>
      <w:r w:rsidRPr="007944F8">
        <w:t>Voie orale</w:t>
      </w:r>
    </w:p>
    <w:p w14:paraId="765AF6A3" w14:textId="77777777" w:rsidR="00F42218" w:rsidRPr="007944F8" w:rsidRDefault="00F42218" w:rsidP="00E93E8B">
      <w:pPr>
        <w:keepNext/>
        <w:widowControl w:val="0"/>
        <w:spacing w:line="240" w:lineRule="auto"/>
      </w:pPr>
      <w:r w:rsidRPr="007944F8">
        <w:t>Lire la notice avant utilisation.</w:t>
      </w:r>
    </w:p>
    <w:p w14:paraId="1AB4BB3C" w14:textId="77777777" w:rsidR="00770842" w:rsidRPr="007944F8" w:rsidRDefault="00770842" w:rsidP="00E93E8B">
      <w:pPr>
        <w:keepNext/>
        <w:widowControl w:val="0"/>
        <w:spacing w:line="240" w:lineRule="auto"/>
        <w:rPr>
          <w:noProof/>
          <w:szCs w:val="22"/>
        </w:rPr>
      </w:pPr>
      <w:r w:rsidRPr="007944F8">
        <w:t>Ne pas écraser, ouvrir ou mâcher la gélule.</w:t>
      </w:r>
    </w:p>
    <w:p w14:paraId="227FB58E" w14:textId="77777777" w:rsidR="00D74198" w:rsidRPr="007944F8" w:rsidRDefault="00D74198" w:rsidP="00E93E8B">
      <w:pPr>
        <w:widowControl w:val="0"/>
        <w:spacing w:line="240" w:lineRule="auto"/>
        <w:rPr>
          <w:noProof/>
          <w:szCs w:val="22"/>
        </w:rPr>
      </w:pPr>
    </w:p>
    <w:p w14:paraId="1864CA60" w14:textId="77777777" w:rsidR="00D74198" w:rsidRPr="007944F8" w:rsidRDefault="00D74198" w:rsidP="00E93E8B">
      <w:pPr>
        <w:widowControl w:val="0"/>
        <w:spacing w:line="240" w:lineRule="auto"/>
        <w:rPr>
          <w:noProof/>
          <w:szCs w:val="22"/>
        </w:rPr>
      </w:pPr>
    </w:p>
    <w:p w14:paraId="6DB48AC8" w14:textId="77777777" w:rsidR="00D74198" w:rsidRPr="007944F8" w:rsidRDefault="00D74198" w:rsidP="00E93E8B">
      <w:pPr>
        <w:keepNext/>
        <w:widowControl w:val="0"/>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7944F8">
        <w:rPr>
          <w:b/>
          <w:noProof/>
        </w:rPr>
        <w:t>6.</w:t>
      </w:r>
      <w:r w:rsidRPr="007944F8">
        <w:tab/>
      </w:r>
      <w:r w:rsidRPr="007944F8">
        <w:rPr>
          <w:b/>
          <w:noProof/>
        </w:rPr>
        <w:t>MISE EN GARDE SPÉCIALE INDIQUANT QUE LE MÉDICAMENT DOIT ÊTRE CONSERVÉ HORS DE PORTÉE ET DE VUE DES ENFANTS</w:t>
      </w:r>
    </w:p>
    <w:p w14:paraId="423D068E" w14:textId="77777777" w:rsidR="00D74198" w:rsidRPr="007944F8" w:rsidRDefault="00D74198" w:rsidP="00E93E8B">
      <w:pPr>
        <w:keepNext/>
        <w:widowControl w:val="0"/>
        <w:rPr>
          <w:noProof/>
        </w:rPr>
      </w:pPr>
    </w:p>
    <w:p w14:paraId="3A313EA4" w14:textId="77777777" w:rsidR="00D74198" w:rsidRPr="007944F8" w:rsidRDefault="00D74198" w:rsidP="00BE7F7C">
      <w:pPr>
        <w:widowControl w:val="0"/>
        <w:outlineLvl w:val="0"/>
        <w:rPr>
          <w:noProof/>
        </w:rPr>
      </w:pPr>
      <w:r w:rsidRPr="007944F8">
        <w:t>Tenir hors de la vue et de la portée des enfants.</w:t>
      </w:r>
    </w:p>
    <w:p w14:paraId="0E3CF73E" w14:textId="77777777" w:rsidR="00D74198" w:rsidRPr="007944F8" w:rsidRDefault="00D74198" w:rsidP="00E93E8B">
      <w:pPr>
        <w:widowControl w:val="0"/>
        <w:spacing w:line="240" w:lineRule="auto"/>
        <w:rPr>
          <w:noProof/>
          <w:szCs w:val="22"/>
        </w:rPr>
      </w:pPr>
    </w:p>
    <w:p w14:paraId="53E5BAF2" w14:textId="77777777" w:rsidR="00D74198" w:rsidRPr="007944F8" w:rsidRDefault="00D74198" w:rsidP="00E93E8B">
      <w:pPr>
        <w:widowControl w:val="0"/>
        <w:spacing w:line="240" w:lineRule="auto"/>
        <w:rPr>
          <w:noProof/>
          <w:szCs w:val="22"/>
        </w:rPr>
      </w:pPr>
    </w:p>
    <w:p w14:paraId="2F41C350" w14:textId="77777777" w:rsidR="00D74198" w:rsidRPr="007944F8" w:rsidRDefault="00D74198" w:rsidP="00E93E8B">
      <w:pPr>
        <w:keepNext/>
        <w:widowControl w:val="0"/>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7944F8">
        <w:rPr>
          <w:b/>
          <w:noProof/>
        </w:rPr>
        <w:t>7.</w:t>
      </w:r>
      <w:r w:rsidRPr="007944F8">
        <w:tab/>
      </w:r>
      <w:r w:rsidRPr="007944F8">
        <w:rPr>
          <w:b/>
          <w:noProof/>
        </w:rPr>
        <w:t>AUTRES MISES EN GARDE SPÉCIALES, SI NÉCESSAIRE</w:t>
      </w:r>
    </w:p>
    <w:p w14:paraId="08EE8F09" w14:textId="77777777" w:rsidR="00D74198" w:rsidRPr="007944F8" w:rsidRDefault="00D74198" w:rsidP="00E93E8B">
      <w:pPr>
        <w:keepNext/>
        <w:widowControl w:val="0"/>
        <w:spacing w:line="240" w:lineRule="auto"/>
        <w:rPr>
          <w:noProof/>
          <w:szCs w:val="22"/>
        </w:rPr>
      </w:pPr>
    </w:p>
    <w:p w14:paraId="42F1FDDF" w14:textId="77777777" w:rsidR="00F42218" w:rsidRPr="007944F8" w:rsidRDefault="00F42218" w:rsidP="00E93E8B">
      <w:pPr>
        <w:widowControl w:val="0"/>
        <w:spacing w:line="240" w:lineRule="auto"/>
      </w:pPr>
      <w:r w:rsidRPr="007944F8">
        <w:t>Risque d’anomalies congénitales sévères</w:t>
      </w:r>
      <w:r w:rsidR="00770842" w:rsidRPr="007944F8">
        <w:t>.</w:t>
      </w:r>
    </w:p>
    <w:p w14:paraId="58A5374A" w14:textId="77777777" w:rsidR="00D74198" w:rsidRPr="007944F8" w:rsidRDefault="00D74198" w:rsidP="00E93E8B">
      <w:pPr>
        <w:widowControl w:val="0"/>
        <w:spacing w:line="240" w:lineRule="auto"/>
      </w:pPr>
      <w:r w:rsidRPr="007944F8">
        <w:t>Ne pas utiliser pendant la grossesse ou l’allaitement.</w:t>
      </w:r>
    </w:p>
    <w:p w14:paraId="55470592" w14:textId="77777777" w:rsidR="00F42218" w:rsidRPr="007944F8" w:rsidRDefault="00F42218" w:rsidP="00E93E8B">
      <w:pPr>
        <w:widowControl w:val="0"/>
        <w:spacing w:line="240" w:lineRule="auto"/>
        <w:rPr>
          <w:noProof/>
          <w:szCs w:val="22"/>
        </w:rPr>
      </w:pPr>
      <w:r w:rsidRPr="007944F8">
        <w:rPr>
          <w:noProof/>
          <w:szCs w:val="22"/>
        </w:rPr>
        <w:t>Vous devez suivre le Plan de Prévention de la Grossesse d’Odomzo.</w:t>
      </w:r>
    </w:p>
    <w:p w14:paraId="20AD9D44" w14:textId="77777777" w:rsidR="00D74198" w:rsidRPr="007944F8" w:rsidRDefault="00D74198" w:rsidP="00E93E8B">
      <w:pPr>
        <w:widowControl w:val="0"/>
        <w:tabs>
          <w:tab w:val="left" w:pos="749"/>
        </w:tabs>
        <w:spacing w:line="240" w:lineRule="auto"/>
      </w:pPr>
    </w:p>
    <w:p w14:paraId="3F76EA68" w14:textId="77777777" w:rsidR="00D74198" w:rsidRPr="007944F8" w:rsidRDefault="00D74198" w:rsidP="00E93E8B">
      <w:pPr>
        <w:widowControl w:val="0"/>
        <w:tabs>
          <w:tab w:val="left" w:pos="749"/>
        </w:tabs>
        <w:spacing w:line="240" w:lineRule="auto"/>
      </w:pPr>
    </w:p>
    <w:p w14:paraId="500B742B" w14:textId="77777777" w:rsidR="00D74198" w:rsidRPr="007944F8" w:rsidRDefault="00D74198" w:rsidP="00E93E8B">
      <w:pPr>
        <w:keepNext/>
        <w:widowControl w:val="0"/>
        <w:pBdr>
          <w:top w:val="single" w:sz="4" w:space="1" w:color="auto"/>
          <w:left w:val="single" w:sz="4" w:space="4" w:color="auto"/>
          <w:bottom w:val="single" w:sz="4" w:space="1" w:color="auto"/>
          <w:right w:val="single" w:sz="4" w:space="4" w:color="auto"/>
        </w:pBdr>
        <w:spacing w:line="240" w:lineRule="auto"/>
        <w:ind w:left="567" w:hanging="567"/>
      </w:pPr>
      <w:r w:rsidRPr="007944F8">
        <w:rPr>
          <w:b/>
        </w:rPr>
        <w:t>8.</w:t>
      </w:r>
      <w:r w:rsidRPr="007944F8">
        <w:tab/>
      </w:r>
      <w:r w:rsidRPr="007944F8">
        <w:rPr>
          <w:b/>
        </w:rPr>
        <w:t>DATE DE PÉREMPTION</w:t>
      </w:r>
    </w:p>
    <w:p w14:paraId="62746E09" w14:textId="77777777" w:rsidR="00D74198" w:rsidRPr="007944F8" w:rsidRDefault="00D74198" w:rsidP="00E93E8B">
      <w:pPr>
        <w:keepNext/>
        <w:widowControl w:val="0"/>
        <w:spacing w:line="240" w:lineRule="auto"/>
      </w:pPr>
    </w:p>
    <w:p w14:paraId="27AE35FF" w14:textId="77777777" w:rsidR="00D74198" w:rsidRPr="007944F8" w:rsidRDefault="00D74198" w:rsidP="00BE7F7C">
      <w:pPr>
        <w:widowControl w:val="0"/>
        <w:spacing w:line="240" w:lineRule="auto"/>
        <w:outlineLvl w:val="0"/>
      </w:pPr>
      <w:r w:rsidRPr="007944F8">
        <w:t>EXP</w:t>
      </w:r>
    </w:p>
    <w:p w14:paraId="615A5299" w14:textId="77777777" w:rsidR="00D74198" w:rsidRPr="007944F8" w:rsidRDefault="00D74198" w:rsidP="00E93E8B">
      <w:pPr>
        <w:widowControl w:val="0"/>
        <w:spacing w:line="240" w:lineRule="auto"/>
        <w:rPr>
          <w:noProof/>
          <w:szCs w:val="22"/>
        </w:rPr>
      </w:pPr>
    </w:p>
    <w:p w14:paraId="611FA50D" w14:textId="77777777" w:rsidR="00D74198" w:rsidRPr="007944F8" w:rsidRDefault="00D74198" w:rsidP="00E93E8B">
      <w:pPr>
        <w:widowControl w:val="0"/>
        <w:spacing w:line="240" w:lineRule="auto"/>
        <w:rPr>
          <w:noProof/>
          <w:szCs w:val="22"/>
        </w:rPr>
      </w:pPr>
    </w:p>
    <w:p w14:paraId="160BCC07" w14:textId="77777777" w:rsidR="00D74198" w:rsidRPr="007944F8" w:rsidRDefault="00D74198" w:rsidP="00E93E8B">
      <w:pPr>
        <w:keepNext/>
        <w:widowControl w:val="0"/>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7944F8">
        <w:rPr>
          <w:b/>
          <w:noProof/>
        </w:rPr>
        <w:t>9.</w:t>
      </w:r>
      <w:r w:rsidRPr="007944F8">
        <w:tab/>
      </w:r>
      <w:r w:rsidRPr="007944F8">
        <w:rPr>
          <w:b/>
          <w:noProof/>
        </w:rPr>
        <w:t>PRÉCAUTIONS PARTICULIÈRES DE CONSERVATION</w:t>
      </w:r>
    </w:p>
    <w:p w14:paraId="5D9ED606" w14:textId="77777777" w:rsidR="00D74198" w:rsidRPr="007944F8" w:rsidRDefault="00D74198" w:rsidP="00E93E8B">
      <w:pPr>
        <w:keepNext/>
        <w:widowControl w:val="0"/>
        <w:spacing w:line="240" w:lineRule="auto"/>
        <w:rPr>
          <w:noProof/>
          <w:szCs w:val="22"/>
        </w:rPr>
      </w:pPr>
    </w:p>
    <w:p w14:paraId="318587D6" w14:textId="77777777" w:rsidR="003901B3" w:rsidRPr="007944F8" w:rsidRDefault="003F2CF6" w:rsidP="00E93E8B">
      <w:pPr>
        <w:keepNext/>
        <w:widowControl w:val="0"/>
        <w:tabs>
          <w:tab w:val="clear" w:pos="567"/>
        </w:tabs>
        <w:spacing w:line="240" w:lineRule="auto"/>
        <w:rPr>
          <w:noProof/>
          <w:szCs w:val="22"/>
        </w:rPr>
      </w:pPr>
      <w:r>
        <w:t>A</w:t>
      </w:r>
      <w:r w:rsidR="003901B3" w:rsidRPr="007944F8">
        <w:t xml:space="preserve"> conserver à une température ne dépassant pas 30 °C.</w:t>
      </w:r>
    </w:p>
    <w:p w14:paraId="6AB8E68B" w14:textId="77777777" w:rsidR="003901B3" w:rsidRPr="007944F8" w:rsidRDefault="003F2CF6" w:rsidP="00E93E8B">
      <w:pPr>
        <w:widowControl w:val="0"/>
        <w:tabs>
          <w:tab w:val="clear" w:pos="567"/>
        </w:tabs>
        <w:spacing w:line="240" w:lineRule="auto"/>
        <w:rPr>
          <w:noProof/>
          <w:szCs w:val="22"/>
        </w:rPr>
      </w:pPr>
      <w:r>
        <w:t>A</w:t>
      </w:r>
      <w:r w:rsidR="003901B3" w:rsidRPr="007944F8">
        <w:t xml:space="preserve"> conserver dans l’emballage extérieur d’origine à l’abri de l’humidité.</w:t>
      </w:r>
    </w:p>
    <w:p w14:paraId="52715F7A" w14:textId="77777777" w:rsidR="00D74198" w:rsidRPr="007944F8" w:rsidRDefault="00D74198" w:rsidP="00E93E8B">
      <w:pPr>
        <w:widowControl w:val="0"/>
        <w:spacing w:line="240" w:lineRule="auto"/>
        <w:rPr>
          <w:noProof/>
          <w:szCs w:val="22"/>
        </w:rPr>
      </w:pPr>
    </w:p>
    <w:p w14:paraId="6268A442" w14:textId="77777777" w:rsidR="00D74198" w:rsidRPr="007944F8" w:rsidRDefault="00D74198" w:rsidP="00E93E8B">
      <w:pPr>
        <w:widowControl w:val="0"/>
        <w:spacing w:line="240" w:lineRule="auto"/>
        <w:ind w:left="567" w:hanging="567"/>
        <w:rPr>
          <w:noProof/>
          <w:szCs w:val="22"/>
        </w:rPr>
      </w:pPr>
    </w:p>
    <w:p w14:paraId="6372691E" w14:textId="77777777" w:rsidR="00D74198" w:rsidRPr="007944F8" w:rsidRDefault="00D74198" w:rsidP="00E93E8B">
      <w:pPr>
        <w:widowControl w:val="0"/>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7944F8">
        <w:rPr>
          <w:b/>
          <w:noProof/>
        </w:rPr>
        <w:t>10.</w:t>
      </w:r>
      <w:r w:rsidRPr="007944F8">
        <w:tab/>
      </w:r>
      <w:r w:rsidRPr="007944F8">
        <w:rPr>
          <w:b/>
          <w:noProof/>
        </w:rPr>
        <w:t>PRÉCAUTIONS PARTICULIÈRES D’ÉLIMINATION DES MÉDICAMENTS NON UTILISÉS OU DES DÉCHETS PROVENANT DE CES MÉDICAMENTS S’IL Y A LIEU</w:t>
      </w:r>
    </w:p>
    <w:p w14:paraId="37378861" w14:textId="77777777" w:rsidR="00D74198" w:rsidRPr="007944F8" w:rsidRDefault="00D74198" w:rsidP="00E93E8B">
      <w:pPr>
        <w:widowControl w:val="0"/>
        <w:spacing w:line="240" w:lineRule="auto"/>
        <w:rPr>
          <w:noProof/>
          <w:szCs w:val="22"/>
        </w:rPr>
      </w:pPr>
    </w:p>
    <w:p w14:paraId="6877BAF7" w14:textId="77777777" w:rsidR="00F42218" w:rsidRPr="007944F8" w:rsidRDefault="007D5D59" w:rsidP="00BE7F7C">
      <w:pPr>
        <w:widowControl w:val="0"/>
        <w:spacing w:line="240" w:lineRule="auto"/>
        <w:outlineLvl w:val="0"/>
        <w:rPr>
          <w:noProof/>
          <w:szCs w:val="22"/>
        </w:rPr>
      </w:pPr>
      <w:r>
        <w:rPr>
          <w:noProof/>
          <w:szCs w:val="22"/>
        </w:rPr>
        <w:t>Tout médicament non utilisé doit être éliminé conformément aux exigences locales</w:t>
      </w:r>
      <w:r w:rsidR="00F42218" w:rsidRPr="007944F8">
        <w:rPr>
          <w:noProof/>
          <w:szCs w:val="22"/>
        </w:rPr>
        <w:t>.</w:t>
      </w:r>
    </w:p>
    <w:p w14:paraId="544C8BBE" w14:textId="77777777" w:rsidR="002B4F2F" w:rsidRPr="007944F8" w:rsidRDefault="002B4F2F" w:rsidP="00E93E8B">
      <w:pPr>
        <w:widowControl w:val="0"/>
        <w:spacing w:line="240" w:lineRule="auto"/>
        <w:rPr>
          <w:noProof/>
          <w:szCs w:val="22"/>
        </w:rPr>
      </w:pPr>
    </w:p>
    <w:p w14:paraId="1799D516" w14:textId="77777777" w:rsidR="00D74198" w:rsidRPr="007944F8" w:rsidRDefault="00D74198" w:rsidP="00E93E8B">
      <w:pPr>
        <w:widowControl w:val="0"/>
        <w:spacing w:line="240" w:lineRule="auto"/>
        <w:rPr>
          <w:noProof/>
          <w:szCs w:val="22"/>
        </w:rPr>
      </w:pPr>
    </w:p>
    <w:p w14:paraId="03907766" w14:textId="77777777" w:rsidR="00D74198" w:rsidRPr="007944F8" w:rsidRDefault="00D74198" w:rsidP="00E93E8B">
      <w:pPr>
        <w:keepNext/>
        <w:widowControl w:val="0"/>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7944F8">
        <w:rPr>
          <w:b/>
          <w:noProof/>
        </w:rPr>
        <w:t>11.</w:t>
      </w:r>
      <w:r w:rsidRPr="007944F8">
        <w:tab/>
      </w:r>
      <w:r w:rsidRPr="007944F8">
        <w:rPr>
          <w:b/>
          <w:noProof/>
        </w:rPr>
        <w:t>NOM ET ADRESSE DU TITULAIRE DE L’AUTORISATION DE MISE SUR LE MARCHÉ</w:t>
      </w:r>
    </w:p>
    <w:p w14:paraId="584145B1" w14:textId="77777777" w:rsidR="00D74198" w:rsidRPr="007944F8" w:rsidRDefault="00D74198" w:rsidP="00E93E8B">
      <w:pPr>
        <w:keepNext/>
        <w:widowControl w:val="0"/>
        <w:spacing w:line="240" w:lineRule="auto"/>
        <w:rPr>
          <w:noProof/>
          <w:szCs w:val="22"/>
        </w:rPr>
      </w:pPr>
    </w:p>
    <w:p w14:paraId="5B1B75A2" w14:textId="77777777" w:rsidR="00882BCB" w:rsidRDefault="00882BCB" w:rsidP="00882BCB">
      <w:pPr>
        <w:keepNext/>
        <w:widowControl w:val="0"/>
        <w:tabs>
          <w:tab w:val="clear" w:pos="567"/>
          <w:tab w:val="left" w:pos="720"/>
        </w:tabs>
        <w:spacing w:line="240" w:lineRule="auto"/>
        <w:rPr>
          <w:noProof/>
          <w:szCs w:val="22"/>
        </w:rPr>
      </w:pPr>
      <w:r>
        <w:rPr>
          <w:noProof/>
          <w:szCs w:val="22"/>
        </w:rPr>
        <w:t>Sun Pharmaceutical Industries Europe B.V.</w:t>
      </w:r>
    </w:p>
    <w:p w14:paraId="477CBBFE" w14:textId="77777777" w:rsidR="00882BCB" w:rsidRDefault="00882BCB" w:rsidP="00882BCB">
      <w:pPr>
        <w:keepNext/>
        <w:widowControl w:val="0"/>
        <w:tabs>
          <w:tab w:val="clear" w:pos="567"/>
          <w:tab w:val="left" w:pos="720"/>
        </w:tabs>
        <w:spacing w:line="240" w:lineRule="auto"/>
        <w:rPr>
          <w:noProof/>
          <w:szCs w:val="22"/>
        </w:rPr>
      </w:pPr>
      <w:r>
        <w:rPr>
          <w:noProof/>
          <w:szCs w:val="22"/>
        </w:rPr>
        <w:t>Polarisavenue 87</w:t>
      </w:r>
    </w:p>
    <w:p w14:paraId="1744C795" w14:textId="77777777" w:rsidR="00882BCB" w:rsidRDefault="00882BCB" w:rsidP="00882BCB">
      <w:pPr>
        <w:keepNext/>
        <w:widowControl w:val="0"/>
        <w:tabs>
          <w:tab w:val="clear" w:pos="567"/>
          <w:tab w:val="left" w:pos="720"/>
        </w:tabs>
        <w:spacing w:line="240" w:lineRule="auto"/>
        <w:rPr>
          <w:noProof/>
          <w:szCs w:val="22"/>
        </w:rPr>
      </w:pPr>
      <w:r>
        <w:rPr>
          <w:noProof/>
          <w:szCs w:val="22"/>
        </w:rPr>
        <w:t>2132JH Hoofddorp</w:t>
      </w:r>
    </w:p>
    <w:p w14:paraId="44A95D78" w14:textId="77777777" w:rsidR="005D01D3" w:rsidRDefault="005D01D3" w:rsidP="00E93E8B">
      <w:pPr>
        <w:widowControl w:val="0"/>
        <w:spacing w:line="240" w:lineRule="auto"/>
        <w:rPr>
          <w:noProof/>
          <w:szCs w:val="22"/>
        </w:rPr>
      </w:pPr>
      <w:r w:rsidRPr="005D01D3">
        <w:rPr>
          <w:noProof/>
          <w:szCs w:val="22"/>
        </w:rPr>
        <w:t>Pays-Bas</w:t>
      </w:r>
    </w:p>
    <w:p w14:paraId="3073A33B" w14:textId="77777777" w:rsidR="00D74198" w:rsidRPr="007944F8" w:rsidRDefault="00D74198" w:rsidP="00E93E8B">
      <w:pPr>
        <w:widowControl w:val="0"/>
        <w:spacing w:line="240" w:lineRule="auto"/>
        <w:rPr>
          <w:noProof/>
          <w:szCs w:val="22"/>
        </w:rPr>
      </w:pPr>
    </w:p>
    <w:p w14:paraId="5F49D1B8" w14:textId="77777777" w:rsidR="00D74198" w:rsidRPr="007944F8" w:rsidRDefault="00D74198" w:rsidP="00E93E8B">
      <w:pPr>
        <w:widowControl w:val="0"/>
        <w:spacing w:line="240" w:lineRule="auto"/>
        <w:rPr>
          <w:noProof/>
          <w:szCs w:val="22"/>
        </w:rPr>
      </w:pPr>
    </w:p>
    <w:p w14:paraId="2DFF5E08" w14:textId="77777777" w:rsidR="00D74198" w:rsidRPr="007944F8" w:rsidRDefault="00D74198" w:rsidP="00E93E8B">
      <w:pPr>
        <w:keepNext/>
        <w:widowControl w:val="0"/>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7944F8">
        <w:rPr>
          <w:b/>
          <w:noProof/>
        </w:rPr>
        <w:t>12.</w:t>
      </w:r>
      <w:r w:rsidRPr="007944F8">
        <w:tab/>
      </w:r>
      <w:r w:rsidRPr="007944F8">
        <w:rPr>
          <w:b/>
          <w:noProof/>
        </w:rPr>
        <w:t xml:space="preserve">NUMÉROS D’AUTORISATION DE MISE SUR LE MARCHÉ </w:t>
      </w:r>
    </w:p>
    <w:p w14:paraId="38C718BF" w14:textId="77777777" w:rsidR="00D74198" w:rsidRPr="007944F8" w:rsidRDefault="00D74198" w:rsidP="00E93E8B">
      <w:pPr>
        <w:keepNext/>
        <w:widowControl w:val="0"/>
        <w:spacing w:line="240" w:lineRule="auto"/>
        <w:rPr>
          <w:noProof/>
          <w:szCs w:val="22"/>
        </w:rPr>
      </w:pPr>
    </w:p>
    <w:p w14:paraId="490D27EF" w14:textId="77777777" w:rsidR="00D74198" w:rsidRPr="007944F8" w:rsidRDefault="00AF1800" w:rsidP="00043CA9">
      <w:pPr>
        <w:widowControl w:val="0"/>
        <w:ind w:left="2268" w:hanging="2268"/>
        <w:rPr>
          <w:noProof/>
        </w:rPr>
      </w:pPr>
      <w:r w:rsidRPr="007944F8">
        <w:rPr>
          <w:noProof/>
          <w:szCs w:val="22"/>
        </w:rPr>
        <w:t>EU/1/15/1030/001</w:t>
      </w:r>
      <w:r w:rsidR="008C106E" w:rsidRPr="007944F8">
        <w:tab/>
      </w:r>
      <w:r w:rsidR="00D74198" w:rsidRPr="007944F8">
        <w:rPr>
          <w:shd w:val="pct15" w:color="auto" w:fill="auto"/>
        </w:rPr>
        <w:t>10 gélules</w:t>
      </w:r>
    </w:p>
    <w:p w14:paraId="18C1DFC8" w14:textId="77777777" w:rsidR="00D74198" w:rsidRPr="007944F8" w:rsidRDefault="00D74198" w:rsidP="00043CA9">
      <w:pPr>
        <w:widowControl w:val="0"/>
        <w:ind w:left="2268" w:hanging="2268"/>
        <w:rPr>
          <w:noProof/>
        </w:rPr>
      </w:pPr>
      <w:r w:rsidRPr="007944F8">
        <w:rPr>
          <w:shd w:val="pct15" w:color="auto" w:fill="auto"/>
        </w:rPr>
        <w:t>EU/</w:t>
      </w:r>
      <w:r w:rsidR="00AF1800" w:rsidRPr="007944F8">
        <w:rPr>
          <w:shd w:val="pct15" w:color="auto" w:fill="auto"/>
        </w:rPr>
        <w:t>1/15/1030/002</w:t>
      </w:r>
      <w:r w:rsidR="008C106E" w:rsidRPr="007944F8">
        <w:tab/>
      </w:r>
      <w:r w:rsidRPr="007944F8">
        <w:rPr>
          <w:shd w:val="pct15" w:color="auto" w:fill="auto"/>
        </w:rPr>
        <w:t>30 gélules</w:t>
      </w:r>
    </w:p>
    <w:p w14:paraId="60B2BAF8" w14:textId="77777777" w:rsidR="00D74198" w:rsidRPr="007944F8" w:rsidRDefault="00D74198" w:rsidP="00E93E8B">
      <w:pPr>
        <w:widowControl w:val="0"/>
        <w:spacing w:line="240" w:lineRule="auto"/>
        <w:rPr>
          <w:noProof/>
          <w:szCs w:val="22"/>
        </w:rPr>
      </w:pPr>
    </w:p>
    <w:p w14:paraId="43BBA897" w14:textId="77777777" w:rsidR="00D74198" w:rsidRPr="007944F8" w:rsidRDefault="00D74198" w:rsidP="00E93E8B">
      <w:pPr>
        <w:widowControl w:val="0"/>
        <w:spacing w:line="240" w:lineRule="auto"/>
        <w:rPr>
          <w:noProof/>
          <w:szCs w:val="22"/>
        </w:rPr>
      </w:pPr>
    </w:p>
    <w:p w14:paraId="113F834C" w14:textId="77777777" w:rsidR="00D74198" w:rsidRPr="007944F8" w:rsidRDefault="00D74198" w:rsidP="00E93E8B">
      <w:pPr>
        <w:keepNext/>
        <w:widowControl w:val="0"/>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7944F8">
        <w:rPr>
          <w:b/>
          <w:noProof/>
        </w:rPr>
        <w:t>13.</w:t>
      </w:r>
      <w:r w:rsidRPr="007944F8">
        <w:tab/>
      </w:r>
      <w:r w:rsidRPr="007944F8">
        <w:rPr>
          <w:b/>
          <w:noProof/>
        </w:rPr>
        <w:t>NUMÉRO DU LOT</w:t>
      </w:r>
    </w:p>
    <w:p w14:paraId="4C9CB74D" w14:textId="77777777" w:rsidR="00D74198" w:rsidRPr="007944F8" w:rsidRDefault="00D74198" w:rsidP="00E93E8B">
      <w:pPr>
        <w:keepNext/>
        <w:widowControl w:val="0"/>
        <w:spacing w:line="240" w:lineRule="auto"/>
        <w:rPr>
          <w:noProof/>
          <w:szCs w:val="22"/>
        </w:rPr>
      </w:pPr>
    </w:p>
    <w:p w14:paraId="3330E3C2" w14:textId="77777777" w:rsidR="00D74198" w:rsidRPr="007944F8" w:rsidRDefault="00D74198" w:rsidP="00BE7F7C">
      <w:pPr>
        <w:widowControl w:val="0"/>
        <w:spacing w:line="240" w:lineRule="auto"/>
        <w:outlineLvl w:val="0"/>
        <w:rPr>
          <w:noProof/>
          <w:szCs w:val="22"/>
        </w:rPr>
      </w:pPr>
      <w:r w:rsidRPr="007944F8">
        <w:t>Lot</w:t>
      </w:r>
    </w:p>
    <w:p w14:paraId="759E5AB2" w14:textId="77777777" w:rsidR="00D74198" w:rsidRPr="007944F8" w:rsidRDefault="00D74198" w:rsidP="00E93E8B">
      <w:pPr>
        <w:widowControl w:val="0"/>
        <w:spacing w:line="240" w:lineRule="auto"/>
        <w:rPr>
          <w:noProof/>
          <w:szCs w:val="22"/>
        </w:rPr>
      </w:pPr>
    </w:p>
    <w:p w14:paraId="570A5AF8" w14:textId="77777777" w:rsidR="00D74198" w:rsidRPr="007944F8" w:rsidRDefault="00D74198" w:rsidP="00E93E8B">
      <w:pPr>
        <w:widowControl w:val="0"/>
        <w:spacing w:line="240" w:lineRule="auto"/>
        <w:rPr>
          <w:noProof/>
          <w:szCs w:val="22"/>
        </w:rPr>
      </w:pPr>
    </w:p>
    <w:p w14:paraId="4350C31F" w14:textId="77777777" w:rsidR="00D74198" w:rsidRPr="007944F8" w:rsidRDefault="00D74198" w:rsidP="00E93E8B">
      <w:pPr>
        <w:keepNext/>
        <w:widowControl w:val="0"/>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7944F8">
        <w:rPr>
          <w:b/>
          <w:noProof/>
        </w:rPr>
        <w:t>14.</w:t>
      </w:r>
      <w:r w:rsidRPr="007944F8">
        <w:tab/>
      </w:r>
      <w:r w:rsidRPr="007944F8">
        <w:rPr>
          <w:b/>
          <w:noProof/>
        </w:rPr>
        <w:t>CONDITIONS DE PRESCRIPTION ET DE DÉLIVRANCE</w:t>
      </w:r>
    </w:p>
    <w:p w14:paraId="0C5A4CBD" w14:textId="77777777" w:rsidR="00D74198" w:rsidRPr="007944F8" w:rsidRDefault="00D74198" w:rsidP="00E93E8B">
      <w:pPr>
        <w:keepNext/>
        <w:widowControl w:val="0"/>
        <w:spacing w:line="240" w:lineRule="auto"/>
        <w:rPr>
          <w:noProof/>
          <w:szCs w:val="22"/>
        </w:rPr>
      </w:pPr>
    </w:p>
    <w:p w14:paraId="7F3EA548" w14:textId="77777777" w:rsidR="00D74198" w:rsidRPr="007944F8" w:rsidRDefault="00D74198" w:rsidP="00E93E8B">
      <w:pPr>
        <w:widowControl w:val="0"/>
        <w:spacing w:line="240" w:lineRule="auto"/>
        <w:rPr>
          <w:noProof/>
          <w:szCs w:val="22"/>
        </w:rPr>
      </w:pPr>
    </w:p>
    <w:p w14:paraId="2157A4F5" w14:textId="77777777" w:rsidR="00D74198" w:rsidRPr="007944F8" w:rsidRDefault="00D74198" w:rsidP="00E93E8B">
      <w:pPr>
        <w:widowControl w:val="0"/>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7944F8">
        <w:rPr>
          <w:b/>
          <w:noProof/>
        </w:rPr>
        <w:t>15.</w:t>
      </w:r>
      <w:r w:rsidRPr="007944F8">
        <w:tab/>
      </w:r>
      <w:r w:rsidRPr="007944F8">
        <w:rPr>
          <w:b/>
          <w:noProof/>
        </w:rPr>
        <w:t>INDICATIONS D’UTILISATION</w:t>
      </w:r>
    </w:p>
    <w:p w14:paraId="3A6010C3" w14:textId="77777777" w:rsidR="00D74198" w:rsidRPr="007944F8" w:rsidRDefault="00D74198" w:rsidP="00E93E8B">
      <w:pPr>
        <w:widowControl w:val="0"/>
        <w:spacing w:line="240" w:lineRule="auto"/>
        <w:rPr>
          <w:noProof/>
          <w:szCs w:val="22"/>
        </w:rPr>
      </w:pPr>
    </w:p>
    <w:p w14:paraId="126FE6CE" w14:textId="77777777" w:rsidR="00D74198" w:rsidRPr="007944F8" w:rsidRDefault="00D74198" w:rsidP="00E93E8B">
      <w:pPr>
        <w:widowControl w:val="0"/>
        <w:spacing w:line="240" w:lineRule="auto"/>
        <w:rPr>
          <w:noProof/>
          <w:szCs w:val="22"/>
        </w:rPr>
      </w:pPr>
    </w:p>
    <w:p w14:paraId="69F617C5" w14:textId="77777777" w:rsidR="00D74198" w:rsidRPr="007944F8" w:rsidRDefault="00D74198" w:rsidP="00E93E8B">
      <w:pPr>
        <w:keepNext/>
        <w:widowControl w:val="0"/>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7944F8">
        <w:rPr>
          <w:b/>
          <w:noProof/>
        </w:rPr>
        <w:t>16.</w:t>
      </w:r>
      <w:r w:rsidRPr="007944F8">
        <w:tab/>
      </w:r>
      <w:r w:rsidRPr="007944F8">
        <w:rPr>
          <w:b/>
          <w:noProof/>
        </w:rPr>
        <w:t>INFORMATIONS EN BRAILLE</w:t>
      </w:r>
    </w:p>
    <w:p w14:paraId="20FABD7B" w14:textId="77777777" w:rsidR="00D74198" w:rsidRPr="007944F8" w:rsidRDefault="00D74198" w:rsidP="00E93E8B">
      <w:pPr>
        <w:keepNext/>
        <w:widowControl w:val="0"/>
        <w:spacing w:line="240" w:lineRule="auto"/>
        <w:rPr>
          <w:noProof/>
          <w:szCs w:val="22"/>
        </w:rPr>
      </w:pPr>
    </w:p>
    <w:p w14:paraId="4E43D426" w14:textId="77777777" w:rsidR="00D74198" w:rsidRPr="007944F8" w:rsidRDefault="00D74198" w:rsidP="00BE7F7C">
      <w:pPr>
        <w:widowControl w:val="0"/>
        <w:spacing w:line="240" w:lineRule="auto"/>
        <w:outlineLvl w:val="0"/>
        <w:rPr>
          <w:noProof/>
          <w:szCs w:val="22"/>
        </w:rPr>
      </w:pPr>
      <w:r w:rsidRPr="007944F8">
        <w:t>Odomzo 200 mg</w:t>
      </w:r>
    </w:p>
    <w:p w14:paraId="1B2EA60D" w14:textId="77777777" w:rsidR="00D74198" w:rsidRPr="007944F8" w:rsidRDefault="00D74198" w:rsidP="00E93E8B">
      <w:pPr>
        <w:widowControl w:val="0"/>
        <w:spacing w:line="240" w:lineRule="auto"/>
        <w:rPr>
          <w:noProof/>
          <w:szCs w:val="22"/>
          <w:shd w:val="clear" w:color="auto" w:fill="CCCCCC"/>
        </w:rPr>
      </w:pPr>
    </w:p>
    <w:p w14:paraId="67A4F7F1" w14:textId="77777777" w:rsidR="00BE7F7C" w:rsidRPr="004E68D0" w:rsidRDefault="00BE7F7C" w:rsidP="00BE7F7C">
      <w:pPr>
        <w:pBdr>
          <w:top w:val="single" w:sz="4" w:space="1" w:color="auto"/>
          <w:left w:val="single" w:sz="4" w:space="4" w:color="auto"/>
          <w:bottom w:val="single" w:sz="4" w:space="1" w:color="auto"/>
          <w:right w:val="single" w:sz="4" w:space="4" w:color="auto"/>
        </w:pBdr>
        <w:tabs>
          <w:tab w:val="left" w:pos="0"/>
        </w:tabs>
        <w:outlineLvl w:val="0"/>
        <w:rPr>
          <w:i/>
          <w:noProof/>
          <w:szCs w:val="22"/>
        </w:rPr>
      </w:pPr>
      <w:r w:rsidRPr="004E68D0">
        <w:rPr>
          <w:b/>
          <w:noProof/>
          <w:szCs w:val="22"/>
        </w:rPr>
        <w:t>17.</w:t>
      </w:r>
      <w:r w:rsidRPr="004E68D0">
        <w:rPr>
          <w:b/>
          <w:noProof/>
          <w:szCs w:val="22"/>
        </w:rPr>
        <w:tab/>
        <w:t>IDENTIFIANT UNIQUE - CODE-BARRES 2D</w:t>
      </w:r>
    </w:p>
    <w:p w14:paraId="3EC8D3BC" w14:textId="77777777" w:rsidR="00BE7F7C" w:rsidRPr="004E68D0" w:rsidRDefault="00BE7F7C" w:rsidP="00BE7F7C">
      <w:pPr>
        <w:rPr>
          <w:noProof/>
          <w:szCs w:val="22"/>
        </w:rPr>
      </w:pPr>
    </w:p>
    <w:p w14:paraId="396F9E73" w14:textId="77777777" w:rsidR="00BE7F7C" w:rsidRPr="004E68D0" w:rsidRDefault="00BE7F7C" w:rsidP="00BE7F7C">
      <w:pPr>
        <w:rPr>
          <w:noProof/>
          <w:szCs w:val="22"/>
          <w:shd w:val="clear" w:color="auto" w:fill="CCCCCC"/>
        </w:rPr>
      </w:pPr>
      <w:r w:rsidRPr="008D3B3E">
        <w:rPr>
          <w:highlight w:val="lightGray"/>
        </w:rPr>
        <w:t>code-barres 2D portant l'identifiant unique inclus</w:t>
      </w:r>
    </w:p>
    <w:p w14:paraId="0A1E82BD" w14:textId="77777777" w:rsidR="00BE7F7C" w:rsidRPr="004E68D0" w:rsidRDefault="00BE7F7C" w:rsidP="00BE7F7C">
      <w:pPr>
        <w:rPr>
          <w:noProof/>
          <w:szCs w:val="22"/>
        </w:rPr>
      </w:pPr>
    </w:p>
    <w:p w14:paraId="4F8A41C9" w14:textId="77777777" w:rsidR="00BE7F7C" w:rsidRPr="004E68D0" w:rsidRDefault="00BE7F7C" w:rsidP="00BE7F7C">
      <w:pPr>
        <w:rPr>
          <w:noProof/>
          <w:szCs w:val="22"/>
        </w:rPr>
      </w:pPr>
    </w:p>
    <w:p w14:paraId="060A8D8C" w14:textId="77777777" w:rsidR="00BE7F7C" w:rsidRPr="004E68D0" w:rsidRDefault="00BE7F7C" w:rsidP="00BE7F7C">
      <w:pPr>
        <w:pBdr>
          <w:top w:val="single" w:sz="4" w:space="1" w:color="auto"/>
          <w:left w:val="single" w:sz="4" w:space="4" w:color="auto"/>
          <w:bottom w:val="single" w:sz="4" w:space="1" w:color="auto"/>
          <w:right w:val="single" w:sz="4" w:space="4" w:color="auto"/>
        </w:pBdr>
        <w:tabs>
          <w:tab w:val="left" w:pos="0"/>
        </w:tabs>
        <w:outlineLvl w:val="0"/>
        <w:rPr>
          <w:i/>
          <w:noProof/>
          <w:szCs w:val="22"/>
        </w:rPr>
      </w:pPr>
      <w:r w:rsidRPr="004E68D0">
        <w:rPr>
          <w:b/>
          <w:noProof/>
          <w:szCs w:val="22"/>
        </w:rPr>
        <w:t>18.</w:t>
      </w:r>
      <w:r w:rsidRPr="004E68D0">
        <w:rPr>
          <w:b/>
          <w:noProof/>
          <w:szCs w:val="22"/>
        </w:rPr>
        <w:tab/>
        <w:t>IDENTIFIANT UNIQUE - DONNÉES LISIBLES PAR LES HUMAINS</w:t>
      </w:r>
    </w:p>
    <w:p w14:paraId="5DE4D8F3" w14:textId="77777777" w:rsidR="00BE7F7C" w:rsidRPr="004E68D0" w:rsidRDefault="00BE7F7C" w:rsidP="00BE7F7C">
      <w:pPr>
        <w:rPr>
          <w:noProof/>
          <w:szCs w:val="22"/>
        </w:rPr>
      </w:pPr>
    </w:p>
    <w:p w14:paraId="2F63B8BF" w14:textId="77777777" w:rsidR="00BE7F7C" w:rsidRPr="004E68D0" w:rsidRDefault="00BE7F7C" w:rsidP="00BE7F7C">
      <w:pPr>
        <w:outlineLvl w:val="0"/>
        <w:rPr>
          <w:color w:val="008000"/>
          <w:szCs w:val="22"/>
        </w:rPr>
      </w:pPr>
      <w:r w:rsidRPr="004E68D0">
        <w:rPr>
          <w:szCs w:val="22"/>
        </w:rPr>
        <w:t>PC:</w:t>
      </w:r>
    </w:p>
    <w:p w14:paraId="1FB34264" w14:textId="77777777" w:rsidR="00BE7F7C" w:rsidRPr="00311782" w:rsidRDefault="00BE7F7C" w:rsidP="00BE7F7C">
      <w:pPr>
        <w:outlineLvl w:val="0"/>
        <w:rPr>
          <w:szCs w:val="22"/>
          <w:lang w:val="en-US"/>
        </w:rPr>
      </w:pPr>
      <w:r>
        <w:rPr>
          <w:szCs w:val="22"/>
        </w:rPr>
        <w:t>SN:</w:t>
      </w:r>
    </w:p>
    <w:p w14:paraId="3B06C959" w14:textId="77777777" w:rsidR="00BE7F7C" w:rsidRPr="004E68D0" w:rsidRDefault="00BE7F7C" w:rsidP="00BE7F7C">
      <w:pPr>
        <w:outlineLvl w:val="0"/>
        <w:rPr>
          <w:szCs w:val="22"/>
        </w:rPr>
      </w:pPr>
      <w:r w:rsidRPr="004E68D0">
        <w:rPr>
          <w:szCs w:val="22"/>
        </w:rPr>
        <w:t>NN:</w:t>
      </w:r>
    </w:p>
    <w:p w14:paraId="0E673F11" w14:textId="77777777" w:rsidR="00D74198" w:rsidRPr="007944F8" w:rsidRDefault="00D74198" w:rsidP="00E93E8B">
      <w:pPr>
        <w:widowControl w:val="0"/>
        <w:shd w:val="clear" w:color="auto" w:fill="FFFFFF"/>
        <w:spacing w:line="240" w:lineRule="auto"/>
        <w:rPr>
          <w:noProof/>
          <w:szCs w:val="22"/>
        </w:rPr>
      </w:pPr>
      <w:r w:rsidRPr="007944F8">
        <w:br w:type="page"/>
      </w:r>
    </w:p>
    <w:p w14:paraId="29EB1996" w14:textId="77777777" w:rsidR="00D74198" w:rsidRPr="007944F8" w:rsidRDefault="00D74198" w:rsidP="00477090">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7944F8">
        <w:rPr>
          <w:b/>
          <w:noProof/>
        </w:rPr>
        <w:t>MENTIONS MINIMALES DEVANT FIGURER SUR LES PLAQUETTES THERMOFORMÉES OU LES FILMS THERMOSOUDÉS</w:t>
      </w:r>
    </w:p>
    <w:p w14:paraId="3B4161FD" w14:textId="77777777" w:rsidR="00D74198" w:rsidRPr="007944F8" w:rsidRDefault="00D74198" w:rsidP="00E93E8B">
      <w:pPr>
        <w:widowControl w:val="0"/>
        <w:pBdr>
          <w:top w:val="single" w:sz="4" w:space="1" w:color="auto"/>
          <w:left w:val="single" w:sz="4" w:space="4" w:color="auto"/>
          <w:bottom w:val="single" w:sz="4" w:space="1" w:color="auto"/>
          <w:right w:val="single" w:sz="4" w:space="4" w:color="auto"/>
        </w:pBdr>
        <w:spacing w:line="240" w:lineRule="auto"/>
        <w:ind w:left="567" w:hanging="567"/>
        <w:rPr>
          <w:b/>
          <w:noProof/>
          <w:szCs w:val="22"/>
        </w:rPr>
      </w:pPr>
    </w:p>
    <w:p w14:paraId="56590039" w14:textId="77777777" w:rsidR="00D74198" w:rsidRPr="007944F8" w:rsidRDefault="00D74198" w:rsidP="00BE7F7C">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7944F8">
        <w:rPr>
          <w:b/>
          <w:noProof/>
        </w:rPr>
        <w:t>PLAQUETTES</w:t>
      </w:r>
      <w:r w:rsidR="00437465" w:rsidRPr="007944F8">
        <w:rPr>
          <w:b/>
          <w:noProof/>
        </w:rPr>
        <w:t xml:space="preserve"> THERMOFORMÉES</w:t>
      </w:r>
    </w:p>
    <w:p w14:paraId="2F6A7854" w14:textId="77777777" w:rsidR="00D74198" w:rsidRPr="007944F8" w:rsidRDefault="00D74198" w:rsidP="00E93E8B">
      <w:pPr>
        <w:widowControl w:val="0"/>
        <w:spacing w:line="240" w:lineRule="auto"/>
        <w:rPr>
          <w:noProof/>
          <w:szCs w:val="22"/>
        </w:rPr>
      </w:pPr>
    </w:p>
    <w:p w14:paraId="2296FE64" w14:textId="77777777" w:rsidR="00D74198" w:rsidRPr="007944F8" w:rsidRDefault="00D74198" w:rsidP="00E93E8B">
      <w:pPr>
        <w:widowControl w:val="0"/>
        <w:spacing w:line="240" w:lineRule="auto"/>
        <w:rPr>
          <w:noProof/>
          <w:szCs w:val="22"/>
        </w:rPr>
      </w:pPr>
    </w:p>
    <w:p w14:paraId="15AA0DEF" w14:textId="77777777" w:rsidR="00D74198" w:rsidRPr="007944F8" w:rsidRDefault="00D74198" w:rsidP="00E93E8B">
      <w:pPr>
        <w:keepNext/>
        <w:widowControl w:val="0"/>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7944F8">
        <w:rPr>
          <w:b/>
          <w:noProof/>
        </w:rPr>
        <w:t>1.</w:t>
      </w:r>
      <w:r w:rsidRPr="007944F8">
        <w:tab/>
      </w:r>
      <w:r w:rsidRPr="007944F8">
        <w:rPr>
          <w:b/>
          <w:noProof/>
        </w:rPr>
        <w:t>DÉNOMINATION DU MÉDICAMENT</w:t>
      </w:r>
    </w:p>
    <w:p w14:paraId="37E547DE" w14:textId="77777777" w:rsidR="00D74198" w:rsidRPr="007944F8" w:rsidRDefault="00D74198" w:rsidP="00E93E8B">
      <w:pPr>
        <w:keepNext/>
        <w:widowControl w:val="0"/>
        <w:spacing w:line="240" w:lineRule="auto"/>
        <w:rPr>
          <w:noProof/>
          <w:szCs w:val="22"/>
        </w:rPr>
      </w:pPr>
    </w:p>
    <w:p w14:paraId="7202D268" w14:textId="77777777" w:rsidR="00D74198" w:rsidRPr="007944F8" w:rsidRDefault="00D74198" w:rsidP="00BE7F7C">
      <w:pPr>
        <w:keepNext/>
        <w:widowControl w:val="0"/>
        <w:spacing w:line="240" w:lineRule="auto"/>
        <w:outlineLvl w:val="0"/>
        <w:rPr>
          <w:noProof/>
          <w:szCs w:val="22"/>
        </w:rPr>
      </w:pPr>
      <w:r w:rsidRPr="007944F8">
        <w:t>Odomzo 200 mg gélule</w:t>
      </w:r>
      <w:r w:rsidR="00D8372F" w:rsidRPr="007944F8">
        <w:t>s</w:t>
      </w:r>
    </w:p>
    <w:p w14:paraId="714ED9E9" w14:textId="77777777" w:rsidR="00D74198" w:rsidRPr="007944F8" w:rsidRDefault="00931E42" w:rsidP="00E93E8B">
      <w:pPr>
        <w:widowControl w:val="0"/>
        <w:spacing w:line="240" w:lineRule="auto"/>
        <w:rPr>
          <w:szCs w:val="22"/>
        </w:rPr>
      </w:pPr>
      <w:r>
        <w:t>s</w:t>
      </w:r>
      <w:r w:rsidRPr="007944F8">
        <w:t>onidégib</w:t>
      </w:r>
    </w:p>
    <w:p w14:paraId="790AC2D7" w14:textId="77777777" w:rsidR="00D74198" w:rsidRPr="007944F8" w:rsidRDefault="00D74198" w:rsidP="00E93E8B">
      <w:pPr>
        <w:widowControl w:val="0"/>
        <w:spacing w:line="240" w:lineRule="auto"/>
      </w:pPr>
    </w:p>
    <w:p w14:paraId="2CE1B468" w14:textId="77777777" w:rsidR="00D74198" w:rsidRPr="007944F8" w:rsidRDefault="00D74198" w:rsidP="00E93E8B">
      <w:pPr>
        <w:widowControl w:val="0"/>
        <w:spacing w:line="240" w:lineRule="auto"/>
      </w:pPr>
    </w:p>
    <w:p w14:paraId="69D2CED3" w14:textId="77777777" w:rsidR="00D74198" w:rsidRPr="007944F8" w:rsidRDefault="00D74198" w:rsidP="00E93E8B">
      <w:pPr>
        <w:keepNext/>
        <w:widowControl w:val="0"/>
        <w:pBdr>
          <w:top w:val="single" w:sz="4" w:space="1" w:color="auto"/>
          <w:left w:val="single" w:sz="4" w:space="4" w:color="auto"/>
          <w:bottom w:val="single" w:sz="4" w:space="1" w:color="auto"/>
          <w:right w:val="single" w:sz="4" w:space="4" w:color="auto"/>
        </w:pBdr>
        <w:spacing w:line="240" w:lineRule="auto"/>
        <w:ind w:left="567" w:hanging="567"/>
        <w:rPr>
          <w:b/>
        </w:rPr>
      </w:pPr>
      <w:r w:rsidRPr="007944F8">
        <w:rPr>
          <w:b/>
        </w:rPr>
        <w:t>2.</w:t>
      </w:r>
      <w:r w:rsidRPr="007944F8">
        <w:tab/>
      </w:r>
      <w:r w:rsidRPr="007944F8">
        <w:rPr>
          <w:b/>
        </w:rPr>
        <w:t>NOM DU TITULAIRE DE L’AUTORISATION DE MISE SUR LE MARCHÉ</w:t>
      </w:r>
    </w:p>
    <w:p w14:paraId="575554B6" w14:textId="77777777" w:rsidR="00D74198" w:rsidRPr="007944F8" w:rsidRDefault="00D74198" w:rsidP="00E93E8B">
      <w:pPr>
        <w:keepNext/>
        <w:widowControl w:val="0"/>
        <w:spacing w:line="240" w:lineRule="auto"/>
        <w:rPr>
          <w:noProof/>
          <w:szCs w:val="22"/>
        </w:rPr>
      </w:pPr>
    </w:p>
    <w:p w14:paraId="7F9F9EB5" w14:textId="77777777" w:rsidR="00882BCB" w:rsidRDefault="00882BCB" w:rsidP="00BE7F7C">
      <w:pPr>
        <w:keepNext/>
        <w:widowControl w:val="0"/>
        <w:tabs>
          <w:tab w:val="clear" w:pos="567"/>
          <w:tab w:val="left" w:pos="720"/>
        </w:tabs>
        <w:spacing w:line="240" w:lineRule="auto"/>
        <w:outlineLvl w:val="0"/>
        <w:rPr>
          <w:noProof/>
          <w:szCs w:val="22"/>
        </w:rPr>
      </w:pPr>
      <w:r>
        <w:rPr>
          <w:noProof/>
          <w:szCs w:val="22"/>
        </w:rPr>
        <w:t>Sun Pharmaceutical Industries Europe B.V.</w:t>
      </w:r>
    </w:p>
    <w:p w14:paraId="299888BB" w14:textId="77777777" w:rsidR="00D74198" w:rsidRPr="007944F8" w:rsidRDefault="00D74198" w:rsidP="00E93E8B">
      <w:pPr>
        <w:widowControl w:val="0"/>
        <w:spacing w:line="240" w:lineRule="auto"/>
        <w:rPr>
          <w:noProof/>
          <w:szCs w:val="22"/>
        </w:rPr>
      </w:pPr>
    </w:p>
    <w:p w14:paraId="5BC234E4" w14:textId="77777777" w:rsidR="00D74198" w:rsidRPr="007944F8" w:rsidRDefault="00D74198" w:rsidP="00E93E8B">
      <w:pPr>
        <w:widowControl w:val="0"/>
        <w:spacing w:line="240" w:lineRule="auto"/>
        <w:rPr>
          <w:noProof/>
          <w:szCs w:val="22"/>
        </w:rPr>
      </w:pPr>
    </w:p>
    <w:p w14:paraId="4473E931" w14:textId="77777777" w:rsidR="00D74198" w:rsidRPr="007944F8" w:rsidRDefault="00D74198" w:rsidP="00E93E8B">
      <w:pPr>
        <w:keepNext/>
        <w:widowControl w:val="0"/>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7944F8">
        <w:rPr>
          <w:b/>
          <w:noProof/>
        </w:rPr>
        <w:t>3.</w:t>
      </w:r>
      <w:r w:rsidRPr="007944F8">
        <w:tab/>
      </w:r>
      <w:r w:rsidRPr="007944F8">
        <w:rPr>
          <w:b/>
          <w:noProof/>
        </w:rPr>
        <w:t>DATE DE PÉREMPTION</w:t>
      </w:r>
    </w:p>
    <w:p w14:paraId="2DC5D8E4" w14:textId="77777777" w:rsidR="00D74198" w:rsidRPr="007944F8" w:rsidRDefault="00D74198" w:rsidP="00E93E8B">
      <w:pPr>
        <w:keepNext/>
        <w:widowControl w:val="0"/>
        <w:spacing w:line="240" w:lineRule="auto"/>
        <w:rPr>
          <w:noProof/>
          <w:szCs w:val="22"/>
        </w:rPr>
      </w:pPr>
    </w:p>
    <w:p w14:paraId="1A1E5F5F" w14:textId="77777777" w:rsidR="00D74198" w:rsidRPr="007944F8" w:rsidRDefault="00D74198" w:rsidP="00BE7F7C">
      <w:pPr>
        <w:widowControl w:val="0"/>
        <w:spacing w:line="240" w:lineRule="auto"/>
        <w:outlineLvl w:val="0"/>
        <w:rPr>
          <w:noProof/>
          <w:szCs w:val="22"/>
        </w:rPr>
      </w:pPr>
      <w:r w:rsidRPr="007944F8">
        <w:t>EXP</w:t>
      </w:r>
    </w:p>
    <w:p w14:paraId="1A3D905D" w14:textId="77777777" w:rsidR="00D74198" w:rsidRPr="007944F8" w:rsidRDefault="00D74198" w:rsidP="00E93E8B">
      <w:pPr>
        <w:widowControl w:val="0"/>
        <w:spacing w:line="240" w:lineRule="auto"/>
        <w:rPr>
          <w:noProof/>
          <w:szCs w:val="22"/>
        </w:rPr>
      </w:pPr>
    </w:p>
    <w:p w14:paraId="46D7F2E3" w14:textId="77777777" w:rsidR="00D74198" w:rsidRPr="007944F8" w:rsidRDefault="00D74198" w:rsidP="00E93E8B">
      <w:pPr>
        <w:widowControl w:val="0"/>
        <w:spacing w:line="240" w:lineRule="auto"/>
        <w:rPr>
          <w:noProof/>
          <w:szCs w:val="22"/>
        </w:rPr>
      </w:pPr>
    </w:p>
    <w:p w14:paraId="658DC3A8" w14:textId="77777777" w:rsidR="00D74198" w:rsidRPr="007944F8" w:rsidRDefault="00D74198" w:rsidP="00E93E8B">
      <w:pPr>
        <w:keepNext/>
        <w:widowControl w:val="0"/>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7944F8">
        <w:rPr>
          <w:b/>
          <w:noProof/>
        </w:rPr>
        <w:t>4.</w:t>
      </w:r>
      <w:r w:rsidRPr="007944F8">
        <w:tab/>
      </w:r>
      <w:r w:rsidRPr="007944F8">
        <w:rPr>
          <w:b/>
          <w:noProof/>
        </w:rPr>
        <w:t>NUMÉRO DU LOT</w:t>
      </w:r>
    </w:p>
    <w:p w14:paraId="0A97F208" w14:textId="77777777" w:rsidR="00D74198" w:rsidRPr="007944F8" w:rsidRDefault="00D74198" w:rsidP="00E93E8B">
      <w:pPr>
        <w:keepNext/>
        <w:widowControl w:val="0"/>
        <w:spacing w:line="240" w:lineRule="auto"/>
        <w:rPr>
          <w:noProof/>
          <w:szCs w:val="22"/>
        </w:rPr>
      </w:pPr>
    </w:p>
    <w:p w14:paraId="022CC2E6" w14:textId="77777777" w:rsidR="00D74198" w:rsidRPr="007944F8" w:rsidRDefault="00D74198" w:rsidP="00BE7F7C">
      <w:pPr>
        <w:widowControl w:val="0"/>
        <w:spacing w:line="240" w:lineRule="auto"/>
        <w:outlineLvl w:val="0"/>
        <w:rPr>
          <w:noProof/>
          <w:szCs w:val="22"/>
        </w:rPr>
      </w:pPr>
      <w:r w:rsidRPr="007944F8">
        <w:t>Lot</w:t>
      </w:r>
    </w:p>
    <w:p w14:paraId="0A3DA88E" w14:textId="77777777" w:rsidR="00D74198" w:rsidRPr="007944F8" w:rsidRDefault="00D74198" w:rsidP="00E93E8B">
      <w:pPr>
        <w:widowControl w:val="0"/>
        <w:spacing w:line="240" w:lineRule="auto"/>
        <w:rPr>
          <w:noProof/>
          <w:szCs w:val="22"/>
        </w:rPr>
      </w:pPr>
    </w:p>
    <w:p w14:paraId="7A780F80" w14:textId="77777777" w:rsidR="00D74198" w:rsidRPr="007944F8" w:rsidRDefault="00D74198" w:rsidP="00E93E8B">
      <w:pPr>
        <w:widowControl w:val="0"/>
        <w:spacing w:line="240" w:lineRule="auto"/>
        <w:rPr>
          <w:noProof/>
          <w:szCs w:val="22"/>
        </w:rPr>
      </w:pPr>
    </w:p>
    <w:p w14:paraId="6AF79002" w14:textId="77777777" w:rsidR="00D74198" w:rsidRPr="007944F8" w:rsidRDefault="00D74198" w:rsidP="00E93E8B">
      <w:pPr>
        <w:widowControl w:val="0"/>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7944F8">
        <w:rPr>
          <w:b/>
          <w:noProof/>
        </w:rPr>
        <w:t>5.</w:t>
      </w:r>
      <w:r w:rsidRPr="007944F8">
        <w:tab/>
      </w:r>
      <w:r w:rsidRPr="007944F8">
        <w:rPr>
          <w:b/>
          <w:noProof/>
        </w:rPr>
        <w:t>AUTRES</w:t>
      </w:r>
    </w:p>
    <w:p w14:paraId="365C8AA6" w14:textId="77777777" w:rsidR="00D74198" w:rsidRPr="007944F8" w:rsidRDefault="00D74198" w:rsidP="00E93E8B">
      <w:pPr>
        <w:widowControl w:val="0"/>
      </w:pPr>
    </w:p>
    <w:p w14:paraId="173FC7C4" w14:textId="77777777" w:rsidR="00A41E3E" w:rsidRPr="007944F8" w:rsidRDefault="00A41E3E" w:rsidP="00E93E8B">
      <w:pPr>
        <w:widowControl w:val="0"/>
      </w:pPr>
      <w:r w:rsidRPr="007944F8">
        <w:br w:type="page"/>
      </w:r>
    </w:p>
    <w:p w14:paraId="04DF6C4B" w14:textId="77777777" w:rsidR="00A41E3E" w:rsidRPr="007944F8" w:rsidRDefault="00A41E3E" w:rsidP="00E93E8B">
      <w:pPr>
        <w:widowControl w:val="0"/>
        <w:rPr>
          <w:noProof/>
        </w:rPr>
      </w:pPr>
    </w:p>
    <w:p w14:paraId="0A4A34AB" w14:textId="77777777" w:rsidR="00A41E3E" w:rsidRPr="007944F8" w:rsidRDefault="00A41E3E" w:rsidP="00E93E8B">
      <w:pPr>
        <w:widowControl w:val="0"/>
        <w:rPr>
          <w:noProof/>
        </w:rPr>
      </w:pPr>
    </w:p>
    <w:p w14:paraId="5BD3392B" w14:textId="77777777" w:rsidR="00A41E3E" w:rsidRPr="007944F8" w:rsidRDefault="00A41E3E" w:rsidP="00E93E8B">
      <w:pPr>
        <w:widowControl w:val="0"/>
        <w:rPr>
          <w:noProof/>
        </w:rPr>
      </w:pPr>
    </w:p>
    <w:p w14:paraId="5145178A" w14:textId="77777777" w:rsidR="00A41E3E" w:rsidRPr="007944F8" w:rsidRDefault="00A41E3E" w:rsidP="00E93E8B">
      <w:pPr>
        <w:widowControl w:val="0"/>
        <w:rPr>
          <w:noProof/>
        </w:rPr>
      </w:pPr>
    </w:p>
    <w:p w14:paraId="62A4D8B4" w14:textId="77777777" w:rsidR="00A41E3E" w:rsidRPr="007944F8" w:rsidRDefault="00A41E3E" w:rsidP="00E93E8B">
      <w:pPr>
        <w:widowControl w:val="0"/>
        <w:rPr>
          <w:noProof/>
        </w:rPr>
      </w:pPr>
    </w:p>
    <w:p w14:paraId="691A6DD8" w14:textId="77777777" w:rsidR="00A41E3E" w:rsidRPr="007944F8" w:rsidRDefault="00A41E3E" w:rsidP="00E93E8B">
      <w:pPr>
        <w:widowControl w:val="0"/>
        <w:rPr>
          <w:noProof/>
        </w:rPr>
      </w:pPr>
    </w:p>
    <w:p w14:paraId="35F4EC5C" w14:textId="77777777" w:rsidR="00A41E3E" w:rsidRPr="007944F8" w:rsidRDefault="00A41E3E" w:rsidP="00E93E8B">
      <w:pPr>
        <w:widowControl w:val="0"/>
        <w:rPr>
          <w:noProof/>
        </w:rPr>
      </w:pPr>
    </w:p>
    <w:p w14:paraId="101C46B0" w14:textId="77777777" w:rsidR="00A41E3E" w:rsidRPr="007944F8" w:rsidRDefault="00A41E3E" w:rsidP="00E93E8B">
      <w:pPr>
        <w:widowControl w:val="0"/>
        <w:rPr>
          <w:noProof/>
        </w:rPr>
      </w:pPr>
    </w:p>
    <w:p w14:paraId="27D0896F" w14:textId="77777777" w:rsidR="00A41E3E" w:rsidRPr="007944F8" w:rsidRDefault="00A41E3E" w:rsidP="00E93E8B">
      <w:pPr>
        <w:widowControl w:val="0"/>
        <w:rPr>
          <w:noProof/>
        </w:rPr>
      </w:pPr>
    </w:p>
    <w:p w14:paraId="06352358" w14:textId="77777777" w:rsidR="00A41E3E" w:rsidRPr="007944F8" w:rsidRDefault="00A41E3E" w:rsidP="00E93E8B">
      <w:pPr>
        <w:widowControl w:val="0"/>
        <w:rPr>
          <w:noProof/>
        </w:rPr>
      </w:pPr>
    </w:p>
    <w:p w14:paraId="3F99AD67" w14:textId="77777777" w:rsidR="00A41E3E" w:rsidRPr="007944F8" w:rsidRDefault="00A41E3E" w:rsidP="00E93E8B">
      <w:pPr>
        <w:widowControl w:val="0"/>
        <w:rPr>
          <w:noProof/>
        </w:rPr>
      </w:pPr>
    </w:p>
    <w:p w14:paraId="059E185F" w14:textId="77777777" w:rsidR="00A41E3E" w:rsidRPr="007944F8" w:rsidRDefault="00A41E3E" w:rsidP="00E93E8B">
      <w:pPr>
        <w:widowControl w:val="0"/>
        <w:rPr>
          <w:noProof/>
        </w:rPr>
      </w:pPr>
    </w:p>
    <w:p w14:paraId="1D19A0B9" w14:textId="77777777" w:rsidR="00A41E3E" w:rsidRPr="007944F8" w:rsidRDefault="00A41E3E" w:rsidP="00E93E8B">
      <w:pPr>
        <w:widowControl w:val="0"/>
        <w:rPr>
          <w:noProof/>
        </w:rPr>
      </w:pPr>
    </w:p>
    <w:p w14:paraId="7B379320" w14:textId="77777777" w:rsidR="00A41E3E" w:rsidRPr="007944F8" w:rsidRDefault="00A41E3E" w:rsidP="00E93E8B">
      <w:pPr>
        <w:widowControl w:val="0"/>
        <w:rPr>
          <w:noProof/>
        </w:rPr>
      </w:pPr>
    </w:p>
    <w:p w14:paraId="1E141C20" w14:textId="77777777" w:rsidR="00A41E3E" w:rsidRPr="007944F8" w:rsidRDefault="00A41E3E" w:rsidP="00E93E8B">
      <w:pPr>
        <w:widowControl w:val="0"/>
        <w:rPr>
          <w:noProof/>
        </w:rPr>
      </w:pPr>
    </w:p>
    <w:p w14:paraId="0487C7E1" w14:textId="77777777" w:rsidR="00A41E3E" w:rsidRPr="007944F8" w:rsidRDefault="00A41E3E" w:rsidP="00E93E8B">
      <w:pPr>
        <w:widowControl w:val="0"/>
        <w:rPr>
          <w:noProof/>
        </w:rPr>
      </w:pPr>
    </w:p>
    <w:p w14:paraId="680BA474" w14:textId="77777777" w:rsidR="00A41E3E" w:rsidRPr="007944F8" w:rsidRDefault="00A41E3E" w:rsidP="00E93E8B">
      <w:pPr>
        <w:widowControl w:val="0"/>
        <w:rPr>
          <w:noProof/>
        </w:rPr>
      </w:pPr>
    </w:p>
    <w:p w14:paraId="21B0EC4E" w14:textId="77777777" w:rsidR="00A41E3E" w:rsidRPr="007944F8" w:rsidRDefault="00A41E3E" w:rsidP="00E93E8B">
      <w:pPr>
        <w:widowControl w:val="0"/>
        <w:rPr>
          <w:noProof/>
        </w:rPr>
      </w:pPr>
    </w:p>
    <w:p w14:paraId="1B6630F9" w14:textId="77777777" w:rsidR="00A41E3E" w:rsidRPr="007944F8" w:rsidRDefault="00A41E3E" w:rsidP="00E93E8B">
      <w:pPr>
        <w:widowControl w:val="0"/>
        <w:rPr>
          <w:noProof/>
        </w:rPr>
      </w:pPr>
    </w:p>
    <w:p w14:paraId="3A71829F" w14:textId="77777777" w:rsidR="00A41E3E" w:rsidRPr="007944F8" w:rsidRDefault="00A41E3E" w:rsidP="00E93E8B">
      <w:pPr>
        <w:widowControl w:val="0"/>
        <w:rPr>
          <w:noProof/>
        </w:rPr>
      </w:pPr>
    </w:p>
    <w:p w14:paraId="2FACD026" w14:textId="77777777" w:rsidR="00A41E3E" w:rsidRPr="007944F8" w:rsidRDefault="00A41E3E" w:rsidP="00E93E8B">
      <w:pPr>
        <w:widowControl w:val="0"/>
        <w:rPr>
          <w:noProof/>
        </w:rPr>
      </w:pPr>
    </w:p>
    <w:p w14:paraId="13BA1919" w14:textId="77777777" w:rsidR="00A41E3E" w:rsidRPr="007944F8" w:rsidRDefault="00A41E3E" w:rsidP="00E93E8B">
      <w:pPr>
        <w:widowControl w:val="0"/>
        <w:rPr>
          <w:noProof/>
        </w:rPr>
      </w:pPr>
    </w:p>
    <w:p w14:paraId="65619F02" w14:textId="77777777" w:rsidR="00A41E3E" w:rsidRPr="007944F8" w:rsidRDefault="00A41E3E" w:rsidP="0017061D">
      <w:pPr>
        <w:pStyle w:val="TitleEMA1"/>
      </w:pPr>
      <w:r w:rsidRPr="007944F8">
        <w:t>B. NOTICE</w:t>
      </w:r>
    </w:p>
    <w:p w14:paraId="6D1E0224" w14:textId="77777777" w:rsidR="00A41E3E" w:rsidRPr="007944F8" w:rsidRDefault="00A41E3E" w:rsidP="00BE7F7C">
      <w:pPr>
        <w:widowControl w:val="0"/>
        <w:jc w:val="center"/>
        <w:outlineLvl w:val="0"/>
        <w:rPr>
          <w:b/>
          <w:noProof/>
        </w:rPr>
      </w:pPr>
      <w:r w:rsidRPr="007944F8">
        <w:br w:type="page"/>
      </w:r>
      <w:r w:rsidRPr="007944F8">
        <w:rPr>
          <w:b/>
          <w:noProof/>
        </w:rPr>
        <w:t>Notice : information du patient</w:t>
      </w:r>
    </w:p>
    <w:p w14:paraId="334506EE" w14:textId="77777777" w:rsidR="00A41E3E" w:rsidRPr="007944F8" w:rsidRDefault="00A41E3E" w:rsidP="00E93E8B">
      <w:pPr>
        <w:widowControl w:val="0"/>
        <w:numPr>
          <w:ilvl w:val="12"/>
          <w:numId w:val="0"/>
        </w:numPr>
        <w:shd w:val="clear" w:color="auto" w:fill="FFFFFF"/>
        <w:tabs>
          <w:tab w:val="clear" w:pos="567"/>
        </w:tabs>
        <w:spacing w:line="240" w:lineRule="auto"/>
        <w:jc w:val="center"/>
        <w:rPr>
          <w:noProof/>
        </w:rPr>
      </w:pPr>
    </w:p>
    <w:p w14:paraId="7A27A901" w14:textId="77777777" w:rsidR="00A41E3E" w:rsidRPr="007944F8" w:rsidRDefault="00D013D7" w:rsidP="00BE7F7C">
      <w:pPr>
        <w:widowControl w:val="0"/>
        <w:jc w:val="center"/>
        <w:outlineLvl w:val="0"/>
        <w:rPr>
          <w:b/>
          <w:noProof/>
        </w:rPr>
      </w:pPr>
      <w:r w:rsidRPr="007944F8">
        <w:rPr>
          <w:b/>
          <w:noProof/>
        </w:rPr>
        <w:t>Odomzo 200 mg gélule</w:t>
      </w:r>
      <w:r w:rsidR="00D8372F" w:rsidRPr="007944F8">
        <w:rPr>
          <w:b/>
          <w:noProof/>
        </w:rPr>
        <w:t>s</w:t>
      </w:r>
    </w:p>
    <w:p w14:paraId="5E8B95AE" w14:textId="77777777" w:rsidR="00A41E3E" w:rsidRPr="007944F8" w:rsidRDefault="00BB5AB9" w:rsidP="00E93E8B">
      <w:pPr>
        <w:widowControl w:val="0"/>
        <w:numPr>
          <w:ilvl w:val="12"/>
          <w:numId w:val="0"/>
        </w:numPr>
        <w:tabs>
          <w:tab w:val="clear" w:pos="567"/>
        </w:tabs>
        <w:spacing w:line="240" w:lineRule="auto"/>
        <w:jc w:val="center"/>
        <w:rPr>
          <w:noProof/>
        </w:rPr>
      </w:pPr>
      <w:r w:rsidRPr="007944F8">
        <w:t>s</w:t>
      </w:r>
      <w:r w:rsidR="00A41E3E" w:rsidRPr="007944F8">
        <w:t>onidégib</w:t>
      </w:r>
    </w:p>
    <w:p w14:paraId="2BFA1A0A" w14:textId="77777777" w:rsidR="00A41E3E" w:rsidRPr="007944F8" w:rsidRDefault="00A41E3E" w:rsidP="00E93E8B">
      <w:pPr>
        <w:widowControl w:val="0"/>
        <w:numPr>
          <w:ilvl w:val="12"/>
          <w:numId w:val="0"/>
        </w:numPr>
        <w:tabs>
          <w:tab w:val="clear" w:pos="567"/>
        </w:tabs>
        <w:spacing w:line="240" w:lineRule="auto"/>
        <w:jc w:val="center"/>
        <w:rPr>
          <w:noProof/>
          <w:szCs w:val="22"/>
        </w:rPr>
      </w:pPr>
    </w:p>
    <w:p w14:paraId="34C5C5B4" w14:textId="77777777" w:rsidR="00300356" w:rsidRPr="007944F8" w:rsidRDefault="00300356" w:rsidP="00E93E8B">
      <w:pPr>
        <w:widowControl w:val="0"/>
        <w:spacing w:line="240" w:lineRule="auto"/>
        <w:rPr>
          <w:szCs w:val="22"/>
        </w:rPr>
      </w:pPr>
    </w:p>
    <w:p w14:paraId="223E5C97" w14:textId="77777777" w:rsidR="00300356" w:rsidRPr="007944F8" w:rsidRDefault="00300356" w:rsidP="00BB5AB9">
      <w:pPr>
        <w:pStyle w:val="Text"/>
        <w:keepLines w:val="0"/>
        <w:widowControl w:val="0"/>
        <w:pBdr>
          <w:top w:val="single" w:sz="4" w:space="1" w:color="auto"/>
          <w:left w:val="single" w:sz="4" w:space="4" w:color="auto"/>
          <w:bottom w:val="single" w:sz="4" w:space="1" w:color="auto"/>
          <w:right w:val="single" w:sz="4" w:space="4" w:color="auto"/>
        </w:pBdr>
        <w:spacing w:before="0"/>
        <w:rPr>
          <w:sz w:val="22"/>
          <w:szCs w:val="22"/>
          <w:lang w:val="fr-FR"/>
        </w:rPr>
      </w:pPr>
      <w:r w:rsidRPr="007944F8">
        <w:rPr>
          <w:sz w:val="22"/>
        </w:rPr>
        <w:t xml:space="preserve">Odomzo peut provoquer des anomalies congénitales sévères. Cela peut entraîner la mort du bébé avant ou peu après sa naissance. Vous ne devez pas </w:t>
      </w:r>
      <w:r w:rsidR="0042023E" w:rsidRPr="007944F8">
        <w:rPr>
          <w:sz w:val="22"/>
          <w:lang w:val="fr-FR"/>
        </w:rPr>
        <w:t xml:space="preserve">débuter une grossesse </w:t>
      </w:r>
      <w:r w:rsidRPr="007944F8">
        <w:rPr>
          <w:sz w:val="22"/>
        </w:rPr>
        <w:t>pendant que vous prenez ce médicament.</w:t>
      </w:r>
      <w:r w:rsidR="00BB5AB9" w:rsidRPr="007944F8">
        <w:rPr>
          <w:sz w:val="22"/>
          <w:lang w:val="fr-FR"/>
        </w:rPr>
        <w:t xml:space="preserve"> Vous devez suivre les instructions </w:t>
      </w:r>
      <w:r w:rsidR="00372323" w:rsidRPr="007944F8">
        <w:rPr>
          <w:sz w:val="22"/>
          <w:lang w:val="fr-FR"/>
        </w:rPr>
        <w:t xml:space="preserve">sur la contraception </w:t>
      </w:r>
      <w:r w:rsidR="00BB5AB9" w:rsidRPr="007944F8">
        <w:rPr>
          <w:sz w:val="22"/>
          <w:lang w:val="fr-FR"/>
        </w:rPr>
        <w:t>contenues dans cette notice.</w:t>
      </w:r>
    </w:p>
    <w:p w14:paraId="4D72CA4C" w14:textId="77777777" w:rsidR="00A41E3E" w:rsidRPr="007944F8" w:rsidRDefault="00A41E3E" w:rsidP="00E93E8B">
      <w:pPr>
        <w:widowControl w:val="0"/>
        <w:tabs>
          <w:tab w:val="clear" w:pos="567"/>
        </w:tabs>
        <w:spacing w:line="240" w:lineRule="auto"/>
        <w:rPr>
          <w:noProof/>
        </w:rPr>
      </w:pPr>
    </w:p>
    <w:p w14:paraId="47C79D5A" w14:textId="77777777" w:rsidR="00A41E3E" w:rsidRPr="007944F8" w:rsidRDefault="00A41E3E" w:rsidP="00E96874">
      <w:pPr>
        <w:keepNext/>
        <w:widowControl w:val="0"/>
        <w:tabs>
          <w:tab w:val="clear" w:pos="567"/>
        </w:tabs>
        <w:suppressAutoHyphens/>
        <w:spacing w:line="240" w:lineRule="auto"/>
        <w:rPr>
          <w:noProof/>
        </w:rPr>
      </w:pPr>
      <w:r w:rsidRPr="007944F8">
        <w:rPr>
          <w:b/>
          <w:noProof/>
        </w:rPr>
        <w:t>Veuillez lire attentivement cette notice avant de prendre ce médicament</w:t>
      </w:r>
      <w:r w:rsidR="0091047A">
        <w:rPr>
          <w:b/>
          <w:noProof/>
        </w:rPr>
        <w:t>,</w:t>
      </w:r>
      <w:r w:rsidRPr="007944F8">
        <w:rPr>
          <w:b/>
          <w:noProof/>
        </w:rPr>
        <w:t xml:space="preserve"> car elle contient des informations importantes pour vous.</w:t>
      </w:r>
    </w:p>
    <w:p w14:paraId="4FEC5412" w14:textId="77777777" w:rsidR="00A41E3E" w:rsidRPr="007944F8" w:rsidRDefault="00A41E3E" w:rsidP="00E96874">
      <w:pPr>
        <w:widowControl w:val="0"/>
        <w:numPr>
          <w:ilvl w:val="0"/>
          <w:numId w:val="28"/>
        </w:numPr>
        <w:tabs>
          <w:tab w:val="clear" w:pos="567"/>
        </w:tabs>
        <w:spacing w:line="240" w:lineRule="auto"/>
        <w:ind w:left="567" w:right="-2" w:hanging="567"/>
        <w:rPr>
          <w:noProof/>
        </w:rPr>
      </w:pPr>
      <w:r w:rsidRPr="007944F8">
        <w:t>Gardez cette notice. Vous pourriez avoir besoin de la relire.</w:t>
      </w:r>
    </w:p>
    <w:p w14:paraId="3862103B" w14:textId="77777777" w:rsidR="00A41E3E" w:rsidRPr="007944F8" w:rsidRDefault="00A41E3E" w:rsidP="00E96874">
      <w:pPr>
        <w:widowControl w:val="0"/>
        <w:numPr>
          <w:ilvl w:val="0"/>
          <w:numId w:val="28"/>
        </w:numPr>
        <w:tabs>
          <w:tab w:val="clear" w:pos="567"/>
        </w:tabs>
        <w:spacing w:line="240" w:lineRule="auto"/>
        <w:ind w:left="567" w:right="-2" w:hanging="567"/>
        <w:rPr>
          <w:noProof/>
        </w:rPr>
      </w:pPr>
      <w:r w:rsidRPr="007944F8">
        <w:t>Si vous avez d’autres questions, interrogez votre médecin ou votre pharmacien.</w:t>
      </w:r>
    </w:p>
    <w:p w14:paraId="25156B2C" w14:textId="77777777" w:rsidR="00A41E3E" w:rsidRPr="007944F8" w:rsidRDefault="00A41E3E" w:rsidP="00E96874">
      <w:pPr>
        <w:widowControl w:val="0"/>
        <w:numPr>
          <w:ilvl w:val="0"/>
          <w:numId w:val="28"/>
        </w:numPr>
        <w:tabs>
          <w:tab w:val="clear" w:pos="567"/>
        </w:tabs>
        <w:spacing w:line="240" w:lineRule="auto"/>
        <w:ind w:left="567" w:right="-2" w:hanging="567"/>
        <w:rPr>
          <w:noProof/>
        </w:rPr>
      </w:pPr>
      <w:r w:rsidRPr="007944F8">
        <w:t>Ce médicament vous a été personnellement prescrit. Ne le donnez pas à d’autres personnes. Il pourrait leur être nocif, même si les signes de leur maladie sont identiques aux vôtres.</w:t>
      </w:r>
    </w:p>
    <w:p w14:paraId="41BD3241" w14:textId="77777777" w:rsidR="00A41E3E" w:rsidRPr="007944F8" w:rsidRDefault="00A41E3E" w:rsidP="00E96874">
      <w:pPr>
        <w:widowControl w:val="0"/>
        <w:numPr>
          <w:ilvl w:val="0"/>
          <w:numId w:val="28"/>
        </w:numPr>
        <w:spacing w:line="240" w:lineRule="auto"/>
        <w:ind w:left="567" w:hanging="567"/>
      </w:pPr>
      <w:r w:rsidRPr="007944F8">
        <w:t>Si vous ressentez un quelconque effet indésirable, parlez-en à votre médecin ou votre pharmacien.</w:t>
      </w:r>
      <w:r w:rsidRPr="007944F8">
        <w:rPr>
          <w:color w:val="FF0000"/>
        </w:rPr>
        <w:t xml:space="preserve"> </w:t>
      </w:r>
      <w:r w:rsidRPr="007944F8">
        <w:t>Ceci s’applique aussi à tout effet indésirable qui ne serait pas mentionné dans cette notice. Voir rubrique 4.</w:t>
      </w:r>
    </w:p>
    <w:p w14:paraId="123DB518" w14:textId="77777777" w:rsidR="00A41E3E" w:rsidRPr="007944F8" w:rsidRDefault="00A41E3E" w:rsidP="00E93E8B">
      <w:pPr>
        <w:widowControl w:val="0"/>
        <w:tabs>
          <w:tab w:val="clear" w:pos="567"/>
        </w:tabs>
        <w:spacing w:line="240" w:lineRule="auto"/>
        <w:ind w:right="-2"/>
      </w:pPr>
    </w:p>
    <w:p w14:paraId="64590626" w14:textId="77777777" w:rsidR="00A41E3E" w:rsidRPr="007944F8" w:rsidRDefault="00A41E3E" w:rsidP="00BE7F7C">
      <w:pPr>
        <w:keepNext/>
        <w:widowControl w:val="0"/>
        <w:outlineLvl w:val="0"/>
        <w:rPr>
          <w:b/>
          <w:noProof/>
        </w:rPr>
      </w:pPr>
      <w:r w:rsidRPr="007944F8">
        <w:rPr>
          <w:b/>
        </w:rPr>
        <w:t>Que contient cette notice :</w:t>
      </w:r>
    </w:p>
    <w:p w14:paraId="464DD4FE" w14:textId="77777777" w:rsidR="00A41E3E" w:rsidRPr="007944F8" w:rsidRDefault="00A41E3E" w:rsidP="00E93E8B">
      <w:pPr>
        <w:keepNext/>
        <w:widowControl w:val="0"/>
        <w:rPr>
          <w:noProof/>
        </w:rPr>
      </w:pPr>
    </w:p>
    <w:p w14:paraId="32F0F169" w14:textId="77777777" w:rsidR="00A41E3E" w:rsidRPr="007944F8" w:rsidRDefault="00A41E3E" w:rsidP="00E93E8B">
      <w:pPr>
        <w:widowControl w:val="0"/>
        <w:numPr>
          <w:ilvl w:val="12"/>
          <w:numId w:val="0"/>
        </w:numPr>
        <w:tabs>
          <w:tab w:val="clear" w:pos="567"/>
        </w:tabs>
        <w:spacing w:line="240" w:lineRule="auto"/>
        <w:ind w:right="-29"/>
        <w:rPr>
          <w:noProof/>
        </w:rPr>
      </w:pPr>
      <w:r w:rsidRPr="007944F8">
        <w:t>1.</w:t>
      </w:r>
      <w:r w:rsidRPr="007944F8">
        <w:tab/>
        <w:t>Qu’est-ce qu’Odomzo et dans quel cas est-il utilisé</w:t>
      </w:r>
    </w:p>
    <w:p w14:paraId="606A1A84" w14:textId="77777777" w:rsidR="00A41E3E" w:rsidRPr="007944F8" w:rsidRDefault="00A41E3E" w:rsidP="00E93E8B">
      <w:pPr>
        <w:widowControl w:val="0"/>
        <w:numPr>
          <w:ilvl w:val="12"/>
          <w:numId w:val="0"/>
        </w:numPr>
        <w:tabs>
          <w:tab w:val="clear" w:pos="567"/>
        </w:tabs>
        <w:spacing w:line="240" w:lineRule="auto"/>
        <w:ind w:right="-29"/>
        <w:rPr>
          <w:noProof/>
        </w:rPr>
      </w:pPr>
      <w:r w:rsidRPr="007944F8">
        <w:t>2.</w:t>
      </w:r>
      <w:r w:rsidRPr="007944F8">
        <w:tab/>
        <w:t>Quelles sont les informations à connaître avant de prendre Odomzo</w:t>
      </w:r>
    </w:p>
    <w:p w14:paraId="61881DD5" w14:textId="77777777" w:rsidR="00A41E3E" w:rsidRPr="007944F8" w:rsidRDefault="00A41E3E" w:rsidP="00E93E8B">
      <w:pPr>
        <w:widowControl w:val="0"/>
        <w:numPr>
          <w:ilvl w:val="12"/>
          <w:numId w:val="0"/>
        </w:numPr>
        <w:tabs>
          <w:tab w:val="clear" w:pos="567"/>
        </w:tabs>
        <w:spacing w:line="240" w:lineRule="auto"/>
        <w:ind w:right="-29"/>
        <w:rPr>
          <w:noProof/>
        </w:rPr>
      </w:pPr>
      <w:r w:rsidRPr="007944F8">
        <w:t>3.</w:t>
      </w:r>
      <w:r w:rsidRPr="007944F8">
        <w:tab/>
        <w:t>Comment prendre Odomzo</w:t>
      </w:r>
    </w:p>
    <w:p w14:paraId="3DED5317" w14:textId="77777777" w:rsidR="00A41E3E" w:rsidRPr="007944F8" w:rsidRDefault="00D013D7" w:rsidP="00E93E8B">
      <w:pPr>
        <w:widowControl w:val="0"/>
        <w:numPr>
          <w:ilvl w:val="12"/>
          <w:numId w:val="0"/>
        </w:numPr>
        <w:tabs>
          <w:tab w:val="clear" w:pos="567"/>
        </w:tabs>
        <w:spacing w:line="240" w:lineRule="auto"/>
        <w:ind w:right="-29"/>
        <w:rPr>
          <w:noProof/>
        </w:rPr>
      </w:pPr>
      <w:r w:rsidRPr="007944F8">
        <w:t>4.</w:t>
      </w:r>
      <w:r w:rsidRPr="007944F8">
        <w:tab/>
        <w:t>Quels sont les effets indésirables éventuels</w:t>
      </w:r>
    </w:p>
    <w:p w14:paraId="5499639C" w14:textId="77777777" w:rsidR="00A41E3E" w:rsidRPr="007944F8" w:rsidRDefault="00A41E3E" w:rsidP="00E93E8B">
      <w:pPr>
        <w:widowControl w:val="0"/>
        <w:tabs>
          <w:tab w:val="clear" w:pos="567"/>
        </w:tabs>
        <w:spacing w:line="240" w:lineRule="auto"/>
        <w:ind w:right="-29"/>
        <w:rPr>
          <w:noProof/>
        </w:rPr>
      </w:pPr>
      <w:r w:rsidRPr="007944F8">
        <w:t>5.</w:t>
      </w:r>
      <w:r w:rsidRPr="007944F8">
        <w:tab/>
        <w:t>Comment conserver Odomzo</w:t>
      </w:r>
    </w:p>
    <w:p w14:paraId="1B8F31BD" w14:textId="77777777" w:rsidR="00A41E3E" w:rsidRPr="007944F8" w:rsidRDefault="00A41E3E" w:rsidP="00E93E8B">
      <w:pPr>
        <w:widowControl w:val="0"/>
        <w:tabs>
          <w:tab w:val="clear" w:pos="567"/>
        </w:tabs>
        <w:spacing w:line="240" w:lineRule="auto"/>
        <w:ind w:right="-29"/>
        <w:rPr>
          <w:noProof/>
        </w:rPr>
      </w:pPr>
      <w:r w:rsidRPr="007944F8">
        <w:t>6.</w:t>
      </w:r>
      <w:r w:rsidRPr="007944F8">
        <w:tab/>
        <w:t>Contenu de l’emballage et autres informations</w:t>
      </w:r>
    </w:p>
    <w:p w14:paraId="5F73DFDF" w14:textId="77777777" w:rsidR="00A41E3E" w:rsidRPr="007944F8" w:rsidRDefault="00A41E3E" w:rsidP="00E93E8B">
      <w:pPr>
        <w:widowControl w:val="0"/>
        <w:numPr>
          <w:ilvl w:val="12"/>
          <w:numId w:val="0"/>
        </w:numPr>
        <w:tabs>
          <w:tab w:val="clear" w:pos="567"/>
        </w:tabs>
        <w:spacing w:line="240" w:lineRule="auto"/>
        <w:ind w:right="-2"/>
        <w:rPr>
          <w:noProof/>
        </w:rPr>
      </w:pPr>
    </w:p>
    <w:p w14:paraId="7B606166" w14:textId="77777777" w:rsidR="00A41E3E" w:rsidRPr="007944F8" w:rsidRDefault="00A41E3E" w:rsidP="00E93E8B">
      <w:pPr>
        <w:widowControl w:val="0"/>
        <w:numPr>
          <w:ilvl w:val="12"/>
          <w:numId w:val="0"/>
        </w:numPr>
        <w:tabs>
          <w:tab w:val="clear" w:pos="567"/>
        </w:tabs>
        <w:spacing w:line="240" w:lineRule="auto"/>
        <w:rPr>
          <w:noProof/>
          <w:szCs w:val="22"/>
        </w:rPr>
      </w:pPr>
    </w:p>
    <w:p w14:paraId="3B857BC5" w14:textId="77777777" w:rsidR="00A41E3E" w:rsidRPr="007944F8" w:rsidRDefault="00A41E3E" w:rsidP="00E93E8B">
      <w:pPr>
        <w:keepNext/>
        <w:widowControl w:val="0"/>
        <w:spacing w:line="240" w:lineRule="auto"/>
        <w:rPr>
          <w:b/>
          <w:noProof/>
          <w:szCs w:val="22"/>
        </w:rPr>
      </w:pPr>
      <w:r w:rsidRPr="007944F8">
        <w:rPr>
          <w:b/>
          <w:noProof/>
        </w:rPr>
        <w:t>1.</w:t>
      </w:r>
      <w:r w:rsidRPr="007944F8">
        <w:tab/>
      </w:r>
      <w:r w:rsidRPr="007944F8">
        <w:rPr>
          <w:b/>
          <w:noProof/>
        </w:rPr>
        <w:t>Qu’est-ce qu’Odomzo et dans quel cas est-il utilisé</w:t>
      </w:r>
      <w:r w:rsidR="00D07FA3" w:rsidRPr="007944F8">
        <w:rPr>
          <w:b/>
          <w:noProof/>
        </w:rPr>
        <w:t> ?</w:t>
      </w:r>
    </w:p>
    <w:p w14:paraId="0AE9F5D5" w14:textId="77777777" w:rsidR="00A41E3E" w:rsidRPr="007944F8" w:rsidRDefault="00A41E3E" w:rsidP="00E93E8B">
      <w:pPr>
        <w:keepNext/>
        <w:widowControl w:val="0"/>
        <w:tabs>
          <w:tab w:val="clear" w:pos="567"/>
        </w:tabs>
        <w:spacing w:line="240" w:lineRule="auto"/>
        <w:rPr>
          <w:noProof/>
        </w:rPr>
      </w:pPr>
    </w:p>
    <w:p w14:paraId="4C88A7DF" w14:textId="77777777" w:rsidR="00A41E3E" w:rsidRPr="007944F8" w:rsidRDefault="00A41E3E" w:rsidP="00BE7F7C">
      <w:pPr>
        <w:keepNext/>
        <w:widowControl w:val="0"/>
        <w:tabs>
          <w:tab w:val="clear" w:pos="567"/>
        </w:tabs>
        <w:spacing w:line="240" w:lineRule="auto"/>
        <w:outlineLvl w:val="0"/>
        <w:rPr>
          <w:b/>
          <w:noProof/>
        </w:rPr>
      </w:pPr>
      <w:r w:rsidRPr="007944F8">
        <w:rPr>
          <w:b/>
          <w:noProof/>
        </w:rPr>
        <w:t>Qu’est-ce qu’Odomzo</w:t>
      </w:r>
    </w:p>
    <w:p w14:paraId="319CF865" w14:textId="77777777" w:rsidR="00A41E3E" w:rsidRPr="007944F8" w:rsidRDefault="00245931" w:rsidP="00BE7F7C">
      <w:pPr>
        <w:widowControl w:val="0"/>
        <w:tabs>
          <w:tab w:val="clear" w:pos="567"/>
        </w:tabs>
        <w:spacing w:line="240" w:lineRule="auto"/>
        <w:outlineLvl w:val="0"/>
        <w:rPr>
          <w:noProof/>
        </w:rPr>
      </w:pPr>
      <w:r w:rsidRPr="007944F8">
        <w:t xml:space="preserve">Odomzo contient </w:t>
      </w:r>
      <w:r w:rsidR="00437465" w:rsidRPr="007944F8">
        <w:t>la</w:t>
      </w:r>
      <w:r w:rsidR="00A41E3E" w:rsidRPr="007944F8">
        <w:t xml:space="preserve"> </w:t>
      </w:r>
      <w:r w:rsidR="00561ED8" w:rsidRPr="007944F8">
        <w:t>substance active</w:t>
      </w:r>
      <w:r w:rsidRPr="007944F8">
        <w:t xml:space="preserve"> sonidégib.</w:t>
      </w:r>
      <w:r w:rsidR="00964D27" w:rsidRPr="007944F8">
        <w:t xml:space="preserve"> Il s’agit d’un médicament anticancéreux.</w:t>
      </w:r>
    </w:p>
    <w:p w14:paraId="6DF2011F" w14:textId="77777777" w:rsidR="00A41E3E" w:rsidRPr="007944F8" w:rsidRDefault="00A41E3E" w:rsidP="00E96874">
      <w:pPr>
        <w:widowControl w:val="0"/>
        <w:tabs>
          <w:tab w:val="clear" w:pos="567"/>
        </w:tabs>
        <w:spacing w:line="240" w:lineRule="auto"/>
        <w:ind w:right="-2"/>
        <w:rPr>
          <w:noProof/>
        </w:rPr>
      </w:pPr>
    </w:p>
    <w:p w14:paraId="7821F892" w14:textId="77777777" w:rsidR="00A41E3E" w:rsidRPr="007944F8" w:rsidRDefault="00A41E3E" w:rsidP="00BE7F7C">
      <w:pPr>
        <w:keepNext/>
        <w:widowControl w:val="0"/>
        <w:tabs>
          <w:tab w:val="clear" w:pos="567"/>
        </w:tabs>
        <w:spacing w:line="240" w:lineRule="auto"/>
        <w:ind w:right="-2"/>
        <w:outlineLvl w:val="0"/>
        <w:rPr>
          <w:b/>
          <w:noProof/>
        </w:rPr>
      </w:pPr>
      <w:r w:rsidRPr="007944F8">
        <w:rPr>
          <w:b/>
          <w:noProof/>
        </w:rPr>
        <w:t>Dans quel cas Odomzo est-il utilisé</w:t>
      </w:r>
    </w:p>
    <w:p w14:paraId="4A49F20C" w14:textId="77777777" w:rsidR="00A41E3E" w:rsidRPr="007944F8" w:rsidRDefault="00A41E3E" w:rsidP="00E96874">
      <w:pPr>
        <w:keepNext/>
        <w:widowControl w:val="0"/>
        <w:tabs>
          <w:tab w:val="clear" w:pos="567"/>
        </w:tabs>
        <w:spacing w:line="240" w:lineRule="auto"/>
        <w:rPr>
          <w:noProof/>
        </w:rPr>
      </w:pPr>
      <w:r w:rsidRPr="007944F8">
        <w:t>Odomzo est utilisé pour traiter les patients adultes atteints d’un type de cancer de la peau appelé carcinome basocellulaire. Il est utilisé lorsque le cancer s’est étendu localement et ne peut pas être traité par chirurgie ou radiothérapie</w:t>
      </w:r>
      <w:r w:rsidR="00ED5DFA" w:rsidRPr="007944F8">
        <w:t>.</w:t>
      </w:r>
    </w:p>
    <w:p w14:paraId="11D79DB0" w14:textId="77777777" w:rsidR="00233B4E" w:rsidRPr="007944F8" w:rsidRDefault="00233B4E" w:rsidP="00E96874">
      <w:pPr>
        <w:widowControl w:val="0"/>
        <w:tabs>
          <w:tab w:val="clear" w:pos="567"/>
        </w:tabs>
        <w:spacing w:line="240" w:lineRule="auto"/>
        <w:ind w:right="-2"/>
        <w:rPr>
          <w:noProof/>
          <w:szCs w:val="22"/>
        </w:rPr>
      </w:pPr>
    </w:p>
    <w:p w14:paraId="17C92EEC" w14:textId="77777777" w:rsidR="00233B4E" w:rsidRPr="007944F8" w:rsidRDefault="00233B4E" w:rsidP="00BE7F7C">
      <w:pPr>
        <w:keepNext/>
        <w:widowControl w:val="0"/>
        <w:tabs>
          <w:tab w:val="clear" w:pos="567"/>
        </w:tabs>
        <w:spacing w:line="240" w:lineRule="auto"/>
        <w:ind w:right="-2"/>
        <w:outlineLvl w:val="0"/>
        <w:rPr>
          <w:b/>
          <w:noProof/>
        </w:rPr>
      </w:pPr>
      <w:r w:rsidRPr="007944F8">
        <w:rPr>
          <w:b/>
          <w:noProof/>
        </w:rPr>
        <w:t>Comment Odomzo agit-il</w:t>
      </w:r>
    </w:p>
    <w:p w14:paraId="1C19E03D" w14:textId="77777777" w:rsidR="00233B4E" w:rsidRPr="007944F8" w:rsidRDefault="00407419" w:rsidP="00E96874">
      <w:pPr>
        <w:widowControl w:val="0"/>
        <w:tabs>
          <w:tab w:val="clear" w:pos="567"/>
        </w:tabs>
        <w:spacing w:line="240" w:lineRule="auto"/>
        <w:ind w:right="-2"/>
        <w:rPr>
          <w:noProof/>
          <w:szCs w:val="22"/>
        </w:rPr>
      </w:pPr>
      <w:r w:rsidRPr="007944F8">
        <w:t xml:space="preserve">La croissance normale des cellules est contrôlée par des signaux chimiques variés. Chez les patients avec un carcinome basocellulaire, </w:t>
      </w:r>
      <w:r w:rsidR="00437465" w:rsidRPr="007944F8">
        <w:t>des</w:t>
      </w:r>
      <w:r w:rsidRPr="007944F8">
        <w:t xml:space="preserve"> changement</w:t>
      </w:r>
      <w:r w:rsidR="00437465" w:rsidRPr="007944F8">
        <w:t>s</w:t>
      </w:r>
      <w:r w:rsidRPr="007944F8">
        <w:t xml:space="preserve"> </w:t>
      </w:r>
      <w:r w:rsidR="00437465" w:rsidRPr="007944F8">
        <w:t>apparaissent</w:t>
      </w:r>
      <w:r w:rsidRPr="007944F8">
        <w:t xml:space="preserve"> au niveau des gènes qui contrôlent une partie de ce processus appelé « </w:t>
      </w:r>
      <w:r w:rsidR="00437465" w:rsidRPr="007944F8">
        <w:t>voie</w:t>
      </w:r>
      <w:r w:rsidRPr="007944F8">
        <w:t xml:space="preserve"> hedgehog ».</w:t>
      </w:r>
      <w:r w:rsidR="00437465" w:rsidRPr="007944F8">
        <w:t xml:space="preserve"> Ceci déclenche des signaux qui entraîne</w:t>
      </w:r>
      <w:r w:rsidR="00215586" w:rsidRPr="007944F8">
        <w:t>nt</w:t>
      </w:r>
      <w:r w:rsidR="00437465" w:rsidRPr="007944F8">
        <w:t xml:space="preserve"> la croissance incontrôlable des cellules cancéreuses.</w:t>
      </w:r>
      <w:r w:rsidRPr="007944F8">
        <w:t xml:space="preserve"> </w:t>
      </w:r>
      <w:r w:rsidR="00233B4E" w:rsidRPr="007944F8">
        <w:t xml:space="preserve">Odomzo agit en </w:t>
      </w:r>
      <w:r w:rsidRPr="007944F8">
        <w:t xml:space="preserve">bloquant ce processus, </w:t>
      </w:r>
      <w:r w:rsidR="00233B4E" w:rsidRPr="007944F8">
        <w:t>empêchant le développement des cellules cancéreuses et la formation de nouvelles cellules.</w:t>
      </w:r>
    </w:p>
    <w:p w14:paraId="27BC4919" w14:textId="77777777" w:rsidR="00A41E3E" w:rsidRPr="007944F8" w:rsidRDefault="00A41E3E" w:rsidP="00E93E8B">
      <w:pPr>
        <w:widowControl w:val="0"/>
        <w:tabs>
          <w:tab w:val="clear" w:pos="567"/>
        </w:tabs>
        <w:spacing w:line="240" w:lineRule="auto"/>
        <w:ind w:right="-2"/>
        <w:rPr>
          <w:noProof/>
          <w:szCs w:val="22"/>
        </w:rPr>
      </w:pPr>
    </w:p>
    <w:p w14:paraId="7D4CFBC0" w14:textId="77777777" w:rsidR="00A41E3E" w:rsidRPr="007944F8" w:rsidRDefault="00A41E3E" w:rsidP="00E93E8B">
      <w:pPr>
        <w:widowControl w:val="0"/>
        <w:tabs>
          <w:tab w:val="clear" w:pos="567"/>
        </w:tabs>
        <w:spacing w:line="240" w:lineRule="auto"/>
        <w:ind w:right="-2"/>
        <w:rPr>
          <w:noProof/>
          <w:szCs w:val="22"/>
        </w:rPr>
      </w:pPr>
    </w:p>
    <w:p w14:paraId="0D62F362" w14:textId="77777777" w:rsidR="00A41E3E" w:rsidRPr="007944F8" w:rsidRDefault="00A41E3E" w:rsidP="00E93E8B">
      <w:pPr>
        <w:keepNext/>
        <w:widowControl w:val="0"/>
        <w:spacing w:line="240" w:lineRule="auto"/>
        <w:ind w:right="-2"/>
        <w:rPr>
          <w:b/>
          <w:noProof/>
          <w:szCs w:val="22"/>
        </w:rPr>
      </w:pPr>
      <w:r w:rsidRPr="007944F8">
        <w:rPr>
          <w:b/>
          <w:noProof/>
        </w:rPr>
        <w:t>2.</w:t>
      </w:r>
      <w:r w:rsidRPr="007944F8">
        <w:tab/>
      </w:r>
      <w:r w:rsidRPr="007944F8">
        <w:rPr>
          <w:b/>
          <w:noProof/>
        </w:rPr>
        <w:t>Quelles sont les informations à connaître avant de prendre Odomzo</w:t>
      </w:r>
      <w:r w:rsidR="00D07FA3" w:rsidRPr="007944F8">
        <w:rPr>
          <w:b/>
          <w:noProof/>
        </w:rPr>
        <w:t> ?</w:t>
      </w:r>
    </w:p>
    <w:p w14:paraId="281FA92E" w14:textId="77777777" w:rsidR="00D013D7" w:rsidRPr="007944F8" w:rsidRDefault="00D013D7" w:rsidP="00E93E8B">
      <w:pPr>
        <w:keepNext/>
        <w:widowControl w:val="0"/>
        <w:spacing w:line="240" w:lineRule="auto"/>
        <w:rPr>
          <w:noProof/>
        </w:rPr>
      </w:pPr>
    </w:p>
    <w:p w14:paraId="61AA147D" w14:textId="77777777" w:rsidR="000D0F5C" w:rsidRPr="007944F8" w:rsidRDefault="000D0F5C" w:rsidP="00E96874">
      <w:pPr>
        <w:widowControl w:val="0"/>
        <w:spacing w:line="240" w:lineRule="auto"/>
      </w:pPr>
      <w:r w:rsidRPr="007944F8">
        <w:t xml:space="preserve">Lisez les instructions spécifiques que votre médecin vous </w:t>
      </w:r>
      <w:r w:rsidR="00B52955" w:rsidRPr="007944F8">
        <w:t>a</w:t>
      </w:r>
      <w:r w:rsidRPr="007944F8">
        <w:t xml:space="preserve"> données, en particulier sur les effets d’Odomzo sur les enfants à naître.</w:t>
      </w:r>
    </w:p>
    <w:p w14:paraId="54E0E3E3" w14:textId="77777777" w:rsidR="000D0F5C" w:rsidRPr="007944F8" w:rsidRDefault="000D0F5C" w:rsidP="00E93E8B">
      <w:pPr>
        <w:widowControl w:val="0"/>
        <w:spacing w:line="240" w:lineRule="auto"/>
      </w:pPr>
    </w:p>
    <w:p w14:paraId="52936B8F" w14:textId="77777777" w:rsidR="009730CC" w:rsidRPr="007944F8" w:rsidRDefault="009730CC" w:rsidP="00E96874">
      <w:pPr>
        <w:widowControl w:val="0"/>
        <w:spacing w:line="240" w:lineRule="auto"/>
      </w:pPr>
      <w:r w:rsidRPr="007944F8">
        <w:t xml:space="preserve">Lisez avec attention et suivez les instructions qui figurent dans la brochure pour les patients et dans l’aide-mémoire destiné aux patients que votre médecin vous </w:t>
      </w:r>
      <w:r w:rsidR="00B52955" w:rsidRPr="007944F8">
        <w:t>a</w:t>
      </w:r>
      <w:r w:rsidRPr="007944F8">
        <w:t xml:space="preserve"> donnés.</w:t>
      </w:r>
    </w:p>
    <w:p w14:paraId="7C921C98" w14:textId="77777777" w:rsidR="009730CC" w:rsidRPr="007944F8" w:rsidRDefault="009730CC" w:rsidP="00E93E8B">
      <w:pPr>
        <w:widowControl w:val="0"/>
        <w:spacing w:line="240" w:lineRule="auto"/>
      </w:pPr>
    </w:p>
    <w:p w14:paraId="0C5FF6A5" w14:textId="77777777" w:rsidR="00A41E3E" w:rsidRPr="007944F8" w:rsidRDefault="00A41E3E" w:rsidP="00BE7F7C">
      <w:pPr>
        <w:keepNext/>
        <w:widowControl w:val="0"/>
        <w:outlineLvl w:val="0"/>
        <w:rPr>
          <w:b/>
          <w:noProof/>
        </w:rPr>
      </w:pPr>
      <w:r w:rsidRPr="007944F8">
        <w:rPr>
          <w:b/>
          <w:noProof/>
        </w:rPr>
        <w:t>Ne prenez jamais Odomzo</w:t>
      </w:r>
    </w:p>
    <w:p w14:paraId="5885E27E" w14:textId="77777777" w:rsidR="00A41E3E" w:rsidRPr="007944F8" w:rsidRDefault="00A41E3E" w:rsidP="00E96874">
      <w:pPr>
        <w:widowControl w:val="0"/>
        <w:numPr>
          <w:ilvl w:val="0"/>
          <w:numId w:val="29"/>
        </w:numPr>
        <w:tabs>
          <w:tab w:val="clear" w:pos="567"/>
        </w:tabs>
        <w:spacing w:line="240" w:lineRule="auto"/>
        <w:ind w:left="567" w:hanging="567"/>
        <w:rPr>
          <w:noProof/>
        </w:rPr>
      </w:pPr>
      <w:r w:rsidRPr="007944F8">
        <w:t>si vous êtes allergique au sonidégib ou à l’un des autres composants contenus dans ce médicament (mentionnés dans la rubrique 6).</w:t>
      </w:r>
    </w:p>
    <w:p w14:paraId="234EF1B6" w14:textId="77777777" w:rsidR="00A41E3E" w:rsidRPr="007944F8" w:rsidRDefault="00A41E3E" w:rsidP="00E96874">
      <w:pPr>
        <w:widowControl w:val="0"/>
        <w:numPr>
          <w:ilvl w:val="0"/>
          <w:numId w:val="29"/>
        </w:numPr>
        <w:tabs>
          <w:tab w:val="clear" w:pos="567"/>
        </w:tabs>
        <w:spacing w:line="240" w:lineRule="auto"/>
        <w:ind w:left="567" w:hanging="567"/>
        <w:rPr>
          <w:noProof/>
        </w:rPr>
      </w:pPr>
      <w:r w:rsidRPr="007944F8">
        <w:t>si vous êtes enceinte</w:t>
      </w:r>
      <w:r w:rsidR="00BB5AB9" w:rsidRPr="007944F8">
        <w:t xml:space="preserve"> ou</w:t>
      </w:r>
      <w:r w:rsidRPr="007944F8">
        <w:t>, pensez être enceinte. En effet, Odomzo peut nuire au bébé à naître ou entraîner sa mort</w:t>
      </w:r>
      <w:r w:rsidR="002C7219" w:rsidRPr="007944F8">
        <w:t xml:space="preserve"> (voir rubrique « Grossesse »)</w:t>
      </w:r>
      <w:r w:rsidRPr="007944F8">
        <w:t>.</w:t>
      </w:r>
    </w:p>
    <w:p w14:paraId="269BA936" w14:textId="77777777" w:rsidR="00A41E3E" w:rsidRPr="007944F8" w:rsidRDefault="00A41E3E" w:rsidP="00E96874">
      <w:pPr>
        <w:widowControl w:val="0"/>
        <w:numPr>
          <w:ilvl w:val="0"/>
          <w:numId w:val="29"/>
        </w:numPr>
        <w:tabs>
          <w:tab w:val="clear" w:pos="567"/>
        </w:tabs>
        <w:spacing w:line="240" w:lineRule="auto"/>
        <w:ind w:left="567" w:hanging="567"/>
        <w:rPr>
          <w:noProof/>
        </w:rPr>
      </w:pPr>
      <w:r w:rsidRPr="007944F8">
        <w:t>si vous allaitez. En effet, on ne sait pas si Odomzo peut passer dans votre lait maternel et nuire à votre bébé</w:t>
      </w:r>
      <w:r w:rsidR="006F618E" w:rsidRPr="007944F8">
        <w:t xml:space="preserve"> (voir rubrique « Allaitement »)</w:t>
      </w:r>
      <w:r w:rsidRPr="007944F8">
        <w:t>.</w:t>
      </w:r>
    </w:p>
    <w:p w14:paraId="3CB74B24" w14:textId="77777777" w:rsidR="004046B9" w:rsidRPr="007944F8" w:rsidRDefault="004046B9" w:rsidP="00E96874">
      <w:pPr>
        <w:widowControl w:val="0"/>
        <w:numPr>
          <w:ilvl w:val="0"/>
          <w:numId w:val="29"/>
        </w:numPr>
        <w:tabs>
          <w:tab w:val="clear" w:pos="567"/>
        </w:tabs>
        <w:spacing w:line="240" w:lineRule="auto"/>
        <w:ind w:left="567" w:hanging="567"/>
        <w:rPr>
          <w:noProof/>
        </w:rPr>
      </w:pPr>
      <w:r w:rsidRPr="007944F8">
        <w:rPr>
          <w:noProof/>
        </w:rPr>
        <w:t>si vous êtes en mesure de débuter une grossesse</w:t>
      </w:r>
      <w:r w:rsidR="0091047A">
        <w:rPr>
          <w:noProof/>
        </w:rPr>
        <w:t>,</w:t>
      </w:r>
      <w:r w:rsidRPr="007944F8">
        <w:rPr>
          <w:noProof/>
        </w:rPr>
        <w:t xml:space="preserve"> mais êtes incapable ou refusez de suivre les mesures de prévention de la grossesse nécessaires qui figurent dans le Programme de Prévention de la Grossesse d’Odomzo.</w:t>
      </w:r>
    </w:p>
    <w:p w14:paraId="5ECA8BB4" w14:textId="77777777" w:rsidR="00A27105" w:rsidRPr="007944F8" w:rsidRDefault="00A27105" w:rsidP="00E96874">
      <w:pPr>
        <w:widowControl w:val="0"/>
        <w:spacing w:line="240" w:lineRule="auto"/>
        <w:rPr>
          <w:noProof/>
        </w:rPr>
      </w:pPr>
      <w:r w:rsidRPr="007944F8">
        <w:t>Ne prenez jamais Odomzo si l’un des cas ci-dessus s’applique à vous. En cas de doute, adressez-vous à votre médecin ou pharmacien avant de prendre Odomzo.</w:t>
      </w:r>
    </w:p>
    <w:p w14:paraId="1B5E5A40" w14:textId="77777777" w:rsidR="00B4268A" w:rsidRPr="007944F8" w:rsidRDefault="00B4268A" w:rsidP="00E96874">
      <w:pPr>
        <w:widowControl w:val="0"/>
        <w:numPr>
          <w:ilvl w:val="12"/>
          <w:numId w:val="0"/>
        </w:numPr>
        <w:tabs>
          <w:tab w:val="clear" w:pos="567"/>
        </w:tabs>
        <w:spacing w:line="240" w:lineRule="auto"/>
        <w:ind w:left="567" w:hanging="567"/>
        <w:rPr>
          <w:noProof/>
          <w:szCs w:val="22"/>
        </w:rPr>
      </w:pPr>
    </w:p>
    <w:p w14:paraId="0DB90545" w14:textId="77777777" w:rsidR="00A41E3E" w:rsidRPr="007944F8" w:rsidRDefault="00A41E3E" w:rsidP="00E96874">
      <w:pPr>
        <w:widowControl w:val="0"/>
        <w:spacing w:line="240" w:lineRule="auto"/>
        <w:rPr>
          <w:noProof/>
        </w:rPr>
      </w:pPr>
      <w:r w:rsidRPr="007944F8">
        <w:t>Vous trouverez davantage d’information sur les questions ci-dessus dans les rubriques « Grossesse</w:t>
      </w:r>
      <w:r w:rsidR="006F618E" w:rsidRPr="007944F8">
        <w:t> »</w:t>
      </w:r>
      <w:r w:rsidRPr="007944F8">
        <w:t>,</w:t>
      </w:r>
      <w:r w:rsidR="00BD11DB" w:rsidRPr="007944F8">
        <w:t xml:space="preserve"> </w:t>
      </w:r>
      <w:r w:rsidR="004046B9" w:rsidRPr="007944F8">
        <w:t>« Allaitement</w:t>
      </w:r>
      <w:r w:rsidR="006F618E" w:rsidRPr="007944F8">
        <w:t> »,</w:t>
      </w:r>
      <w:r w:rsidRPr="007944F8">
        <w:t xml:space="preserve"> </w:t>
      </w:r>
      <w:r w:rsidR="006F618E" w:rsidRPr="007944F8">
        <w:t>« F</w:t>
      </w:r>
      <w:r w:rsidRPr="007944F8">
        <w:t>ertilité » et « Contraception pour les femmes et les hommes ».</w:t>
      </w:r>
    </w:p>
    <w:p w14:paraId="0E0BEE81" w14:textId="77777777" w:rsidR="00A41E3E" w:rsidRPr="007944F8" w:rsidRDefault="00A41E3E" w:rsidP="00E93E8B">
      <w:pPr>
        <w:widowControl w:val="0"/>
        <w:numPr>
          <w:ilvl w:val="12"/>
          <w:numId w:val="0"/>
        </w:numPr>
        <w:tabs>
          <w:tab w:val="clear" w:pos="567"/>
        </w:tabs>
        <w:spacing w:line="240" w:lineRule="auto"/>
        <w:ind w:left="567" w:hanging="567"/>
        <w:rPr>
          <w:noProof/>
          <w:szCs w:val="22"/>
        </w:rPr>
      </w:pPr>
    </w:p>
    <w:p w14:paraId="7AC97472" w14:textId="77777777" w:rsidR="00A41E3E" w:rsidRPr="007944F8" w:rsidRDefault="00A41E3E" w:rsidP="00BE7F7C">
      <w:pPr>
        <w:keepNext/>
        <w:widowControl w:val="0"/>
        <w:outlineLvl w:val="0"/>
        <w:rPr>
          <w:b/>
          <w:noProof/>
          <w:szCs w:val="22"/>
        </w:rPr>
      </w:pPr>
      <w:r w:rsidRPr="007944F8">
        <w:rPr>
          <w:b/>
          <w:noProof/>
        </w:rPr>
        <w:t>Avertissements et précautions</w:t>
      </w:r>
    </w:p>
    <w:p w14:paraId="1D85325A" w14:textId="77777777" w:rsidR="00A41E3E" w:rsidRPr="007944F8" w:rsidRDefault="00A41E3E" w:rsidP="00E96874">
      <w:pPr>
        <w:widowControl w:val="0"/>
        <w:numPr>
          <w:ilvl w:val="0"/>
          <w:numId w:val="1"/>
        </w:numPr>
        <w:spacing w:line="240" w:lineRule="auto"/>
        <w:ind w:left="567" w:hanging="567"/>
        <w:rPr>
          <w:noProof/>
        </w:rPr>
      </w:pPr>
      <w:r w:rsidRPr="007944F8">
        <w:t xml:space="preserve">Odomzo peut provoquer des problèmes musculaires. Prévenez votre médecin avant de prendre Odomzo si vous avez des antécédents de crampes </w:t>
      </w:r>
      <w:r w:rsidR="00561ED8" w:rsidRPr="007944F8">
        <w:t xml:space="preserve">musculaires </w:t>
      </w:r>
      <w:r w:rsidRPr="007944F8">
        <w:t>ou de faiblesse musc</w:t>
      </w:r>
      <w:r w:rsidR="00561ED8" w:rsidRPr="007944F8">
        <w:t>ulaire</w:t>
      </w:r>
      <w:r w:rsidRPr="007944F8">
        <w:t xml:space="preserve"> ou si vous prenez d’autres médicaments. Certains médicaments (par exemple, les médicaments utilisés pour traiter l’hypercholestérolémie) pourraient accroître le risque de problèmes musculaires. Prévenez </w:t>
      </w:r>
      <w:r w:rsidRPr="007944F8">
        <w:rPr>
          <w:b/>
        </w:rPr>
        <w:t>immédiatement</w:t>
      </w:r>
      <w:r w:rsidRPr="007944F8">
        <w:t xml:space="preserve"> votre médecin ou votre pharmacien si vos muscles sont douloureux ou si vous présentez </w:t>
      </w:r>
      <w:r w:rsidR="00561ED8" w:rsidRPr="007944F8">
        <w:t xml:space="preserve">une faiblesse musculaire ou des crampes musculaires inexpliquées </w:t>
      </w:r>
      <w:r w:rsidRPr="007944F8">
        <w:t>durant votre traitement par Odomzo. Votre médecin pourrait devoir modifier la dose que vous prenez, ou arrêter votre traitement</w:t>
      </w:r>
      <w:r w:rsidR="009D1AA5" w:rsidRPr="007944F8">
        <w:t xml:space="preserve"> temporairement ou de façon permanente</w:t>
      </w:r>
      <w:r w:rsidRPr="007944F8">
        <w:t>.</w:t>
      </w:r>
    </w:p>
    <w:p w14:paraId="19E960C4" w14:textId="77777777" w:rsidR="00A41E3E" w:rsidRPr="007944F8" w:rsidRDefault="00A41E3E" w:rsidP="00E96874">
      <w:pPr>
        <w:widowControl w:val="0"/>
        <w:numPr>
          <w:ilvl w:val="0"/>
          <w:numId w:val="1"/>
        </w:numPr>
        <w:spacing w:line="240" w:lineRule="auto"/>
        <w:ind w:left="567" w:hanging="567"/>
        <w:rPr>
          <w:noProof/>
        </w:rPr>
      </w:pPr>
      <w:r w:rsidRPr="007944F8">
        <w:t>Vous ne devez pas donner votre sang au cours de votre traitement par Odomzo et pendant les 20 mois qui suivent la fin de votre traitement.</w:t>
      </w:r>
    </w:p>
    <w:p w14:paraId="31777F94" w14:textId="043C05E2" w:rsidR="00E804B5" w:rsidRPr="007944F8" w:rsidRDefault="00E804B5" w:rsidP="00E96874">
      <w:pPr>
        <w:widowControl w:val="0"/>
        <w:numPr>
          <w:ilvl w:val="0"/>
          <w:numId w:val="1"/>
        </w:numPr>
        <w:spacing w:line="240" w:lineRule="auto"/>
        <w:ind w:left="567" w:hanging="567"/>
        <w:rPr>
          <w:noProof/>
        </w:rPr>
      </w:pPr>
      <w:r>
        <w:t>Si vous êtes un homme, vous ne devez pas envisager de concevoir un enfant ni donner votre sperme pendant toute la durée du traitement et jusqu’à 6 mois après la dernière dose.</w:t>
      </w:r>
    </w:p>
    <w:p w14:paraId="00A73BCE" w14:textId="77777777" w:rsidR="00A27105" w:rsidRPr="007944F8" w:rsidRDefault="00A27105" w:rsidP="00E96874">
      <w:pPr>
        <w:widowControl w:val="0"/>
        <w:numPr>
          <w:ilvl w:val="0"/>
          <w:numId w:val="1"/>
        </w:numPr>
        <w:spacing w:line="240" w:lineRule="auto"/>
        <w:ind w:left="567" w:hanging="567"/>
        <w:rPr>
          <w:noProof/>
        </w:rPr>
      </w:pPr>
      <w:r w:rsidRPr="007944F8">
        <w:t xml:space="preserve">Votre médecin </w:t>
      </w:r>
      <w:r w:rsidR="00561ED8" w:rsidRPr="007944F8">
        <w:t>examinera</w:t>
      </w:r>
      <w:r w:rsidRPr="007944F8">
        <w:t xml:space="preserve"> régulièrement votre peau afin de déceler l’apparition éventuelle d’un</w:t>
      </w:r>
      <w:r w:rsidR="00931437" w:rsidRPr="007944F8">
        <w:t xml:space="preserve"> autre</w:t>
      </w:r>
      <w:r w:rsidRPr="007944F8">
        <w:t xml:space="preserve"> type de cancer appelé « carcinome épidermoïde cutané » (CEC). On ne sait pas si le CEC </w:t>
      </w:r>
      <w:r w:rsidR="00931437" w:rsidRPr="007944F8">
        <w:t xml:space="preserve">peut être </w:t>
      </w:r>
      <w:r w:rsidRPr="007944F8">
        <w:t>lié au traitement par Odomzo. Ce type de cancer apparait généralement sur une peau endommagée par le soleil, ne s’étend pas et peut être guéri. Prévenez votre médecin si vous remarquez des changements sur votre peau.</w:t>
      </w:r>
    </w:p>
    <w:p w14:paraId="2AADF04E" w14:textId="77777777" w:rsidR="006F618E" w:rsidRPr="007944F8" w:rsidRDefault="006F618E" w:rsidP="00E96874">
      <w:pPr>
        <w:widowControl w:val="0"/>
        <w:numPr>
          <w:ilvl w:val="0"/>
          <w:numId w:val="1"/>
        </w:numPr>
        <w:spacing w:line="240" w:lineRule="auto"/>
        <w:ind w:left="567" w:hanging="567"/>
        <w:rPr>
          <w:noProof/>
        </w:rPr>
      </w:pPr>
      <w:r w:rsidRPr="007944F8">
        <w:t>Ne donnez jamais ce médicament à quelqu’un d’autre. Vous devez retourner toute gélule non utilisé</w:t>
      </w:r>
      <w:r w:rsidR="006B5EA7" w:rsidRPr="007944F8">
        <w:t>e</w:t>
      </w:r>
      <w:r w:rsidRPr="007944F8">
        <w:t xml:space="preserve"> à la fin de votre traitement. </w:t>
      </w:r>
      <w:r w:rsidR="00AA0C04" w:rsidRPr="007944F8">
        <w:t>Demand</w:t>
      </w:r>
      <w:r w:rsidRPr="007944F8">
        <w:t>ez à votre médecin</w:t>
      </w:r>
      <w:r w:rsidR="00EE6668" w:rsidRPr="007944F8">
        <w:t xml:space="preserve"> ou pharmacien où</w:t>
      </w:r>
      <w:r w:rsidRPr="007944F8">
        <w:t xml:space="preserve"> retourner les gélules.</w:t>
      </w:r>
    </w:p>
    <w:p w14:paraId="6DE8A917" w14:textId="77777777" w:rsidR="00A41E3E" w:rsidRPr="007944F8" w:rsidRDefault="00A41E3E" w:rsidP="00E93E8B">
      <w:pPr>
        <w:widowControl w:val="0"/>
        <w:numPr>
          <w:ilvl w:val="12"/>
          <w:numId w:val="0"/>
        </w:numPr>
        <w:tabs>
          <w:tab w:val="clear" w:pos="567"/>
        </w:tabs>
        <w:spacing w:line="240" w:lineRule="auto"/>
        <w:ind w:right="-2"/>
      </w:pPr>
    </w:p>
    <w:p w14:paraId="11ABCB03" w14:textId="77777777" w:rsidR="00A41E3E" w:rsidRPr="007944F8" w:rsidRDefault="00A16C67" w:rsidP="00BE7F7C">
      <w:pPr>
        <w:keepNext/>
        <w:widowControl w:val="0"/>
        <w:numPr>
          <w:ilvl w:val="12"/>
          <w:numId w:val="0"/>
        </w:numPr>
        <w:tabs>
          <w:tab w:val="clear" w:pos="567"/>
        </w:tabs>
        <w:spacing w:line="240" w:lineRule="auto"/>
        <w:outlineLvl w:val="0"/>
        <w:rPr>
          <w:b/>
        </w:rPr>
      </w:pPr>
      <w:r w:rsidRPr="007944F8">
        <w:rPr>
          <w:b/>
        </w:rPr>
        <w:t>Analyses de sang au cours du traitement par Odomzo</w:t>
      </w:r>
    </w:p>
    <w:p w14:paraId="0697E053" w14:textId="77777777" w:rsidR="00A41E3E" w:rsidRPr="007944F8" w:rsidRDefault="00A41E3E" w:rsidP="00E96874">
      <w:pPr>
        <w:widowControl w:val="0"/>
        <w:spacing w:line="240" w:lineRule="auto"/>
        <w:rPr>
          <w:noProof/>
        </w:rPr>
      </w:pPr>
      <w:r w:rsidRPr="007944F8">
        <w:t xml:space="preserve">Votre médecin vous soumettra à des analyses de sang avant le début du traitement, et </w:t>
      </w:r>
      <w:r w:rsidR="00BE7ABE" w:rsidRPr="007944F8">
        <w:t>éventuellement</w:t>
      </w:r>
      <w:r w:rsidR="00BD21A5" w:rsidRPr="007944F8">
        <w:t xml:space="preserve"> </w:t>
      </w:r>
      <w:r w:rsidRPr="007944F8">
        <w:t>pendant le traitement</w:t>
      </w:r>
      <w:r w:rsidR="00BD21A5" w:rsidRPr="007944F8">
        <w:t xml:space="preserve"> aussi</w:t>
      </w:r>
      <w:r w:rsidRPr="007944F8">
        <w:t>. Ces analyses permettront de contrôler la santé de vos muscles en mesurant le taux d’une enzyme présente dans votre sang, appelée créatine phosphokinase.</w:t>
      </w:r>
    </w:p>
    <w:p w14:paraId="0B858667" w14:textId="77777777" w:rsidR="00A41E3E" w:rsidRPr="007944F8" w:rsidRDefault="00A41E3E" w:rsidP="00E96874">
      <w:pPr>
        <w:widowControl w:val="0"/>
        <w:numPr>
          <w:ilvl w:val="12"/>
          <w:numId w:val="0"/>
        </w:numPr>
        <w:tabs>
          <w:tab w:val="clear" w:pos="567"/>
        </w:tabs>
        <w:spacing w:line="240" w:lineRule="auto"/>
        <w:ind w:right="-2"/>
      </w:pPr>
    </w:p>
    <w:p w14:paraId="1C81E461" w14:textId="77777777" w:rsidR="00A41E3E" w:rsidRPr="007944F8" w:rsidRDefault="00A41E3E" w:rsidP="00BE7F7C">
      <w:pPr>
        <w:keepNext/>
        <w:widowControl w:val="0"/>
        <w:numPr>
          <w:ilvl w:val="12"/>
          <w:numId w:val="0"/>
        </w:numPr>
        <w:tabs>
          <w:tab w:val="clear" w:pos="567"/>
        </w:tabs>
        <w:spacing w:line="240" w:lineRule="auto"/>
        <w:outlineLvl w:val="0"/>
        <w:rPr>
          <w:b/>
        </w:rPr>
      </w:pPr>
      <w:r w:rsidRPr="007944F8">
        <w:rPr>
          <w:b/>
        </w:rPr>
        <w:t>Enfants et adolescents (de moins de 18 ans)</w:t>
      </w:r>
    </w:p>
    <w:p w14:paraId="3E23113D" w14:textId="0DBA6EDE" w:rsidR="00D2133E" w:rsidRDefault="00D2133E" w:rsidP="00D2133E">
      <w:pPr>
        <w:widowControl w:val="0"/>
        <w:numPr>
          <w:ilvl w:val="12"/>
          <w:numId w:val="0"/>
        </w:numPr>
        <w:tabs>
          <w:tab w:val="clear" w:pos="567"/>
        </w:tabs>
        <w:spacing w:line="240" w:lineRule="auto"/>
        <w:ind w:right="-2"/>
      </w:pPr>
      <w:r w:rsidRPr="0076380D">
        <w:rPr>
          <w:lang w:val="fr-BE"/>
        </w:rPr>
        <w:t>Odomzo ne doit pas être utilisé chez les enfants et les adolescents de moins de 18 ans. Des problèmes de croissance des os et des dents ont été observés avec ce médicament.</w:t>
      </w:r>
      <w:r w:rsidR="00931E42">
        <w:rPr>
          <w:lang w:val="fr-BE"/>
        </w:rPr>
        <w:t xml:space="preserve"> </w:t>
      </w:r>
      <w:r w:rsidR="00931E42">
        <w:t>Odomzo peut</w:t>
      </w:r>
      <w:r w:rsidR="00A9357D">
        <w:t xml:space="preserve"> provoquer l’</w:t>
      </w:r>
      <w:r w:rsidR="00286760">
        <w:t xml:space="preserve">arrêt </w:t>
      </w:r>
      <w:r w:rsidR="00A9357D">
        <w:t>de la croissance osseuse chez les enfants et les adolescents, ce qui peut également survenir après l’arrêt du traitement</w:t>
      </w:r>
      <w:r w:rsidR="00931E42">
        <w:t>.</w:t>
      </w:r>
    </w:p>
    <w:p w14:paraId="62592D3F" w14:textId="77777777" w:rsidR="00A41E3E" w:rsidRPr="007944F8" w:rsidRDefault="00A41E3E" w:rsidP="00E96874">
      <w:pPr>
        <w:widowControl w:val="0"/>
        <w:numPr>
          <w:ilvl w:val="12"/>
          <w:numId w:val="0"/>
        </w:numPr>
        <w:tabs>
          <w:tab w:val="clear" w:pos="567"/>
        </w:tabs>
        <w:spacing w:line="240" w:lineRule="auto"/>
        <w:ind w:right="-2"/>
      </w:pPr>
    </w:p>
    <w:p w14:paraId="1229ACCC" w14:textId="77777777" w:rsidR="00A41E3E" w:rsidRPr="007944F8" w:rsidRDefault="00A41E3E" w:rsidP="00BE7F7C">
      <w:pPr>
        <w:keepNext/>
        <w:widowControl w:val="0"/>
        <w:numPr>
          <w:ilvl w:val="12"/>
          <w:numId w:val="0"/>
        </w:numPr>
        <w:tabs>
          <w:tab w:val="clear" w:pos="567"/>
        </w:tabs>
        <w:spacing w:line="240" w:lineRule="auto"/>
        <w:outlineLvl w:val="0"/>
      </w:pPr>
      <w:r w:rsidRPr="007944F8">
        <w:rPr>
          <w:b/>
        </w:rPr>
        <w:t>Autres médicaments et Odomzo</w:t>
      </w:r>
    </w:p>
    <w:p w14:paraId="63D6B898" w14:textId="77777777" w:rsidR="00A41E3E" w:rsidRPr="007944F8" w:rsidRDefault="00A27105" w:rsidP="00E96874">
      <w:pPr>
        <w:keepNext/>
        <w:widowControl w:val="0"/>
        <w:spacing w:line="240" w:lineRule="auto"/>
      </w:pPr>
      <w:r w:rsidRPr="007944F8">
        <w:t>Informez votre médecin ou pharmacien si vous prenez, avez récemment pris ou pourriez prendre tout autre médicament. Cela comprend les médicaments obtenus sans ordonnance et les médicaments à base de plantes. En effet, Odomzo peut affecter le fonctionnement de certains médicaments. Certains autres médicaments peuvent également affecter le fonctionnement d’Odomzo ou favoriser l’apparition d’effets indésirables.</w:t>
      </w:r>
    </w:p>
    <w:p w14:paraId="3F7478AF" w14:textId="77777777" w:rsidR="00A27105" w:rsidRPr="007944F8" w:rsidRDefault="00A27105" w:rsidP="00E96874">
      <w:pPr>
        <w:widowControl w:val="0"/>
        <w:spacing w:line="240" w:lineRule="auto"/>
        <w:rPr>
          <w:noProof/>
        </w:rPr>
      </w:pPr>
    </w:p>
    <w:p w14:paraId="7246A6C4" w14:textId="77777777" w:rsidR="00A27105" w:rsidRPr="007944F8" w:rsidRDefault="00A27105" w:rsidP="00E96874">
      <w:pPr>
        <w:keepNext/>
        <w:widowControl w:val="0"/>
        <w:spacing w:line="240" w:lineRule="auto"/>
        <w:rPr>
          <w:noProof/>
        </w:rPr>
      </w:pPr>
      <w:r w:rsidRPr="007944F8">
        <w:t>En particulier, prévenez votre médecin ou pharmacien si vous prenez l’un des médicaments suivants :</w:t>
      </w:r>
    </w:p>
    <w:p w14:paraId="1B789B33" w14:textId="77777777" w:rsidR="00333864" w:rsidRPr="007944F8" w:rsidRDefault="008E6028" w:rsidP="00E96874">
      <w:pPr>
        <w:widowControl w:val="0"/>
        <w:numPr>
          <w:ilvl w:val="0"/>
          <w:numId w:val="31"/>
        </w:numPr>
        <w:tabs>
          <w:tab w:val="clear" w:pos="567"/>
        </w:tabs>
        <w:spacing w:line="240" w:lineRule="auto"/>
        <w:ind w:left="567" w:hanging="567"/>
        <w:rPr>
          <w:noProof/>
        </w:rPr>
      </w:pPr>
      <w:r w:rsidRPr="007944F8">
        <w:t>médicaments tels que les st</w:t>
      </w:r>
      <w:r w:rsidR="00561ED8" w:rsidRPr="007944F8">
        <w:t>atines et les dérivés de fibrate</w:t>
      </w:r>
      <w:r w:rsidR="000D330D" w:rsidRPr="007944F8">
        <w:t xml:space="preserve"> utilisés dans le traitement de l’hypercholestérolémie et </w:t>
      </w:r>
      <w:r w:rsidR="00216BC7" w:rsidRPr="007944F8">
        <w:t xml:space="preserve">de </w:t>
      </w:r>
      <w:r w:rsidR="000D330D" w:rsidRPr="007944F8">
        <w:t>l’hyperlipidémie</w:t>
      </w:r>
    </w:p>
    <w:p w14:paraId="7CE6BFE0" w14:textId="77777777" w:rsidR="00A41E3E" w:rsidRPr="007944F8" w:rsidRDefault="008E6028" w:rsidP="00E96874">
      <w:pPr>
        <w:widowControl w:val="0"/>
        <w:numPr>
          <w:ilvl w:val="0"/>
          <w:numId w:val="31"/>
        </w:numPr>
        <w:tabs>
          <w:tab w:val="clear" w:pos="567"/>
        </w:tabs>
        <w:spacing w:line="240" w:lineRule="auto"/>
        <w:ind w:left="567" w:hanging="567"/>
        <w:rPr>
          <w:noProof/>
        </w:rPr>
      </w:pPr>
      <w:r w:rsidRPr="007944F8">
        <w:t>vitamine B3, également appelée niacine</w:t>
      </w:r>
    </w:p>
    <w:p w14:paraId="3B5BF819" w14:textId="77777777" w:rsidR="00EE6668" w:rsidRPr="007944F8" w:rsidRDefault="00EE6668" w:rsidP="00E96874">
      <w:pPr>
        <w:widowControl w:val="0"/>
        <w:numPr>
          <w:ilvl w:val="0"/>
          <w:numId w:val="31"/>
        </w:numPr>
        <w:tabs>
          <w:tab w:val="clear" w:pos="567"/>
        </w:tabs>
        <w:spacing w:line="240" w:lineRule="auto"/>
        <w:ind w:left="567" w:hanging="567"/>
        <w:rPr>
          <w:noProof/>
        </w:rPr>
      </w:pPr>
      <w:r w:rsidRPr="007944F8">
        <w:t>médicaments tel</w:t>
      </w:r>
      <w:r w:rsidR="006B5EA7" w:rsidRPr="007944F8">
        <w:t>s</w:t>
      </w:r>
      <w:r w:rsidRPr="007944F8">
        <w:t xml:space="preserve"> que le methotrexa</w:t>
      </w:r>
      <w:r w:rsidR="00483F5E" w:rsidRPr="007944F8">
        <w:t>t</w:t>
      </w:r>
      <w:r w:rsidRPr="007944F8">
        <w:t xml:space="preserve">e, </w:t>
      </w:r>
      <w:r w:rsidR="006B5EA7" w:rsidRPr="007944F8">
        <w:t xml:space="preserve">le mitoxantrone, </w:t>
      </w:r>
      <w:r w:rsidRPr="007944F8">
        <w:t>l’irinotécan, ou le topotécan</w:t>
      </w:r>
      <w:r w:rsidR="000D330D" w:rsidRPr="007944F8">
        <w:t xml:space="preserve"> utilisés pour traiter certains types de cancer </w:t>
      </w:r>
      <w:r w:rsidR="00D13A80" w:rsidRPr="007944F8">
        <w:t>ou</w:t>
      </w:r>
      <w:r w:rsidR="000D330D" w:rsidRPr="007944F8">
        <w:t xml:space="preserve"> d’autres maladies tel</w:t>
      </w:r>
      <w:r w:rsidR="00215586" w:rsidRPr="007944F8">
        <w:t>le</w:t>
      </w:r>
      <w:r w:rsidR="000D330D" w:rsidRPr="007944F8">
        <w:t>s que les problèmes articulaires</w:t>
      </w:r>
      <w:r w:rsidR="00215586" w:rsidRPr="007944F8">
        <w:t xml:space="preserve"> graves</w:t>
      </w:r>
      <w:r w:rsidR="000D330D" w:rsidRPr="007944F8">
        <w:t xml:space="preserve"> (</w:t>
      </w:r>
      <w:r w:rsidR="000D01E7" w:rsidRPr="007944F8">
        <w:t>poly</w:t>
      </w:r>
      <w:r w:rsidR="000D330D" w:rsidRPr="007944F8">
        <w:t>arthrite rhumatoïde) et le psoriasis</w:t>
      </w:r>
    </w:p>
    <w:p w14:paraId="5249BD82" w14:textId="77777777" w:rsidR="00A27105" w:rsidRPr="007944F8" w:rsidRDefault="008E6028" w:rsidP="00E96874">
      <w:pPr>
        <w:widowControl w:val="0"/>
        <w:numPr>
          <w:ilvl w:val="0"/>
          <w:numId w:val="31"/>
        </w:numPr>
        <w:tabs>
          <w:tab w:val="clear" w:pos="567"/>
        </w:tabs>
        <w:spacing w:line="240" w:lineRule="auto"/>
        <w:ind w:left="567" w:hanging="567"/>
        <w:rPr>
          <w:noProof/>
        </w:rPr>
      </w:pPr>
      <w:r w:rsidRPr="007944F8">
        <w:t>médicaments tels que la télithromycine, la rifampicine ou la rifabutine</w:t>
      </w:r>
      <w:r w:rsidR="000D01E7" w:rsidRPr="007944F8">
        <w:t xml:space="preserve"> utilisés dans le traitement des infections bactériennes</w:t>
      </w:r>
    </w:p>
    <w:p w14:paraId="71F809AD" w14:textId="77777777" w:rsidR="00A41E3E" w:rsidRPr="007944F8" w:rsidRDefault="00A27105" w:rsidP="00E96874">
      <w:pPr>
        <w:widowControl w:val="0"/>
        <w:numPr>
          <w:ilvl w:val="0"/>
          <w:numId w:val="31"/>
        </w:numPr>
        <w:tabs>
          <w:tab w:val="clear" w:pos="567"/>
        </w:tabs>
        <w:spacing w:line="240" w:lineRule="auto"/>
        <w:ind w:left="567" w:hanging="567"/>
        <w:rPr>
          <w:noProof/>
        </w:rPr>
      </w:pPr>
      <w:r w:rsidRPr="007944F8">
        <w:t>médicaments tels que le kétoconazole (sauf dans les shampoings</w:t>
      </w:r>
      <w:r w:rsidR="000D01E7" w:rsidRPr="007944F8">
        <w:t xml:space="preserve"> et </w:t>
      </w:r>
      <w:r w:rsidR="00A85993" w:rsidRPr="007944F8">
        <w:t xml:space="preserve">les </w:t>
      </w:r>
      <w:r w:rsidR="000D01E7" w:rsidRPr="007944F8">
        <w:t>crèmes</w:t>
      </w:r>
      <w:r w:rsidRPr="007944F8">
        <w:t>)</w:t>
      </w:r>
      <w:r w:rsidR="00273B62" w:rsidRPr="007944F8">
        <w:t>,</w:t>
      </w:r>
      <w:r w:rsidRPr="007944F8">
        <w:t xml:space="preserve"> l’itraconazole, le posaconazole ou le voriconazole</w:t>
      </w:r>
      <w:r w:rsidR="000D01E7" w:rsidRPr="007944F8">
        <w:t xml:space="preserve"> utilisés dans le traitement des infections fongiques</w:t>
      </w:r>
    </w:p>
    <w:p w14:paraId="53982FCD" w14:textId="77777777" w:rsidR="00A27105" w:rsidRPr="007944F8" w:rsidRDefault="00A27105" w:rsidP="00E96874">
      <w:pPr>
        <w:widowControl w:val="0"/>
        <w:numPr>
          <w:ilvl w:val="0"/>
          <w:numId w:val="31"/>
        </w:numPr>
        <w:tabs>
          <w:tab w:val="clear" w:pos="567"/>
        </w:tabs>
        <w:spacing w:line="240" w:lineRule="auto"/>
        <w:ind w:left="567" w:hanging="567"/>
        <w:rPr>
          <w:noProof/>
        </w:rPr>
      </w:pPr>
      <w:r w:rsidRPr="007944F8">
        <w:t>médicaments tels que la chloroquine et l’hydroxychloroquine</w:t>
      </w:r>
      <w:r w:rsidR="000D01E7" w:rsidRPr="007944F8">
        <w:t xml:space="preserve"> utilisé</w:t>
      </w:r>
      <w:r w:rsidR="0091047A">
        <w:t>e</w:t>
      </w:r>
      <w:r w:rsidR="000D01E7" w:rsidRPr="007944F8">
        <w:t xml:space="preserve">s dans le traitement des infections parasitaires </w:t>
      </w:r>
      <w:r w:rsidR="009D11DE" w:rsidRPr="007944F8">
        <w:t>ainsi</w:t>
      </w:r>
      <w:r w:rsidR="000D01E7" w:rsidRPr="007944F8">
        <w:t xml:space="preserve"> </w:t>
      </w:r>
      <w:r w:rsidR="00A85993" w:rsidRPr="007944F8">
        <w:t xml:space="preserve">que </w:t>
      </w:r>
      <w:r w:rsidR="009D11DE" w:rsidRPr="007944F8">
        <w:t xml:space="preserve">d’autres maladies telles que </w:t>
      </w:r>
      <w:r w:rsidR="000D01E7" w:rsidRPr="007944F8">
        <w:t xml:space="preserve">la polyarthrite rhumatoïde </w:t>
      </w:r>
      <w:r w:rsidR="009D11DE" w:rsidRPr="007944F8">
        <w:t>ou</w:t>
      </w:r>
      <w:r w:rsidR="000D01E7" w:rsidRPr="007944F8">
        <w:t xml:space="preserve"> le lupus érythémateux</w:t>
      </w:r>
    </w:p>
    <w:p w14:paraId="106EB25A" w14:textId="77777777" w:rsidR="00A41E3E" w:rsidRPr="007944F8" w:rsidRDefault="008E6028" w:rsidP="00E96874">
      <w:pPr>
        <w:widowControl w:val="0"/>
        <w:numPr>
          <w:ilvl w:val="0"/>
          <w:numId w:val="31"/>
        </w:numPr>
        <w:tabs>
          <w:tab w:val="clear" w:pos="567"/>
        </w:tabs>
        <w:spacing w:line="240" w:lineRule="auto"/>
        <w:ind w:left="567" w:hanging="567"/>
        <w:rPr>
          <w:noProof/>
        </w:rPr>
      </w:pPr>
      <w:r w:rsidRPr="007944F8">
        <w:t>médicaments tels que le ritonavir, le saquinavir ou la zidovudine</w:t>
      </w:r>
      <w:r w:rsidR="000D01E7" w:rsidRPr="007944F8">
        <w:t xml:space="preserve"> utilisés dans le traitement du SIDA ou du VIH</w:t>
      </w:r>
    </w:p>
    <w:p w14:paraId="01BCE93C" w14:textId="77777777" w:rsidR="00A41E3E" w:rsidRPr="007944F8" w:rsidRDefault="008E6028" w:rsidP="00E96874">
      <w:pPr>
        <w:widowControl w:val="0"/>
        <w:numPr>
          <w:ilvl w:val="0"/>
          <w:numId w:val="31"/>
        </w:numPr>
        <w:tabs>
          <w:tab w:val="clear" w:pos="567"/>
        </w:tabs>
        <w:spacing w:line="240" w:lineRule="auto"/>
        <w:ind w:left="567" w:hanging="567"/>
        <w:rPr>
          <w:noProof/>
        </w:rPr>
      </w:pPr>
      <w:r w:rsidRPr="007944F8">
        <w:t>médicaments tels que la carbamazépine, la phénytoïne ou le phénobarbital</w:t>
      </w:r>
      <w:r w:rsidR="000D01E7" w:rsidRPr="007944F8">
        <w:t xml:space="preserve"> utilisés dans le traitement des crises convulsives</w:t>
      </w:r>
    </w:p>
    <w:p w14:paraId="474C61A9" w14:textId="77777777" w:rsidR="00A41E3E" w:rsidRPr="007944F8" w:rsidRDefault="00A41E3E" w:rsidP="00E96874">
      <w:pPr>
        <w:widowControl w:val="0"/>
        <w:numPr>
          <w:ilvl w:val="0"/>
          <w:numId w:val="31"/>
        </w:numPr>
        <w:tabs>
          <w:tab w:val="clear" w:pos="567"/>
        </w:tabs>
        <w:spacing w:line="240" w:lineRule="auto"/>
        <w:ind w:left="567" w:hanging="567"/>
        <w:rPr>
          <w:noProof/>
        </w:rPr>
      </w:pPr>
      <w:r w:rsidRPr="007944F8">
        <w:t>un médicament appelé néfazodone</w:t>
      </w:r>
      <w:r w:rsidR="000D01E7" w:rsidRPr="007944F8">
        <w:t xml:space="preserve"> utilisé dans le traitement de la dépression</w:t>
      </w:r>
    </w:p>
    <w:p w14:paraId="584B7972" w14:textId="77777777" w:rsidR="00A41E3E" w:rsidRPr="007944F8" w:rsidRDefault="00A41E3E" w:rsidP="00E96874">
      <w:pPr>
        <w:widowControl w:val="0"/>
        <w:numPr>
          <w:ilvl w:val="0"/>
          <w:numId w:val="31"/>
        </w:numPr>
        <w:tabs>
          <w:tab w:val="clear" w:pos="567"/>
        </w:tabs>
        <w:spacing w:line="240" w:lineRule="auto"/>
        <w:ind w:left="567" w:hanging="567"/>
        <w:rPr>
          <w:noProof/>
        </w:rPr>
      </w:pPr>
      <w:r w:rsidRPr="007944F8">
        <w:t>un médicament appelé pénicillamine</w:t>
      </w:r>
      <w:r w:rsidR="000D01E7" w:rsidRPr="007944F8">
        <w:t xml:space="preserve"> utilisé dans le traitement de la polyarthrite rhumatoïde</w:t>
      </w:r>
    </w:p>
    <w:p w14:paraId="627EEE37" w14:textId="77777777" w:rsidR="00A41E3E" w:rsidRPr="007944F8" w:rsidRDefault="00492BF6" w:rsidP="00E96874">
      <w:pPr>
        <w:keepNext/>
        <w:widowControl w:val="0"/>
        <w:numPr>
          <w:ilvl w:val="0"/>
          <w:numId w:val="31"/>
        </w:numPr>
        <w:tabs>
          <w:tab w:val="clear" w:pos="567"/>
        </w:tabs>
        <w:spacing w:line="240" w:lineRule="auto"/>
        <w:ind w:left="567" w:hanging="567"/>
        <w:rPr>
          <w:noProof/>
        </w:rPr>
      </w:pPr>
      <w:r w:rsidRPr="007944F8">
        <w:t xml:space="preserve">un médicament à base de plantes appelé millepertuis (également connu sous le nom de </w:t>
      </w:r>
      <w:r w:rsidRPr="007944F8">
        <w:rPr>
          <w:i/>
        </w:rPr>
        <w:t>Hypericum perforatum</w:t>
      </w:r>
      <w:r w:rsidRPr="007944F8">
        <w:t>)</w:t>
      </w:r>
      <w:r w:rsidR="002618C1" w:rsidRPr="007944F8">
        <w:t xml:space="preserve"> utilisé dans le traitement de la dépression</w:t>
      </w:r>
      <w:r w:rsidRPr="007944F8">
        <w:t>.</w:t>
      </w:r>
    </w:p>
    <w:p w14:paraId="3A85B216" w14:textId="77777777" w:rsidR="00A41E3E" w:rsidRPr="007944F8" w:rsidRDefault="00492BF6" w:rsidP="00E96874">
      <w:pPr>
        <w:widowControl w:val="0"/>
        <w:spacing w:line="240" w:lineRule="auto"/>
        <w:rPr>
          <w:noProof/>
        </w:rPr>
      </w:pPr>
      <w:r w:rsidRPr="007944F8">
        <w:t>Si l’un des cas ci-dessus s’applique à vous ou en cas de doute, adressez-vous à votre médecin ou pharmacien avant de prendre Odomzo.</w:t>
      </w:r>
    </w:p>
    <w:p w14:paraId="360DC45E" w14:textId="77777777" w:rsidR="00FD6EC7" w:rsidRPr="007944F8" w:rsidRDefault="00FD6EC7" w:rsidP="00E96874">
      <w:pPr>
        <w:widowControl w:val="0"/>
        <w:spacing w:line="240" w:lineRule="auto"/>
        <w:rPr>
          <w:noProof/>
        </w:rPr>
      </w:pPr>
    </w:p>
    <w:p w14:paraId="493323D6" w14:textId="77777777" w:rsidR="00A41E3E" w:rsidRPr="007944F8" w:rsidRDefault="00A41E3E" w:rsidP="00E96874">
      <w:pPr>
        <w:widowControl w:val="0"/>
        <w:spacing w:line="240" w:lineRule="auto"/>
        <w:rPr>
          <w:noProof/>
        </w:rPr>
      </w:pPr>
      <w:r w:rsidRPr="007944F8">
        <w:t>Ces médicaments doivent être utilisés avec prudence, voire évités pendant toute la durée de votre traitement par Odomzo. Si vous prenez l’un d’entre eux, votre médecin devra peut-être vous prescrire un autre médicament de remplacement.</w:t>
      </w:r>
    </w:p>
    <w:p w14:paraId="49F2B2D7" w14:textId="77777777" w:rsidR="004171CF" w:rsidRPr="007944F8" w:rsidRDefault="004171CF" w:rsidP="00E96874">
      <w:pPr>
        <w:widowControl w:val="0"/>
        <w:spacing w:line="240" w:lineRule="auto"/>
        <w:rPr>
          <w:noProof/>
        </w:rPr>
      </w:pPr>
    </w:p>
    <w:p w14:paraId="7EC3C3BC" w14:textId="77777777" w:rsidR="00A41E3E" w:rsidRPr="007944F8" w:rsidRDefault="00492BF6" w:rsidP="00E96874">
      <w:pPr>
        <w:widowControl w:val="0"/>
        <w:spacing w:line="240" w:lineRule="auto"/>
        <w:rPr>
          <w:noProof/>
        </w:rPr>
      </w:pPr>
      <w:r w:rsidRPr="007944F8">
        <w:t>Pendant votre traitement par Odomzo, vous devez également prévenir votre médecin ou pharmacien si un autre médicament que vous ne preniez pas auparavant vous est prescrit.</w:t>
      </w:r>
    </w:p>
    <w:p w14:paraId="3738F723" w14:textId="77777777" w:rsidR="00A41E3E" w:rsidRPr="007944F8" w:rsidRDefault="00A41E3E" w:rsidP="00E93E8B">
      <w:pPr>
        <w:widowControl w:val="0"/>
        <w:rPr>
          <w:noProof/>
        </w:rPr>
      </w:pPr>
    </w:p>
    <w:p w14:paraId="1F6DCCAA" w14:textId="77777777" w:rsidR="00724EF7" w:rsidRPr="007944F8" w:rsidRDefault="00724EF7" w:rsidP="00BE7F7C">
      <w:pPr>
        <w:keepNext/>
        <w:widowControl w:val="0"/>
        <w:outlineLvl w:val="0"/>
        <w:rPr>
          <w:b/>
          <w:noProof/>
        </w:rPr>
      </w:pPr>
      <w:r w:rsidRPr="007944F8">
        <w:rPr>
          <w:b/>
          <w:noProof/>
        </w:rPr>
        <w:t>Grossesse</w:t>
      </w:r>
    </w:p>
    <w:p w14:paraId="52514C28" w14:textId="77777777" w:rsidR="00724EF7" w:rsidRPr="007944F8" w:rsidRDefault="00724EF7" w:rsidP="00E96874">
      <w:pPr>
        <w:widowControl w:val="0"/>
        <w:spacing w:line="240" w:lineRule="auto"/>
        <w:rPr>
          <w:noProof/>
        </w:rPr>
      </w:pPr>
      <w:r w:rsidRPr="007944F8">
        <w:t xml:space="preserve">Ne prenez jamais Odomzo si vous êtes enceinte, si vous pensez être enceinte ou si vous envisagez une grossesse durant votre traitement ou au cours des 20 mois qui suivent la fin de votre traitement. Vous devez arrêter de prendre Odomzo et consulter immédiatement votre médecin si vous devenez enceinte ou si vous pensez que vous pourriez être enceinte. Odomzo peut provoquer des anomalies sévères </w:t>
      </w:r>
      <w:r w:rsidR="009D11DE" w:rsidRPr="007944F8">
        <w:t xml:space="preserve">constatées à la naissance </w:t>
      </w:r>
      <w:r w:rsidRPr="007944F8">
        <w:t>chez votre bébé ou entraîner la mort de l’enfant à naître.</w:t>
      </w:r>
      <w:r w:rsidR="00A046E2" w:rsidRPr="007944F8">
        <w:t xml:space="preserve"> Des instructions spécifiques (Plan de Prévention de la Grossesse d’Odomzo) que votre médecin vous </w:t>
      </w:r>
      <w:r w:rsidR="00B52955" w:rsidRPr="007944F8">
        <w:t xml:space="preserve">a </w:t>
      </w:r>
      <w:r w:rsidR="00A046E2" w:rsidRPr="007944F8">
        <w:t>données, contiennent des informations en particulier sur les effets que peut provoquer Odomzo sur les bébés à naître.</w:t>
      </w:r>
    </w:p>
    <w:p w14:paraId="13E36F6E" w14:textId="77777777" w:rsidR="00724EF7" w:rsidRPr="007944F8" w:rsidRDefault="00724EF7" w:rsidP="00E96874">
      <w:pPr>
        <w:widowControl w:val="0"/>
        <w:rPr>
          <w:noProof/>
        </w:rPr>
      </w:pPr>
    </w:p>
    <w:p w14:paraId="17367AB9" w14:textId="77777777" w:rsidR="00724EF7" w:rsidRPr="007944F8" w:rsidRDefault="00724EF7" w:rsidP="00BE7F7C">
      <w:pPr>
        <w:keepNext/>
        <w:widowControl w:val="0"/>
        <w:outlineLvl w:val="0"/>
        <w:rPr>
          <w:b/>
          <w:noProof/>
        </w:rPr>
      </w:pPr>
      <w:r w:rsidRPr="007944F8">
        <w:rPr>
          <w:b/>
          <w:noProof/>
        </w:rPr>
        <w:t>Allaitement</w:t>
      </w:r>
    </w:p>
    <w:p w14:paraId="200EC1AF" w14:textId="77777777" w:rsidR="00724EF7" w:rsidRPr="007944F8" w:rsidRDefault="00724EF7" w:rsidP="00E96874">
      <w:pPr>
        <w:widowControl w:val="0"/>
        <w:spacing w:line="240" w:lineRule="auto"/>
        <w:rPr>
          <w:noProof/>
        </w:rPr>
      </w:pPr>
      <w:r w:rsidRPr="007944F8">
        <w:t>N’allaitez pas durant votre traitement ou pendant les 20 mois qui suivent la fin de votre traitement. On ne sait pas si Odomzo peut passer dans votre lait maternel et nuire à votre bébé.</w:t>
      </w:r>
    </w:p>
    <w:p w14:paraId="71290C12" w14:textId="77777777" w:rsidR="00724EF7" w:rsidRPr="007944F8" w:rsidRDefault="00724EF7" w:rsidP="00E96874">
      <w:pPr>
        <w:widowControl w:val="0"/>
        <w:spacing w:line="240" w:lineRule="auto"/>
        <w:rPr>
          <w:noProof/>
        </w:rPr>
      </w:pPr>
    </w:p>
    <w:p w14:paraId="4EC102E7" w14:textId="77777777" w:rsidR="00724EF7" w:rsidRPr="007944F8" w:rsidRDefault="00724EF7" w:rsidP="00BE7F7C">
      <w:pPr>
        <w:keepNext/>
        <w:widowControl w:val="0"/>
        <w:outlineLvl w:val="0"/>
        <w:rPr>
          <w:b/>
          <w:noProof/>
        </w:rPr>
      </w:pPr>
      <w:r w:rsidRPr="007944F8">
        <w:rPr>
          <w:b/>
          <w:noProof/>
        </w:rPr>
        <w:t>Fertilité</w:t>
      </w:r>
    </w:p>
    <w:p w14:paraId="5D993534" w14:textId="77777777" w:rsidR="00724EF7" w:rsidRPr="007944F8" w:rsidRDefault="00724EF7" w:rsidP="00E96874">
      <w:pPr>
        <w:widowControl w:val="0"/>
        <w:spacing w:line="240" w:lineRule="auto"/>
        <w:rPr>
          <w:noProof/>
        </w:rPr>
      </w:pPr>
      <w:r w:rsidRPr="007944F8">
        <w:t>Odomzo peut avoir un impact sur la fertilité des hommes et des femmes. Si vous avez l’intention d’avoir des enfants, parlez-en à votre médecin.</w:t>
      </w:r>
    </w:p>
    <w:p w14:paraId="599AEB33" w14:textId="77777777" w:rsidR="00724EF7" w:rsidRPr="007944F8" w:rsidRDefault="00724EF7" w:rsidP="00E96874">
      <w:pPr>
        <w:widowControl w:val="0"/>
        <w:rPr>
          <w:noProof/>
        </w:rPr>
      </w:pPr>
    </w:p>
    <w:p w14:paraId="273DDF2B" w14:textId="77777777" w:rsidR="00724EF7" w:rsidRPr="007944F8" w:rsidRDefault="00724EF7" w:rsidP="00BE7F7C">
      <w:pPr>
        <w:keepNext/>
        <w:widowControl w:val="0"/>
        <w:outlineLvl w:val="0"/>
        <w:rPr>
          <w:b/>
          <w:noProof/>
        </w:rPr>
      </w:pPr>
      <w:r w:rsidRPr="007944F8">
        <w:rPr>
          <w:b/>
          <w:noProof/>
        </w:rPr>
        <w:t>Contraception pour les femmes et les hommes</w:t>
      </w:r>
    </w:p>
    <w:p w14:paraId="0BA72DB8" w14:textId="77777777" w:rsidR="00A41E3E" w:rsidRPr="007944F8" w:rsidRDefault="00D762A7" w:rsidP="00BE7F7C">
      <w:pPr>
        <w:keepNext/>
        <w:widowControl w:val="0"/>
        <w:outlineLvl w:val="0"/>
        <w:rPr>
          <w:i/>
          <w:noProof/>
          <w:u w:val="single"/>
        </w:rPr>
      </w:pPr>
      <w:r w:rsidRPr="007944F8">
        <w:rPr>
          <w:i/>
          <w:noProof/>
          <w:u w:val="single"/>
        </w:rPr>
        <w:t>Femmes</w:t>
      </w:r>
    </w:p>
    <w:p w14:paraId="2791AF0E" w14:textId="77777777" w:rsidR="00A41E3E" w:rsidRPr="007944F8" w:rsidRDefault="00A41E3E" w:rsidP="00E96874">
      <w:pPr>
        <w:widowControl w:val="0"/>
        <w:spacing w:line="240" w:lineRule="auto"/>
        <w:rPr>
          <w:noProof/>
        </w:rPr>
      </w:pPr>
      <w:r w:rsidRPr="007944F8">
        <w:t xml:space="preserve">Avant de </w:t>
      </w:r>
      <w:r w:rsidR="00507932" w:rsidRPr="007944F8">
        <w:t>commencer</w:t>
      </w:r>
      <w:r w:rsidRPr="007944F8">
        <w:t xml:space="preserve"> le traitement par Odomzo, demandez à votre médecin si vous êtes susceptible de </w:t>
      </w:r>
      <w:r w:rsidR="00561ED8" w:rsidRPr="007944F8">
        <w:t>débuter une grossesse</w:t>
      </w:r>
      <w:r w:rsidRPr="007944F8">
        <w:t xml:space="preserve">, même si vos règles se sont arrêtées (ménopause). Il est important de vérifier auprès de votre médecin s’il existe un risque que vous puissiez </w:t>
      </w:r>
      <w:r w:rsidR="00561ED8" w:rsidRPr="007944F8">
        <w:t>débuter une grossesse</w:t>
      </w:r>
      <w:r w:rsidRPr="007944F8">
        <w:t>.</w:t>
      </w:r>
    </w:p>
    <w:p w14:paraId="1AF5834E" w14:textId="77777777" w:rsidR="00D762A7" w:rsidRPr="007944F8" w:rsidRDefault="00D762A7" w:rsidP="00E96874">
      <w:pPr>
        <w:widowControl w:val="0"/>
        <w:spacing w:line="240" w:lineRule="auto"/>
        <w:rPr>
          <w:noProof/>
        </w:rPr>
      </w:pPr>
    </w:p>
    <w:p w14:paraId="57BB0B4B" w14:textId="77777777" w:rsidR="00A41E3E" w:rsidRPr="007944F8" w:rsidRDefault="00A41E3E" w:rsidP="00E96874">
      <w:pPr>
        <w:keepNext/>
        <w:widowControl w:val="0"/>
        <w:spacing w:line="240" w:lineRule="auto"/>
      </w:pPr>
      <w:r w:rsidRPr="007944F8">
        <w:t xml:space="preserve">Si vous êtes susceptible de </w:t>
      </w:r>
      <w:r w:rsidR="00561ED8" w:rsidRPr="007944F8">
        <w:t>débuter une grossesse</w:t>
      </w:r>
      <w:r w:rsidRPr="007944F8">
        <w:t>:</w:t>
      </w:r>
    </w:p>
    <w:p w14:paraId="3DAD32C8" w14:textId="77777777" w:rsidR="00EE6668" w:rsidRPr="007944F8" w:rsidRDefault="00EE6668" w:rsidP="00E96874">
      <w:pPr>
        <w:keepNext/>
        <w:widowControl w:val="0"/>
        <w:numPr>
          <w:ilvl w:val="0"/>
          <w:numId w:val="32"/>
        </w:numPr>
        <w:tabs>
          <w:tab w:val="clear" w:pos="567"/>
        </w:tabs>
        <w:spacing w:line="240" w:lineRule="auto"/>
        <w:ind w:left="567" w:hanging="567"/>
        <w:rPr>
          <w:noProof/>
        </w:rPr>
      </w:pPr>
      <w:r w:rsidRPr="007944F8">
        <w:t xml:space="preserve">vous devez prendre des précautions afin </w:t>
      </w:r>
      <w:r w:rsidR="0018518C" w:rsidRPr="007944F8">
        <w:t>de</w:t>
      </w:r>
      <w:r w:rsidRPr="007944F8">
        <w:t xml:space="preserve"> ne </w:t>
      </w:r>
      <w:r w:rsidR="0018518C" w:rsidRPr="007944F8">
        <w:t>pas débute</w:t>
      </w:r>
      <w:r w:rsidR="006B5EA7" w:rsidRPr="007944F8">
        <w:t>r</w:t>
      </w:r>
      <w:r w:rsidR="0018518C" w:rsidRPr="007944F8">
        <w:t xml:space="preserve"> de grossesse au cours du traitement par </w:t>
      </w:r>
      <w:r w:rsidRPr="007944F8">
        <w:t>Odomzo</w:t>
      </w:r>
    </w:p>
    <w:p w14:paraId="38820A22" w14:textId="77777777" w:rsidR="00A41E3E" w:rsidRPr="007944F8" w:rsidRDefault="00A41E3E" w:rsidP="00E96874">
      <w:pPr>
        <w:widowControl w:val="0"/>
        <w:numPr>
          <w:ilvl w:val="0"/>
          <w:numId w:val="32"/>
        </w:numPr>
        <w:tabs>
          <w:tab w:val="clear" w:pos="567"/>
        </w:tabs>
        <w:spacing w:line="240" w:lineRule="auto"/>
        <w:ind w:left="567" w:hanging="567"/>
        <w:rPr>
          <w:noProof/>
        </w:rPr>
      </w:pPr>
      <w:r w:rsidRPr="007944F8">
        <w:t xml:space="preserve">vous devez utiliser 2 méthodes de contraception, une méthode </w:t>
      </w:r>
      <w:r w:rsidR="00561ED8" w:rsidRPr="007944F8">
        <w:t>hautement</w:t>
      </w:r>
      <w:r w:rsidRPr="007944F8">
        <w:t xml:space="preserve"> efficace et une méthode barrière </w:t>
      </w:r>
      <w:r w:rsidR="00561ED8" w:rsidRPr="007944F8">
        <w:t>de contraception</w:t>
      </w:r>
      <w:r w:rsidR="00B1314D" w:rsidRPr="007944F8">
        <w:t xml:space="preserve"> </w:t>
      </w:r>
      <w:r w:rsidRPr="007944F8">
        <w:t>(voir les exemples ci-dessous), tout au long de votre traitement par Odomzo ;</w:t>
      </w:r>
    </w:p>
    <w:p w14:paraId="6FCB8E45" w14:textId="77777777" w:rsidR="00A41E3E" w:rsidRPr="007944F8" w:rsidRDefault="00D762A7" w:rsidP="00E96874">
      <w:pPr>
        <w:keepNext/>
        <w:widowControl w:val="0"/>
        <w:numPr>
          <w:ilvl w:val="0"/>
          <w:numId w:val="32"/>
        </w:numPr>
        <w:tabs>
          <w:tab w:val="clear" w:pos="567"/>
        </w:tabs>
        <w:spacing w:line="240" w:lineRule="auto"/>
        <w:ind w:left="567" w:hanging="567"/>
        <w:rPr>
          <w:noProof/>
        </w:rPr>
      </w:pPr>
      <w:r w:rsidRPr="007944F8">
        <w:t>vous devez continuer à utiliser cette contraception pendant les 20 mois qui suivent l’arrêt du traitement par Odomzo</w:t>
      </w:r>
      <w:r w:rsidR="0091047A">
        <w:t>,</w:t>
      </w:r>
      <w:r w:rsidR="00F60B9F" w:rsidRPr="007944F8">
        <w:t xml:space="preserve"> car des traces du médicament peuvent rester dans le corps pendant longtemps</w:t>
      </w:r>
      <w:r w:rsidRPr="007944F8">
        <w:t>.</w:t>
      </w:r>
    </w:p>
    <w:p w14:paraId="6F1DD7B0" w14:textId="77777777" w:rsidR="00A41E3E" w:rsidRPr="007944F8" w:rsidRDefault="00724EF7" w:rsidP="00E96874">
      <w:pPr>
        <w:widowControl w:val="0"/>
        <w:spacing w:line="240" w:lineRule="auto"/>
        <w:rPr>
          <w:noProof/>
        </w:rPr>
      </w:pPr>
      <w:r w:rsidRPr="007944F8">
        <w:t>Votre médecin vous aidera à choisir la méthode de contraception qui vous convient le mieux.</w:t>
      </w:r>
    </w:p>
    <w:p w14:paraId="66E8670F" w14:textId="77777777" w:rsidR="00724EF7" w:rsidRPr="007944F8" w:rsidRDefault="00724EF7" w:rsidP="00E93E8B">
      <w:pPr>
        <w:widowControl w:val="0"/>
        <w:spacing w:line="240" w:lineRule="auto"/>
        <w:rPr>
          <w:noProof/>
        </w:rPr>
      </w:pPr>
    </w:p>
    <w:p w14:paraId="7CC6887B" w14:textId="77777777" w:rsidR="00724EF7" w:rsidRPr="007944F8" w:rsidRDefault="00EE6668" w:rsidP="00E96874">
      <w:pPr>
        <w:keepNext/>
        <w:widowControl w:val="0"/>
        <w:spacing w:line="240" w:lineRule="auto"/>
        <w:rPr>
          <w:noProof/>
        </w:rPr>
      </w:pPr>
      <w:r w:rsidRPr="007944F8">
        <w:t xml:space="preserve">Vous devez </w:t>
      </w:r>
      <w:r w:rsidR="0018518C" w:rsidRPr="007944F8">
        <w:t>utiliser</w:t>
      </w:r>
      <w:r w:rsidR="00724EF7" w:rsidRPr="007944F8">
        <w:t xml:space="preserve"> une méthode </w:t>
      </w:r>
      <w:r w:rsidR="00561ED8" w:rsidRPr="007944F8">
        <w:t>hautement</w:t>
      </w:r>
      <w:r w:rsidR="00724EF7" w:rsidRPr="007944F8">
        <w:t xml:space="preserve"> efficace, comme :</w:t>
      </w:r>
    </w:p>
    <w:p w14:paraId="676ED54F" w14:textId="77777777" w:rsidR="00724EF7" w:rsidRPr="007944F8" w:rsidRDefault="00724EF7" w:rsidP="00E96874">
      <w:pPr>
        <w:widowControl w:val="0"/>
        <w:numPr>
          <w:ilvl w:val="0"/>
          <w:numId w:val="32"/>
        </w:numPr>
        <w:tabs>
          <w:tab w:val="clear" w:pos="567"/>
        </w:tabs>
        <w:spacing w:line="240" w:lineRule="auto"/>
        <w:ind w:left="567" w:hanging="567"/>
        <w:rPr>
          <w:noProof/>
        </w:rPr>
      </w:pPr>
      <w:r w:rsidRPr="007944F8">
        <w:t>un dispositif intra</w:t>
      </w:r>
      <w:r w:rsidRPr="007944F8">
        <w:noBreakHyphen/>
        <w:t>utérin (le « stérilet » ou DIU) ;</w:t>
      </w:r>
    </w:p>
    <w:p w14:paraId="21FA3701" w14:textId="77777777" w:rsidR="00724EF7" w:rsidRPr="007944F8" w:rsidRDefault="00724EF7" w:rsidP="00E96874">
      <w:pPr>
        <w:widowControl w:val="0"/>
        <w:numPr>
          <w:ilvl w:val="0"/>
          <w:numId w:val="32"/>
        </w:numPr>
        <w:tabs>
          <w:tab w:val="clear" w:pos="567"/>
        </w:tabs>
        <w:spacing w:line="240" w:lineRule="auto"/>
        <w:ind w:left="567" w:hanging="567"/>
        <w:rPr>
          <w:noProof/>
        </w:rPr>
      </w:pPr>
      <w:r w:rsidRPr="007944F8">
        <w:t>une stérilisation chirurgicale.</w:t>
      </w:r>
    </w:p>
    <w:p w14:paraId="171CEC25" w14:textId="77777777" w:rsidR="00724EF7" w:rsidRPr="007944F8" w:rsidRDefault="00724EF7" w:rsidP="00E96874">
      <w:pPr>
        <w:widowControl w:val="0"/>
        <w:tabs>
          <w:tab w:val="clear" w:pos="567"/>
        </w:tabs>
        <w:autoSpaceDE w:val="0"/>
        <w:autoSpaceDN w:val="0"/>
        <w:adjustRightInd w:val="0"/>
        <w:spacing w:line="240" w:lineRule="auto"/>
        <w:rPr>
          <w:rFonts w:ascii="TimesNewRomanPSMT" w:eastAsia="SimSun" w:hAnsi="TimesNewRomanPSMT" w:cs="TimesNewRomanPSMT"/>
          <w:szCs w:val="22"/>
        </w:rPr>
      </w:pPr>
    </w:p>
    <w:p w14:paraId="4B9C058E" w14:textId="77777777" w:rsidR="00724EF7" w:rsidRPr="007944F8" w:rsidRDefault="00724EF7" w:rsidP="00E96874">
      <w:pPr>
        <w:keepNext/>
        <w:widowControl w:val="0"/>
        <w:tabs>
          <w:tab w:val="clear" w:pos="567"/>
        </w:tabs>
        <w:autoSpaceDE w:val="0"/>
        <w:autoSpaceDN w:val="0"/>
        <w:adjustRightInd w:val="0"/>
        <w:spacing w:line="240" w:lineRule="auto"/>
        <w:rPr>
          <w:rFonts w:ascii="TimesNewRomanPSMT" w:eastAsia="SimSun" w:hAnsi="TimesNewRomanPSMT" w:cs="TimesNewRomanPSMT"/>
          <w:szCs w:val="22"/>
        </w:rPr>
      </w:pPr>
      <w:r w:rsidRPr="007944F8">
        <w:rPr>
          <w:rFonts w:ascii="TimesNewRomanPSMT" w:hAnsi="TimesNewRomanPSMT"/>
        </w:rPr>
        <w:t>Vous devez également utiliser une méthode barrière</w:t>
      </w:r>
      <w:r w:rsidR="00561ED8" w:rsidRPr="007944F8">
        <w:rPr>
          <w:rFonts w:ascii="TimesNewRomanPSMT" w:hAnsi="TimesNewRomanPSMT"/>
        </w:rPr>
        <w:t xml:space="preserve"> contraception</w:t>
      </w:r>
      <w:r w:rsidRPr="007944F8">
        <w:rPr>
          <w:rFonts w:ascii="TimesNewRomanPSMT" w:hAnsi="TimesNewRomanPSMT"/>
        </w:rPr>
        <w:t>, comme :</w:t>
      </w:r>
    </w:p>
    <w:p w14:paraId="3B8E08AE" w14:textId="77777777" w:rsidR="00724EF7" w:rsidRPr="007944F8" w:rsidRDefault="00724EF7" w:rsidP="00E96874">
      <w:pPr>
        <w:widowControl w:val="0"/>
        <w:numPr>
          <w:ilvl w:val="0"/>
          <w:numId w:val="32"/>
        </w:numPr>
        <w:tabs>
          <w:tab w:val="clear" w:pos="567"/>
        </w:tabs>
        <w:spacing w:line="240" w:lineRule="auto"/>
        <w:ind w:left="567" w:hanging="567"/>
        <w:rPr>
          <w:noProof/>
        </w:rPr>
      </w:pPr>
      <w:r w:rsidRPr="007944F8">
        <w:t>un préservatif masculin (avec spermicide, si possible) ;</w:t>
      </w:r>
    </w:p>
    <w:p w14:paraId="52EFCADC" w14:textId="77777777" w:rsidR="00724EF7" w:rsidRPr="007944F8" w:rsidRDefault="00724EF7" w:rsidP="00E96874">
      <w:pPr>
        <w:widowControl w:val="0"/>
        <w:numPr>
          <w:ilvl w:val="0"/>
          <w:numId w:val="32"/>
        </w:numPr>
        <w:tabs>
          <w:tab w:val="clear" w:pos="567"/>
        </w:tabs>
        <w:spacing w:line="240" w:lineRule="auto"/>
        <w:ind w:left="567" w:hanging="567"/>
        <w:rPr>
          <w:noProof/>
        </w:rPr>
      </w:pPr>
      <w:r w:rsidRPr="007944F8">
        <w:t>un diaphragme (avec spermicide, si possible).</w:t>
      </w:r>
    </w:p>
    <w:p w14:paraId="544636FB" w14:textId="77777777" w:rsidR="00D762A7" w:rsidRPr="007944F8" w:rsidRDefault="00D762A7" w:rsidP="00E96874">
      <w:pPr>
        <w:widowControl w:val="0"/>
        <w:spacing w:line="240" w:lineRule="auto"/>
        <w:rPr>
          <w:noProof/>
        </w:rPr>
      </w:pPr>
    </w:p>
    <w:p w14:paraId="24B82BF4" w14:textId="77777777" w:rsidR="00724EF7" w:rsidRPr="007944F8" w:rsidRDefault="00A41E3E" w:rsidP="00E96874">
      <w:pPr>
        <w:keepNext/>
        <w:widowControl w:val="0"/>
        <w:spacing w:line="240" w:lineRule="auto"/>
        <w:rPr>
          <w:noProof/>
        </w:rPr>
      </w:pPr>
      <w:r w:rsidRPr="007944F8">
        <w:t>Votre médecin vous prescrira un test de grossesse :</w:t>
      </w:r>
    </w:p>
    <w:p w14:paraId="487AF147" w14:textId="77777777" w:rsidR="00724EF7" w:rsidRPr="007944F8" w:rsidRDefault="00724EF7" w:rsidP="00E96874">
      <w:pPr>
        <w:widowControl w:val="0"/>
        <w:numPr>
          <w:ilvl w:val="0"/>
          <w:numId w:val="32"/>
        </w:numPr>
        <w:tabs>
          <w:tab w:val="clear" w:pos="567"/>
        </w:tabs>
        <w:spacing w:line="240" w:lineRule="auto"/>
        <w:ind w:left="567" w:hanging="567"/>
        <w:rPr>
          <w:noProof/>
        </w:rPr>
      </w:pPr>
      <w:r w:rsidRPr="007944F8">
        <w:t>au moins 7 jours avant le début du traitement, pour s’assurer que vous n’êtes pas enceinte ;</w:t>
      </w:r>
    </w:p>
    <w:p w14:paraId="2F870F21" w14:textId="77777777" w:rsidR="00724EF7" w:rsidRPr="007944F8" w:rsidRDefault="00724EF7" w:rsidP="00E96874">
      <w:pPr>
        <w:widowControl w:val="0"/>
        <w:numPr>
          <w:ilvl w:val="0"/>
          <w:numId w:val="32"/>
        </w:numPr>
        <w:tabs>
          <w:tab w:val="clear" w:pos="567"/>
        </w:tabs>
        <w:spacing w:line="240" w:lineRule="auto"/>
        <w:ind w:left="567" w:hanging="567"/>
        <w:rPr>
          <w:noProof/>
        </w:rPr>
      </w:pPr>
      <w:r w:rsidRPr="007944F8">
        <w:t>tous les mois pendant toute la durée du traitement.</w:t>
      </w:r>
    </w:p>
    <w:p w14:paraId="6B5C32C3" w14:textId="77777777" w:rsidR="00724EF7" w:rsidRPr="007944F8" w:rsidRDefault="00724EF7" w:rsidP="00E96874">
      <w:pPr>
        <w:widowControl w:val="0"/>
        <w:tabs>
          <w:tab w:val="clear" w:pos="567"/>
        </w:tabs>
        <w:spacing w:line="240" w:lineRule="auto"/>
        <w:rPr>
          <w:noProof/>
        </w:rPr>
      </w:pPr>
    </w:p>
    <w:p w14:paraId="4B145182" w14:textId="77777777" w:rsidR="00A41E3E" w:rsidRPr="007944F8" w:rsidRDefault="00A41E3E" w:rsidP="00E96874">
      <w:pPr>
        <w:keepNext/>
        <w:widowControl w:val="0"/>
        <w:spacing w:line="240" w:lineRule="auto"/>
        <w:rPr>
          <w:noProof/>
        </w:rPr>
      </w:pPr>
      <w:r w:rsidRPr="007944F8">
        <w:t>Au cours du traitement et pendant les 20 mois qui suivent l’arrêt de votre traitement, prévenez immédiatement votre médecin si :</w:t>
      </w:r>
    </w:p>
    <w:p w14:paraId="6587CD01" w14:textId="77777777" w:rsidR="00A41E3E" w:rsidRPr="007944F8" w:rsidRDefault="00A41E3E" w:rsidP="00E96874">
      <w:pPr>
        <w:widowControl w:val="0"/>
        <w:numPr>
          <w:ilvl w:val="0"/>
          <w:numId w:val="32"/>
        </w:numPr>
        <w:tabs>
          <w:tab w:val="clear" w:pos="567"/>
        </w:tabs>
        <w:spacing w:line="240" w:lineRule="auto"/>
        <w:ind w:left="567" w:hanging="567"/>
        <w:rPr>
          <w:noProof/>
        </w:rPr>
      </w:pPr>
      <w:r w:rsidRPr="007944F8">
        <w:t>vous pensez que votre contraception n’a pas fonctionné pour une raison quelconque ;</w:t>
      </w:r>
    </w:p>
    <w:p w14:paraId="25D084F8" w14:textId="77777777" w:rsidR="00A41E3E" w:rsidRPr="007944F8" w:rsidRDefault="00A41E3E" w:rsidP="00E96874">
      <w:pPr>
        <w:widowControl w:val="0"/>
        <w:numPr>
          <w:ilvl w:val="0"/>
          <w:numId w:val="32"/>
        </w:numPr>
        <w:tabs>
          <w:tab w:val="clear" w:pos="567"/>
        </w:tabs>
        <w:spacing w:line="240" w:lineRule="auto"/>
        <w:ind w:left="567" w:hanging="567"/>
        <w:rPr>
          <w:noProof/>
        </w:rPr>
      </w:pPr>
      <w:r w:rsidRPr="007944F8">
        <w:t>vos règles s’arrêtent ;</w:t>
      </w:r>
    </w:p>
    <w:p w14:paraId="4B89DD42" w14:textId="77777777" w:rsidR="00A41E3E" w:rsidRPr="007944F8" w:rsidRDefault="00A41E3E" w:rsidP="00E96874">
      <w:pPr>
        <w:widowControl w:val="0"/>
        <w:numPr>
          <w:ilvl w:val="0"/>
          <w:numId w:val="32"/>
        </w:numPr>
        <w:tabs>
          <w:tab w:val="clear" w:pos="567"/>
        </w:tabs>
        <w:spacing w:line="240" w:lineRule="auto"/>
        <w:ind w:left="567" w:hanging="567"/>
        <w:rPr>
          <w:noProof/>
        </w:rPr>
      </w:pPr>
      <w:r w:rsidRPr="007944F8">
        <w:t>vous cessez de recourir à la contraception ;</w:t>
      </w:r>
    </w:p>
    <w:p w14:paraId="02FA0B8A" w14:textId="77777777" w:rsidR="00A41E3E" w:rsidRPr="007944F8" w:rsidRDefault="00A41E3E" w:rsidP="00E96874">
      <w:pPr>
        <w:widowControl w:val="0"/>
        <w:numPr>
          <w:ilvl w:val="0"/>
          <w:numId w:val="32"/>
        </w:numPr>
        <w:tabs>
          <w:tab w:val="clear" w:pos="567"/>
        </w:tabs>
        <w:spacing w:line="240" w:lineRule="auto"/>
        <w:ind w:left="567" w:hanging="567"/>
        <w:rPr>
          <w:noProof/>
        </w:rPr>
      </w:pPr>
      <w:r w:rsidRPr="007944F8">
        <w:t>vous avez besoin de changer de contraception.</w:t>
      </w:r>
    </w:p>
    <w:p w14:paraId="4D996973" w14:textId="77777777" w:rsidR="00A41E3E" w:rsidRPr="007944F8" w:rsidRDefault="00A41E3E" w:rsidP="00E96874">
      <w:pPr>
        <w:widowControl w:val="0"/>
        <w:spacing w:line="240" w:lineRule="auto"/>
        <w:rPr>
          <w:szCs w:val="22"/>
        </w:rPr>
      </w:pPr>
    </w:p>
    <w:p w14:paraId="116F4317" w14:textId="77777777" w:rsidR="00A41E3E" w:rsidRPr="007944F8" w:rsidRDefault="00D762A7" w:rsidP="00BE7F7C">
      <w:pPr>
        <w:keepNext/>
        <w:widowControl w:val="0"/>
        <w:outlineLvl w:val="0"/>
        <w:rPr>
          <w:i/>
          <w:noProof/>
          <w:u w:val="single"/>
        </w:rPr>
      </w:pPr>
      <w:r w:rsidRPr="007944F8">
        <w:rPr>
          <w:i/>
          <w:noProof/>
          <w:u w:val="single"/>
        </w:rPr>
        <w:t>Hommes</w:t>
      </w:r>
    </w:p>
    <w:p w14:paraId="746D7975" w14:textId="77777777" w:rsidR="00A41E3E" w:rsidRPr="007944F8" w:rsidRDefault="00D2336E" w:rsidP="00E96874">
      <w:pPr>
        <w:widowControl w:val="0"/>
        <w:spacing w:line="240" w:lineRule="auto"/>
        <w:rPr>
          <w:noProof/>
        </w:rPr>
      </w:pPr>
      <w:r w:rsidRPr="007944F8">
        <w:t>Pendant votre traitement par Odomzo, utilisez toujours un préservatif</w:t>
      </w:r>
      <w:r w:rsidR="00EE6668" w:rsidRPr="007944F8">
        <w:t xml:space="preserve"> (avec spermicide si possible)</w:t>
      </w:r>
      <w:r w:rsidRPr="007944F8">
        <w:t xml:space="preserve"> lors de vos rapports sexuels avec </w:t>
      </w:r>
      <w:r w:rsidR="00561ED8" w:rsidRPr="007944F8">
        <w:t>votre</w:t>
      </w:r>
      <w:r w:rsidRPr="007944F8">
        <w:t xml:space="preserve"> par</w:t>
      </w:r>
      <w:r w:rsidR="00561ED8" w:rsidRPr="007944F8">
        <w:t xml:space="preserve">tenaire, même si vous avez subi </w:t>
      </w:r>
      <w:r w:rsidRPr="007944F8">
        <w:t>une vasectomie. Vous devez continuer à faire cela pendant les 6 mois qui suivent l’arrêt de votre traitement.</w:t>
      </w:r>
    </w:p>
    <w:p w14:paraId="26D96EDF" w14:textId="77777777" w:rsidR="00D762A7" w:rsidRPr="007944F8" w:rsidRDefault="00D762A7" w:rsidP="00E96874">
      <w:pPr>
        <w:widowControl w:val="0"/>
        <w:spacing w:line="240" w:lineRule="auto"/>
        <w:rPr>
          <w:noProof/>
        </w:rPr>
      </w:pPr>
    </w:p>
    <w:p w14:paraId="7E7F341B" w14:textId="77777777" w:rsidR="00A41E3E" w:rsidRPr="007944F8" w:rsidRDefault="00A41E3E" w:rsidP="00E96874">
      <w:pPr>
        <w:widowControl w:val="0"/>
        <w:spacing w:line="240" w:lineRule="auto"/>
        <w:rPr>
          <w:noProof/>
        </w:rPr>
      </w:pPr>
      <w:r w:rsidRPr="007944F8">
        <w:t>Prévenez immédiatement votre médecin si votre partenaire devient enceinte au cours de votre traitement par Odomzo</w:t>
      </w:r>
      <w:r w:rsidR="00A802AA" w:rsidRPr="007944F8">
        <w:t xml:space="preserve"> et pendant les 6</w:t>
      </w:r>
      <w:r w:rsidR="00043CA9" w:rsidRPr="007944F8">
        <w:t> </w:t>
      </w:r>
      <w:r w:rsidR="00A802AA" w:rsidRPr="007944F8">
        <w:t>mois qui suivent la fin de votre traitement</w:t>
      </w:r>
      <w:r w:rsidRPr="007944F8">
        <w:t>.</w:t>
      </w:r>
    </w:p>
    <w:p w14:paraId="70FEDA81" w14:textId="77777777" w:rsidR="00D762A7" w:rsidRPr="007944F8" w:rsidRDefault="00D762A7" w:rsidP="00E96874">
      <w:pPr>
        <w:widowControl w:val="0"/>
        <w:spacing w:line="240" w:lineRule="auto"/>
        <w:rPr>
          <w:noProof/>
        </w:rPr>
      </w:pPr>
    </w:p>
    <w:p w14:paraId="7EF4E969" w14:textId="0EB24E0B" w:rsidR="00E804B5" w:rsidRPr="007944F8" w:rsidRDefault="00E804B5" w:rsidP="00E96874">
      <w:pPr>
        <w:widowControl w:val="0"/>
        <w:spacing w:line="240" w:lineRule="auto"/>
        <w:rPr>
          <w:szCs w:val="22"/>
        </w:rPr>
      </w:pPr>
      <w:r>
        <w:t>Vous ne devez pas concevoir d'enfant ni donner de sperme pendant votre traitement et pendant les 6 mois suivant la fin de votre traitement.</w:t>
      </w:r>
    </w:p>
    <w:p w14:paraId="457D7FAF" w14:textId="77777777" w:rsidR="00A41E3E" w:rsidRPr="007944F8" w:rsidRDefault="00A41E3E" w:rsidP="00E93E8B">
      <w:pPr>
        <w:widowControl w:val="0"/>
        <w:spacing w:line="240" w:lineRule="auto"/>
        <w:rPr>
          <w:szCs w:val="22"/>
        </w:rPr>
      </w:pPr>
    </w:p>
    <w:p w14:paraId="7A983968" w14:textId="77777777" w:rsidR="00A41E3E" w:rsidRPr="007944F8" w:rsidRDefault="00A41E3E" w:rsidP="00BE7F7C">
      <w:pPr>
        <w:keepNext/>
        <w:widowControl w:val="0"/>
        <w:outlineLvl w:val="0"/>
        <w:rPr>
          <w:b/>
          <w:noProof/>
        </w:rPr>
      </w:pPr>
      <w:r w:rsidRPr="007944F8">
        <w:rPr>
          <w:b/>
          <w:noProof/>
        </w:rPr>
        <w:t>Conduite de véhicules et utilisation de machines</w:t>
      </w:r>
    </w:p>
    <w:p w14:paraId="3CDF4D02" w14:textId="77777777" w:rsidR="00A41E3E" w:rsidRPr="007944F8" w:rsidRDefault="00A41E3E" w:rsidP="00E93E8B">
      <w:pPr>
        <w:widowControl w:val="0"/>
        <w:numPr>
          <w:ilvl w:val="12"/>
          <w:numId w:val="0"/>
        </w:numPr>
        <w:tabs>
          <w:tab w:val="clear" w:pos="567"/>
        </w:tabs>
        <w:spacing w:line="240" w:lineRule="auto"/>
        <w:ind w:right="-2"/>
        <w:rPr>
          <w:szCs w:val="22"/>
        </w:rPr>
      </w:pPr>
      <w:r w:rsidRPr="007944F8">
        <w:t>Il est peu probable qu’Odomzo affecte votre aptitude à conduire des véhicules ou à utiliser des outils ou des machines. En cas de doute, adressez-vous à votre médecin.</w:t>
      </w:r>
    </w:p>
    <w:p w14:paraId="5D9A13E0" w14:textId="77777777" w:rsidR="00A41E3E" w:rsidRPr="007944F8" w:rsidRDefault="00A41E3E" w:rsidP="00E93E8B">
      <w:pPr>
        <w:widowControl w:val="0"/>
        <w:numPr>
          <w:ilvl w:val="12"/>
          <w:numId w:val="0"/>
        </w:numPr>
        <w:tabs>
          <w:tab w:val="clear" w:pos="567"/>
        </w:tabs>
        <w:spacing w:line="240" w:lineRule="auto"/>
        <w:ind w:right="-2"/>
        <w:rPr>
          <w:noProof/>
          <w:szCs w:val="22"/>
        </w:rPr>
      </w:pPr>
    </w:p>
    <w:p w14:paraId="7AF96385" w14:textId="77777777" w:rsidR="00A41E3E" w:rsidRPr="007944F8" w:rsidRDefault="00A41E3E" w:rsidP="00BE7F7C">
      <w:pPr>
        <w:keepNext/>
        <w:widowControl w:val="0"/>
        <w:outlineLvl w:val="0"/>
        <w:rPr>
          <w:rFonts w:cs="Arial"/>
          <w:b/>
        </w:rPr>
      </w:pPr>
      <w:r w:rsidRPr="007944F8">
        <w:rPr>
          <w:b/>
          <w:noProof/>
        </w:rPr>
        <w:t>Odomzo contient du lactose</w:t>
      </w:r>
    </w:p>
    <w:p w14:paraId="4C6BDBC7" w14:textId="77777777" w:rsidR="00A41E3E" w:rsidRPr="007944F8" w:rsidRDefault="00A41E3E" w:rsidP="00E93E8B">
      <w:pPr>
        <w:widowControl w:val="0"/>
        <w:rPr>
          <w:rFonts w:cs="Arial"/>
        </w:rPr>
      </w:pPr>
      <w:r w:rsidRPr="007944F8">
        <w:t>Odomzo contient du lactose (sucre du lait). Si votre médecin vous a informé(e) d’une intolérance à certains sucres, contactez-le avant de prendre ce médicament.</w:t>
      </w:r>
    </w:p>
    <w:p w14:paraId="60DB41E0" w14:textId="77777777" w:rsidR="00A41E3E" w:rsidRPr="007944F8" w:rsidRDefault="00A41E3E" w:rsidP="00E93E8B">
      <w:pPr>
        <w:widowControl w:val="0"/>
        <w:numPr>
          <w:ilvl w:val="12"/>
          <w:numId w:val="0"/>
        </w:numPr>
        <w:tabs>
          <w:tab w:val="clear" w:pos="567"/>
        </w:tabs>
        <w:spacing w:line="240" w:lineRule="auto"/>
        <w:ind w:right="-2"/>
        <w:rPr>
          <w:noProof/>
          <w:szCs w:val="22"/>
        </w:rPr>
      </w:pPr>
    </w:p>
    <w:p w14:paraId="567B0D62" w14:textId="77777777" w:rsidR="00A41E3E" w:rsidRPr="007944F8" w:rsidRDefault="00A41E3E" w:rsidP="00E93E8B">
      <w:pPr>
        <w:widowControl w:val="0"/>
        <w:numPr>
          <w:ilvl w:val="12"/>
          <w:numId w:val="0"/>
        </w:numPr>
        <w:tabs>
          <w:tab w:val="clear" w:pos="567"/>
        </w:tabs>
        <w:spacing w:line="240" w:lineRule="auto"/>
        <w:ind w:right="-2"/>
        <w:rPr>
          <w:noProof/>
          <w:szCs w:val="22"/>
        </w:rPr>
      </w:pPr>
    </w:p>
    <w:p w14:paraId="49BD4EBB" w14:textId="77777777" w:rsidR="00A41E3E" w:rsidRPr="007944F8" w:rsidRDefault="00A41E3E" w:rsidP="00E93E8B">
      <w:pPr>
        <w:keepNext/>
        <w:widowControl w:val="0"/>
        <w:spacing w:line="240" w:lineRule="auto"/>
        <w:rPr>
          <w:b/>
          <w:noProof/>
          <w:szCs w:val="22"/>
        </w:rPr>
      </w:pPr>
      <w:r w:rsidRPr="007944F8">
        <w:rPr>
          <w:b/>
          <w:noProof/>
        </w:rPr>
        <w:t>3.</w:t>
      </w:r>
      <w:r w:rsidRPr="007944F8">
        <w:tab/>
      </w:r>
      <w:r w:rsidRPr="007944F8">
        <w:rPr>
          <w:b/>
          <w:noProof/>
        </w:rPr>
        <w:t>Comment prendre Odomzo</w:t>
      </w:r>
      <w:r w:rsidR="00D07FA3" w:rsidRPr="007944F8">
        <w:rPr>
          <w:b/>
          <w:noProof/>
        </w:rPr>
        <w:t> ?</w:t>
      </w:r>
    </w:p>
    <w:p w14:paraId="7E822582" w14:textId="77777777" w:rsidR="00716CB0" w:rsidRPr="007944F8" w:rsidRDefault="00716CB0" w:rsidP="00E93E8B">
      <w:pPr>
        <w:keepNext/>
        <w:widowControl w:val="0"/>
        <w:spacing w:line="240" w:lineRule="auto"/>
        <w:rPr>
          <w:noProof/>
          <w:szCs w:val="22"/>
        </w:rPr>
      </w:pPr>
    </w:p>
    <w:p w14:paraId="61E5FAAA" w14:textId="77777777" w:rsidR="00A41E3E" w:rsidRPr="007944F8" w:rsidRDefault="00A41E3E" w:rsidP="00E96874">
      <w:pPr>
        <w:widowControl w:val="0"/>
        <w:spacing w:line="240" w:lineRule="auto"/>
        <w:rPr>
          <w:noProof/>
          <w:szCs w:val="22"/>
        </w:rPr>
      </w:pPr>
      <w:r w:rsidRPr="007944F8">
        <w:t>Veillez à toujours prendre ce médicament en suivant exactement les indications de votre médecin ou pharmacien. Vérifiez auprès de votre médecin ou pharmacien en cas de doute.</w:t>
      </w:r>
    </w:p>
    <w:p w14:paraId="4ECE3123" w14:textId="77777777" w:rsidR="00716CB0" w:rsidRPr="007944F8" w:rsidRDefault="00716CB0" w:rsidP="00E96874">
      <w:pPr>
        <w:widowControl w:val="0"/>
        <w:spacing w:line="240" w:lineRule="auto"/>
        <w:rPr>
          <w:noProof/>
          <w:szCs w:val="22"/>
        </w:rPr>
      </w:pPr>
    </w:p>
    <w:p w14:paraId="573FDC56" w14:textId="77777777" w:rsidR="00D2336E" w:rsidRPr="007944F8" w:rsidRDefault="00D2336E" w:rsidP="00BE7F7C">
      <w:pPr>
        <w:keepNext/>
        <w:widowControl w:val="0"/>
        <w:spacing w:line="240" w:lineRule="auto"/>
        <w:outlineLvl w:val="0"/>
        <w:rPr>
          <w:b/>
          <w:noProof/>
          <w:szCs w:val="22"/>
        </w:rPr>
      </w:pPr>
      <w:r w:rsidRPr="007944F8">
        <w:rPr>
          <w:b/>
          <w:noProof/>
        </w:rPr>
        <w:t>Prise du médicament</w:t>
      </w:r>
    </w:p>
    <w:p w14:paraId="47F4BA2A" w14:textId="77777777" w:rsidR="00D2336E" w:rsidRPr="007944F8" w:rsidRDefault="00A41E3E" w:rsidP="00E96874">
      <w:pPr>
        <w:keepNext/>
        <w:widowControl w:val="0"/>
        <w:spacing w:line="240" w:lineRule="auto"/>
        <w:rPr>
          <w:noProof/>
          <w:szCs w:val="22"/>
        </w:rPr>
      </w:pPr>
      <w:r w:rsidRPr="007944F8">
        <w:t>La dose recommandée est de 200 mg (1 gélule) par jour.</w:t>
      </w:r>
    </w:p>
    <w:p w14:paraId="1296BED1" w14:textId="77777777" w:rsidR="00A41E3E" w:rsidRPr="007944F8" w:rsidRDefault="00A41E3E" w:rsidP="00E96874">
      <w:pPr>
        <w:widowControl w:val="0"/>
        <w:numPr>
          <w:ilvl w:val="0"/>
          <w:numId w:val="32"/>
        </w:numPr>
        <w:tabs>
          <w:tab w:val="clear" w:pos="567"/>
        </w:tabs>
        <w:spacing w:line="240" w:lineRule="auto"/>
        <w:ind w:left="567" w:hanging="567"/>
        <w:rPr>
          <w:noProof/>
        </w:rPr>
      </w:pPr>
      <w:r w:rsidRPr="007944F8">
        <w:t xml:space="preserve">Ne consommez pas d’aliments </w:t>
      </w:r>
      <w:r w:rsidR="00295464" w:rsidRPr="007944F8">
        <w:t>pendant les 2</w:t>
      </w:r>
      <w:r w:rsidR="00043CA9" w:rsidRPr="007944F8">
        <w:t> </w:t>
      </w:r>
      <w:r w:rsidR="00295464" w:rsidRPr="007944F8">
        <w:t xml:space="preserve">heures qui précèdent la prise et </w:t>
      </w:r>
      <w:r w:rsidRPr="007944F8">
        <w:t>au cours de l’heure qui</w:t>
      </w:r>
      <w:r w:rsidR="00295464" w:rsidRPr="007944F8">
        <w:t xml:space="preserve"> la suit</w:t>
      </w:r>
      <w:r w:rsidRPr="007944F8">
        <w:t>.</w:t>
      </w:r>
    </w:p>
    <w:p w14:paraId="3C231E6F" w14:textId="77777777" w:rsidR="00A41E3E" w:rsidRPr="007944F8" w:rsidRDefault="00A41E3E" w:rsidP="00E96874">
      <w:pPr>
        <w:widowControl w:val="0"/>
        <w:numPr>
          <w:ilvl w:val="0"/>
          <w:numId w:val="32"/>
        </w:numPr>
        <w:tabs>
          <w:tab w:val="clear" w:pos="567"/>
        </w:tabs>
        <w:spacing w:line="240" w:lineRule="auto"/>
        <w:ind w:left="567" w:hanging="567"/>
        <w:rPr>
          <w:noProof/>
        </w:rPr>
      </w:pPr>
      <w:r w:rsidRPr="007944F8">
        <w:t>Prenez votre gélule environ à la même heure chaque jour. Cela vous aidera à ne pas oublier de prendre votre médicament.</w:t>
      </w:r>
    </w:p>
    <w:p w14:paraId="2A535F3E" w14:textId="77777777" w:rsidR="00A41E3E" w:rsidRPr="007944F8" w:rsidRDefault="00A41E3E" w:rsidP="00E96874">
      <w:pPr>
        <w:widowControl w:val="0"/>
        <w:numPr>
          <w:ilvl w:val="0"/>
          <w:numId w:val="32"/>
        </w:numPr>
        <w:tabs>
          <w:tab w:val="clear" w:pos="567"/>
        </w:tabs>
        <w:spacing w:line="240" w:lineRule="auto"/>
        <w:ind w:left="567" w:hanging="567"/>
        <w:rPr>
          <w:noProof/>
        </w:rPr>
      </w:pPr>
      <w:r w:rsidRPr="007944F8">
        <w:t>Avalez la gélule entière. Vous ne devez ni l’ouvrir, ni la mâcher, ni l’écraser.</w:t>
      </w:r>
      <w:r w:rsidR="00604768">
        <w:t xml:space="preserve"> </w:t>
      </w:r>
      <w:r w:rsidR="00604768">
        <w:rPr>
          <w:noProof/>
        </w:rPr>
        <w:t>Il convient d’éviter tout contact avec le contenu des gélules. Il pourrait en effet y avoir des effets nocifs.</w:t>
      </w:r>
    </w:p>
    <w:p w14:paraId="5B799BF9" w14:textId="77777777" w:rsidR="00716CB0" w:rsidRPr="007944F8" w:rsidRDefault="00716CB0" w:rsidP="00E96874">
      <w:pPr>
        <w:widowControl w:val="0"/>
        <w:spacing w:line="240" w:lineRule="auto"/>
      </w:pPr>
    </w:p>
    <w:p w14:paraId="6361801D" w14:textId="77777777" w:rsidR="00A41E3E" w:rsidRPr="007944F8" w:rsidRDefault="00A41E3E" w:rsidP="00E96874">
      <w:pPr>
        <w:widowControl w:val="0"/>
        <w:spacing w:line="240" w:lineRule="auto"/>
        <w:rPr>
          <w:noProof/>
          <w:szCs w:val="22"/>
        </w:rPr>
      </w:pPr>
      <w:r w:rsidRPr="007944F8">
        <w:t>Ne modifiez pas votre dose sans consulter votre médecin. Ne dépassez pas la dose recommandée prescrite par votre médecin.</w:t>
      </w:r>
      <w:r w:rsidR="00B8519C" w:rsidRPr="007944F8">
        <w:t xml:space="preserve"> </w:t>
      </w:r>
      <w:r w:rsidR="0018518C" w:rsidRPr="007944F8">
        <w:t xml:space="preserve">Si vous vomissez après avoir </w:t>
      </w:r>
      <w:r w:rsidR="00B8519C" w:rsidRPr="007944F8">
        <w:t xml:space="preserve">avalé la gélule, ne prenez pas de </w:t>
      </w:r>
      <w:r w:rsidR="0018518C" w:rsidRPr="007944F8">
        <w:t>gélule</w:t>
      </w:r>
      <w:r w:rsidR="00B8519C" w:rsidRPr="007944F8">
        <w:t xml:space="preserve"> supplémentaire avant la prochaine prise prévue.</w:t>
      </w:r>
    </w:p>
    <w:p w14:paraId="2E7CBE84" w14:textId="77777777" w:rsidR="00A41E3E" w:rsidRPr="007944F8" w:rsidRDefault="00A41E3E" w:rsidP="00E93E8B">
      <w:pPr>
        <w:widowControl w:val="0"/>
        <w:numPr>
          <w:ilvl w:val="12"/>
          <w:numId w:val="0"/>
        </w:numPr>
        <w:tabs>
          <w:tab w:val="clear" w:pos="567"/>
        </w:tabs>
        <w:spacing w:line="240" w:lineRule="auto"/>
        <w:ind w:right="-2"/>
      </w:pPr>
    </w:p>
    <w:p w14:paraId="02A5899A" w14:textId="77777777" w:rsidR="00A41E3E" w:rsidRPr="007944F8" w:rsidRDefault="00A41E3E" w:rsidP="00BE7F7C">
      <w:pPr>
        <w:keepNext/>
        <w:widowControl w:val="0"/>
        <w:outlineLvl w:val="0"/>
        <w:rPr>
          <w:b/>
          <w:noProof/>
        </w:rPr>
      </w:pPr>
      <w:r w:rsidRPr="007944F8">
        <w:rPr>
          <w:b/>
          <w:noProof/>
        </w:rPr>
        <w:t>Durée du traitement par Odomzo</w:t>
      </w:r>
    </w:p>
    <w:p w14:paraId="239C7C8A" w14:textId="77777777" w:rsidR="00A41E3E" w:rsidRPr="007944F8" w:rsidRDefault="00D2336E" w:rsidP="00E96874">
      <w:pPr>
        <w:widowControl w:val="0"/>
        <w:spacing w:line="240" w:lineRule="auto"/>
      </w:pPr>
      <w:r w:rsidRPr="007944F8">
        <w:t>Continuez à prendre Odomzo aussi longtemps que votre médecin vous l’a prescrit. Si vous avez des questions concernant la durée du traitement par Odomzo, adressez-vous à votre médecin ou pharmacien.</w:t>
      </w:r>
    </w:p>
    <w:p w14:paraId="45627853" w14:textId="77777777" w:rsidR="00A41E3E" w:rsidRPr="007944F8" w:rsidRDefault="00A41E3E" w:rsidP="00E96874">
      <w:pPr>
        <w:widowControl w:val="0"/>
        <w:rPr>
          <w:noProof/>
        </w:rPr>
      </w:pPr>
    </w:p>
    <w:p w14:paraId="6DAEEFDA" w14:textId="77777777" w:rsidR="00A41E3E" w:rsidRPr="007944F8" w:rsidRDefault="00A41E3E" w:rsidP="00BE7F7C">
      <w:pPr>
        <w:keepNext/>
        <w:widowControl w:val="0"/>
        <w:outlineLvl w:val="0"/>
        <w:rPr>
          <w:noProof/>
        </w:rPr>
      </w:pPr>
      <w:r w:rsidRPr="007944F8">
        <w:rPr>
          <w:b/>
          <w:noProof/>
        </w:rPr>
        <w:t>Si vous avez pris plus d’Odomzo que vous n’auriez dû</w:t>
      </w:r>
    </w:p>
    <w:p w14:paraId="6B346705" w14:textId="77777777" w:rsidR="00A41E3E" w:rsidRPr="007944F8" w:rsidRDefault="00A41E3E" w:rsidP="00E96874">
      <w:pPr>
        <w:widowControl w:val="0"/>
        <w:tabs>
          <w:tab w:val="clear" w:pos="567"/>
        </w:tabs>
        <w:spacing w:line="240" w:lineRule="auto"/>
        <w:ind w:right="-2"/>
      </w:pPr>
      <w:r w:rsidRPr="007944F8">
        <w:t>Si vous avez pris plus d’Odomzo que vous n’auriez dû, ou si une autre personne a pris accidentellement votre médicament, contactez votre médecin ou rendez-vous immédiatement à l’hôpital. Prenez le médicament, son emballage et sa notice avec vous.</w:t>
      </w:r>
    </w:p>
    <w:p w14:paraId="54610926" w14:textId="77777777" w:rsidR="00A41E3E" w:rsidRPr="007944F8" w:rsidRDefault="00A41E3E" w:rsidP="00E96874">
      <w:pPr>
        <w:widowControl w:val="0"/>
        <w:rPr>
          <w:noProof/>
        </w:rPr>
      </w:pPr>
    </w:p>
    <w:p w14:paraId="29A8EB05" w14:textId="77777777" w:rsidR="00A41E3E" w:rsidRPr="007944F8" w:rsidRDefault="00A41E3E" w:rsidP="00BE7F7C">
      <w:pPr>
        <w:keepNext/>
        <w:widowControl w:val="0"/>
        <w:outlineLvl w:val="0"/>
        <w:rPr>
          <w:b/>
          <w:noProof/>
        </w:rPr>
      </w:pPr>
      <w:r w:rsidRPr="007944F8">
        <w:rPr>
          <w:b/>
          <w:noProof/>
        </w:rPr>
        <w:t>Si vous oubliez de prendre Odomzo</w:t>
      </w:r>
    </w:p>
    <w:p w14:paraId="504CEE17" w14:textId="77777777" w:rsidR="00A41E3E" w:rsidRPr="007944F8" w:rsidRDefault="00B8519C" w:rsidP="00E96874">
      <w:pPr>
        <w:widowControl w:val="0"/>
        <w:numPr>
          <w:ilvl w:val="12"/>
          <w:numId w:val="0"/>
        </w:numPr>
        <w:tabs>
          <w:tab w:val="clear" w:pos="567"/>
        </w:tabs>
        <w:spacing w:line="240" w:lineRule="auto"/>
        <w:ind w:right="-2"/>
        <w:rPr>
          <w:noProof/>
          <w:szCs w:val="22"/>
        </w:rPr>
      </w:pPr>
      <w:r w:rsidRPr="007944F8">
        <w:t>Si vous oub</w:t>
      </w:r>
      <w:r w:rsidR="0018518C" w:rsidRPr="007944F8">
        <w:t>liez de prendre une dose d’Odom</w:t>
      </w:r>
      <w:r w:rsidRPr="007944F8">
        <w:t>zo, prenez l</w:t>
      </w:r>
      <w:r w:rsidR="0018518C" w:rsidRPr="007944F8">
        <w:t xml:space="preserve">à </w:t>
      </w:r>
      <w:r w:rsidRPr="007944F8">
        <w:t xml:space="preserve">dès que vous le réalisez. Si plus de six heures </w:t>
      </w:r>
      <w:r w:rsidR="0018518C" w:rsidRPr="007944F8">
        <w:t xml:space="preserve">se </w:t>
      </w:r>
      <w:r w:rsidRPr="007944F8">
        <w:t xml:space="preserve">sont </w:t>
      </w:r>
      <w:r w:rsidR="0018518C" w:rsidRPr="007944F8">
        <w:t>écoulées</w:t>
      </w:r>
      <w:r w:rsidR="005F5B26" w:rsidRPr="007944F8">
        <w:t xml:space="preserve"> depuis</w:t>
      </w:r>
      <w:r w:rsidR="0018518C" w:rsidRPr="007944F8">
        <w:t xml:space="preserve"> </w:t>
      </w:r>
      <w:r w:rsidRPr="007944F8">
        <w:t>la</w:t>
      </w:r>
      <w:r w:rsidR="0018518C" w:rsidRPr="007944F8">
        <w:t xml:space="preserve"> dose </w:t>
      </w:r>
      <w:r w:rsidR="005F5B26" w:rsidRPr="007944F8">
        <w:t xml:space="preserve">qui </w:t>
      </w:r>
      <w:r w:rsidR="0018518C" w:rsidRPr="007944F8">
        <w:t>devait être prise</w:t>
      </w:r>
      <w:r w:rsidRPr="007944F8">
        <w:t xml:space="preserve">, ne prenez pas la dose </w:t>
      </w:r>
      <w:r w:rsidR="0018518C" w:rsidRPr="007944F8">
        <w:t>oubliée</w:t>
      </w:r>
      <w:r w:rsidRPr="007944F8">
        <w:t xml:space="preserve">, et prenez la dose suivante à l’heure prévue. </w:t>
      </w:r>
      <w:r w:rsidR="00A41E3E" w:rsidRPr="007944F8">
        <w:t>Ne prenez pas de dose double pour compenser la dose que vous avez oublié de prendre.</w:t>
      </w:r>
    </w:p>
    <w:p w14:paraId="3256C8F0" w14:textId="77777777" w:rsidR="00A41E3E" w:rsidRPr="007944F8" w:rsidRDefault="00A41E3E" w:rsidP="00E96874">
      <w:pPr>
        <w:widowControl w:val="0"/>
        <w:numPr>
          <w:ilvl w:val="12"/>
          <w:numId w:val="0"/>
        </w:numPr>
        <w:tabs>
          <w:tab w:val="clear" w:pos="567"/>
        </w:tabs>
        <w:spacing w:line="240" w:lineRule="auto"/>
        <w:ind w:right="-2"/>
        <w:rPr>
          <w:noProof/>
          <w:szCs w:val="22"/>
        </w:rPr>
      </w:pPr>
    </w:p>
    <w:p w14:paraId="46677E32" w14:textId="77777777" w:rsidR="00A41E3E" w:rsidRPr="007944F8" w:rsidRDefault="00A41E3E" w:rsidP="00BE7F7C">
      <w:pPr>
        <w:keepNext/>
        <w:widowControl w:val="0"/>
        <w:outlineLvl w:val="0"/>
        <w:rPr>
          <w:b/>
          <w:noProof/>
        </w:rPr>
      </w:pPr>
      <w:r w:rsidRPr="007944F8">
        <w:rPr>
          <w:b/>
          <w:noProof/>
        </w:rPr>
        <w:t>Si vous arrêtez de prendre Odomzo</w:t>
      </w:r>
    </w:p>
    <w:p w14:paraId="0B612A4B" w14:textId="77777777" w:rsidR="00A41E3E" w:rsidRPr="007944F8" w:rsidRDefault="00A41E3E" w:rsidP="00BE7F7C">
      <w:pPr>
        <w:widowControl w:val="0"/>
        <w:numPr>
          <w:ilvl w:val="12"/>
          <w:numId w:val="0"/>
        </w:numPr>
        <w:tabs>
          <w:tab w:val="clear" w:pos="567"/>
        </w:tabs>
        <w:spacing w:line="240" w:lineRule="auto"/>
        <w:ind w:right="-2"/>
        <w:outlineLvl w:val="0"/>
        <w:rPr>
          <w:noProof/>
          <w:szCs w:val="22"/>
        </w:rPr>
      </w:pPr>
      <w:r w:rsidRPr="007944F8">
        <w:t>N’arrêtez pas de prendre Odomzo avant d’en avoir discuté avec votre médecin.</w:t>
      </w:r>
    </w:p>
    <w:p w14:paraId="29A048D4" w14:textId="77777777" w:rsidR="00716CB0" w:rsidRPr="007944F8" w:rsidRDefault="00716CB0" w:rsidP="00E96874">
      <w:pPr>
        <w:widowControl w:val="0"/>
        <w:numPr>
          <w:ilvl w:val="12"/>
          <w:numId w:val="0"/>
        </w:numPr>
        <w:tabs>
          <w:tab w:val="clear" w:pos="567"/>
        </w:tabs>
        <w:spacing w:line="240" w:lineRule="auto"/>
        <w:ind w:right="-2"/>
        <w:rPr>
          <w:noProof/>
          <w:szCs w:val="22"/>
        </w:rPr>
      </w:pPr>
    </w:p>
    <w:p w14:paraId="0516AEBB" w14:textId="77777777" w:rsidR="00A41E3E" w:rsidRPr="007944F8" w:rsidRDefault="00A41E3E" w:rsidP="00E96874">
      <w:pPr>
        <w:widowControl w:val="0"/>
        <w:numPr>
          <w:ilvl w:val="12"/>
          <w:numId w:val="0"/>
        </w:numPr>
        <w:tabs>
          <w:tab w:val="clear" w:pos="567"/>
        </w:tabs>
        <w:spacing w:line="240" w:lineRule="auto"/>
        <w:ind w:right="-2"/>
        <w:rPr>
          <w:noProof/>
          <w:szCs w:val="22"/>
        </w:rPr>
      </w:pPr>
      <w:r w:rsidRPr="007944F8">
        <w:t>Si vous avez d’autres questions sur l’utilisation de ce médicament, demandez plus d’informations à votre médecin ou à votre pharmacien.</w:t>
      </w:r>
    </w:p>
    <w:p w14:paraId="5239FADF" w14:textId="77777777" w:rsidR="00A41E3E" w:rsidRPr="007944F8" w:rsidRDefault="00A41E3E" w:rsidP="00E93E8B">
      <w:pPr>
        <w:widowControl w:val="0"/>
        <w:rPr>
          <w:noProof/>
        </w:rPr>
      </w:pPr>
    </w:p>
    <w:p w14:paraId="155A2D08" w14:textId="77777777" w:rsidR="00A41E3E" w:rsidRPr="007944F8" w:rsidRDefault="00A41E3E" w:rsidP="00E93E8B">
      <w:pPr>
        <w:widowControl w:val="0"/>
        <w:numPr>
          <w:ilvl w:val="12"/>
          <w:numId w:val="0"/>
        </w:numPr>
        <w:tabs>
          <w:tab w:val="clear" w:pos="567"/>
        </w:tabs>
        <w:spacing w:line="240" w:lineRule="auto"/>
      </w:pPr>
    </w:p>
    <w:p w14:paraId="3F7E5496" w14:textId="77777777" w:rsidR="00A41E3E" w:rsidRPr="007944F8" w:rsidRDefault="00A41E3E" w:rsidP="00E93E8B">
      <w:pPr>
        <w:keepNext/>
        <w:widowControl w:val="0"/>
        <w:numPr>
          <w:ilvl w:val="12"/>
          <w:numId w:val="0"/>
        </w:numPr>
        <w:tabs>
          <w:tab w:val="clear" w:pos="567"/>
        </w:tabs>
        <w:spacing w:line="240" w:lineRule="auto"/>
        <w:ind w:left="567" w:right="-2" w:hanging="567"/>
      </w:pPr>
      <w:r w:rsidRPr="007944F8">
        <w:rPr>
          <w:b/>
        </w:rPr>
        <w:t>4.</w:t>
      </w:r>
      <w:r w:rsidRPr="007944F8">
        <w:tab/>
      </w:r>
      <w:r w:rsidRPr="007944F8">
        <w:rPr>
          <w:b/>
        </w:rPr>
        <w:t>Quels sont les effets indésirables éventuels</w:t>
      </w:r>
      <w:r w:rsidR="00D07FA3" w:rsidRPr="007944F8">
        <w:rPr>
          <w:b/>
        </w:rPr>
        <w:t> ?</w:t>
      </w:r>
    </w:p>
    <w:p w14:paraId="6C7FDFAC" w14:textId="77777777" w:rsidR="00A41E3E" w:rsidRPr="007944F8" w:rsidRDefault="00A41E3E" w:rsidP="00E93E8B">
      <w:pPr>
        <w:keepNext/>
        <w:widowControl w:val="0"/>
        <w:numPr>
          <w:ilvl w:val="12"/>
          <w:numId w:val="0"/>
        </w:numPr>
        <w:tabs>
          <w:tab w:val="clear" w:pos="567"/>
        </w:tabs>
        <w:spacing w:line="240" w:lineRule="auto"/>
      </w:pPr>
    </w:p>
    <w:p w14:paraId="00B4B9E2" w14:textId="77777777" w:rsidR="00A41E3E" w:rsidRPr="007944F8" w:rsidRDefault="00A41E3E" w:rsidP="00E96874">
      <w:pPr>
        <w:widowControl w:val="0"/>
        <w:numPr>
          <w:ilvl w:val="12"/>
          <w:numId w:val="0"/>
        </w:numPr>
        <w:tabs>
          <w:tab w:val="clear" w:pos="567"/>
        </w:tabs>
        <w:spacing w:line="240" w:lineRule="auto"/>
        <w:ind w:right="-29"/>
        <w:rPr>
          <w:noProof/>
          <w:szCs w:val="22"/>
        </w:rPr>
      </w:pPr>
      <w:r w:rsidRPr="007944F8">
        <w:t>Comme tous les médicaments, ce médicament peut provoquer des effets indésirables, mais ils ne surviennent pas systématiquement chez tout le monde.</w:t>
      </w:r>
    </w:p>
    <w:p w14:paraId="304BB1E6" w14:textId="77777777" w:rsidR="00A41E3E" w:rsidRPr="007944F8" w:rsidRDefault="00A41E3E" w:rsidP="00E96874">
      <w:pPr>
        <w:widowControl w:val="0"/>
        <w:numPr>
          <w:ilvl w:val="12"/>
          <w:numId w:val="0"/>
        </w:numPr>
        <w:tabs>
          <w:tab w:val="clear" w:pos="567"/>
        </w:tabs>
        <w:spacing w:line="240" w:lineRule="auto"/>
        <w:ind w:right="-2"/>
        <w:rPr>
          <w:noProof/>
          <w:szCs w:val="22"/>
        </w:rPr>
      </w:pPr>
    </w:p>
    <w:p w14:paraId="62F49121" w14:textId="77777777" w:rsidR="00A41E3E" w:rsidRPr="007944F8" w:rsidRDefault="00A41E3E" w:rsidP="00E96874">
      <w:pPr>
        <w:widowControl w:val="0"/>
        <w:numPr>
          <w:ilvl w:val="12"/>
          <w:numId w:val="0"/>
        </w:numPr>
        <w:tabs>
          <w:tab w:val="clear" w:pos="567"/>
        </w:tabs>
        <w:spacing w:line="240" w:lineRule="auto"/>
        <w:ind w:right="-2"/>
        <w:rPr>
          <w:noProof/>
          <w:szCs w:val="22"/>
        </w:rPr>
      </w:pPr>
      <w:r w:rsidRPr="007944F8">
        <w:t>Odomzo peut provoquer des anomalies sévères</w:t>
      </w:r>
      <w:r w:rsidR="009636E4" w:rsidRPr="007944F8">
        <w:t xml:space="preserve"> constatées à la naissance</w:t>
      </w:r>
      <w:r w:rsidRPr="007944F8">
        <w:t xml:space="preserve">. Vous ne devez pas </w:t>
      </w:r>
      <w:r w:rsidR="00561ED8" w:rsidRPr="007944F8">
        <w:t xml:space="preserve">débuter une grossesse </w:t>
      </w:r>
      <w:r w:rsidRPr="007944F8">
        <w:t>pendant que vous prenez ce médicament (pour plus d’informations, voir « Grossesse</w:t>
      </w:r>
      <w:r w:rsidR="00B8519C" w:rsidRPr="007944F8">
        <w:t> »</w:t>
      </w:r>
      <w:r w:rsidRPr="007944F8">
        <w:t xml:space="preserve">, </w:t>
      </w:r>
      <w:r w:rsidR="00B8519C" w:rsidRPr="007944F8">
        <w:t>« A</w:t>
      </w:r>
      <w:r w:rsidRPr="007944F8">
        <w:t>llaitement</w:t>
      </w:r>
      <w:r w:rsidR="00B8519C" w:rsidRPr="007944F8">
        <w:t> »</w:t>
      </w:r>
      <w:r w:rsidR="00B44C69" w:rsidRPr="007944F8">
        <w:t>,</w:t>
      </w:r>
      <w:r w:rsidRPr="007944F8">
        <w:t xml:space="preserve"> </w:t>
      </w:r>
      <w:r w:rsidR="00B8519C" w:rsidRPr="007944F8">
        <w:t>« F</w:t>
      </w:r>
      <w:r w:rsidRPr="007944F8">
        <w:t>ertilité » et « Contraception pour les femmes et les hommes » dans la rubrique 2).</w:t>
      </w:r>
    </w:p>
    <w:p w14:paraId="5B709CC1" w14:textId="77777777" w:rsidR="00A41E3E" w:rsidRPr="007944F8" w:rsidRDefault="00A41E3E" w:rsidP="00E96874">
      <w:pPr>
        <w:widowControl w:val="0"/>
        <w:numPr>
          <w:ilvl w:val="12"/>
          <w:numId w:val="0"/>
        </w:numPr>
        <w:tabs>
          <w:tab w:val="clear" w:pos="567"/>
        </w:tabs>
        <w:spacing w:line="240" w:lineRule="auto"/>
        <w:ind w:right="-2"/>
        <w:rPr>
          <w:noProof/>
          <w:szCs w:val="22"/>
        </w:rPr>
      </w:pPr>
    </w:p>
    <w:p w14:paraId="0A3A80B7" w14:textId="77777777" w:rsidR="00A41E3E" w:rsidRPr="007944F8" w:rsidRDefault="00A41E3E" w:rsidP="00E96874">
      <w:pPr>
        <w:keepNext/>
        <w:widowControl w:val="0"/>
        <w:numPr>
          <w:ilvl w:val="12"/>
          <w:numId w:val="0"/>
        </w:numPr>
        <w:tabs>
          <w:tab w:val="clear" w:pos="567"/>
        </w:tabs>
        <w:spacing w:line="240" w:lineRule="auto"/>
        <w:rPr>
          <w:noProof/>
          <w:szCs w:val="22"/>
        </w:rPr>
      </w:pPr>
      <w:r w:rsidRPr="007944F8">
        <w:t>Arrêtez de prendre Odomzo et consultez immédiatement votre médecin si vous remarquez l’un des effets indésirables suivants, car ceux-ci peuvent être les signes d’une réaction allergique :</w:t>
      </w:r>
    </w:p>
    <w:p w14:paraId="0168B5D7" w14:textId="77777777" w:rsidR="00A41E3E" w:rsidRPr="007944F8" w:rsidRDefault="00A41E3E" w:rsidP="00E96874">
      <w:pPr>
        <w:widowControl w:val="0"/>
        <w:numPr>
          <w:ilvl w:val="0"/>
          <w:numId w:val="32"/>
        </w:numPr>
        <w:tabs>
          <w:tab w:val="clear" w:pos="567"/>
        </w:tabs>
        <w:spacing w:line="240" w:lineRule="auto"/>
        <w:ind w:left="567" w:hanging="567"/>
        <w:rPr>
          <w:noProof/>
        </w:rPr>
      </w:pPr>
      <w:r w:rsidRPr="007944F8">
        <w:t>difficultés à respirer ou à avaler</w:t>
      </w:r>
    </w:p>
    <w:p w14:paraId="2914A5EA" w14:textId="77777777" w:rsidR="00A41E3E" w:rsidRPr="007944F8" w:rsidRDefault="00A41E3E" w:rsidP="00E96874">
      <w:pPr>
        <w:widowControl w:val="0"/>
        <w:numPr>
          <w:ilvl w:val="0"/>
          <w:numId w:val="32"/>
        </w:numPr>
        <w:tabs>
          <w:tab w:val="clear" w:pos="567"/>
        </w:tabs>
        <w:spacing w:line="240" w:lineRule="auto"/>
        <w:ind w:left="567" w:hanging="567"/>
        <w:rPr>
          <w:noProof/>
        </w:rPr>
      </w:pPr>
      <w:r w:rsidRPr="007944F8">
        <w:t>gonflement du visage, des lèvres, de la langue ou de la gorge</w:t>
      </w:r>
    </w:p>
    <w:p w14:paraId="182DCD51" w14:textId="77777777" w:rsidR="00A41E3E" w:rsidRPr="007944F8" w:rsidRDefault="00A41E3E" w:rsidP="00E96874">
      <w:pPr>
        <w:widowControl w:val="0"/>
        <w:numPr>
          <w:ilvl w:val="0"/>
          <w:numId w:val="32"/>
        </w:numPr>
        <w:tabs>
          <w:tab w:val="clear" w:pos="567"/>
        </w:tabs>
        <w:spacing w:line="240" w:lineRule="auto"/>
        <w:ind w:left="567" w:hanging="567"/>
        <w:rPr>
          <w:noProof/>
        </w:rPr>
      </w:pPr>
      <w:r w:rsidRPr="007944F8">
        <w:t>démangeaisons sévères, accompagnées d’une éruption cutanée rouge ou de</w:t>
      </w:r>
      <w:r w:rsidR="00561ED8" w:rsidRPr="007944F8">
        <w:t>s</w:t>
      </w:r>
      <w:r w:rsidRPr="007944F8">
        <w:t xml:space="preserve"> </w:t>
      </w:r>
      <w:r w:rsidR="00561ED8" w:rsidRPr="007944F8">
        <w:t>boutons</w:t>
      </w:r>
      <w:r w:rsidRPr="007944F8">
        <w:t xml:space="preserve"> en relief.</w:t>
      </w:r>
    </w:p>
    <w:p w14:paraId="302A4A19" w14:textId="77777777" w:rsidR="00A41E3E" w:rsidRPr="007944F8" w:rsidRDefault="00A41E3E" w:rsidP="00E93E8B">
      <w:pPr>
        <w:widowControl w:val="0"/>
        <w:rPr>
          <w:noProof/>
        </w:rPr>
      </w:pPr>
    </w:p>
    <w:p w14:paraId="61695C9C" w14:textId="77777777" w:rsidR="00A41E3E" w:rsidRPr="007944F8" w:rsidRDefault="00A41E3E" w:rsidP="00BE7F7C">
      <w:pPr>
        <w:keepNext/>
        <w:widowControl w:val="0"/>
        <w:outlineLvl w:val="0"/>
        <w:rPr>
          <w:b/>
          <w:noProof/>
        </w:rPr>
      </w:pPr>
      <w:r w:rsidRPr="007944F8">
        <w:rPr>
          <w:b/>
          <w:noProof/>
        </w:rPr>
        <w:t>Certains effets indésirables peuvent être graves</w:t>
      </w:r>
    </w:p>
    <w:p w14:paraId="2212C5B8" w14:textId="77777777" w:rsidR="00830A31" w:rsidRPr="007944F8" w:rsidRDefault="00830A31" w:rsidP="00E96874">
      <w:pPr>
        <w:keepNext/>
        <w:widowControl w:val="0"/>
        <w:tabs>
          <w:tab w:val="clear" w:pos="567"/>
        </w:tabs>
        <w:spacing w:line="240" w:lineRule="auto"/>
        <w:rPr>
          <w:noProof/>
          <w:szCs w:val="22"/>
        </w:rPr>
      </w:pPr>
      <w:r w:rsidRPr="007944F8">
        <w:t>Informez immédiatement votre médecin ou votre pharmacien si vous remarquez l’un des effets suivants :</w:t>
      </w:r>
    </w:p>
    <w:p w14:paraId="4537FB5C" w14:textId="77777777" w:rsidR="000A2D3D" w:rsidRPr="007944F8" w:rsidRDefault="000A2D3D" w:rsidP="00E96874">
      <w:pPr>
        <w:widowControl w:val="0"/>
        <w:numPr>
          <w:ilvl w:val="0"/>
          <w:numId w:val="32"/>
        </w:numPr>
        <w:tabs>
          <w:tab w:val="clear" w:pos="567"/>
        </w:tabs>
        <w:spacing w:line="240" w:lineRule="auto"/>
        <w:ind w:left="567" w:hanging="567"/>
        <w:rPr>
          <w:noProof/>
        </w:rPr>
      </w:pPr>
      <w:r w:rsidRPr="007944F8">
        <w:t>crampes musculaires, douleur musculaire ou faiblesse musculaire sévères. Ces signes peuvent indiquer la présence d’un problème appelé rhabdomyolyse, qui se caractérise par la destruction du tissu musculaire.</w:t>
      </w:r>
    </w:p>
    <w:p w14:paraId="0FB2D842" w14:textId="77777777" w:rsidR="000A2D3D" w:rsidRPr="007944F8" w:rsidRDefault="00830A31" w:rsidP="00E96874">
      <w:pPr>
        <w:widowControl w:val="0"/>
        <w:numPr>
          <w:ilvl w:val="0"/>
          <w:numId w:val="32"/>
        </w:numPr>
        <w:tabs>
          <w:tab w:val="clear" w:pos="567"/>
        </w:tabs>
        <w:spacing w:line="240" w:lineRule="auto"/>
        <w:ind w:left="567" w:hanging="567"/>
        <w:rPr>
          <w:noProof/>
        </w:rPr>
      </w:pPr>
      <w:r w:rsidRPr="007944F8">
        <w:t>urines foncées, diminution du débit urinaire ou absence d’urine. Ces signes peuvent indiquer une détérioration de votre fibre musculaire, ce qui est nocif pour vos reins.</w:t>
      </w:r>
    </w:p>
    <w:p w14:paraId="5B1F1BAA" w14:textId="77777777" w:rsidR="00A41E3E" w:rsidRPr="007944F8" w:rsidRDefault="00A41E3E" w:rsidP="00E93E8B">
      <w:pPr>
        <w:widowControl w:val="0"/>
        <w:numPr>
          <w:ilvl w:val="12"/>
          <w:numId w:val="0"/>
        </w:numPr>
        <w:tabs>
          <w:tab w:val="clear" w:pos="567"/>
        </w:tabs>
        <w:spacing w:line="240" w:lineRule="auto"/>
        <w:ind w:right="-29"/>
        <w:rPr>
          <w:noProof/>
          <w:szCs w:val="22"/>
        </w:rPr>
      </w:pPr>
    </w:p>
    <w:p w14:paraId="537531BB" w14:textId="77777777" w:rsidR="00A41E3E" w:rsidRPr="007944F8" w:rsidRDefault="00A41E3E" w:rsidP="00BE7F7C">
      <w:pPr>
        <w:keepNext/>
        <w:widowControl w:val="0"/>
        <w:outlineLvl w:val="0"/>
        <w:rPr>
          <w:b/>
          <w:noProof/>
        </w:rPr>
      </w:pPr>
      <w:r w:rsidRPr="007944F8">
        <w:rPr>
          <w:b/>
          <w:noProof/>
        </w:rPr>
        <w:t>Autres effets indésirables éventuels</w:t>
      </w:r>
    </w:p>
    <w:p w14:paraId="5201BF21" w14:textId="77777777" w:rsidR="00A41E3E" w:rsidRPr="007944F8" w:rsidRDefault="00A41E3E" w:rsidP="00BE7F7C">
      <w:pPr>
        <w:widowControl w:val="0"/>
        <w:numPr>
          <w:ilvl w:val="12"/>
          <w:numId w:val="0"/>
        </w:numPr>
        <w:tabs>
          <w:tab w:val="clear" w:pos="567"/>
        </w:tabs>
        <w:spacing w:line="240" w:lineRule="auto"/>
        <w:ind w:right="-2"/>
        <w:outlineLvl w:val="0"/>
        <w:rPr>
          <w:noProof/>
          <w:szCs w:val="22"/>
        </w:rPr>
      </w:pPr>
      <w:r w:rsidRPr="007944F8">
        <w:t>Si l’un de ces effets indésirables devient sévère, informez-en votre médecin ou votre pharmacien.</w:t>
      </w:r>
    </w:p>
    <w:p w14:paraId="280E39EB" w14:textId="77777777" w:rsidR="00A41E3E" w:rsidRPr="007944F8" w:rsidRDefault="00A41E3E" w:rsidP="00E93E8B">
      <w:pPr>
        <w:widowControl w:val="0"/>
        <w:rPr>
          <w:noProof/>
        </w:rPr>
      </w:pPr>
    </w:p>
    <w:p w14:paraId="44D0B98C" w14:textId="77777777" w:rsidR="00A41E3E" w:rsidRPr="007944F8" w:rsidRDefault="00830A31" w:rsidP="00BE7F7C">
      <w:pPr>
        <w:keepNext/>
        <w:widowControl w:val="0"/>
        <w:outlineLvl w:val="0"/>
      </w:pPr>
      <w:r w:rsidRPr="007944F8">
        <w:rPr>
          <w:b/>
        </w:rPr>
        <w:t>Très fréquent :</w:t>
      </w:r>
      <w:r w:rsidRPr="007944F8">
        <w:t xml:space="preserve"> pouvant toucher plus d’une personne sur 10</w:t>
      </w:r>
    </w:p>
    <w:p w14:paraId="166B0D26" w14:textId="77777777" w:rsidR="00D24430" w:rsidRPr="007944F8" w:rsidRDefault="00D24430" w:rsidP="00E96874">
      <w:pPr>
        <w:widowControl w:val="0"/>
        <w:numPr>
          <w:ilvl w:val="0"/>
          <w:numId w:val="32"/>
        </w:numPr>
        <w:tabs>
          <w:tab w:val="clear" w:pos="567"/>
        </w:tabs>
        <w:spacing w:line="240" w:lineRule="auto"/>
        <w:ind w:left="567" w:hanging="567"/>
        <w:rPr>
          <w:noProof/>
        </w:rPr>
      </w:pPr>
      <w:r w:rsidRPr="007944F8">
        <w:t>crampes musculaires, douleur musculaire, douleur dans les os, les ligaments et les tendons</w:t>
      </w:r>
    </w:p>
    <w:p w14:paraId="23E423C1" w14:textId="77777777" w:rsidR="00D24430" w:rsidRPr="007944F8" w:rsidRDefault="00D24430" w:rsidP="00E96874">
      <w:pPr>
        <w:widowControl w:val="0"/>
        <w:numPr>
          <w:ilvl w:val="0"/>
          <w:numId w:val="32"/>
        </w:numPr>
        <w:tabs>
          <w:tab w:val="clear" w:pos="567"/>
        </w:tabs>
        <w:spacing w:line="240" w:lineRule="auto"/>
        <w:ind w:left="567" w:hanging="567"/>
        <w:rPr>
          <w:noProof/>
        </w:rPr>
      </w:pPr>
      <w:r w:rsidRPr="007944F8">
        <w:t>absence de règles</w:t>
      </w:r>
    </w:p>
    <w:p w14:paraId="023C5864" w14:textId="77777777" w:rsidR="00D24430" w:rsidRPr="007944F8" w:rsidRDefault="00D24430" w:rsidP="00E96874">
      <w:pPr>
        <w:widowControl w:val="0"/>
        <w:numPr>
          <w:ilvl w:val="0"/>
          <w:numId w:val="32"/>
        </w:numPr>
        <w:tabs>
          <w:tab w:val="clear" w:pos="567"/>
        </w:tabs>
        <w:spacing w:line="240" w:lineRule="auto"/>
        <w:ind w:left="567" w:hanging="567"/>
        <w:rPr>
          <w:noProof/>
        </w:rPr>
      </w:pPr>
      <w:r w:rsidRPr="007944F8">
        <w:t>diarrhée ou brûlures d’estomac</w:t>
      </w:r>
    </w:p>
    <w:p w14:paraId="6017AD6C" w14:textId="77777777" w:rsidR="00A41E3E" w:rsidRPr="007944F8" w:rsidRDefault="00A41E3E" w:rsidP="00E96874">
      <w:pPr>
        <w:widowControl w:val="0"/>
        <w:numPr>
          <w:ilvl w:val="0"/>
          <w:numId w:val="32"/>
        </w:numPr>
        <w:tabs>
          <w:tab w:val="clear" w:pos="567"/>
        </w:tabs>
        <w:spacing w:line="240" w:lineRule="auto"/>
        <w:ind w:left="567" w:hanging="567"/>
        <w:rPr>
          <w:noProof/>
        </w:rPr>
      </w:pPr>
      <w:r w:rsidRPr="007944F8">
        <w:t xml:space="preserve">diminution de l’appétit </w:t>
      </w:r>
    </w:p>
    <w:p w14:paraId="0764F1D1" w14:textId="77777777" w:rsidR="00A41E3E" w:rsidRPr="007944F8" w:rsidRDefault="00A41E3E" w:rsidP="00E96874">
      <w:pPr>
        <w:widowControl w:val="0"/>
        <w:numPr>
          <w:ilvl w:val="0"/>
          <w:numId w:val="32"/>
        </w:numPr>
        <w:tabs>
          <w:tab w:val="clear" w:pos="567"/>
        </w:tabs>
        <w:spacing w:line="240" w:lineRule="auto"/>
        <w:ind w:left="567" w:hanging="567"/>
        <w:rPr>
          <w:noProof/>
        </w:rPr>
      </w:pPr>
      <w:r w:rsidRPr="007944F8">
        <w:t>maux de tête</w:t>
      </w:r>
    </w:p>
    <w:p w14:paraId="469D806B" w14:textId="77777777" w:rsidR="00D24430" w:rsidRPr="007944F8" w:rsidRDefault="00D24430" w:rsidP="00E96874">
      <w:pPr>
        <w:widowControl w:val="0"/>
        <w:numPr>
          <w:ilvl w:val="0"/>
          <w:numId w:val="32"/>
        </w:numPr>
        <w:tabs>
          <w:tab w:val="clear" w:pos="567"/>
        </w:tabs>
        <w:spacing w:line="240" w:lineRule="auto"/>
        <w:ind w:left="567" w:hanging="567"/>
        <w:rPr>
          <w:noProof/>
        </w:rPr>
      </w:pPr>
      <w:r w:rsidRPr="007944F8">
        <w:t>troubles du goût ou goût étrange dans la bouche</w:t>
      </w:r>
    </w:p>
    <w:p w14:paraId="23546A21" w14:textId="77777777" w:rsidR="009B3A47" w:rsidRPr="007944F8" w:rsidRDefault="009B3A47" w:rsidP="00E96874">
      <w:pPr>
        <w:widowControl w:val="0"/>
        <w:numPr>
          <w:ilvl w:val="0"/>
          <w:numId w:val="32"/>
        </w:numPr>
        <w:tabs>
          <w:tab w:val="clear" w:pos="567"/>
        </w:tabs>
        <w:spacing w:line="240" w:lineRule="auto"/>
        <w:ind w:left="567" w:hanging="567"/>
        <w:rPr>
          <w:noProof/>
        </w:rPr>
      </w:pPr>
      <w:r w:rsidRPr="007944F8">
        <w:t xml:space="preserve">douleur </w:t>
      </w:r>
      <w:r w:rsidR="004765A0" w:rsidRPr="007944F8">
        <w:t>dans le ventre</w:t>
      </w:r>
    </w:p>
    <w:p w14:paraId="787844FC" w14:textId="77777777" w:rsidR="00A41E3E" w:rsidRPr="007944F8" w:rsidRDefault="00F72C31" w:rsidP="00E96874">
      <w:pPr>
        <w:widowControl w:val="0"/>
        <w:numPr>
          <w:ilvl w:val="0"/>
          <w:numId w:val="32"/>
        </w:numPr>
        <w:tabs>
          <w:tab w:val="clear" w:pos="567"/>
        </w:tabs>
        <w:spacing w:line="240" w:lineRule="auto"/>
        <w:ind w:left="567" w:hanging="567"/>
        <w:rPr>
          <w:noProof/>
        </w:rPr>
      </w:pPr>
      <w:r w:rsidRPr="007944F8">
        <w:t>sensation de malaise</w:t>
      </w:r>
    </w:p>
    <w:p w14:paraId="38FB5EF3" w14:textId="77777777" w:rsidR="00B70FE3" w:rsidRPr="007944F8" w:rsidRDefault="00B70FE3" w:rsidP="00E96874">
      <w:pPr>
        <w:widowControl w:val="0"/>
        <w:numPr>
          <w:ilvl w:val="0"/>
          <w:numId w:val="32"/>
        </w:numPr>
        <w:tabs>
          <w:tab w:val="clear" w:pos="567"/>
        </w:tabs>
        <w:spacing w:line="240" w:lineRule="auto"/>
        <w:ind w:left="567" w:hanging="567"/>
        <w:rPr>
          <w:noProof/>
        </w:rPr>
      </w:pPr>
      <w:r w:rsidRPr="007944F8">
        <w:t>vomissements</w:t>
      </w:r>
    </w:p>
    <w:p w14:paraId="1E765D3B" w14:textId="77777777" w:rsidR="00B70FE3" w:rsidRPr="007944F8" w:rsidRDefault="00B70FE3" w:rsidP="00E96874">
      <w:pPr>
        <w:widowControl w:val="0"/>
        <w:numPr>
          <w:ilvl w:val="0"/>
          <w:numId w:val="32"/>
        </w:numPr>
        <w:tabs>
          <w:tab w:val="clear" w:pos="567"/>
        </w:tabs>
        <w:spacing w:line="240" w:lineRule="auto"/>
        <w:ind w:left="567" w:hanging="567"/>
        <w:rPr>
          <w:noProof/>
        </w:rPr>
      </w:pPr>
      <w:r w:rsidRPr="007944F8">
        <w:t>démangeaisons</w:t>
      </w:r>
    </w:p>
    <w:p w14:paraId="3DE368D1" w14:textId="77777777" w:rsidR="00D24430" w:rsidRPr="007944F8" w:rsidRDefault="00D24430" w:rsidP="00E96874">
      <w:pPr>
        <w:widowControl w:val="0"/>
        <w:numPr>
          <w:ilvl w:val="0"/>
          <w:numId w:val="32"/>
        </w:numPr>
        <w:tabs>
          <w:tab w:val="clear" w:pos="567"/>
        </w:tabs>
        <w:spacing w:line="240" w:lineRule="auto"/>
        <w:ind w:left="567" w:hanging="567"/>
        <w:rPr>
          <w:noProof/>
        </w:rPr>
      </w:pPr>
      <w:r w:rsidRPr="007944F8">
        <w:t>chute de cheveux</w:t>
      </w:r>
    </w:p>
    <w:p w14:paraId="5838DF3C" w14:textId="77777777" w:rsidR="00D24430" w:rsidRPr="007944F8" w:rsidRDefault="00D24430" w:rsidP="00E96874">
      <w:pPr>
        <w:widowControl w:val="0"/>
        <w:numPr>
          <w:ilvl w:val="0"/>
          <w:numId w:val="32"/>
        </w:numPr>
        <w:tabs>
          <w:tab w:val="clear" w:pos="567"/>
        </w:tabs>
        <w:spacing w:line="240" w:lineRule="auto"/>
        <w:ind w:left="567" w:hanging="567"/>
        <w:rPr>
          <w:noProof/>
        </w:rPr>
      </w:pPr>
      <w:r w:rsidRPr="007944F8">
        <w:t>fatigue</w:t>
      </w:r>
    </w:p>
    <w:p w14:paraId="18D8DB50" w14:textId="77777777" w:rsidR="00D24430" w:rsidRPr="007944F8" w:rsidRDefault="00D24430" w:rsidP="00E96874">
      <w:pPr>
        <w:widowControl w:val="0"/>
        <w:numPr>
          <w:ilvl w:val="0"/>
          <w:numId w:val="32"/>
        </w:numPr>
        <w:tabs>
          <w:tab w:val="clear" w:pos="567"/>
        </w:tabs>
        <w:spacing w:line="240" w:lineRule="auto"/>
        <w:ind w:left="567" w:hanging="567"/>
        <w:rPr>
          <w:noProof/>
        </w:rPr>
      </w:pPr>
      <w:r w:rsidRPr="007944F8">
        <w:t>douleur</w:t>
      </w:r>
    </w:p>
    <w:p w14:paraId="52624FB9" w14:textId="77777777" w:rsidR="00A41E3E" w:rsidRPr="007944F8" w:rsidRDefault="00D24430" w:rsidP="00E96874">
      <w:pPr>
        <w:widowControl w:val="0"/>
        <w:numPr>
          <w:ilvl w:val="0"/>
          <w:numId w:val="32"/>
        </w:numPr>
        <w:tabs>
          <w:tab w:val="clear" w:pos="567"/>
        </w:tabs>
        <w:spacing w:line="240" w:lineRule="auto"/>
        <w:ind w:left="567" w:hanging="567"/>
        <w:rPr>
          <w:noProof/>
        </w:rPr>
      </w:pPr>
      <w:r w:rsidRPr="007944F8">
        <w:t>perte de poids.</w:t>
      </w:r>
    </w:p>
    <w:p w14:paraId="209946DF" w14:textId="77777777" w:rsidR="00A41E3E" w:rsidRPr="007944F8" w:rsidRDefault="00A41E3E" w:rsidP="00E96874">
      <w:pPr>
        <w:widowControl w:val="0"/>
        <w:rPr>
          <w:noProof/>
        </w:rPr>
      </w:pPr>
    </w:p>
    <w:p w14:paraId="3340AA9C" w14:textId="77777777" w:rsidR="00A41E3E" w:rsidRPr="007944F8" w:rsidRDefault="00830A31" w:rsidP="00BE7F7C">
      <w:pPr>
        <w:keepNext/>
        <w:widowControl w:val="0"/>
        <w:outlineLvl w:val="0"/>
      </w:pPr>
      <w:r w:rsidRPr="007944F8">
        <w:rPr>
          <w:b/>
          <w:noProof/>
        </w:rPr>
        <w:t xml:space="preserve">Fréquent : </w:t>
      </w:r>
      <w:r w:rsidRPr="007944F8">
        <w:t>pouvant toucher jusqu’à 1 personne sur 10</w:t>
      </w:r>
    </w:p>
    <w:p w14:paraId="52DDF518" w14:textId="77777777" w:rsidR="00A41E3E" w:rsidRPr="007944F8" w:rsidRDefault="00D24430" w:rsidP="00E96874">
      <w:pPr>
        <w:widowControl w:val="0"/>
        <w:numPr>
          <w:ilvl w:val="0"/>
          <w:numId w:val="32"/>
        </w:numPr>
        <w:tabs>
          <w:tab w:val="clear" w:pos="567"/>
        </w:tabs>
        <w:spacing w:line="240" w:lineRule="auto"/>
        <w:ind w:left="567" w:hanging="567"/>
        <w:rPr>
          <w:noProof/>
        </w:rPr>
      </w:pPr>
      <w:r w:rsidRPr="007944F8">
        <w:t>maux d’estomac ou indigestion</w:t>
      </w:r>
    </w:p>
    <w:p w14:paraId="28106C11" w14:textId="77777777" w:rsidR="00D24430" w:rsidRPr="007944F8" w:rsidRDefault="00D24430" w:rsidP="00E96874">
      <w:pPr>
        <w:widowControl w:val="0"/>
        <w:numPr>
          <w:ilvl w:val="0"/>
          <w:numId w:val="32"/>
        </w:numPr>
        <w:tabs>
          <w:tab w:val="clear" w:pos="567"/>
        </w:tabs>
        <w:spacing w:line="240" w:lineRule="auto"/>
        <w:ind w:left="567" w:hanging="567"/>
        <w:rPr>
          <w:noProof/>
        </w:rPr>
      </w:pPr>
      <w:r w:rsidRPr="007944F8">
        <w:t>constipation</w:t>
      </w:r>
    </w:p>
    <w:p w14:paraId="190E938E" w14:textId="77777777" w:rsidR="00D24430" w:rsidRPr="007944F8" w:rsidRDefault="00561ED8" w:rsidP="00E96874">
      <w:pPr>
        <w:widowControl w:val="0"/>
        <w:numPr>
          <w:ilvl w:val="0"/>
          <w:numId w:val="32"/>
        </w:numPr>
        <w:tabs>
          <w:tab w:val="clear" w:pos="567"/>
        </w:tabs>
        <w:spacing w:line="240" w:lineRule="auto"/>
        <w:ind w:left="567" w:hanging="567"/>
        <w:rPr>
          <w:noProof/>
        </w:rPr>
      </w:pPr>
      <w:r w:rsidRPr="007944F8">
        <w:t>éruption cutanée</w:t>
      </w:r>
    </w:p>
    <w:p w14:paraId="5F3F7E15" w14:textId="77777777" w:rsidR="009B3A47" w:rsidRPr="007944F8" w:rsidRDefault="00D24430" w:rsidP="00E96874">
      <w:pPr>
        <w:widowControl w:val="0"/>
        <w:numPr>
          <w:ilvl w:val="0"/>
          <w:numId w:val="32"/>
        </w:numPr>
        <w:tabs>
          <w:tab w:val="clear" w:pos="567"/>
        </w:tabs>
        <w:spacing w:line="240" w:lineRule="auto"/>
        <w:ind w:left="567" w:hanging="567"/>
        <w:rPr>
          <w:noProof/>
        </w:rPr>
      </w:pPr>
      <w:r w:rsidRPr="007944F8">
        <w:t>pilosité anormale</w:t>
      </w:r>
    </w:p>
    <w:p w14:paraId="21D4E11E" w14:textId="77777777" w:rsidR="00D24430" w:rsidRPr="007944F8" w:rsidRDefault="009B3A47" w:rsidP="00E96874">
      <w:pPr>
        <w:widowControl w:val="0"/>
        <w:numPr>
          <w:ilvl w:val="0"/>
          <w:numId w:val="32"/>
        </w:numPr>
        <w:tabs>
          <w:tab w:val="clear" w:pos="567"/>
        </w:tabs>
        <w:spacing w:line="240" w:lineRule="auto"/>
        <w:ind w:left="567" w:hanging="567"/>
        <w:rPr>
          <w:noProof/>
        </w:rPr>
      </w:pPr>
      <w:r w:rsidRPr="007944F8">
        <w:t xml:space="preserve">soif, </w:t>
      </w:r>
      <w:r w:rsidR="000D0A70" w:rsidRPr="007944F8">
        <w:t xml:space="preserve">débit </w:t>
      </w:r>
      <w:r w:rsidR="00C54A5C" w:rsidRPr="007944F8">
        <w:t>faible d’urine</w:t>
      </w:r>
      <w:r w:rsidRPr="007944F8">
        <w:t>, perte de poids, sécheresse et rougeur de la peau, irritabilité (symptômes possibles d’un faible taux de liquide dans l’organisme, également appelé déshydratation).</w:t>
      </w:r>
    </w:p>
    <w:p w14:paraId="7ECD0E8A" w14:textId="77777777" w:rsidR="00A41E3E" w:rsidRPr="007944F8" w:rsidRDefault="00A41E3E" w:rsidP="00E96874">
      <w:pPr>
        <w:widowControl w:val="0"/>
        <w:numPr>
          <w:ilvl w:val="12"/>
          <w:numId w:val="0"/>
        </w:numPr>
        <w:tabs>
          <w:tab w:val="clear" w:pos="567"/>
        </w:tabs>
        <w:spacing w:line="240" w:lineRule="auto"/>
        <w:ind w:right="-2"/>
        <w:rPr>
          <w:rFonts w:ascii="TimesNewRoman" w:hAnsi="TimesNewRoman" w:cs="TimesNewRoman"/>
        </w:rPr>
      </w:pPr>
    </w:p>
    <w:p w14:paraId="1BB3D1C0" w14:textId="77777777" w:rsidR="00D24430" w:rsidRPr="007944F8" w:rsidRDefault="00D24430" w:rsidP="00E96874">
      <w:pPr>
        <w:pStyle w:val="Text"/>
        <w:keepNext/>
        <w:keepLines w:val="0"/>
        <w:widowControl w:val="0"/>
        <w:spacing w:before="0"/>
        <w:jc w:val="left"/>
        <w:rPr>
          <w:sz w:val="22"/>
          <w:szCs w:val="22"/>
        </w:rPr>
      </w:pPr>
      <w:r w:rsidRPr="007944F8">
        <w:rPr>
          <w:sz w:val="22"/>
        </w:rPr>
        <w:t xml:space="preserve">Au cours du traitement par Odomzo, vous pouvez également présenter des </w:t>
      </w:r>
      <w:r w:rsidRPr="007944F8">
        <w:rPr>
          <w:b/>
          <w:sz w:val="22"/>
        </w:rPr>
        <w:t>résultats d’analyses de sang</w:t>
      </w:r>
      <w:r w:rsidRPr="007944F8">
        <w:rPr>
          <w:sz w:val="22"/>
        </w:rPr>
        <w:t xml:space="preserve"> </w:t>
      </w:r>
      <w:r w:rsidRPr="007944F8">
        <w:rPr>
          <w:b/>
          <w:sz w:val="22"/>
        </w:rPr>
        <w:t>anormaux</w:t>
      </w:r>
      <w:r w:rsidR="007C6888" w:rsidRPr="007944F8">
        <w:rPr>
          <w:b/>
          <w:sz w:val="22"/>
          <w:lang w:val="fr-FR"/>
        </w:rPr>
        <w:t xml:space="preserve">. </w:t>
      </w:r>
      <w:r w:rsidR="007C6888" w:rsidRPr="007944F8">
        <w:rPr>
          <w:sz w:val="22"/>
          <w:lang w:val="fr-FR"/>
        </w:rPr>
        <w:t>Cela peut alerter</w:t>
      </w:r>
      <w:r w:rsidRPr="007944F8">
        <w:rPr>
          <w:sz w:val="22"/>
        </w:rPr>
        <w:t xml:space="preserve"> votre médecin </w:t>
      </w:r>
      <w:r w:rsidR="007C6888" w:rsidRPr="007944F8">
        <w:rPr>
          <w:sz w:val="22"/>
          <w:lang w:val="fr-FR"/>
        </w:rPr>
        <w:t>sur des changements possibles</w:t>
      </w:r>
      <w:r w:rsidR="004765A0" w:rsidRPr="007944F8">
        <w:rPr>
          <w:sz w:val="22"/>
          <w:lang w:val="fr-FR"/>
        </w:rPr>
        <w:t xml:space="preserve"> du fonctionnement</w:t>
      </w:r>
      <w:r w:rsidR="007C6888" w:rsidRPr="007944F8">
        <w:rPr>
          <w:sz w:val="22"/>
          <w:lang w:val="fr-FR"/>
        </w:rPr>
        <w:t xml:space="preserve"> </w:t>
      </w:r>
      <w:r w:rsidRPr="007944F8">
        <w:rPr>
          <w:sz w:val="22"/>
        </w:rPr>
        <w:t>de certaines parties de votre corps, par exemple :</w:t>
      </w:r>
    </w:p>
    <w:p w14:paraId="5C8271EA" w14:textId="77777777" w:rsidR="00D24430" w:rsidRPr="007944F8" w:rsidRDefault="00D24430" w:rsidP="00E96874">
      <w:pPr>
        <w:widowControl w:val="0"/>
        <w:numPr>
          <w:ilvl w:val="0"/>
          <w:numId w:val="32"/>
        </w:numPr>
        <w:tabs>
          <w:tab w:val="clear" w:pos="567"/>
        </w:tabs>
        <w:spacing w:line="240" w:lineRule="auto"/>
        <w:ind w:left="567" w:hanging="567"/>
        <w:rPr>
          <w:noProof/>
        </w:rPr>
      </w:pPr>
      <w:r w:rsidRPr="007944F8">
        <w:t>taux élevés des enzymes suivantes : créatine phosphokinase (fonction musculaire), lipase et/ou amylase (fonction pancréatique), alanine aminotransférase (ALAT) et</w:t>
      </w:r>
      <w:r w:rsidR="00482343" w:rsidRPr="007944F8">
        <w:t>/</w:t>
      </w:r>
      <w:r w:rsidRPr="007944F8">
        <w:t>ou aspartate aminotransférase (ASAT) (fonction hépatique)</w:t>
      </w:r>
    </w:p>
    <w:p w14:paraId="1358FC92" w14:textId="77777777" w:rsidR="00D24430" w:rsidRPr="007944F8" w:rsidRDefault="00D24430" w:rsidP="00E96874">
      <w:pPr>
        <w:widowControl w:val="0"/>
        <w:numPr>
          <w:ilvl w:val="0"/>
          <w:numId w:val="32"/>
        </w:numPr>
        <w:tabs>
          <w:tab w:val="clear" w:pos="567"/>
        </w:tabs>
        <w:spacing w:line="240" w:lineRule="auto"/>
        <w:ind w:left="567" w:hanging="567"/>
        <w:rPr>
          <w:noProof/>
        </w:rPr>
      </w:pPr>
      <w:r w:rsidRPr="007944F8">
        <w:t>taux élevé de créatinine (fonction rénale)</w:t>
      </w:r>
    </w:p>
    <w:p w14:paraId="57DE295B" w14:textId="77777777" w:rsidR="00D24430" w:rsidRPr="007944F8" w:rsidRDefault="00D24430" w:rsidP="00E96874">
      <w:pPr>
        <w:widowControl w:val="0"/>
        <w:numPr>
          <w:ilvl w:val="0"/>
          <w:numId w:val="32"/>
        </w:numPr>
        <w:tabs>
          <w:tab w:val="clear" w:pos="567"/>
        </w:tabs>
        <w:spacing w:line="240" w:lineRule="auto"/>
        <w:ind w:left="567" w:hanging="567"/>
        <w:rPr>
          <w:noProof/>
        </w:rPr>
      </w:pPr>
      <w:r w:rsidRPr="007944F8">
        <w:t>taux élevé de sucre dans le sang (également appelé hyperglycémie)</w:t>
      </w:r>
    </w:p>
    <w:p w14:paraId="00E56A5E" w14:textId="77777777" w:rsidR="00D24430" w:rsidRPr="007944F8" w:rsidRDefault="00D24430" w:rsidP="00E96874">
      <w:pPr>
        <w:widowControl w:val="0"/>
        <w:numPr>
          <w:ilvl w:val="0"/>
          <w:numId w:val="32"/>
        </w:numPr>
        <w:tabs>
          <w:tab w:val="clear" w:pos="567"/>
        </w:tabs>
        <w:spacing w:line="240" w:lineRule="auto"/>
        <w:ind w:left="567" w:hanging="567"/>
        <w:rPr>
          <w:noProof/>
        </w:rPr>
      </w:pPr>
      <w:r w:rsidRPr="007944F8">
        <w:t>taux faible d’hémoglobine (nécessaire pour transporter l’oxygène dans le sang)</w:t>
      </w:r>
    </w:p>
    <w:p w14:paraId="7C2E579C" w14:textId="77777777" w:rsidR="00D24430" w:rsidRPr="007944F8" w:rsidRDefault="00D24430" w:rsidP="00E96874">
      <w:pPr>
        <w:widowControl w:val="0"/>
        <w:numPr>
          <w:ilvl w:val="0"/>
          <w:numId w:val="32"/>
        </w:numPr>
        <w:tabs>
          <w:tab w:val="clear" w:pos="567"/>
        </w:tabs>
        <w:spacing w:line="240" w:lineRule="auto"/>
        <w:ind w:left="567" w:hanging="567"/>
        <w:rPr>
          <w:noProof/>
        </w:rPr>
      </w:pPr>
      <w:r w:rsidRPr="007944F8">
        <w:t>taux faible de globules blancs.</w:t>
      </w:r>
    </w:p>
    <w:p w14:paraId="18E3F61C" w14:textId="77777777" w:rsidR="00D24430" w:rsidRPr="007944F8" w:rsidRDefault="00D24430" w:rsidP="00E93E8B">
      <w:pPr>
        <w:pStyle w:val="Text"/>
        <w:keepLines w:val="0"/>
        <w:widowControl w:val="0"/>
        <w:spacing w:before="0"/>
        <w:jc w:val="left"/>
        <w:rPr>
          <w:sz w:val="22"/>
          <w:szCs w:val="22"/>
        </w:rPr>
      </w:pPr>
    </w:p>
    <w:p w14:paraId="7C65478A" w14:textId="77777777" w:rsidR="00A41E3E" w:rsidRPr="007944F8" w:rsidRDefault="00A41E3E" w:rsidP="00BE7F7C">
      <w:pPr>
        <w:keepNext/>
        <w:widowControl w:val="0"/>
        <w:outlineLvl w:val="0"/>
        <w:rPr>
          <w:b/>
          <w:noProof/>
        </w:rPr>
      </w:pPr>
      <w:r w:rsidRPr="007944F8">
        <w:rPr>
          <w:b/>
          <w:noProof/>
        </w:rPr>
        <w:t>Déclaration des effets secondaires</w:t>
      </w:r>
    </w:p>
    <w:p w14:paraId="54768240" w14:textId="77777777" w:rsidR="00A41E3E" w:rsidRPr="007944F8" w:rsidRDefault="00A41E3E" w:rsidP="00E96874">
      <w:pPr>
        <w:pStyle w:val="BodytextAgency"/>
        <w:widowControl w:val="0"/>
        <w:spacing w:after="0" w:line="240" w:lineRule="auto"/>
        <w:rPr>
          <w:rFonts w:ascii="Times New Roman" w:hAnsi="Times New Roman"/>
          <w:sz w:val="22"/>
        </w:rPr>
      </w:pPr>
      <w:r w:rsidRPr="007944F8">
        <w:rPr>
          <w:rFonts w:ascii="Times New Roman" w:hAnsi="Times New Roman"/>
          <w:noProof/>
          <w:sz w:val="22"/>
        </w:rPr>
        <w:t>Si vous ressentez un quelconque effet indésirable, parlez-en à votre médecin ou votre pharmacien.</w:t>
      </w:r>
      <w:r w:rsidRPr="007944F8">
        <w:rPr>
          <w:rFonts w:ascii="Times New Roman" w:hAnsi="Times New Roman"/>
          <w:color w:val="FF0000"/>
          <w:sz w:val="22"/>
        </w:rPr>
        <w:t xml:space="preserve"> </w:t>
      </w:r>
      <w:r w:rsidRPr="007944F8">
        <w:rPr>
          <w:rFonts w:ascii="Times New Roman" w:hAnsi="Times New Roman"/>
          <w:noProof/>
          <w:sz w:val="22"/>
        </w:rPr>
        <w:t>Ceci s’applique aussi à tout effet indésirable qui ne serait pas mentionné dans cette notice.</w:t>
      </w:r>
      <w:r w:rsidRPr="007944F8">
        <w:t xml:space="preserve"> </w:t>
      </w:r>
      <w:r w:rsidRPr="007944F8">
        <w:rPr>
          <w:rFonts w:ascii="Times New Roman" w:hAnsi="Times New Roman"/>
          <w:sz w:val="22"/>
        </w:rPr>
        <w:t xml:space="preserve">Vous pouvez également déclarer les effets indésirables directement via </w:t>
      </w:r>
      <w:r w:rsidRPr="007944F8">
        <w:rPr>
          <w:rFonts w:ascii="Times New Roman" w:hAnsi="Times New Roman"/>
          <w:sz w:val="22"/>
          <w:shd w:val="clear" w:color="auto" w:fill="D9D9D9"/>
        </w:rPr>
        <w:t xml:space="preserve">le système national de déclaration décrit en </w:t>
      </w:r>
      <w:hyperlink r:id="rId16">
        <w:r w:rsidR="00561ED8" w:rsidRPr="007944F8">
          <w:rPr>
            <w:rStyle w:val="Hyperlink"/>
            <w:rFonts w:ascii="Times New Roman" w:hAnsi="Times New Roman"/>
            <w:sz w:val="22"/>
            <w:shd w:val="clear" w:color="auto" w:fill="D9D9D9"/>
          </w:rPr>
          <w:t>A</w:t>
        </w:r>
        <w:r w:rsidRPr="007944F8">
          <w:rPr>
            <w:rStyle w:val="Hyperlink"/>
            <w:rFonts w:ascii="Times New Roman" w:hAnsi="Times New Roman"/>
            <w:sz w:val="22"/>
            <w:shd w:val="clear" w:color="auto" w:fill="D9D9D9"/>
          </w:rPr>
          <w:t>nnexe V</w:t>
        </w:r>
      </w:hyperlink>
      <w:r w:rsidRPr="007944F8">
        <w:rPr>
          <w:rFonts w:ascii="Times New Roman" w:hAnsi="Times New Roman"/>
          <w:sz w:val="22"/>
        </w:rPr>
        <w:t>. En signalant les effets indésirables, vous contribuez à fournir davantage d’informations sur la sécurité du médicament.</w:t>
      </w:r>
    </w:p>
    <w:p w14:paraId="616FBAAC" w14:textId="77777777" w:rsidR="00A41E3E" w:rsidRPr="007944F8" w:rsidRDefault="00A41E3E" w:rsidP="00E96874">
      <w:pPr>
        <w:widowControl w:val="0"/>
        <w:autoSpaceDE w:val="0"/>
        <w:autoSpaceDN w:val="0"/>
        <w:adjustRightInd w:val="0"/>
        <w:spacing w:line="240" w:lineRule="auto"/>
        <w:rPr>
          <w:szCs w:val="22"/>
        </w:rPr>
      </w:pPr>
    </w:p>
    <w:p w14:paraId="16594821" w14:textId="77777777" w:rsidR="00A41E3E" w:rsidRPr="007944F8" w:rsidRDefault="00A41E3E" w:rsidP="00E96874">
      <w:pPr>
        <w:widowControl w:val="0"/>
        <w:autoSpaceDE w:val="0"/>
        <w:autoSpaceDN w:val="0"/>
        <w:adjustRightInd w:val="0"/>
        <w:spacing w:line="240" w:lineRule="auto"/>
        <w:rPr>
          <w:szCs w:val="22"/>
        </w:rPr>
      </w:pPr>
    </w:p>
    <w:p w14:paraId="7A30E630" w14:textId="77777777" w:rsidR="00A41E3E" w:rsidRPr="007944F8" w:rsidRDefault="00A41E3E" w:rsidP="00E96874">
      <w:pPr>
        <w:keepNext/>
        <w:widowControl w:val="0"/>
        <w:numPr>
          <w:ilvl w:val="12"/>
          <w:numId w:val="0"/>
        </w:numPr>
        <w:tabs>
          <w:tab w:val="clear" w:pos="567"/>
        </w:tabs>
        <w:spacing w:line="240" w:lineRule="auto"/>
        <w:ind w:left="567" w:hanging="567"/>
        <w:rPr>
          <w:b/>
          <w:noProof/>
          <w:szCs w:val="22"/>
        </w:rPr>
      </w:pPr>
      <w:r w:rsidRPr="007944F8">
        <w:rPr>
          <w:b/>
          <w:noProof/>
        </w:rPr>
        <w:t>5.</w:t>
      </w:r>
      <w:r w:rsidRPr="007944F8">
        <w:tab/>
      </w:r>
      <w:r w:rsidRPr="007944F8">
        <w:rPr>
          <w:b/>
          <w:noProof/>
        </w:rPr>
        <w:t>Comment conserver Odomzo</w:t>
      </w:r>
      <w:r w:rsidR="00D07FA3" w:rsidRPr="007944F8">
        <w:rPr>
          <w:b/>
          <w:noProof/>
        </w:rPr>
        <w:t> ?</w:t>
      </w:r>
    </w:p>
    <w:p w14:paraId="40FBB53A" w14:textId="77777777" w:rsidR="00A41E3E" w:rsidRPr="007944F8" w:rsidRDefault="00A41E3E" w:rsidP="00E96874">
      <w:pPr>
        <w:keepNext/>
        <w:widowControl w:val="0"/>
        <w:numPr>
          <w:ilvl w:val="12"/>
          <w:numId w:val="0"/>
        </w:numPr>
        <w:tabs>
          <w:tab w:val="clear" w:pos="567"/>
        </w:tabs>
        <w:spacing w:line="240" w:lineRule="auto"/>
        <w:rPr>
          <w:noProof/>
          <w:szCs w:val="22"/>
        </w:rPr>
      </w:pPr>
    </w:p>
    <w:p w14:paraId="13643A3B" w14:textId="77777777" w:rsidR="00A41E3E" w:rsidRPr="007944F8" w:rsidRDefault="00A41E3E" w:rsidP="00E96874">
      <w:pPr>
        <w:widowControl w:val="0"/>
        <w:numPr>
          <w:ilvl w:val="0"/>
          <w:numId w:val="32"/>
        </w:numPr>
        <w:tabs>
          <w:tab w:val="clear" w:pos="567"/>
        </w:tabs>
        <w:spacing w:line="240" w:lineRule="auto"/>
        <w:ind w:left="567" w:hanging="567"/>
        <w:rPr>
          <w:noProof/>
        </w:rPr>
      </w:pPr>
      <w:r w:rsidRPr="007944F8">
        <w:t>Tenir ce médicament hors de la vue et de la portée des enfants.</w:t>
      </w:r>
    </w:p>
    <w:p w14:paraId="071A99D7" w14:textId="77777777" w:rsidR="009D4A2B" w:rsidRPr="007944F8" w:rsidRDefault="00A41E3E" w:rsidP="00E96874">
      <w:pPr>
        <w:widowControl w:val="0"/>
        <w:numPr>
          <w:ilvl w:val="0"/>
          <w:numId w:val="32"/>
        </w:numPr>
        <w:tabs>
          <w:tab w:val="clear" w:pos="567"/>
        </w:tabs>
        <w:spacing w:line="240" w:lineRule="auto"/>
        <w:ind w:left="567" w:hanging="567"/>
        <w:rPr>
          <w:noProof/>
        </w:rPr>
      </w:pPr>
      <w:r w:rsidRPr="007944F8">
        <w:t>N’utilisez pas ce médicament après la date de péremption indiquée sur la boîte et la plaquette après EXP. La date de péremption fait référence au dernier jour de ce mois.</w:t>
      </w:r>
    </w:p>
    <w:p w14:paraId="228C8D9F" w14:textId="77777777" w:rsidR="00830A31" w:rsidRPr="007944F8" w:rsidRDefault="00830A31" w:rsidP="00E96874">
      <w:pPr>
        <w:widowControl w:val="0"/>
        <w:numPr>
          <w:ilvl w:val="0"/>
          <w:numId w:val="32"/>
        </w:numPr>
        <w:tabs>
          <w:tab w:val="clear" w:pos="567"/>
        </w:tabs>
        <w:spacing w:line="240" w:lineRule="auto"/>
        <w:ind w:left="567" w:hanging="567"/>
        <w:rPr>
          <w:noProof/>
        </w:rPr>
      </w:pPr>
      <w:r w:rsidRPr="007944F8">
        <w:t>À conserver à une température ne dépassant pas 30 °C.</w:t>
      </w:r>
    </w:p>
    <w:p w14:paraId="0521CF4D" w14:textId="77777777" w:rsidR="00A41E3E" w:rsidRPr="007944F8" w:rsidRDefault="009D4A2B" w:rsidP="00E96874">
      <w:pPr>
        <w:widowControl w:val="0"/>
        <w:numPr>
          <w:ilvl w:val="0"/>
          <w:numId w:val="32"/>
        </w:numPr>
        <w:tabs>
          <w:tab w:val="clear" w:pos="567"/>
        </w:tabs>
        <w:spacing w:line="240" w:lineRule="auto"/>
        <w:ind w:left="567" w:hanging="567"/>
        <w:rPr>
          <w:noProof/>
        </w:rPr>
      </w:pPr>
      <w:r w:rsidRPr="007944F8">
        <w:t>À conserver dans l’emballage extérieur d’origine à l’abri de l’humidité.</w:t>
      </w:r>
    </w:p>
    <w:p w14:paraId="7D1A7BD6" w14:textId="77777777" w:rsidR="00A41E3E" w:rsidRPr="007944F8" w:rsidRDefault="00A41E3E" w:rsidP="00E96874">
      <w:pPr>
        <w:widowControl w:val="0"/>
        <w:numPr>
          <w:ilvl w:val="0"/>
          <w:numId w:val="32"/>
        </w:numPr>
        <w:tabs>
          <w:tab w:val="clear" w:pos="567"/>
        </w:tabs>
        <w:spacing w:line="240" w:lineRule="auto"/>
        <w:ind w:left="567" w:hanging="567"/>
        <w:rPr>
          <w:noProof/>
        </w:rPr>
      </w:pPr>
      <w:r w:rsidRPr="007944F8">
        <w:t>Ne jetez aucun médicament au tout-à-l’égout ou avec les ordures ménagères. Demandez à votre pharmacien d’éliminer les médicaments que vous n’utilisez plus. Ces mesures contribueront à protéger l’environnement.</w:t>
      </w:r>
    </w:p>
    <w:p w14:paraId="7C0DA9CA" w14:textId="77777777" w:rsidR="00A41E3E" w:rsidRPr="007944F8" w:rsidRDefault="00A41E3E" w:rsidP="00E96874">
      <w:pPr>
        <w:widowControl w:val="0"/>
        <w:numPr>
          <w:ilvl w:val="12"/>
          <w:numId w:val="0"/>
        </w:numPr>
        <w:tabs>
          <w:tab w:val="clear" w:pos="567"/>
        </w:tabs>
        <w:spacing w:line="240" w:lineRule="auto"/>
        <w:ind w:right="-2"/>
        <w:rPr>
          <w:noProof/>
          <w:szCs w:val="22"/>
        </w:rPr>
      </w:pPr>
    </w:p>
    <w:p w14:paraId="33379DB3" w14:textId="77777777" w:rsidR="00A41E3E" w:rsidRPr="007944F8" w:rsidRDefault="00A41E3E" w:rsidP="00E96874">
      <w:pPr>
        <w:widowControl w:val="0"/>
        <w:numPr>
          <w:ilvl w:val="12"/>
          <w:numId w:val="0"/>
        </w:numPr>
        <w:tabs>
          <w:tab w:val="clear" w:pos="567"/>
        </w:tabs>
        <w:spacing w:line="240" w:lineRule="auto"/>
        <w:ind w:right="-2"/>
        <w:rPr>
          <w:noProof/>
          <w:szCs w:val="22"/>
        </w:rPr>
      </w:pPr>
    </w:p>
    <w:p w14:paraId="77A9A47B" w14:textId="77777777" w:rsidR="00A41E3E" w:rsidRPr="007944F8" w:rsidRDefault="00A41E3E" w:rsidP="00E96874">
      <w:pPr>
        <w:keepNext/>
        <w:widowControl w:val="0"/>
        <w:numPr>
          <w:ilvl w:val="12"/>
          <w:numId w:val="0"/>
        </w:numPr>
        <w:spacing w:line="240" w:lineRule="auto"/>
        <w:ind w:right="-2"/>
        <w:rPr>
          <w:b/>
        </w:rPr>
      </w:pPr>
      <w:r w:rsidRPr="007944F8">
        <w:rPr>
          <w:b/>
        </w:rPr>
        <w:t>6.</w:t>
      </w:r>
      <w:r w:rsidRPr="007944F8">
        <w:tab/>
      </w:r>
      <w:r w:rsidRPr="007944F8">
        <w:rPr>
          <w:b/>
        </w:rPr>
        <w:t>Contenu de l’emballage et autres informations</w:t>
      </w:r>
    </w:p>
    <w:p w14:paraId="4217F553" w14:textId="77777777" w:rsidR="00A41E3E" w:rsidRPr="007944F8" w:rsidRDefault="00A41E3E" w:rsidP="00E96874">
      <w:pPr>
        <w:keepNext/>
        <w:widowControl w:val="0"/>
        <w:numPr>
          <w:ilvl w:val="12"/>
          <w:numId w:val="0"/>
        </w:numPr>
        <w:tabs>
          <w:tab w:val="clear" w:pos="567"/>
        </w:tabs>
        <w:spacing w:line="240" w:lineRule="auto"/>
      </w:pPr>
    </w:p>
    <w:p w14:paraId="2C2B47B2" w14:textId="77777777" w:rsidR="00A41E3E" w:rsidRPr="007944F8" w:rsidRDefault="00A41E3E" w:rsidP="00BE7F7C">
      <w:pPr>
        <w:keepNext/>
        <w:widowControl w:val="0"/>
        <w:numPr>
          <w:ilvl w:val="12"/>
          <w:numId w:val="0"/>
        </w:numPr>
        <w:tabs>
          <w:tab w:val="clear" w:pos="567"/>
        </w:tabs>
        <w:spacing w:line="240" w:lineRule="auto"/>
        <w:ind w:right="-2"/>
        <w:outlineLvl w:val="0"/>
        <w:rPr>
          <w:b/>
        </w:rPr>
      </w:pPr>
      <w:r w:rsidRPr="007944F8">
        <w:rPr>
          <w:b/>
        </w:rPr>
        <w:t>Ce que contient Odomzo</w:t>
      </w:r>
    </w:p>
    <w:p w14:paraId="136A49A3" w14:textId="77777777" w:rsidR="00A41E3E" w:rsidRPr="007944F8" w:rsidRDefault="00A41E3E" w:rsidP="00E96874">
      <w:pPr>
        <w:widowControl w:val="0"/>
        <w:numPr>
          <w:ilvl w:val="0"/>
          <w:numId w:val="32"/>
        </w:numPr>
        <w:tabs>
          <w:tab w:val="clear" w:pos="567"/>
        </w:tabs>
        <w:spacing w:line="240" w:lineRule="auto"/>
        <w:ind w:left="567" w:hanging="567"/>
        <w:rPr>
          <w:noProof/>
        </w:rPr>
      </w:pPr>
      <w:r w:rsidRPr="007944F8">
        <w:t>La substance active est le sonidégib</w:t>
      </w:r>
      <w:r w:rsidR="00B8519C" w:rsidRPr="007944F8">
        <w:t xml:space="preserve"> (sous forme de phosphate)</w:t>
      </w:r>
      <w:r w:rsidRPr="007944F8">
        <w:t>. Chaque gélule contient 200 mg de sonidégib.</w:t>
      </w:r>
    </w:p>
    <w:p w14:paraId="6F97C11D" w14:textId="77777777" w:rsidR="00A41E3E" w:rsidRPr="007944F8" w:rsidRDefault="00A41E3E" w:rsidP="00E96874">
      <w:pPr>
        <w:keepNext/>
        <w:widowControl w:val="0"/>
        <w:numPr>
          <w:ilvl w:val="0"/>
          <w:numId w:val="32"/>
        </w:numPr>
        <w:tabs>
          <w:tab w:val="clear" w:pos="567"/>
        </w:tabs>
        <w:spacing w:line="240" w:lineRule="auto"/>
        <w:ind w:left="567" w:hanging="567"/>
        <w:rPr>
          <w:noProof/>
        </w:rPr>
      </w:pPr>
      <w:r w:rsidRPr="007944F8">
        <w:t>Les autres composants sont :</w:t>
      </w:r>
    </w:p>
    <w:p w14:paraId="2BD859A4" w14:textId="77777777" w:rsidR="009D4A2B" w:rsidRPr="007944F8" w:rsidRDefault="009D4A2B" w:rsidP="00E96874">
      <w:pPr>
        <w:widowControl w:val="0"/>
        <w:numPr>
          <w:ilvl w:val="0"/>
          <w:numId w:val="33"/>
        </w:numPr>
        <w:tabs>
          <w:tab w:val="clear" w:pos="567"/>
        </w:tabs>
        <w:spacing w:line="240" w:lineRule="auto"/>
        <w:ind w:left="1134" w:hanging="567"/>
        <w:rPr>
          <w:noProof/>
        </w:rPr>
      </w:pPr>
      <w:r w:rsidRPr="007944F8">
        <w:t>Contenu de la gélule : crospovidone</w:t>
      </w:r>
      <w:r w:rsidR="00A9357D">
        <w:t xml:space="preserve"> de type A</w:t>
      </w:r>
      <w:r w:rsidRPr="007944F8">
        <w:t>, lactose monohydraté</w:t>
      </w:r>
      <w:r w:rsidR="00A9357D">
        <w:t xml:space="preserve"> (voir la rubrique 2 « Odomzo contient du lactose</w:t>
      </w:r>
      <w:r w:rsidR="00604768">
        <w:t> »</w:t>
      </w:r>
      <w:r w:rsidR="00A9357D">
        <w:t>)</w:t>
      </w:r>
      <w:r w:rsidRPr="007944F8">
        <w:t>, stéarate de magnésium, poloxamer 188, silice colloïdale anhydre, laurylsulfate de sodium.</w:t>
      </w:r>
    </w:p>
    <w:p w14:paraId="25F3B5D5" w14:textId="77777777" w:rsidR="009D4A2B" w:rsidRPr="007944F8" w:rsidRDefault="009D4A2B" w:rsidP="00E96874">
      <w:pPr>
        <w:widowControl w:val="0"/>
        <w:numPr>
          <w:ilvl w:val="0"/>
          <w:numId w:val="33"/>
        </w:numPr>
        <w:tabs>
          <w:tab w:val="clear" w:pos="567"/>
        </w:tabs>
        <w:spacing w:line="240" w:lineRule="auto"/>
        <w:ind w:left="1134" w:hanging="567"/>
        <w:rPr>
          <w:noProof/>
        </w:rPr>
      </w:pPr>
      <w:r w:rsidRPr="007944F8">
        <w:t>Enveloppe de la gélule : gélatine, oxyde de fer rouge (E172), dioxyde de titane</w:t>
      </w:r>
      <w:r w:rsidR="00BD68A1">
        <w:t xml:space="preserve"> (E171)</w:t>
      </w:r>
      <w:r w:rsidRPr="007944F8">
        <w:t>.</w:t>
      </w:r>
    </w:p>
    <w:p w14:paraId="11936A46" w14:textId="77777777" w:rsidR="009D4A2B" w:rsidRPr="007944F8" w:rsidRDefault="009D4A2B" w:rsidP="00E96874">
      <w:pPr>
        <w:widowControl w:val="0"/>
        <w:numPr>
          <w:ilvl w:val="0"/>
          <w:numId w:val="33"/>
        </w:numPr>
        <w:tabs>
          <w:tab w:val="clear" w:pos="567"/>
        </w:tabs>
        <w:spacing w:line="240" w:lineRule="auto"/>
        <w:ind w:left="1134" w:hanging="567"/>
        <w:rPr>
          <w:noProof/>
        </w:rPr>
      </w:pPr>
      <w:r w:rsidRPr="007944F8">
        <w:t>Encre d’impression : oxyde de fer noir (E172), propylène glycol</w:t>
      </w:r>
      <w:r w:rsidR="00BD68A1">
        <w:t xml:space="preserve"> (E1520)</w:t>
      </w:r>
      <w:r w:rsidRPr="007944F8">
        <w:t>, gomme laque.</w:t>
      </w:r>
    </w:p>
    <w:p w14:paraId="5F60B441" w14:textId="77777777" w:rsidR="00A41E3E" w:rsidRPr="007944F8" w:rsidRDefault="00A41E3E" w:rsidP="00E96874">
      <w:pPr>
        <w:widowControl w:val="0"/>
        <w:tabs>
          <w:tab w:val="clear" w:pos="567"/>
        </w:tabs>
        <w:spacing w:line="240" w:lineRule="auto"/>
        <w:rPr>
          <w:noProof/>
          <w:szCs w:val="22"/>
        </w:rPr>
      </w:pPr>
    </w:p>
    <w:p w14:paraId="1BEFFDA1" w14:textId="77777777" w:rsidR="00A41E3E" w:rsidRPr="007944F8" w:rsidRDefault="00A41E3E" w:rsidP="00BE7F7C">
      <w:pPr>
        <w:keepNext/>
        <w:widowControl w:val="0"/>
        <w:numPr>
          <w:ilvl w:val="12"/>
          <w:numId w:val="0"/>
        </w:numPr>
        <w:tabs>
          <w:tab w:val="clear" w:pos="567"/>
        </w:tabs>
        <w:spacing w:line="240" w:lineRule="auto"/>
        <w:outlineLvl w:val="0"/>
        <w:rPr>
          <w:b/>
        </w:rPr>
      </w:pPr>
      <w:r w:rsidRPr="007944F8">
        <w:rPr>
          <w:b/>
        </w:rPr>
        <w:t>Qu’est-ce qu’Odomzo et contenu de l’emballage extérieur</w:t>
      </w:r>
    </w:p>
    <w:p w14:paraId="60E1BF0F" w14:textId="77777777" w:rsidR="009D4A2B" w:rsidRPr="007944F8" w:rsidRDefault="009D4A2B" w:rsidP="00E96874">
      <w:pPr>
        <w:widowControl w:val="0"/>
        <w:tabs>
          <w:tab w:val="clear" w:pos="567"/>
        </w:tabs>
        <w:spacing w:line="240" w:lineRule="auto"/>
        <w:rPr>
          <w:szCs w:val="22"/>
        </w:rPr>
      </w:pPr>
      <w:r w:rsidRPr="007944F8">
        <w:t>Les gélules d’Odomzo 200 mg sont roses et opaques. Elles portent les inscriptions « SONIDEGIB 200MG » et « NVR ».</w:t>
      </w:r>
    </w:p>
    <w:p w14:paraId="4F6B9DC8" w14:textId="77777777" w:rsidR="009D4A2B" w:rsidRPr="007944F8" w:rsidRDefault="009D4A2B" w:rsidP="00E96874">
      <w:pPr>
        <w:widowControl w:val="0"/>
        <w:tabs>
          <w:tab w:val="clear" w:pos="567"/>
        </w:tabs>
        <w:spacing w:line="240" w:lineRule="auto"/>
        <w:rPr>
          <w:szCs w:val="22"/>
        </w:rPr>
      </w:pPr>
    </w:p>
    <w:p w14:paraId="6E90DABE" w14:textId="77777777" w:rsidR="009D4A2B" w:rsidRPr="007944F8" w:rsidRDefault="009D4A2B" w:rsidP="00E96874">
      <w:pPr>
        <w:widowControl w:val="0"/>
        <w:tabs>
          <w:tab w:val="clear" w:pos="567"/>
        </w:tabs>
        <w:spacing w:line="240" w:lineRule="auto"/>
        <w:rPr>
          <w:szCs w:val="22"/>
        </w:rPr>
      </w:pPr>
      <w:r w:rsidRPr="007944F8">
        <w:t xml:space="preserve">Odomzo est présenté en plaquettes </w:t>
      </w:r>
      <w:r w:rsidR="00E42964" w:rsidRPr="007944F8">
        <w:t xml:space="preserve">de doses unitaires perforées </w:t>
      </w:r>
      <w:r w:rsidRPr="007944F8">
        <w:t>contenant 10</w:t>
      </w:r>
      <w:r w:rsidR="00E42964" w:rsidRPr="007944F8">
        <w:t> x 1 </w:t>
      </w:r>
      <w:r w:rsidRPr="007944F8">
        <w:t xml:space="preserve">gélule. </w:t>
      </w:r>
      <w:r w:rsidR="00B8519C" w:rsidRPr="007944F8">
        <w:t xml:space="preserve">Il </w:t>
      </w:r>
      <w:r w:rsidRPr="007944F8">
        <w:t>est disponible en boîtes de 10 et 30 gélules.</w:t>
      </w:r>
    </w:p>
    <w:p w14:paraId="4624AA1A" w14:textId="77777777" w:rsidR="009D4A2B" w:rsidRPr="007944F8" w:rsidRDefault="009D4A2B" w:rsidP="00E96874">
      <w:pPr>
        <w:widowControl w:val="0"/>
        <w:tabs>
          <w:tab w:val="clear" w:pos="567"/>
        </w:tabs>
        <w:spacing w:line="240" w:lineRule="auto"/>
        <w:rPr>
          <w:szCs w:val="22"/>
        </w:rPr>
      </w:pPr>
    </w:p>
    <w:p w14:paraId="079E83B0" w14:textId="77777777" w:rsidR="009D4A2B" w:rsidRPr="007944F8" w:rsidRDefault="009D4A2B" w:rsidP="00BE7F7C">
      <w:pPr>
        <w:widowControl w:val="0"/>
        <w:tabs>
          <w:tab w:val="clear" w:pos="567"/>
        </w:tabs>
        <w:spacing w:line="240" w:lineRule="auto"/>
        <w:outlineLvl w:val="0"/>
        <w:rPr>
          <w:szCs w:val="22"/>
        </w:rPr>
      </w:pPr>
      <w:r w:rsidRPr="007944F8">
        <w:t>Toutes les présentations peuvent ne pas être commercialisées.</w:t>
      </w:r>
    </w:p>
    <w:p w14:paraId="672E9B0D" w14:textId="77777777" w:rsidR="00A41E3E" w:rsidRPr="007944F8" w:rsidRDefault="00A41E3E" w:rsidP="00E96874">
      <w:pPr>
        <w:widowControl w:val="0"/>
        <w:numPr>
          <w:ilvl w:val="12"/>
          <w:numId w:val="0"/>
        </w:numPr>
        <w:tabs>
          <w:tab w:val="clear" w:pos="567"/>
        </w:tabs>
        <w:spacing w:line="240" w:lineRule="auto"/>
      </w:pPr>
    </w:p>
    <w:p w14:paraId="01FF30B2" w14:textId="77777777" w:rsidR="00882BCB" w:rsidRDefault="00882BCB" w:rsidP="00BE7F7C">
      <w:pPr>
        <w:keepNext/>
        <w:widowControl w:val="0"/>
        <w:tabs>
          <w:tab w:val="clear" w:pos="567"/>
          <w:tab w:val="left" w:pos="720"/>
        </w:tabs>
        <w:spacing w:line="240" w:lineRule="auto"/>
        <w:outlineLvl w:val="0"/>
        <w:rPr>
          <w:rFonts w:eastAsia="MS Mincho"/>
          <w:b/>
          <w:bCs/>
          <w:noProof/>
          <w:szCs w:val="22"/>
        </w:rPr>
      </w:pPr>
      <w:r>
        <w:rPr>
          <w:b/>
          <w:noProof/>
        </w:rPr>
        <w:t>Titulaire de l’Autorisation de mise sur le marché et Fabricant</w:t>
      </w:r>
    </w:p>
    <w:p w14:paraId="35FBD084" w14:textId="77777777" w:rsidR="00AB0B0A" w:rsidRDefault="00AB0B0A" w:rsidP="00AB0B0A">
      <w:pPr>
        <w:widowControl w:val="0"/>
        <w:tabs>
          <w:tab w:val="clear" w:pos="567"/>
          <w:tab w:val="left" w:pos="720"/>
        </w:tabs>
        <w:spacing w:line="240" w:lineRule="auto"/>
        <w:rPr>
          <w:noProof/>
          <w:szCs w:val="22"/>
        </w:rPr>
      </w:pPr>
      <w:r>
        <w:rPr>
          <w:noProof/>
          <w:szCs w:val="22"/>
        </w:rPr>
        <w:t>Sun Pharmaceutical Industries Europe B.V.</w:t>
      </w:r>
    </w:p>
    <w:p w14:paraId="187B261C" w14:textId="77777777" w:rsidR="00AB0B0A" w:rsidRDefault="00AB0B0A" w:rsidP="00AB0B0A">
      <w:pPr>
        <w:widowControl w:val="0"/>
        <w:tabs>
          <w:tab w:val="clear" w:pos="567"/>
          <w:tab w:val="left" w:pos="720"/>
        </w:tabs>
        <w:spacing w:line="240" w:lineRule="auto"/>
        <w:rPr>
          <w:noProof/>
          <w:szCs w:val="22"/>
        </w:rPr>
      </w:pPr>
      <w:r>
        <w:rPr>
          <w:noProof/>
          <w:szCs w:val="22"/>
        </w:rPr>
        <w:t>Polarisavenue 87</w:t>
      </w:r>
    </w:p>
    <w:p w14:paraId="4771B598" w14:textId="77777777" w:rsidR="00AB0B0A" w:rsidRDefault="00AB0B0A" w:rsidP="00AB0B0A">
      <w:pPr>
        <w:widowControl w:val="0"/>
        <w:tabs>
          <w:tab w:val="clear" w:pos="567"/>
          <w:tab w:val="left" w:pos="720"/>
        </w:tabs>
        <w:spacing w:line="240" w:lineRule="auto"/>
        <w:rPr>
          <w:noProof/>
          <w:szCs w:val="22"/>
        </w:rPr>
      </w:pPr>
      <w:r>
        <w:rPr>
          <w:noProof/>
          <w:szCs w:val="22"/>
        </w:rPr>
        <w:t>2132JH Hoofddorp</w:t>
      </w:r>
    </w:p>
    <w:p w14:paraId="7050759D" w14:textId="77777777" w:rsidR="005D01D3" w:rsidRDefault="005D01D3" w:rsidP="00E96874">
      <w:pPr>
        <w:widowControl w:val="0"/>
        <w:numPr>
          <w:ilvl w:val="12"/>
          <w:numId w:val="0"/>
        </w:numPr>
        <w:tabs>
          <w:tab w:val="clear" w:pos="567"/>
        </w:tabs>
        <w:spacing w:line="240" w:lineRule="auto"/>
        <w:ind w:right="-2"/>
        <w:rPr>
          <w:noProof/>
          <w:szCs w:val="22"/>
        </w:rPr>
      </w:pPr>
      <w:r w:rsidRPr="005D01D3">
        <w:rPr>
          <w:noProof/>
          <w:szCs w:val="22"/>
        </w:rPr>
        <w:t>Pays-Bas</w:t>
      </w:r>
    </w:p>
    <w:p w14:paraId="59BCE95E" w14:textId="77777777" w:rsidR="00E321BD" w:rsidRPr="007944F8" w:rsidRDefault="00E321BD" w:rsidP="00E96874">
      <w:pPr>
        <w:widowControl w:val="0"/>
        <w:numPr>
          <w:ilvl w:val="12"/>
          <w:numId w:val="0"/>
        </w:numPr>
        <w:tabs>
          <w:tab w:val="clear" w:pos="567"/>
        </w:tabs>
        <w:spacing w:line="240" w:lineRule="auto"/>
        <w:ind w:right="-2"/>
        <w:rPr>
          <w:noProof/>
          <w:szCs w:val="22"/>
        </w:rPr>
      </w:pPr>
    </w:p>
    <w:p w14:paraId="3F519331" w14:textId="77777777" w:rsidR="00E321BD" w:rsidRPr="007944F8" w:rsidRDefault="00E321BD" w:rsidP="00E96874">
      <w:pPr>
        <w:keepNext/>
        <w:widowControl w:val="0"/>
        <w:numPr>
          <w:ilvl w:val="12"/>
          <w:numId w:val="0"/>
        </w:numPr>
        <w:tabs>
          <w:tab w:val="clear" w:pos="567"/>
        </w:tabs>
        <w:spacing w:line="240" w:lineRule="auto"/>
        <w:rPr>
          <w:noProof/>
          <w:szCs w:val="22"/>
        </w:rPr>
      </w:pPr>
      <w:r w:rsidRPr="007944F8">
        <w:t>Pour toute information complémentaire concernant ce médicament, veuillez prendre contact avec le représentant local du titulaire de l’autorisation de mise sur le marché :</w:t>
      </w:r>
    </w:p>
    <w:p w14:paraId="378882B0" w14:textId="77777777" w:rsidR="00882BCB" w:rsidRPr="004E68D0" w:rsidRDefault="00882BCB" w:rsidP="00882BCB">
      <w:pPr>
        <w:keepNext/>
        <w:keepLines/>
        <w:widowControl w:val="0"/>
        <w:numPr>
          <w:ilvl w:val="12"/>
          <w:numId w:val="0"/>
        </w:numPr>
        <w:tabs>
          <w:tab w:val="clear" w:pos="567"/>
          <w:tab w:val="left" w:pos="720"/>
        </w:tabs>
        <w:spacing w:line="240" w:lineRule="auto"/>
        <w:rPr>
          <w:noProof/>
          <w:szCs w:val="22"/>
          <w:lang w:eastAsia="en-US" w:bidi="ar-SA"/>
        </w:rPr>
      </w:pPr>
    </w:p>
    <w:tbl>
      <w:tblPr>
        <w:tblW w:w="9360" w:type="dxa"/>
        <w:tblInd w:w="-34" w:type="dxa"/>
        <w:tblLayout w:type="fixed"/>
        <w:tblLook w:val="04A0" w:firstRow="1" w:lastRow="0" w:firstColumn="1" w:lastColumn="0" w:noHBand="0" w:noVBand="1"/>
      </w:tblPr>
      <w:tblGrid>
        <w:gridCol w:w="4680"/>
        <w:gridCol w:w="4680"/>
      </w:tblGrid>
      <w:tr w:rsidR="00882BCB" w14:paraId="266E20CE" w14:textId="77777777" w:rsidTr="00311782">
        <w:tc>
          <w:tcPr>
            <w:tcW w:w="4678" w:type="dxa"/>
            <w:hideMark/>
          </w:tcPr>
          <w:p w14:paraId="0B0A6325" w14:textId="77777777" w:rsidR="00882BCB" w:rsidRDefault="00882BCB">
            <w:pPr>
              <w:keepNext/>
              <w:keepLines/>
              <w:widowControl w:val="0"/>
              <w:spacing w:line="240" w:lineRule="auto"/>
              <w:rPr>
                <w:b/>
                <w:szCs w:val="22"/>
                <w:lang w:val="fr-BE"/>
              </w:rPr>
            </w:pPr>
            <w:r>
              <w:rPr>
                <w:b/>
                <w:szCs w:val="22"/>
                <w:lang w:val="fr-BE"/>
              </w:rPr>
              <w:t>België/Belgique/Belgien</w:t>
            </w:r>
          </w:p>
          <w:p w14:paraId="288A47AD" w14:textId="77777777" w:rsidR="00882BCB" w:rsidRDefault="00882BCB">
            <w:pPr>
              <w:keepNext/>
              <w:keepLines/>
              <w:widowControl w:val="0"/>
              <w:spacing w:line="240" w:lineRule="auto"/>
              <w:rPr>
                <w:szCs w:val="22"/>
                <w:lang w:val="fr-BE"/>
              </w:rPr>
            </w:pPr>
            <w:r>
              <w:rPr>
                <w:noProof/>
                <w:szCs w:val="22"/>
              </w:rPr>
              <w:t>Sun Pharmaceutical Industries Europe B.V.</w:t>
            </w:r>
          </w:p>
          <w:p w14:paraId="5BEC8B64" w14:textId="77777777" w:rsidR="00882BCB" w:rsidRDefault="00882BCB">
            <w:pPr>
              <w:keepNext/>
              <w:keepLines/>
              <w:widowControl w:val="0"/>
              <w:spacing w:line="240" w:lineRule="auto"/>
              <w:ind w:right="34"/>
              <w:rPr>
                <w:szCs w:val="22"/>
              </w:rPr>
            </w:pPr>
            <w:r>
              <w:rPr>
                <w:szCs w:val="22"/>
                <w:lang w:val="fr-BE"/>
              </w:rPr>
              <w:t>Tél/Tel: +31 23 568 55 01</w:t>
            </w:r>
          </w:p>
        </w:tc>
        <w:tc>
          <w:tcPr>
            <w:tcW w:w="4678" w:type="dxa"/>
          </w:tcPr>
          <w:p w14:paraId="1CAC697A" w14:textId="77777777" w:rsidR="00882BCB" w:rsidRDefault="00882BCB">
            <w:pPr>
              <w:keepNext/>
              <w:keepLines/>
              <w:widowControl w:val="0"/>
              <w:spacing w:line="240" w:lineRule="auto"/>
              <w:rPr>
                <w:b/>
                <w:szCs w:val="22"/>
                <w:lang w:val="lt-LT"/>
              </w:rPr>
            </w:pPr>
            <w:r>
              <w:rPr>
                <w:b/>
                <w:szCs w:val="22"/>
                <w:lang w:val="lt-LT"/>
              </w:rPr>
              <w:t>Lietuva</w:t>
            </w:r>
          </w:p>
          <w:p w14:paraId="1D572140" w14:textId="77777777" w:rsidR="00882BCB" w:rsidRDefault="00882BCB">
            <w:pPr>
              <w:keepNext/>
              <w:keepLines/>
              <w:widowControl w:val="0"/>
              <w:spacing w:line="240" w:lineRule="auto"/>
              <w:rPr>
                <w:szCs w:val="22"/>
                <w:lang w:val="fr-BE"/>
              </w:rPr>
            </w:pPr>
            <w:r>
              <w:rPr>
                <w:noProof/>
                <w:szCs w:val="22"/>
              </w:rPr>
              <w:t>Sun Pharmaceutical Industries Europe B.V.</w:t>
            </w:r>
          </w:p>
          <w:p w14:paraId="32A34302" w14:textId="77777777" w:rsidR="00882BCB" w:rsidRDefault="00882BCB">
            <w:pPr>
              <w:keepNext/>
              <w:keepLines/>
              <w:widowControl w:val="0"/>
              <w:spacing w:line="240" w:lineRule="auto"/>
              <w:ind w:right="-449"/>
              <w:rPr>
                <w:szCs w:val="22"/>
                <w:lang w:val="lt-LT"/>
              </w:rPr>
            </w:pPr>
            <w:r>
              <w:rPr>
                <w:szCs w:val="22"/>
                <w:lang w:val="lt-LT"/>
              </w:rPr>
              <w:t xml:space="preserve">Tel: </w:t>
            </w:r>
            <w:r>
              <w:rPr>
                <w:szCs w:val="22"/>
                <w:lang w:val="fr-BE"/>
              </w:rPr>
              <w:t>+31 23 568 55 01</w:t>
            </w:r>
          </w:p>
          <w:p w14:paraId="3C4E6464" w14:textId="77777777" w:rsidR="00882BCB" w:rsidRDefault="00882BCB">
            <w:pPr>
              <w:keepNext/>
              <w:keepLines/>
              <w:widowControl w:val="0"/>
              <w:spacing w:line="240" w:lineRule="auto"/>
              <w:rPr>
                <w:szCs w:val="22"/>
                <w:lang w:val="fr-CH"/>
              </w:rPr>
            </w:pPr>
          </w:p>
        </w:tc>
      </w:tr>
      <w:tr w:rsidR="00882BCB" w14:paraId="73C4C6A1" w14:textId="77777777" w:rsidTr="00311782">
        <w:tc>
          <w:tcPr>
            <w:tcW w:w="4678" w:type="dxa"/>
            <w:hideMark/>
          </w:tcPr>
          <w:p w14:paraId="69ED3575" w14:textId="77777777" w:rsidR="00882BCB" w:rsidRDefault="00882BCB">
            <w:pPr>
              <w:widowControl w:val="0"/>
              <w:spacing w:line="240" w:lineRule="auto"/>
              <w:rPr>
                <w:b/>
                <w:szCs w:val="22"/>
              </w:rPr>
            </w:pPr>
            <w:r>
              <w:rPr>
                <w:b/>
                <w:szCs w:val="22"/>
                <w:lang w:val="bg-BG"/>
              </w:rPr>
              <w:t>България</w:t>
            </w:r>
          </w:p>
          <w:p w14:paraId="4C28B34D" w14:textId="77777777" w:rsidR="00882BCB" w:rsidRDefault="00882BCB">
            <w:pPr>
              <w:keepNext/>
              <w:keepLines/>
              <w:widowControl w:val="0"/>
              <w:spacing w:line="240" w:lineRule="auto"/>
              <w:rPr>
                <w:szCs w:val="22"/>
                <w:lang w:val="fr-BE"/>
              </w:rPr>
            </w:pPr>
            <w:r>
              <w:rPr>
                <w:noProof/>
                <w:szCs w:val="22"/>
              </w:rPr>
              <w:t>Sun Pharmaceutical Industries Europe B.V.</w:t>
            </w:r>
          </w:p>
          <w:p w14:paraId="50737D18" w14:textId="77777777" w:rsidR="00882BCB" w:rsidRDefault="00882BCB">
            <w:pPr>
              <w:widowControl w:val="0"/>
              <w:spacing w:line="240" w:lineRule="auto"/>
              <w:rPr>
                <w:b/>
                <w:szCs w:val="22"/>
                <w:lang w:val="nb-NO"/>
              </w:rPr>
            </w:pPr>
            <w:r>
              <w:rPr>
                <w:szCs w:val="22"/>
                <w:lang w:val="bg-BG"/>
              </w:rPr>
              <w:t>Тел:</w:t>
            </w:r>
            <w:r>
              <w:rPr>
                <w:szCs w:val="22"/>
                <w:lang w:val="en-US"/>
              </w:rPr>
              <w:t xml:space="preserve"> </w:t>
            </w:r>
            <w:r>
              <w:rPr>
                <w:szCs w:val="22"/>
                <w:lang w:val="fr-BE"/>
              </w:rPr>
              <w:t>+31 23 568 55 01</w:t>
            </w:r>
          </w:p>
        </w:tc>
        <w:tc>
          <w:tcPr>
            <w:tcW w:w="4678" w:type="dxa"/>
          </w:tcPr>
          <w:p w14:paraId="7992DFAD" w14:textId="77777777" w:rsidR="00882BCB" w:rsidRDefault="00882BCB">
            <w:pPr>
              <w:widowControl w:val="0"/>
              <w:spacing w:line="240" w:lineRule="auto"/>
              <w:rPr>
                <w:b/>
                <w:szCs w:val="22"/>
                <w:lang w:val="de-CH"/>
              </w:rPr>
            </w:pPr>
            <w:r>
              <w:rPr>
                <w:b/>
                <w:szCs w:val="22"/>
                <w:lang w:val="de-CH"/>
              </w:rPr>
              <w:t>Luxembourg/Luxemburg</w:t>
            </w:r>
          </w:p>
          <w:p w14:paraId="129BE783" w14:textId="77777777" w:rsidR="00882BCB" w:rsidRDefault="00882BCB">
            <w:pPr>
              <w:keepNext/>
              <w:keepLines/>
              <w:widowControl w:val="0"/>
              <w:spacing w:line="240" w:lineRule="auto"/>
              <w:rPr>
                <w:szCs w:val="22"/>
                <w:lang w:val="de-CH"/>
              </w:rPr>
            </w:pPr>
            <w:r>
              <w:rPr>
                <w:noProof/>
                <w:szCs w:val="22"/>
                <w:lang w:val="de-CH"/>
              </w:rPr>
              <w:t>Sun Pharmaceutical Industries Europe B.V.</w:t>
            </w:r>
          </w:p>
          <w:p w14:paraId="020D4337" w14:textId="77777777" w:rsidR="00882BCB" w:rsidRDefault="00882BCB">
            <w:pPr>
              <w:widowControl w:val="0"/>
              <w:spacing w:line="240" w:lineRule="auto"/>
              <w:rPr>
                <w:szCs w:val="22"/>
                <w:lang w:val="de-CH"/>
              </w:rPr>
            </w:pPr>
            <w:r>
              <w:rPr>
                <w:szCs w:val="22"/>
                <w:lang w:val="fr-BE"/>
              </w:rPr>
              <w:t>Tél/Tel: +31 23 568 55 01</w:t>
            </w:r>
          </w:p>
          <w:p w14:paraId="51D8586A" w14:textId="77777777" w:rsidR="00882BCB" w:rsidRDefault="00882BCB">
            <w:pPr>
              <w:widowControl w:val="0"/>
              <w:tabs>
                <w:tab w:val="left" w:pos="-720"/>
              </w:tabs>
              <w:suppressAutoHyphens/>
              <w:spacing w:line="240" w:lineRule="auto"/>
              <w:rPr>
                <w:szCs w:val="22"/>
                <w:lang w:val="nb-NO"/>
              </w:rPr>
            </w:pPr>
          </w:p>
        </w:tc>
      </w:tr>
      <w:tr w:rsidR="00882BCB" w14:paraId="6994BED1" w14:textId="77777777" w:rsidTr="00311782">
        <w:tc>
          <w:tcPr>
            <w:tcW w:w="4678" w:type="dxa"/>
            <w:hideMark/>
          </w:tcPr>
          <w:p w14:paraId="5F050373" w14:textId="77777777" w:rsidR="00882BCB" w:rsidRDefault="00882BCB">
            <w:pPr>
              <w:widowControl w:val="0"/>
              <w:tabs>
                <w:tab w:val="left" w:pos="-720"/>
              </w:tabs>
              <w:suppressAutoHyphens/>
              <w:spacing w:line="240" w:lineRule="auto"/>
              <w:rPr>
                <w:b/>
                <w:szCs w:val="22"/>
                <w:lang w:val="sv-SE"/>
              </w:rPr>
            </w:pPr>
            <w:r>
              <w:rPr>
                <w:b/>
                <w:szCs w:val="22"/>
                <w:lang w:val="sv-SE"/>
              </w:rPr>
              <w:t>Česká republika</w:t>
            </w:r>
          </w:p>
          <w:p w14:paraId="5E624172" w14:textId="77777777" w:rsidR="00882BCB" w:rsidRDefault="00882BCB">
            <w:pPr>
              <w:keepNext/>
              <w:keepLines/>
              <w:widowControl w:val="0"/>
              <w:spacing w:line="240" w:lineRule="auto"/>
              <w:rPr>
                <w:szCs w:val="22"/>
                <w:lang w:val="fr-BE"/>
              </w:rPr>
            </w:pPr>
            <w:r>
              <w:rPr>
                <w:noProof/>
                <w:szCs w:val="22"/>
              </w:rPr>
              <w:t>Sun Pharmaceutical Industries Europe B.V.</w:t>
            </w:r>
          </w:p>
          <w:p w14:paraId="7A75971D" w14:textId="77777777" w:rsidR="00882BCB" w:rsidRDefault="00882BCB">
            <w:pPr>
              <w:widowControl w:val="0"/>
              <w:tabs>
                <w:tab w:val="left" w:pos="-720"/>
              </w:tabs>
              <w:suppressAutoHyphens/>
              <w:spacing w:line="240" w:lineRule="auto"/>
              <w:rPr>
                <w:szCs w:val="22"/>
                <w:lang w:val="de-CH"/>
              </w:rPr>
            </w:pPr>
            <w:r>
              <w:rPr>
                <w:szCs w:val="22"/>
                <w:lang w:val="de-CH"/>
              </w:rPr>
              <w:t xml:space="preserve">Tel: </w:t>
            </w:r>
            <w:r>
              <w:rPr>
                <w:szCs w:val="22"/>
                <w:lang w:val="fr-BE"/>
              </w:rPr>
              <w:t>+31 23 568 55 01</w:t>
            </w:r>
          </w:p>
        </w:tc>
        <w:tc>
          <w:tcPr>
            <w:tcW w:w="4678" w:type="dxa"/>
          </w:tcPr>
          <w:p w14:paraId="0C333889" w14:textId="77777777" w:rsidR="00882BCB" w:rsidRDefault="00882BCB">
            <w:pPr>
              <w:widowControl w:val="0"/>
              <w:spacing w:line="240" w:lineRule="auto"/>
              <w:rPr>
                <w:b/>
                <w:szCs w:val="22"/>
                <w:lang w:val="hu-HU"/>
              </w:rPr>
            </w:pPr>
            <w:r>
              <w:rPr>
                <w:b/>
                <w:szCs w:val="22"/>
                <w:lang w:val="hu-HU"/>
              </w:rPr>
              <w:t>Magyarország</w:t>
            </w:r>
          </w:p>
          <w:p w14:paraId="240CA322" w14:textId="77777777" w:rsidR="00882BCB" w:rsidRDefault="00882BCB">
            <w:pPr>
              <w:keepNext/>
              <w:keepLines/>
              <w:widowControl w:val="0"/>
              <w:spacing w:line="240" w:lineRule="auto"/>
              <w:rPr>
                <w:szCs w:val="22"/>
                <w:lang w:val="en-GB"/>
              </w:rPr>
            </w:pPr>
            <w:r>
              <w:rPr>
                <w:noProof/>
                <w:szCs w:val="22"/>
              </w:rPr>
              <w:t>Sun Pharmaceutical Industries Europe B.V.</w:t>
            </w:r>
          </w:p>
          <w:p w14:paraId="13DB0E25" w14:textId="77777777" w:rsidR="00882BCB" w:rsidRDefault="00882BCB">
            <w:pPr>
              <w:widowControl w:val="0"/>
              <w:tabs>
                <w:tab w:val="left" w:pos="-720"/>
              </w:tabs>
              <w:suppressAutoHyphens/>
              <w:spacing w:line="240" w:lineRule="auto"/>
              <w:rPr>
                <w:szCs w:val="22"/>
                <w:lang w:val="fr-BE"/>
              </w:rPr>
            </w:pPr>
            <w:r>
              <w:rPr>
                <w:szCs w:val="22"/>
                <w:lang w:val="hu-HU"/>
              </w:rPr>
              <w:t xml:space="preserve">Tel.: </w:t>
            </w:r>
            <w:r>
              <w:rPr>
                <w:szCs w:val="22"/>
                <w:lang w:val="fr-BE"/>
              </w:rPr>
              <w:t>+31 23 568 55 01</w:t>
            </w:r>
          </w:p>
          <w:p w14:paraId="55BA5D29" w14:textId="77777777" w:rsidR="00882BCB" w:rsidRDefault="00882BCB">
            <w:pPr>
              <w:widowControl w:val="0"/>
              <w:tabs>
                <w:tab w:val="left" w:pos="-720"/>
              </w:tabs>
              <w:suppressAutoHyphens/>
              <w:spacing w:line="240" w:lineRule="auto"/>
              <w:rPr>
                <w:szCs w:val="22"/>
                <w:lang w:val="mt-MT"/>
              </w:rPr>
            </w:pPr>
          </w:p>
        </w:tc>
      </w:tr>
      <w:tr w:rsidR="00882BCB" w14:paraId="789246E0" w14:textId="77777777" w:rsidTr="00311782">
        <w:tc>
          <w:tcPr>
            <w:tcW w:w="4678" w:type="dxa"/>
            <w:hideMark/>
          </w:tcPr>
          <w:p w14:paraId="0A69385D" w14:textId="77777777" w:rsidR="00882BCB" w:rsidRDefault="00882BCB">
            <w:pPr>
              <w:widowControl w:val="0"/>
              <w:spacing w:line="240" w:lineRule="auto"/>
              <w:rPr>
                <w:b/>
                <w:szCs w:val="22"/>
                <w:lang w:val="en-US"/>
              </w:rPr>
            </w:pPr>
            <w:r>
              <w:rPr>
                <w:b/>
                <w:szCs w:val="22"/>
                <w:lang w:val="en-US"/>
              </w:rPr>
              <w:t>Danmark</w:t>
            </w:r>
          </w:p>
          <w:p w14:paraId="01A3F280" w14:textId="77777777" w:rsidR="00882BCB" w:rsidRDefault="00882BCB">
            <w:pPr>
              <w:keepNext/>
              <w:keepLines/>
              <w:widowControl w:val="0"/>
              <w:spacing w:line="240" w:lineRule="auto"/>
              <w:rPr>
                <w:szCs w:val="22"/>
                <w:lang w:val="fr-BE"/>
              </w:rPr>
            </w:pPr>
            <w:r>
              <w:rPr>
                <w:noProof/>
                <w:szCs w:val="22"/>
              </w:rPr>
              <w:t>Sun Pharmaceutical Industries Europe B.V.</w:t>
            </w:r>
          </w:p>
          <w:p w14:paraId="099ABA25" w14:textId="6968C4AD" w:rsidR="00882BCB" w:rsidRDefault="00882BCB">
            <w:pPr>
              <w:widowControl w:val="0"/>
              <w:tabs>
                <w:tab w:val="left" w:pos="-720"/>
              </w:tabs>
              <w:suppressAutoHyphens/>
              <w:spacing w:line="240" w:lineRule="auto"/>
              <w:rPr>
                <w:szCs w:val="22"/>
                <w:lang w:val="en-US"/>
              </w:rPr>
            </w:pPr>
            <w:r>
              <w:rPr>
                <w:szCs w:val="22"/>
                <w:lang w:val="en-US"/>
              </w:rPr>
              <w:t>Tlf</w:t>
            </w:r>
            <w:r w:rsidR="00E804B5">
              <w:rPr>
                <w:szCs w:val="22"/>
                <w:lang w:val="en-US"/>
              </w:rPr>
              <w:t>.</w:t>
            </w:r>
            <w:r>
              <w:rPr>
                <w:szCs w:val="22"/>
                <w:lang w:val="en-US"/>
              </w:rPr>
              <w:t xml:space="preserve">: </w:t>
            </w:r>
            <w:r>
              <w:rPr>
                <w:szCs w:val="22"/>
                <w:lang w:val="fr-BE"/>
              </w:rPr>
              <w:t>+31 23 568 55 01</w:t>
            </w:r>
          </w:p>
        </w:tc>
        <w:tc>
          <w:tcPr>
            <w:tcW w:w="4678" w:type="dxa"/>
          </w:tcPr>
          <w:p w14:paraId="0FE3E647" w14:textId="77777777" w:rsidR="00882BCB" w:rsidRDefault="00882BCB">
            <w:pPr>
              <w:widowControl w:val="0"/>
              <w:tabs>
                <w:tab w:val="left" w:pos="-720"/>
                <w:tab w:val="left" w:pos="4536"/>
              </w:tabs>
              <w:suppressAutoHyphens/>
              <w:spacing w:line="240" w:lineRule="auto"/>
              <w:rPr>
                <w:b/>
                <w:szCs w:val="22"/>
                <w:lang w:val="mt-MT"/>
              </w:rPr>
            </w:pPr>
            <w:r>
              <w:rPr>
                <w:b/>
                <w:szCs w:val="22"/>
                <w:lang w:val="mt-MT"/>
              </w:rPr>
              <w:t>Malta</w:t>
            </w:r>
          </w:p>
          <w:p w14:paraId="3505DFB0" w14:textId="77777777" w:rsidR="00882BCB" w:rsidRDefault="00882BCB">
            <w:pPr>
              <w:keepNext/>
              <w:keepLines/>
              <w:widowControl w:val="0"/>
              <w:spacing w:line="240" w:lineRule="auto"/>
              <w:rPr>
                <w:szCs w:val="22"/>
                <w:lang w:val="fr-BE"/>
              </w:rPr>
            </w:pPr>
            <w:r>
              <w:rPr>
                <w:noProof/>
                <w:szCs w:val="22"/>
              </w:rPr>
              <w:t>Sun Pharmaceutical Industries Europe B.V.</w:t>
            </w:r>
          </w:p>
          <w:p w14:paraId="3D633360" w14:textId="77777777" w:rsidR="00882BCB" w:rsidRDefault="00882BCB">
            <w:pPr>
              <w:widowControl w:val="0"/>
              <w:spacing w:line="240" w:lineRule="auto"/>
              <w:rPr>
                <w:szCs w:val="22"/>
                <w:lang w:val="fr-BE"/>
              </w:rPr>
            </w:pPr>
            <w:r>
              <w:rPr>
                <w:szCs w:val="22"/>
                <w:lang w:val="mt-MT"/>
              </w:rPr>
              <w:t xml:space="preserve">Tel: </w:t>
            </w:r>
            <w:r>
              <w:rPr>
                <w:szCs w:val="22"/>
                <w:lang w:val="fr-BE"/>
              </w:rPr>
              <w:t>+31 23 568 55 01</w:t>
            </w:r>
          </w:p>
          <w:p w14:paraId="21B6B033" w14:textId="77777777" w:rsidR="00882BCB" w:rsidRDefault="00882BCB">
            <w:pPr>
              <w:widowControl w:val="0"/>
              <w:spacing w:line="240" w:lineRule="auto"/>
              <w:rPr>
                <w:szCs w:val="22"/>
                <w:lang w:val="en-GB"/>
              </w:rPr>
            </w:pPr>
          </w:p>
        </w:tc>
      </w:tr>
      <w:tr w:rsidR="00882BCB" w14:paraId="6E23858C" w14:textId="77777777" w:rsidTr="00311782">
        <w:tc>
          <w:tcPr>
            <w:tcW w:w="4678" w:type="dxa"/>
          </w:tcPr>
          <w:p w14:paraId="1EB601FA" w14:textId="77777777" w:rsidR="00882BCB" w:rsidRDefault="00882BCB">
            <w:pPr>
              <w:widowControl w:val="0"/>
              <w:spacing w:line="240" w:lineRule="auto"/>
              <w:rPr>
                <w:b/>
                <w:szCs w:val="22"/>
                <w:lang w:val="de-DE"/>
              </w:rPr>
            </w:pPr>
            <w:r>
              <w:rPr>
                <w:b/>
                <w:szCs w:val="22"/>
                <w:lang w:val="de-DE"/>
              </w:rPr>
              <w:t>Deutschland</w:t>
            </w:r>
          </w:p>
          <w:p w14:paraId="47769E60" w14:textId="77777777" w:rsidR="00882BCB" w:rsidRDefault="00882BCB">
            <w:pPr>
              <w:spacing w:line="240" w:lineRule="auto"/>
              <w:rPr>
                <w:lang w:val="de-CH" w:bidi="ml-IN"/>
              </w:rPr>
            </w:pPr>
            <w:r>
              <w:rPr>
                <w:lang w:val="de-CH" w:bidi="ml-IN"/>
              </w:rPr>
              <w:t>Sun Pharmaceuticals Germany GmbH</w:t>
            </w:r>
          </w:p>
          <w:p w14:paraId="2CA69873" w14:textId="77777777" w:rsidR="001D716E" w:rsidRDefault="00882BCB">
            <w:pPr>
              <w:widowControl w:val="0"/>
              <w:tabs>
                <w:tab w:val="left" w:pos="-720"/>
              </w:tabs>
              <w:suppressAutoHyphens/>
              <w:spacing w:line="240" w:lineRule="auto"/>
              <w:rPr>
                <w:szCs w:val="22"/>
                <w:lang w:val="de-CH" w:bidi="ar-SA"/>
              </w:rPr>
            </w:pPr>
            <w:r>
              <w:rPr>
                <w:szCs w:val="22"/>
                <w:lang w:val="de-CH"/>
              </w:rPr>
              <w:t>Tel:</w:t>
            </w:r>
            <w:r>
              <w:rPr>
                <w:lang w:val="de-CH" w:bidi="ml-IN"/>
              </w:rPr>
              <w:t xml:space="preserve"> </w:t>
            </w:r>
            <w:r w:rsidR="001D716E">
              <w:rPr>
                <w:lang w:val="en-US" w:bidi="ml-IN"/>
              </w:rPr>
              <w:t>+49 21 440 39 90</w:t>
            </w:r>
            <w:r w:rsidR="001D716E">
              <w:rPr>
                <w:lang w:val="de-CH" w:bidi="ml-IN"/>
              </w:rPr>
              <w:br/>
            </w:r>
            <w:r w:rsidR="001D716E">
              <w:rPr>
                <w:szCs w:val="22"/>
                <w:lang w:val="de-CH"/>
              </w:rPr>
              <w:t>E-mail: info.de@sunpharma.com</w:t>
            </w:r>
            <w:r w:rsidR="001D716E">
              <w:rPr>
                <w:szCs w:val="22"/>
                <w:lang w:val="de-CH" w:bidi="ar-SA"/>
              </w:rPr>
              <w:br/>
            </w:r>
          </w:p>
        </w:tc>
        <w:tc>
          <w:tcPr>
            <w:tcW w:w="4678" w:type="dxa"/>
            <w:hideMark/>
          </w:tcPr>
          <w:p w14:paraId="0E3349E0" w14:textId="77777777" w:rsidR="00882BCB" w:rsidRDefault="00882BCB">
            <w:pPr>
              <w:widowControl w:val="0"/>
              <w:suppressAutoHyphens/>
              <w:spacing w:line="240" w:lineRule="auto"/>
              <w:rPr>
                <w:b/>
                <w:szCs w:val="22"/>
                <w:lang w:val="en-US"/>
              </w:rPr>
            </w:pPr>
            <w:r>
              <w:rPr>
                <w:b/>
                <w:szCs w:val="22"/>
                <w:lang w:val="en-US"/>
              </w:rPr>
              <w:t>Nederland</w:t>
            </w:r>
          </w:p>
          <w:p w14:paraId="60A5BE89" w14:textId="77777777" w:rsidR="00882BCB" w:rsidRDefault="00882BCB">
            <w:pPr>
              <w:keepNext/>
              <w:keepLines/>
              <w:widowControl w:val="0"/>
              <w:spacing w:line="240" w:lineRule="auto"/>
              <w:rPr>
                <w:szCs w:val="22"/>
                <w:lang w:val="fr-BE"/>
              </w:rPr>
            </w:pPr>
            <w:r>
              <w:rPr>
                <w:noProof/>
                <w:szCs w:val="22"/>
              </w:rPr>
              <w:t>Sun Pharmaceutical Industries Europe B.V.</w:t>
            </w:r>
          </w:p>
          <w:p w14:paraId="518B7565" w14:textId="77777777" w:rsidR="00882BCB" w:rsidRDefault="00882BCB">
            <w:pPr>
              <w:widowControl w:val="0"/>
              <w:spacing w:line="240" w:lineRule="auto"/>
              <w:rPr>
                <w:szCs w:val="22"/>
                <w:lang w:val="en-GB"/>
              </w:rPr>
            </w:pPr>
            <w:r>
              <w:rPr>
                <w:szCs w:val="22"/>
                <w:lang w:val="en-US"/>
              </w:rPr>
              <w:t xml:space="preserve">Tel: </w:t>
            </w:r>
            <w:r>
              <w:rPr>
                <w:szCs w:val="22"/>
                <w:lang w:val="fr-BE"/>
              </w:rPr>
              <w:t>+31 23 568 55 01</w:t>
            </w:r>
          </w:p>
        </w:tc>
      </w:tr>
      <w:tr w:rsidR="00882BCB" w14:paraId="6DC493AE" w14:textId="77777777" w:rsidTr="00311782">
        <w:tc>
          <w:tcPr>
            <w:tcW w:w="4678" w:type="dxa"/>
            <w:hideMark/>
          </w:tcPr>
          <w:p w14:paraId="63C72E3D" w14:textId="77777777" w:rsidR="00882BCB" w:rsidRDefault="00882BCB">
            <w:pPr>
              <w:widowControl w:val="0"/>
              <w:tabs>
                <w:tab w:val="left" w:pos="-720"/>
              </w:tabs>
              <w:suppressAutoHyphens/>
              <w:spacing w:line="240" w:lineRule="auto"/>
              <w:rPr>
                <w:b/>
                <w:bCs/>
                <w:szCs w:val="22"/>
                <w:lang w:val="et-EE"/>
              </w:rPr>
            </w:pPr>
            <w:r>
              <w:rPr>
                <w:b/>
                <w:bCs/>
                <w:szCs w:val="22"/>
                <w:lang w:val="et-EE"/>
              </w:rPr>
              <w:t>Eesti</w:t>
            </w:r>
          </w:p>
          <w:p w14:paraId="6B45C707" w14:textId="77777777" w:rsidR="00882BCB" w:rsidRDefault="00882BCB">
            <w:pPr>
              <w:keepNext/>
              <w:keepLines/>
              <w:widowControl w:val="0"/>
              <w:spacing w:line="240" w:lineRule="auto"/>
              <w:rPr>
                <w:szCs w:val="22"/>
                <w:lang w:val="fr-BE"/>
              </w:rPr>
            </w:pPr>
            <w:r>
              <w:rPr>
                <w:noProof/>
                <w:szCs w:val="22"/>
              </w:rPr>
              <w:t>Sun Pharmaceutical Industries Europe B.V.</w:t>
            </w:r>
          </w:p>
          <w:p w14:paraId="6EF154D2" w14:textId="77777777" w:rsidR="00882BCB" w:rsidRDefault="00882BCB">
            <w:pPr>
              <w:widowControl w:val="0"/>
              <w:tabs>
                <w:tab w:val="left" w:pos="-720"/>
              </w:tabs>
              <w:suppressAutoHyphens/>
              <w:spacing w:line="240" w:lineRule="auto"/>
              <w:rPr>
                <w:szCs w:val="22"/>
                <w:lang w:val="et-EE"/>
              </w:rPr>
            </w:pPr>
            <w:r>
              <w:rPr>
                <w:szCs w:val="22"/>
                <w:lang w:val="et-EE"/>
              </w:rPr>
              <w:t xml:space="preserve">Tel: </w:t>
            </w:r>
            <w:r>
              <w:rPr>
                <w:szCs w:val="22"/>
                <w:lang w:val="fr-BE"/>
              </w:rPr>
              <w:t>+31 23 568 55 01</w:t>
            </w:r>
          </w:p>
        </w:tc>
        <w:tc>
          <w:tcPr>
            <w:tcW w:w="4678" w:type="dxa"/>
          </w:tcPr>
          <w:p w14:paraId="3B4FF11A" w14:textId="77777777" w:rsidR="00882BCB" w:rsidRDefault="00882BCB">
            <w:pPr>
              <w:widowControl w:val="0"/>
              <w:spacing w:line="240" w:lineRule="auto"/>
              <w:rPr>
                <w:b/>
                <w:szCs w:val="22"/>
                <w:lang w:val="nb-NO"/>
              </w:rPr>
            </w:pPr>
            <w:r>
              <w:rPr>
                <w:b/>
                <w:szCs w:val="22"/>
                <w:lang w:val="nb-NO"/>
              </w:rPr>
              <w:t>Norge</w:t>
            </w:r>
          </w:p>
          <w:p w14:paraId="04E1532F" w14:textId="77777777" w:rsidR="00882BCB" w:rsidRDefault="00882BCB">
            <w:pPr>
              <w:keepNext/>
              <w:keepLines/>
              <w:widowControl w:val="0"/>
              <w:spacing w:line="240" w:lineRule="auto"/>
              <w:rPr>
                <w:szCs w:val="22"/>
                <w:lang w:val="fr-BE"/>
              </w:rPr>
            </w:pPr>
            <w:r>
              <w:rPr>
                <w:noProof/>
                <w:szCs w:val="22"/>
              </w:rPr>
              <w:t>Sun Pharmaceutical Industries Europe B.V.</w:t>
            </w:r>
          </w:p>
          <w:p w14:paraId="5340D24B" w14:textId="77777777" w:rsidR="00882BCB" w:rsidRDefault="00882BCB">
            <w:pPr>
              <w:widowControl w:val="0"/>
              <w:tabs>
                <w:tab w:val="left" w:pos="-720"/>
              </w:tabs>
              <w:suppressAutoHyphens/>
              <w:spacing w:line="240" w:lineRule="auto"/>
              <w:rPr>
                <w:szCs w:val="22"/>
                <w:lang w:val="fr-BE"/>
              </w:rPr>
            </w:pPr>
            <w:r>
              <w:rPr>
                <w:szCs w:val="22"/>
                <w:lang w:val="nb-NO"/>
              </w:rPr>
              <w:t xml:space="preserve">Tlf: </w:t>
            </w:r>
            <w:r>
              <w:rPr>
                <w:szCs w:val="22"/>
                <w:lang w:val="fr-BE"/>
              </w:rPr>
              <w:t>+31 23 568 55 01</w:t>
            </w:r>
          </w:p>
          <w:p w14:paraId="78D06521" w14:textId="77777777" w:rsidR="00882BCB" w:rsidRDefault="00882BCB">
            <w:pPr>
              <w:widowControl w:val="0"/>
              <w:tabs>
                <w:tab w:val="left" w:pos="-720"/>
              </w:tabs>
              <w:suppressAutoHyphens/>
              <w:spacing w:line="240" w:lineRule="auto"/>
              <w:rPr>
                <w:szCs w:val="22"/>
                <w:lang w:val="et-EE"/>
              </w:rPr>
            </w:pPr>
          </w:p>
        </w:tc>
      </w:tr>
      <w:tr w:rsidR="00882BCB" w14:paraId="11A71F41" w14:textId="77777777" w:rsidTr="00311782">
        <w:tc>
          <w:tcPr>
            <w:tcW w:w="4678" w:type="dxa"/>
            <w:hideMark/>
          </w:tcPr>
          <w:p w14:paraId="29625B3F" w14:textId="77777777" w:rsidR="00882BCB" w:rsidRDefault="00882BCB">
            <w:pPr>
              <w:widowControl w:val="0"/>
              <w:spacing w:line="240" w:lineRule="auto"/>
              <w:rPr>
                <w:b/>
                <w:szCs w:val="22"/>
                <w:lang w:val="et-EE"/>
              </w:rPr>
            </w:pPr>
            <w:r>
              <w:rPr>
                <w:b/>
                <w:szCs w:val="22"/>
                <w:lang w:val="el-GR"/>
              </w:rPr>
              <w:t>Ελλάδα</w:t>
            </w:r>
          </w:p>
          <w:p w14:paraId="3D533C0E" w14:textId="77777777" w:rsidR="00882BCB" w:rsidRDefault="00882BCB">
            <w:pPr>
              <w:spacing w:line="240" w:lineRule="auto"/>
              <w:rPr>
                <w:lang w:val="de-DE" w:bidi="ml-IN"/>
              </w:rPr>
            </w:pPr>
            <w:r>
              <w:rPr>
                <w:lang w:val="de-DE" w:bidi="ml-IN"/>
              </w:rPr>
              <w:t>Sun Pharmaceutical Industries Europe B.V.</w:t>
            </w:r>
          </w:p>
          <w:p w14:paraId="3D33B975" w14:textId="77777777" w:rsidR="00882BCB" w:rsidRDefault="00882BCB">
            <w:pPr>
              <w:widowControl w:val="0"/>
              <w:tabs>
                <w:tab w:val="left" w:pos="-720"/>
              </w:tabs>
              <w:suppressAutoHyphens/>
              <w:spacing w:line="240" w:lineRule="auto"/>
              <w:rPr>
                <w:szCs w:val="22"/>
                <w:lang w:val="et-EE"/>
              </w:rPr>
            </w:pPr>
            <w:r>
              <w:rPr>
                <w:szCs w:val="22"/>
                <w:lang w:val="el-GR"/>
              </w:rPr>
              <w:t>Τηλ</w:t>
            </w:r>
            <w:r>
              <w:rPr>
                <w:szCs w:val="22"/>
                <w:lang w:val="et-EE"/>
              </w:rPr>
              <w:t xml:space="preserve">: </w:t>
            </w:r>
            <w:r>
              <w:rPr>
                <w:szCs w:val="22"/>
                <w:lang w:val="fr-BE"/>
              </w:rPr>
              <w:t>+31 23 568 55 01</w:t>
            </w:r>
          </w:p>
        </w:tc>
        <w:tc>
          <w:tcPr>
            <w:tcW w:w="4678" w:type="dxa"/>
          </w:tcPr>
          <w:p w14:paraId="045E8537" w14:textId="77777777" w:rsidR="00882BCB" w:rsidRDefault="00882BCB">
            <w:pPr>
              <w:widowControl w:val="0"/>
              <w:spacing w:line="240" w:lineRule="auto"/>
              <w:rPr>
                <w:b/>
                <w:szCs w:val="22"/>
                <w:lang w:val="de-AT"/>
              </w:rPr>
            </w:pPr>
            <w:r>
              <w:rPr>
                <w:b/>
                <w:szCs w:val="22"/>
                <w:lang w:val="de-AT"/>
              </w:rPr>
              <w:t>Österreich</w:t>
            </w:r>
          </w:p>
          <w:p w14:paraId="39293BF0" w14:textId="77777777" w:rsidR="0016310E" w:rsidRPr="0016310E" w:rsidRDefault="0016310E" w:rsidP="0016310E">
            <w:pPr>
              <w:widowControl w:val="0"/>
              <w:spacing w:line="240" w:lineRule="auto"/>
              <w:rPr>
                <w:szCs w:val="22"/>
                <w:lang w:val="de-AT"/>
              </w:rPr>
            </w:pPr>
            <w:r w:rsidRPr="0016310E">
              <w:rPr>
                <w:szCs w:val="22"/>
                <w:lang w:val="de-AT"/>
              </w:rPr>
              <w:t>Astro-Pharma GmbH</w:t>
            </w:r>
          </w:p>
          <w:p w14:paraId="7DED3F6C" w14:textId="77777777" w:rsidR="00882BCB" w:rsidRDefault="0016310E" w:rsidP="0016310E">
            <w:pPr>
              <w:widowControl w:val="0"/>
              <w:spacing w:line="240" w:lineRule="auto"/>
              <w:rPr>
                <w:szCs w:val="22"/>
                <w:lang w:val="de-DE"/>
              </w:rPr>
            </w:pPr>
            <w:r w:rsidRPr="0016310E">
              <w:rPr>
                <w:szCs w:val="22"/>
                <w:lang w:val="de-AT"/>
              </w:rPr>
              <w:t>Tel: +43 (1) 97 99 860</w:t>
            </w:r>
          </w:p>
        </w:tc>
      </w:tr>
      <w:tr w:rsidR="00882BCB" w14:paraId="2A2E37C7" w14:textId="77777777" w:rsidTr="00311782">
        <w:tc>
          <w:tcPr>
            <w:tcW w:w="4678" w:type="dxa"/>
            <w:hideMark/>
          </w:tcPr>
          <w:p w14:paraId="5366AE65" w14:textId="77777777" w:rsidR="005E4401" w:rsidRDefault="005E4401">
            <w:pPr>
              <w:widowControl w:val="0"/>
              <w:tabs>
                <w:tab w:val="left" w:pos="-720"/>
                <w:tab w:val="left" w:pos="4536"/>
              </w:tabs>
              <w:suppressAutoHyphens/>
              <w:spacing w:line="240" w:lineRule="auto"/>
              <w:rPr>
                <w:b/>
                <w:szCs w:val="22"/>
                <w:lang w:val="es-ES"/>
              </w:rPr>
            </w:pPr>
          </w:p>
          <w:p w14:paraId="253D31DC" w14:textId="77777777" w:rsidR="00882BCB" w:rsidRDefault="00882BCB">
            <w:pPr>
              <w:widowControl w:val="0"/>
              <w:tabs>
                <w:tab w:val="left" w:pos="-720"/>
                <w:tab w:val="left" w:pos="4536"/>
              </w:tabs>
              <w:suppressAutoHyphens/>
              <w:spacing w:line="240" w:lineRule="auto"/>
              <w:rPr>
                <w:b/>
                <w:szCs w:val="22"/>
                <w:lang w:val="es-ES"/>
              </w:rPr>
            </w:pPr>
            <w:r>
              <w:rPr>
                <w:b/>
                <w:szCs w:val="22"/>
                <w:lang w:val="es-ES"/>
              </w:rPr>
              <w:t>España</w:t>
            </w:r>
          </w:p>
          <w:p w14:paraId="37AE7E3E" w14:textId="77777777" w:rsidR="008C1D3C" w:rsidRDefault="00824BA2">
            <w:pPr>
              <w:widowControl w:val="0"/>
              <w:tabs>
                <w:tab w:val="left" w:pos="-720"/>
              </w:tabs>
              <w:suppressAutoHyphens/>
              <w:spacing w:line="240" w:lineRule="auto"/>
              <w:rPr>
                <w:lang w:val="es-ES"/>
              </w:rPr>
            </w:pPr>
            <w:r>
              <w:rPr>
                <w:lang w:val="es-ES"/>
              </w:rPr>
              <w:t>Sun Pharma Laboratorios S.L.</w:t>
            </w:r>
          </w:p>
          <w:p w14:paraId="3C2DE8A4" w14:textId="77777777" w:rsidR="00882BCB" w:rsidRDefault="00882BCB">
            <w:pPr>
              <w:widowControl w:val="0"/>
              <w:tabs>
                <w:tab w:val="left" w:pos="-720"/>
              </w:tabs>
              <w:suppressAutoHyphens/>
              <w:spacing w:line="240" w:lineRule="auto"/>
              <w:rPr>
                <w:szCs w:val="22"/>
                <w:lang w:val="es-ES"/>
              </w:rPr>
            </w:pPr>
            <w:r>
              <w:rPr>
                <w:szCs w:val="22"/>
                <w:lang w:val="es-ES"/>
              </w:rPr>
              <w:t xml:space="preserve">Tel: </w:t>
            </w:r>
            <w:r>
              <w:rPr>
                <w:lang w:val="es-ES" w:bidi="ml-IN"/>
              </w:rPr>
              <w:t>+34 93 342 78 90</w:t>
            </w:r>
          </w:p>
        </w:tc>
        <w:tc>
          <w:tcPr>
            <w:tcW w:w="4678" w:type="dxa"/>
          </w:tcPr>
          <w:p w14:paraId="4842A66E" w14:textId="77777777" w:rsidR="005E4401" w:rsidRDefault="005E4401">
            <w:pPr>
              <w:widowControl w:val="0"/>
              <w:tabs>
                <w:tab w:val="left" w:pos="-720"/>
                <w:tab w:val="left" w:pos="4536"/>
              </w:tabs>
              <w:suppressAutoHyphens/>
              <w:spacing w:line="240" w:lineRule="auto"/>
              <w:outlineLvl w:val="6"/>
              <w:rPr>
                <w:b/>
                <w:bCs/>
                <w:iCs/>
                <w:szCs w:val="22"/>
                <w:lang w:val="pl-PL"/>
              </w:rPr>
            </w:pPr>
          </w:p>
          <w:p w14:paraId="3FF7B569" w14:textId="77777777" w:rsidR="00882BCB" w:rsidRDefault="00882BCB">
            <w:pPr>
              <w:widowControl w:val="0"/>
              <w:tabs>
                <w:tab w:val="left" w:pos="-720"/>
                <w:tab w:val="left" w:pos="4536"/>
              </w:tabs>
              <w:suppressAutoHyphens/>
              <w:spacing w:line="240" w:lineRule="auto"/>
              <w:outlineLvl w:val="6"/>
              <w:rPr>
                <w:b/>
                <w:bCs/>
                <w:iCs/>
                <w:szCs w:val="22"/>
                <w:lang w:val="pl-PL"/>
              </w:rPr>
            </w:pPr>
            <w:r>
              <w:rPr>
                <w:b/>
                <w:bCs/>
                <w:iCs/>
                <w:szCs w:val="22"/>
                <w:lang w:val="pl-PL"/>
              </w:rPr>
              <w:t>Polska</w:t>
            </w:r>
          </w:p>
          <w:p w14:paraId="1CF742C1" w14:textId="77777777" w:rsidR="00882BCB" w:rsidRDefault="00882BCB">
            <w:pPr>
              <w:keepNext/>
              <w:keepLines/>
              <w:widowControl w:val="0"/>
              <w:spacing w:line="240" w:lineRule="auto"/>
              <w:rPr>
                <w:szCs w:val="22"/>
                <w:lang w:val="fr-BE"/>
              </w:rPr>
            </w:pPr>
            <w:r>
              <w:rPr>
                <w:szCs w:val="22"/>
                <w:lang w:val="fr-BE"/>
              </w:rPr>
              <w:t>Ranbaxy (Poland)</w:t>
            </w:r>
          </w:p>
          <w:p w14:paraId="54C8B623" w14:textId="77777777" w:rsidR="00882BCB" w:rsidRDefault="00882BCB">
            <w:pPr>
              <w:widowControl w:val="0"/>
              <w:spacing w:line="240" w:lineRule="auto"/>
              <w:rPr>
                <w:szCs w:val="22"/>
                <w:lang w:val="pl-PL"/>
              </w:rPr>
            </w:pPr>
            <w:r>
              <w:rPr>
                <w:szCs w:val="22"/>
                <w:lang w:val="pl-PL"/>
              </w:rPr>
              <w:t>Tel.: +48 22 642 07 75</w:t>
            </w:r>
          </w:p>
          <w:p w14:paraId="33003641" w14:textId="77777777" w:rsidR="00882BCB" w:rsidRDefault="00882BCB">
            <w:pPr>
              <w:widowControl w:val="0"/>
              <w:spacing w:line="240" w:lineRule="auto"/>
              <w:rPr>
                <w:szCs w:val="22"/>
                <w:lang w:val="pl-PL"/>
              </w:rPr>
            </w:pPr>
          </w:p>
        </w:tc>
      </w:tr>
      <w:tr w:rsidR="00882BCB" w14:paraId="06C81630" w14:textId="77777777" w:rsidTr="00311782">
        <w:tc>
          <w:tcPr>
            <w:tcW w:w="4678" w:type="dxa"/>
            <w:hideMark/>
          </w:tcPr>
          <w:p w14:paraId="4A1E90CE" w14:textId="77777777" w:rsidR="00882BCB" w:rsidRDefault="00882BCB">
            <w:pPr>
              <w:widowControl w:val="0"/>
              <w:spacing w:line="240" w:lineRule="auto"/>
            </w:pPr>
            <w:r>
              <w:rPr>
                <w:b/>
                <w:szCs w:val="22"/>
              </w:rPr>
              <w:t>France</w:t>
            </w:r>
          </w:p>
          <w:p w14:paraId="11A5FB91" w14:textId="77777777" w:rsidR="005E4401" w:rsidRDefault="005E4401" w:rsidP="005E4401">
            <w:pPr>
              <w:tabs>
                <w:tab w:val="clear" w:pos="567"/>
                <w:tab w:val="left" w:pos="708"/>
              </w:tabs>
              <w:autoSpaceDE w:val="0"/>
              <w:autoSpaceDN w:val="0"/>
              <w:adjustRightInd w:val="0"/>
              <w:spacing w:line="240" w:lineRule="auto"/>
              <w:rPr>
                <w:rFonts w:eastAsia="SimSun"/>
                <w:color w:val="000000"/>
                <w:szCs w:val="22"/>
                <w:lang w:val="en-GB" w:eastAsia="en-GB" w:bidi="ar-SA"/>
              </w:rPr>
            </w:pPr>
            <w:r>
              <w:rPr>
                <w:rFonts w:eastAsia="SimSun"/>
                <w:color w:val="000000"/>
                <w:szCs w:val="22"/>
                <w:lang w:eastAsia="en-GB"/>
              </w:rPr>
              <w:t>Sun Pharma France</w:t>
            </w:r>
          </w:p>
          <w:p w14:paraId="27B09D27" w14:textId="77777777" w:rsidR="00E11CB3" w:rsidRDefault="00E11CB3" w:rsidP="00E11CB3">
            <w:pPr>
              <w:widowControl w:val="0"/>
              <w:spacing w:line="240" w:lineRule="auto"/>
              <w:rPr>
                <w:b/>
                <w:szCs w:val="22"/>
                <w:lang w:val="pl-PL"/>
              </w:rPr>
            </w:pPr>
            <w:r>
              <w:rPr>
                <w:rFonts w:eastAsia="SimSun"/>
                <w:color w:val="000000"/>
                <w:szCs w:val="22"/>
                <w:lang w:val="en-GB" w:eastAsia="en-GB" w:bidi="ar-SA"/>
              </w:rPr>
              <w:t>Tél:</w:t>
            </w:r>
            <w:r w:rsidR="005E4401">
              <w:rPr>
                <w:rFonts w:eastAsia="SimSun"/>
                <w:color w:val="000000"/>
                <w:szCs w:val="22"/>
                <w:lang w:val="en-GB" w:eastAsia="en-GB" w:bidi="ar-SA"/>
              </w:rPr>
              <w:t xml:space="preserve"> </w:t>
            </w:r>
            <w:r>
              <w:rPr>
                <w:rFonts w:eastAsia="SimSun"/>
                <w:color w:val="000000"/>
                <w:szCs w:val="22"/>
                <w:lang w:val="en-GB" w:eastAsia="en-GB" w:bidi="ar-SA"/>
              </w:rPr>
              <w:t>+33 1 41 44 44 50</w:t>
            </w:r>
          </w:p>
        </w:tc>
        <w:tc>
          <w:tcPr>
            <w:tcW w:w="4678" w:type="dxa"/>
          </w:tcPr>
          <w:p w14:paraId="3D89B2D7" w14:textId="77777777" w:rsidR="00882BCB" w:rsidRDefault="00882BCB">
            <w:pPr>
              <w:widowControl w:val="0"/>
              <w:spacing w:line="240" w:lineRule="auto"/>
              <w:rPr>
                <w:b/>
                <w:szCs w:val="22"/>
                <w:lang w:val="pt-PT"/>
              </w:rPr>
            </w:pPr>
            <w:r>
              <w:rPr>
                <w:b/>
                <w:szCs w:val="22"/>
                <w:lang w:val="pt-PT"/>
              </w:rPr>
              <w:t>Portugal</w:t>
            </w:r>
          </w:p>
          <w:p w14:paraId="669EBB7E" w14:textId="77777777" w:rsidR="00882BCB" w:rsidRDefault="00882BCB">
            <w:pPr>
              <w:keepNext/>
              <w:keepLines/>
              <w:widowControl w:val="0"/>
              <w:spacing w:line="240" w:lineRule="auto"/>
              <w:rPr>
                <w:szCs w:val="22"/>
                <w:lang w:val="fr-BE"/>
              </w:rPr>
            </w:pPr>
            <w:r>
              <w:rPr>
                <w:noProof/>
                <w:szCs w:val="22"/>
              </w:rPr>
              <w:t>Sun Pharmaceutical Industries Europe B.V.</w:t>
            </w:r>
          </w:p>
          <w:p w14:paraId="728BC55C" w14:textId="77777777" w:rsidR="00882BCB" w:rsidRDefault="00882BCB">
            <w:pPr>
              <w:widowControl w:val="0"/>
              <w:tabs>
                <w:tab w:val="left" w:pos="-720"/>
              </w:tabs>
              <w:suppressAutoHyphens/>
              <w:spacing w:line="240" w:lineRule="auto"/>
              <w:rPr>
                <w:szCs w:val="22"/>
                <w:lang w:val="fr-BE"/>
              </w:rPr>
            </w:pPr>
            <w:r>
              <w:rPr>
                <w:szCs w:val="22"/>
                <w:lang w:val="pt-PT"/>
              </w:rPr>
              <w:t xml:space="preserve">Tel: </w:t>
            </w:r>
            <w:r>
              <w:rPr>
                <w:szCs w:val="22"/>
                <w:lang w:val="fr-BE"/>
              </w:rPr>
              <w:t>+31 23 568 55 01</w:t>
            </w:r>
          </w:p>
          <w:p w14:paraId="771F4C89" w14:textId="77777777" w:rsidR="00882BCB" w:rsidRDefault="00882BCB">
            <w:pPr>
              <w:widowControl w:val="0"/>
              <w:tabs>
                <w:tab w:val="left" w:pos="-720"/>
              </w:tabs>
              <w:suppressAutoHyphens/>
              <w:spacing w:line="240" w:lineRule="auto"/>
              <w:rPr>
                <w:szCs w:val="22"/>
                <w:lang w:val="de-CH"/>
              </w:rPr>
            </w:pPr>
          </w:p>
        </w:tc>
      </w:tr>
      <w:tr w:rsidR="00882BCB" w:rsidRPr="00882BCB" w14:paraId="011EFE26" w14:textId="77777777" w:rsidTr="00311782">
        <w:tc>
          <w:tcPr>
            <w:tcW w:w="4678" w:type="dxa"/>
            <w:hideMark/>
          </w:tcPr>
          <w:p w14:paraId="4507F100" w14:textId="77777777" w:rsidR="00882BCB" w:rsidRDefault="00882BCB">
            <w:pPr>
              <w:widowControl w:val="0"/>
              <w:spacing w:line="240" w:lineRule="auto"/>
              <w:rPr>
                <w:rFonts w:eastAsia="PMingLiU"/>
                <w:b/>
              </w:rPr>
            </w:pPr>
            <w:r>
              <w:rPr>
                <w:rFonts w:eastAsia="PMingLiU"/>
                <w:b/>
              </w:rPr>
              <w:t>Hrvatska</w:t>
            </w:r>
          </w:p>
          <w:p w14:paraId="5CB5645D" w14:textId="77777777" w:rsidR="00882BCB" w:rsidRDefault="00882BCB">
            <w:pPr>
              <w:keepNext/>
              <w:keepLines/>
              <w:widowControl w:val="0"/>
              <w:spacing w:line="240" w:lineRule="auto"/>
              <w:rPr>
                <w:szCs w:val="22"/>
                <w:lang w:val="fr-BE"/>
              </w:rPr>
            </w:pPr>
            <w:r>
              <w:rPr>
                <w:noProof/>
                <w:szCs w:val="22"/>
              </w:rPr>
              <w:t>Sun Pharmaceutical Industries Europe B.V.</w:t>
            </w:r>
          </w:p>
          <w:p w14:paraId="35D83C0C" w14:textId="77777777" w:rsidR="00882BCB" w:rsidRDefault="00882BCB">
            <w:pPr>
              <w:widowControl w:val="0"/>
              <w:tabs>
                <w:tab w:val="left" w:pos="-720"/>
                <w:tab w:val="left" w:pos="4536"/>
              </w:tabs>
              <w:suppressAutoHyphens/>
              <w:spacing w:line="240" w:lineRule="auto"/>
              <w:rPr>
                <w:b/>
                <w:szCs w:val="22"/>
              </w:rPr>
            </w:pPr>
            <w:r>
              <w:t xml:space="preserve">Tel.: </w:t>
            </w:r>
            <w:r>
              <w:rPr>
                <w:szCs w:val="22"/>
                <w:lang w:val="fr-BE"/>
              </w:rPr>
              <w:t>+31 23 568 55 01</w:t>
            </w:r>
          </w:p>
        </w:tc>
        <w:tc>
          <w:tcPr>
            <w:tcW w:w="4678" w:type="dxa"/>
          </w:tcPr>
          <w:p w14:paraId="4384604A" w14:textId="77777777" w:rsidR="00882BCB" w:rsidRDefault="00882BCB">
            <w:pPr>
              <w:widowControl w:val="0"/>
              <w:autoSpaceDE w:val="0"/>
              <w:autoSpaceDN w:val="0"/>
              <w:adjustRightInd w:val="0"/>
              <w:spacing w:line="240" w:lineRule="auto"/>
              <w:rPr>
                <w:b/>
                <w:bCs/>
                <w:szCs w:val="22"/>
                <w:lang w:val="it-IT"/>
              </w:rPr>
            </w:pPr>
            <w:r>
              <w:rPr>
                <w:b/>
                <w:bCs/>
                <w:szCs w:val="22"/>
                <w:lang w:val="it-IT"/>
              </w:rPr>
              <w:t>România</w:t>
            </w:r>
          </w:p>
          <w:p w14:paraId="486EDF1C" w14:textId="77777777" w:rsidR="00882BCB" w:rsidRDefault="00882BCB">
            <w:pPr>
              <w:widowControl w:val="0"/>
              <w:autoSpaceDE w:val="0"/>
              <w:autoSpaceDN w:val="0"/>
              <w:adjustRightInd w:val="0"/>
              <w:spacing w:line="240" w:lineRule="auto"/>
              <w:rPr>
                <w:szCs w:val="22"/>
                <w:lang w:val="it-IT"/>
              </w:rPr>
            </w:pPr>
            <w:r>
              <w:rPr>
                <w:szCs w:val="22"/>
                <w:lang w:val="it-IT"/>
              </w:rPr>
              <w:t>Terapia S.A.</w:t>
            </w:r>
          </w:p>
          <w:p w14:paraId="6072020C" w14:textId="77777777" w:rsidR="00882BCB" w:rsidRDefault="00882BCB">
            <w:pPr>
              <w:widowControl w:val="0"/>
              <w:tabs>
                <w:tab w:val="left" w:pos="-720"/>
              </w:tabs>
              <w:suppressAutoHyphens/>
              <w:spacing w:line="240" w:lineRule="auto"/>
              <w:rPr>
                <w:szCs w:val="22"/>
                <w:lang w:val="it-IT"/>
              </w:rPr>
            </w:pPr>
            <w:r>
              <w:rPr>
                <w:szCs w:val="22"/>
                <w:lang w:val="it-IT"/>
              </w:rPr>
              <w:t>Tel:+40 264 50 15 00</w:t>
            </w:r>
          </w:p>
          <w:p w14:paraId="10C56E23" w14:textId="77777777" w:rsidR="00882BCB" w:rsidRDefault="00882BCB">
            <w:pPr>
              <w:widowControl w:val="0"/>
              <w:tabs>
                <w:tab w:val="left" w:pos="-720"/>
              </w:tabs>
              <w:suppressAutoHyphens/>
              <w:spacing w:line="240" w:lineRule="auto"/>
              <w:rPr>
                <w:szCs w:val="22"/>
                <w:lang w:val="it-IT"/>
              </w:rPr>
            </w:pPr>
          </w:p>
        </w:tc>
      </w:tr>
      <w:tr w:rsidR="00882BCB" w14:paraId="374ED766" w14:textId="77777777" w:rsidTr="00311782">
        <w:tc>
          <w:tcPr>
            <w:tcW w:w="4678" w:type="dxa"/>
            <w:hideMark/>
          </w:tcPr>
          <w:p w14:paraId="1D08AB95" w14:textId="77777777" w:rsidR="00882BCB" w:rsidRDefault="00882BCB">
            <w:pPr>
              <w:widowControl w:val="0"/>
              <w:spacing w:line="240" w:lineRule="auto"/>
              <w:rPr>
                <w:b/>
                <w:szCs w:val="22"/>
                <w:lang w:val="en-GB"/>
              </w:rPr>
            </w:pPr>
            <w:r>
              <w:rPr>
                <w:b/>
                <w:szCs w:val="22"/>
              </w:rPr>
              <w:t>Ireland</w:t>
            </w:r>
          </w:p>
          <w:p w14:paraId="70AB3A4F" w14:textId="77777777" w:rsidR="00882BCB" w:rsidRDefault="00882BCB">
            <w:pPr>
              <w:keepNext/>
              <w:keepLines/>
              <w:widowControl w:val="0"/>
              <w:spacing w:line="240" w:lineRule="auto"/>
              <w:rPr>
                <w:szCs w:val="22"/>
                <w:lang w:val="fr-BE"/>
              </w:rPr>
            </w:pPr>
            <w:r>
              <w:rPr>
                <w:noProof/>
                <w:szCs w:val="22"/>
              </w:rPr>
              <w:t>Sun Pharmaceutical Industries Europe B.V.</w:t>
            </w:r>
          </w:p>
          <w:p w14:paraId="73E8E377" w14:textId="77777777" w:rsidR="00882BCB" w:rsidRDefault="00882BCB">
            <w:pPr>
              <w:widowControl w:val="0"/>
              <w:spacing w:line="240" w:lineRule="auto"/>
              <w:rPr>
                <w:b/>
                <w:szCs w:val="22"/>
              </w:rPr>
            </w:pPr>
            <w:r>
              <w:rPr>
                <w:szCs w:val="22"/>
              </w:rPr>
              <w:t xml:space="preserve">Tel: </w:t>
            </w:r>
            <w:r>
              <w:rPr>
                <w:szCs w:val="22"/>
                <w:lang w:val="fr-BE"/>
              </w:rPr>
              <w:t>+31 23 568 55 01</w:t>
            </w:r>
          </w:p>
        </w:tc>
        <w:tc>
          <w:tcPr>
            <w:tcW w:w="4678" w:type="dxa"/>
          </w:tcPr>
          <w:p w14:paraId="486B5114" w14:textId="77777777" w:rsidR="00882BCB" w:rsidRDefault="00882BCB">
            <w:pPr>
              <w:widowControl w:val="0"/>
              <w:spacing w:line="240" w:lineRule="auto"/>
              <w:rPr>
                <w:b/>
                <w:szCs w:val="22"/>
                <w:lang w:val="sl-SI"/>
              </w:rPr>
            </w:pPr>
            <w:r>
              <w:rPr>
                <w:b/>
                <w:szCs w:val="22"/>
                <w:lang w:val="sl-SI"/>
              </w:rPr>
              <w:t>Slovenija</w:t>
            </w:r>
          </w:p>
          <w:p w14:paraId="5812480D" w14:textId="77777777" w:rsidR="00882BCB" w:rsidRDefault="00882BCB">
            <w:pPr>
              <w:keepNext/>
              <w:keepLines/>
              <w:widowControl w:val="0"/>
              <w:spacing w:line="240" w:lineRule="auto"/>
              <w:rPr>
                <w:szCs w:val="22"/>
                <w:lang w:val="fr-BE"/>
              </w:rPr>
            </w:pPr>
            <w:r>
              <w:rPr>
                <w:noProof/>
                <w:szCs w:val="22"/>
              </w:rPr>
              <w:t>Sun Pharmaceutical Industries Europe B.V.</w:t>
            </w:r>
          </w:p>
          <w:p w14:paraId="5063081E" w14:textId="77777777" w:rsidR="00882BCB" w:rsidRDefault="00882BCB">
            <w:pPr>
              <w:widowControl w:val="0"/>
              <w:spacing w:line="240" w:lineRule="auto"/>
              <w:rPr>
                <w:szCs w:val="22"/>
                <w:lang w:val="fr-BE"/>
              </w:rPr>
            </w:pPr>
            <w:r>
              <w:rPr>
                <w:szCs w:val="22"/>
                <w:lang w:val="sl-SI"/>
              </w:rPr>
              <w:t xml:space="preserve">Tel: </w:t>
            </w:r>
            <w:r>
              <w:rPr>
                <w:szCs w:val="22"/>
                <w:lang w:val="fr-BE"/>
              </w:rPr>
              <w:t>+31 23 568 55 01</w:t>
            </w:r>
          </w:p>
          <w:p w14:paraId="023B483C" w14:textId="77777777" w:rsidR="00882BCB" w:rsidRDefault="00882BCB">
            <w:pPr>
              <w:widowControl w:val="0"/>
              <w:spacing w:line="240" w:lineRule="auto"/>
              <w:rPr>
                <w:szCs w:val="22"/>
                <w:lang w:val="sl-SI"/>
              </w:rPr>
            </w:pPr>
          </w:p>
        </w:tc>
      </w:tr>
      <w:tr w:rsidR="00882BCB" w14:paraId="7A1A77EB" w14:textId="77777777" w:rsidTr="00311782">
        <w:tc>
          <w:tcPr>
            <w:tcW w:w="4678" w:type="dxa"/>
            <w:hideMark/>
          </w:tcPr>
          <w:p w14:paraId="66AA4756" w14:textId="77777777" w:rsidR="00882BCB" w:rsidRDefault="00882BCB">
            <w:pPr>
              <w:widowControl w:val="0"/>
              <w:spacing w:line="240" w:lineRule="auto"/>
              <w:rPr>
                <w:b/>
                <w:szCs w:val="22"/>
                <w:lang w:val="is-IS"/>
              </w:rPr>
            </w:pPr>
            <w:r>
              <w:rPr>
                <w:b/>
                <w:szCs w:val="22"/>
                <w:lang w:val="is-IS"/>
              </w:rPr>
              <w:t>Ísland</w:t>
            </w:r>
          </w:p>
          <w:p w14:paraId="2D7F9293" w14:textId="77777777" w:rsidR="00882BCB" w:rsidRDefault="00882BCB">
            <w:pPr>
              <w:keepNext/>
              <w:keepLines/>
              <w:widowControl w:val="0"/>
              <w:spacing w:line="240" w:lineRule="auto"/>
              <w:rPr>
                <w:szCs w:val="22"/>
                <w:lang w:val="fr-BE"/>
              </w:rPr>
            </w:pPr>
            <w:r>
              <w:rPr>
                <w:noProof/>
                <w:szCs w:val="22"/>
              </w:rPr>
              <w:t>Sun Pharmaceutical Industries Europe B.V.</w:t>
            </w:r>
          </w:p>
          <w:p w14:paraId="1226CD33" w14:textId="77777777" w:rsidR="00882BCB" w:rsidRDefault="00882BCB">
            <w:pPr>
              <w:widowControl w:val="0"/>
              <w:spacing w:line="240" w:lineRule="auto"/>
              <w:rPr>
                <w:szCs w:val="22"/>
                <w:lang w:val="en-GB"/>
              </w:rPr>
            </w:pPr>
            <w:r>
              <w:rPr>
                <w:noProof/>
                <w:szCs w:val="22"/>
              </w:rPr>
              <w:t>Sími</w:t>
            </w:r>
            <w:r>
              <w:rPr>
                <w:szCs w:val="22"/>
                <w:lang w:val="is-IS"/>
              </w:rPr>
              <w:t xml:space="preserve">: </w:t>
            </w:r>
            <w:r>
              <w:rPr>
                <w:szCs w:val="22"/>
                <w:lang w:val="fr-BE"/>
              </w:rPr>
              <w:t>+31 23 568 55 01</w:t>
            </w:r>
          </w:p>
        </w:tc>
        <w:tc>
          <w:tcPr>
            <w:tcW w:w="4678" w:type="dxa"/>
          </w:tcPr>
          <w:p w14:paraId="759ACF0D" w14:textId="77777777" w:rsidR="00882BCB" w:rsidRDefault="00882BCB">
            <w:pPr>
              <w:widowControl w:val="0"/>
              <w:tabs>
                <w:tab w:val="left" w:pos="-720"/>
              </w:tabs>
              <w:suppressAutoHyphens/>
              <w:spacing w:line="240" w:lineRule="auto"/>
              <w:rPr>
                <w:b/>
                <w:szCs w:val="22"/>
                <w:lang w:val="sk-SK"/>
              </w:rPr>
            </w:pPr>
            <w:r>
              <w:rPr>
                <w:b/>
                <w:szCs w:val="22"/>
                <w:lang w:val="sk-SK"/>
              </w:rPr>
              <w:t>Slovenská republika</w:t>
            </w:r>
          </w:p>
          <w:p w14:paraId="4F062866" w14:textId="77777777" w:rsidR="00882BCB" w:rsidRDefault="00882BCB">
            <w:pPr>
              <w:keepNext/>
              <w:keepLines/>
              <w:widowControl w:val="0"/>
              <w:spacing w:line="240" w:lineRule="auto"/>
              <w:rPr>
                <w:szCs w:val="22"/>
                <w:lang w:val="fr-BE"/>
              </w:rPr>
            </w:pPr>
            <w:r>
              <w:rPr>
                <w:noProof/>
                <w:szCs w:val="22"/>
              </w:rPr>
              <w:t>Sun Pharmaceutical Industries Europe B.V.</w:t>
            </w:r>
          </w:p>
          <w:p w14:paraId="3A48A281" w14:textId="77777777" w:rsidR="00882BCB" w:rsidRDefault="00882BCB">
            <w:pPr>
              <w:widowControl w:val="0"/>
              <w:spacing w:line="240" w:lineRule="auto"/>
              <w:rPr>
                <w:szCs w:val="22"/>
                <w:lang w:val="sk-SK"/>
              </w:rPr>
            </w:pPr>
            <w:r>
              <w:rPr>
                <w:szCs w:val="22"/>
                <w:lang w:val="sk-SK"/>
              </w:rPr>
              <w:t xml:space="preserve">Tel: </w:t>
            </w:r>
            <w:r>
              <w:rPr>
                <w:szCs w:val="22"/>
                <w:lang w:val="fr-BE"/>
              </w:rPr>
              <w:t>+31 23 568 55 01</w:t>
            </w:r>
          </w:p>
          <w:p w14:paraId="0F8EF35A" w14:textId="77777777" w:rsidR="00882BCB" w:rsidRDefault="00882BCB">
            <w:pPr>
              <w:widowControl w:val="0"/>
              <w:tabs>
                <w:tab w:val="left" w:pos="-720"/>
              </w:tabs>
              <w:suppressAutoHyphens/>
              <w:spacing w:line="240" w:lineRule="auto"/>
              <w:rPr>
                <w:szCs w:val="22"/>
                <w:lang w:val="sk-SK"/>
              </w:rPr>
            </w:pPr>
          </w:p>
        </w:tc>
      </w:tr>
      <w:tr w:rsidR="00882BCB" w14:paraId="4329D113" w14:textId="77777777" w:rsidTr="00311782">
        <w:tc>
          <w:tcPr>
            <w:tcW w:w="4678" w:type="dxa"/>
            <w:hideMark/>
          </w:tcPr>
          <w:p w14:paraId="6477635C" w14:textId="77777777" w:rsidR="00882BCB" w:rsidRDefault="00882BCB">
            <w:pPr>
              <w:widowControl w:val="0"/>
              <w:spacing w:line="240" w:lineRule="auto"/>
              <w:rPr>
                <w:b/>
                <w:szCs w:val="22"/>
                <w:lang w:val="it-IT"/>
              </w:rPr>
            </w:pPr>
            <w:r>
              <w:rPr>
                <w:b/>
                <w:szCs w:val="22"/>
                <w:lang w:val="it-IT"/>
              </w:rPr>
              <w:t>Italia</w:t>
            </w:r>
          </w:p>
          <w:p w14:paraId="532BBD54" w14:textId="77777777" w:rsidR="00882BCB" w:rsidRDefault="00C734AE">
            <w:pPr>
              <w:spacing w:line="240" w:lineRule="auto"/>
              <w:rPr>
                <w:lang w:val="es-ES"/>
              </w:rPr>
            </w:pPr>
            <w:r>
              <w:rPr>
                <w:lang w:val="es-ES"/>
              </w:rPr>
              <w:t>Sun Pharma Italia S.r.l.</w:t>
            </w:r>
          </w:p>
          <w:p w14:paraId="500B117D" w14:textId="77777777" w:rsidR="00882BCB" w:rsidRDefault="00882BCB">
            <w:pPr>
              <w:widowControl w:val="0"/>
              <w:spacing w:line="240" w:lineRule="auto"/>
              <w:rPr>
                <w:b/>
                <w:szCs w:val="22"/>
                <w:lang w:val="pt-PT"/>
              </w:rPr>
            </w:pPr>
            <w:r>
              <w:rPr>
                <w:szCs w:val="22"/>
                <w:lang w:val="es-ES"/>
              </w:rPr>
              <w:t>Tel:</w:t>
            </w:r>
            <w:r>
              <w:rPr>
                <w:lang w:val="es-ES"/>
              </w:rPr>
              <w:t xml:space="preserve"> +39 02 33 49 07 93</w:t>
            </w:r>
          </w:p>
        </w:tc>
        <w:tc>
          <w:tcPr>
            <w:tcW w:w="4678" w:type="dxa"/>
          </w:tcPr>
          <w:p w14:paraId="53AAB74F" w14:textId="77777777" w:rsidR="00882BCB" w:rsidRDefault="00882BCB">
            <w:pPr>
              <w:widowControl w:val="0"/>
              <w:tabs>
                <w:tab w:val="left" w:pos="-720"/>
                <w:tab w:val="left" w:pos="4536"/>
              </w:tabs>
              <w:suppressAutoHyphens/>
              <w:spacing w:line="240" w:lineRule="auto"/>
              <w:rPr>
                <w:b/>
                <w:szCs w:val="22"/>
                <w:lang w:val="fi-FI"/>
              </w:rPr>
            </w:pPr>
            <w:r>
              <w:rPr>
                <w:b/>
                <w:szCs w:val="22"/>
                <w:lang w:val="fi-FI"/>
              </w:rPr>
              <w:t>Suomi/Finland</w:t>
            </w:r>
          </w:p>
          <w:p w14:paraId="574735CD" w14:textId="77777777" w:rsidR="00882BCB" w:rsidRDefault="00882BCB">
            <w:pPr>
              <w:keepNext/>
              <w:keepLines/>
              <w:widowControl w:val="0"/>
              <w:spacing w:line="240" w:lineRule="auto"/>
              <w:rPr>
                <w:szCs w:val="22"/>
                <w:lang w:val="fr-BE"/>
              </w:rPr>
            </w:pPr>
            <w:r>
              <w:rPr>
                <w:noProof/>
                <w:szCs w:val="22"/>
              </w:rPr>
              <w:t>Sun Pharmaceutical Industries Europe B.V.</w:t>
            </w:r>
          </w:p>
          <w:p w14:paraId="61E7ED16" w14:textId="77777777" w:rsidR="00882BCB" w:rsidRDefault="00882BCB">
            <w:pPr>
              <w:widowControl w:val="0"/>
              <w:spacing w:line="240" w:lineRule="auto"/>
              <w:rPr>
                <w:szCs w:val="22"/>
                <w:lang w:val="fi-FI"/>
              </w:rPr>
            </w:pPr>
            <w:r>
              <w:rPr>
                <w:szCs w:val="22"/>
                <w:lang w:val="fi-FI"/>
              </w:rPr>
              <w:t xml:space="preserve">Puh/Tel: </w:t>
            </w:r>
            <w:r>
              <w:rPr>
                <w:szCs w:val="22"/>
                <w:lang w:val="fr-BE"/>
              </w:rPr>
              <w:t>+31 23 568 55 01</w:t>
            </w:r>
          </w:p>
          <w:p w14:paraId="197F4940" w14:textId="77777777" w:rsidR="00882BCB" w:rsidRDefault="00882BCB">
            <w:pPr>
              <w:widowControl w:val="0"/>
              <w:tabs>
                <w:tab w:val="left" w:pos="-720"/>
              </w:tabs>
              <w:suppressAutoHyphens/>
              <w:spacing w:line="240" w:lineRule="auto"/>
              <w:rPr>
                <w:szCs w:val="22"/>
                <w:lang w:val="sv-SE"/>
              </w:rPr>
            </w:pPr>
          </w:p>
        </w:tc>
      </w:tr>
      <w:tr w:rsidR="00882BCB" w14:paraId="6A19D10A" w14:textId="77777777" w:rsidTr="00311782">
        <w:tc>
          <w:tcPr>
            <w:tcW w:w="4678" w:type="dxa"/>
            <w:hideMark/>
          </w:tcPr>
          <w:p w14:paraId="3646A1EA" w14:textId="77777777" w:rsidR="00882BCB" w:rsidRDefault="00882BCB">
            <w:pPr>
              <w:keepNext/>
              <w:widowControl w:val="0"/>
              <w:spacing w:line="240" w:lineRule="auto"/>
              <w:rPr>
                <w:b/>
                <w:szCs w:val="22"/>
                <w:lang w:val="el-GR"/>
              </w:rPr>
            </w:pPr>
            <w:r>
              <w:rPr>
                <w:b/>
                <w:szCs w:val="22"/>
                <w:lang w:val="el-GR"/>
              </w:rPr>
              <w:t>Κύπρος</w:t>
            </w:r>
          </w:p>
          <w:p w14:paraId="4EBE69F2" w14:textId="77777777" w:rsidR="00882BCB" w:rsidRDefault="00882BCB" w:rsidP="00882BCB">
            <w:pPr>
              <w:keepNext/>
              <w:keepLines/>
              <w:widowControl w:val="0"/>
              <w:spacing w:line="240" w:lineRule="auto"/>
              <w:rPr>
                <w:szCs w:val="22"/>
                <w:lang w:val="fr-BE"/>
              </w:rPr>
            </w:pPr>
            <w:r>
              <w:rPr>
                <w:noProof/>
                <w:szCs w:val="22"/>
              </w:rPr>
              <w:t>Sun Pharmaceutical Industries Europe B.V.</w:t>
            </w:r>
          </w:p>
          <w:p w14:paraId="79F33DE1" w14:textId="77777777" w:rsidR="00882BCB" w:rsidRDefault="00882BCB">
            <w:pPr>
              <w:keepNext/>
              <w:widowControl w:val="0"/>
              <w:spacing w:line="240" w:lineRule="auto"/>
              <w:rPr>
                <w:b/>
                <w:szCs w:val="22"/>
                <w:lang w:val="el-GR"/>
              </w:rPr>
            </w:pPr>
            <w:r>
              <w:rPr>
                <w:szCs w:val="22"/>
                <w:lang w:val="el-GR"/>
              </w:rPr>
              <w:t>Τηλ:</w:t>
            </w:r>
            <w:r>
              <w:rPr>
                <w:szCs w:val="22"/>
                <w:lang w:val="en-US"/>
              </w:rPr>
              <w:t xml:space="preserve"> </w:t>
            </w:r>
            <w:r>
              <w:rPr>
                <w:szCs w:val="22"/>
                <w:lang w:val="fr-BE"/>
              </w:rPr>
              <w:t>+31 23 568 55 01</w:t>
            </w:r>
          </w:p>
        </w:tc>
        <w:tc>
          <w:tcPr>
            <w:tcW w:w="4678" w:type="dxa"/>
          </w:tcPr>
          <w:p w14:paraId="0399E032" w14:textId="77777777" w:rsidR="00882BCB" w:rsidRDefault="00882BCB">
            <w:pPr>
              <w:keepNext/>
              <w:widowControl w:val="0"/>
              <w:tabs>
                <w:tab w:val="left" w:pos="-720"/>
                <w:tab w:val="left" w:pos="4536"/>
              </w:tabs>
              <w:suppressAutoHyphens/>
              <w:spacing w:line="240" w:lineRule="auto"/>
              <w:rPr>
                <w:b/>
                <w:szCs w:val="22"/>
                <w:lang w:val="sv-SE"/>
              </w:rPr>
            </w:pPr>
            <w:r>
              <w:rPr>
                <w:b/>
                <w:szCs w:val="22"/>
                <w:lang w:val="sv-SE"/>
              </w:rPr>
              <w:t>Sverige</w:t>
            </w:r>
          </w:p>
          <w:p w14:paraId="413A9097" w14:textId="77777777" w:rsidR="00882BCB" w:rsidRDefault="00882BCB" w:rsidP="00882BCB">
            <w:pPr>
              <w:keepNext/>
              <w:keepLines/>
              <w:widowControl w:val="0"/>
              <w:spacing w:line="240" w:lineRule="auto"/>
              <w:rPr>
                <w:szCs w:val="22"/>
                <w:lang w:val="fr-BE"/>
              </w:rPr>
            </w:pPr>
            <w:r>
              <w:rPr>
                <w:noProof/>
                <w:szCs w:val="22"/>
              </w:rPr>
              <w:t>Sun Pharmaceutical Industries Europe B.V.</w:t>
            </w:r>
          </w:p>
          <w:p w14:paraId="7EC9D40F" w14:textId="77777777" w:rsidR="00882BCB" w:rsidRDefault="00882BCB">
            <w:pPr>
              <w:keepNext/>
              <w:widowControl w:val="0"/>
              <w:spacing w:line="240" w:lineRule="auto"/>
              <w:rPr>
                <w:szCs w:val="22"/>
                <w:lang w:val="sv-SE"/>
              </w:rPr>
            </w:pPr>
            <w:r>
              <w:rPr>
                <w:szCs w:val="22"/>
                <w:lang w:val="sv-SE"/>
              </w:rPr>
              <w:t xml:space="preserve">Tel: </w:t>
            </w:r>
            <w:r>
              <w:rPr>
                <w:szCs w:val="22"/>
                <w:lang w:val="fr-BE"/>
              </w:rPr>
              <w:t>+31 23 568 55 01</w:t>
            </w:r>
          </w:p>
          <w:p w14:paraId="1FD9302C" w14:textId="77777777" w:rsidR="00882BCB" w:rsidRDefault="00882BCB">
            <w:pPr>
              <w:keepNext/>
              <w:widowControl w:val="0"/>
              <w:tabs>
                <w:tab w:val="left" w:pos="-720"/>
                <w:tab w:val="left" w:pos="4536"/>
              </w:tabs>
              <w:suppressAutoHyphens/>
              <w:spacing w:line="240" w:lineRule="auto"/>
              <w:rPr>
                <w:szCs w:val="22"/>
                <w:lang w:val="sv-SE"/>
              </w:rPr>
            </w:pPr>
          </w:p>
        </w:tc>
      </w:tr>
      <w:tr w:rsidR="00882BCB" w14:paraId="18295950" w14:textId="77777777" w:rsidTr="00311782">
        <w:tc>
          <w:tcPr>
            <w:tcW w:w="4678" w:type="dxa"/>
            <w:hideMark/>
          </w:tcPr>
          <w:p w14:paraId="7B754A4A" w14:textId="77777777" w:rsidR="00882BCB" w:rsidRDefault="00882BCB">
            <w:pPr>
              <w:widowControl w:val="0"/>
              <w:spacing w:line="240" w:lineRule="auto"/>
              <w:rPr>
                <w:b/>
                <w:szCs w:val="22"/>
                <w:lang w:val="lv-LV"/>
              </w:rPr>
            </w:pPr>
            <w:r>
              <w:rPr>
                <w:b/>
                <w:szCs w:val="22"/>
                <w:lang w:val="lv-LV"/>
              </w:rPr>
              <w:t>Latvija</w:t>
            </w:r>
          </w:p>
          <w:p w14:paraId="5DAFFB08" w14:textId="77777777" w:rsidR="00882BCB" w:rsidRDefault="00882BCB">
            <w:pPr>
              <w:keepNext/>
              <w:keepLines/>
              <w:widowControl w:val="0"/>
              <w:spacing w:line="240" w:lineRule="auto"/>
              <w:rPr>
                <w:szCs w:val="22"/>
                <w:lang w:val="fr-BE"/>
              </w:rPr>
            </w:pPr>
            <w:r>
              <w:rPr>
                <w:noProof/>
                <w:szCs w:val="22"/>
              </w:rPr>
              <w:t>Sun Pharmaceutical Industries Europe B.V.</w:t>
            </w:r>
          </w:p>
          <w:p w14:paraId="433E4F60" w14:textId="77777777" w:rsidR="00882BCB" w:rsidRDefault="00882BCB">
            <w:pPr>
              <w:widowControl w:val="0"/>
              <w:tabs>
                <w:tab w:val="left" w:pos="-720"/>
              </w:tabs>
              <w:suppressAutoHyphens/>
              <w:spacing w:line="240" w:lineRule="auto"/>
              <w:rPr>
                <w:szCs w:val="22"/>
                <w:lang w:val="fi-FI"/>
              </w:rPr>
            </w:pPr>
            <w:r>
              <w:rPr>
                <w:szCs w:val="22"/>
                <w:lang w:val="lv-LV"/>
              </w:rPr>
              <w:t xml:space="preserve">Tel: </w:t>
            </w:r>
            <w:r>
              <w:rPr>
                <w:szCs w:val="22"/>
                <w:lang w:val="fr-BE"/>
              </w:rPr>
              <w:t>+31 23 568 55 01</w:t>
            </w:r>
          </w:p>
        </w:tc>
        <w:tc>
          <w:tcPr>
            <w:tcW w:w="4678" w:type="dxa"/>
            <w:hideMark/>
          </w:tcPr>
          <w:p w14:paraId="5798B374" w14:textId="56BC3FA0" w:rsidR="00882BCB" w:rsidRDefault="00882BCB">
            <w:pPr>
              <w:widowControl w:val="0"/>
              <w:spacing w:line="240" w:lineRule="auto"/>
              <w:rPr>
                <w:szCs w:val="22"/>
                <w:lang w:val="en-US"/>
              </w:rPr>
            </w:pPr>
          </w:p>
        </w:tc>
      </w:tr>
    </w:tbl>
    <w:p w14:paraId="05540252" w14:textId="77777777" w:rsidR="00882BCB" w:rsidRDefault="00882BCB" w:rsidP="00882BCB">
      <w:pPr>
        <w:widowControl w:val="0"/>
        <w:numPr>
          <w:ilvl w:val="12"/>
          <w:numId w:val="0"/>
        </w:numPr>
        <w:tabs>
          <w:tab w:val="clear" w:pos="567"/>
          <w:tab w:val="left" w:pos="720"/>
        </w:tabs>
        <w:spacing w:line="240" w:lineRule="auto"/>
        <w:ind w:right="-2"/>
        <w:rPr>
          <w:noProof/>
          <w:szCs w:val="22"/>
          <w:lang w:val="en-GB"/>
        </w:rPr>
      </w:pPr>
    </w:p>
    <w:p w14:paraId="02E9B65F" w14:textId="77777777" w:rsidR="00E321BD" w:rsidRPr="00882BCB" w:rsidRDefault="00E321BD" w:rsidP="00E93E8B">
      <w:pPr>
        <w:widowControl w:val="0"/>
        <w:tabs>
          <w:tab w:val="clear" w:pos="567"/>
        </w:tabs>
        <w:spacing w:line="240" w:lineRule="auto"/>
        <w:rPr>
          <w:noProof/>
          <w:szCs w:val="22"/>
          <w:lang w:val="en-GB"/>
        </w:rPr>
      </w:pPr>
    </w:p>
    <w:p w14:paraId="5B05FEED" w14:textId="77777777" w:rsidR="00E321BD" w:rsidRPr="007944F8" w:rsidRDefault="00E321BD" w:rsidP="00BE7F7C">
      <w:pPr>
        <w:widowControl w:val="0"/>
        <w:outlineLvl w:val="0"/>
        <w:rPr>
          <w:b/>
          <w:noProof/>
        </w:rPr>
      </w:pPr>
      <w:r w:rsidRPr="007944F8">
        <w:rPr>
          <w:b/>
          <w:noProof/>
        </w:rPr>
        <w:t>La dernière date à laquelle cette notice a été révisée est</w:t>
      </w:r>
    </w:p>
    <w:p w14:paraId="1011AE95" w14:textId="77777777" w:rsidR="00E321BD" w:rsidRPr="007944F8" w:rsidRDefault="00E321BD" w:rsidP="00E93E8B">
      <w:pPr>
        <w:widowControl w:val="0"/>
        <w:numPr>
          <w:ilvl w:val="12"/>
          <w:numId w:val="0"/>
        </w:numPr>
        <w:tabs>
          <w:tab w:val="clear" w:pos="567"/>
        </w:tabs>
        <w:spacing w:line="240" w:lineRule="auto"/>
        <w:ind w:right="-2"/>
        <w:rPr>
          <w:noProof/>
          <w:szCs w:val="22"/>
        </w:rPr>
      </w:pPr>
    </w:p>
    <w:p w14:paraId="11634480" w14:textId="77777777" w:rsidR="00E321BD" w:rsidRPr="007944F8" w:rsidRDefault="00E321BD" w:rsidP="00E93E8B">
      <w:pPr>
        <w:widowControl w:val="0"/>
        <w:numPr>
          <w:ilvl w:val="12"/>
          <w:numId w:val="0"/>
        </w:numPr>
        <w:tabs>
          <w:tab w:val="clear" w:pos="567"/>
        </w:tabs>
        <w:spacing w:line="240" w:lineRule="auto"/>
        <w:ind w:right="-2"/>
        <w:rPr>
          <w:iCs/>
          <w:noProof/>
          <w:szCs w:val="22"/>
        </w:rPr>
      </w:pPr>
    </w:p>
    <w:p w14:paraId="2847A916" w14:textId="77777777" w:rsidR="00E321BD" w:rsidRPr="007944F8" w:rsidRDefault="00E321BD" w:rsidP="00BE7F7C">
      <w:pPr>
        <w:keepNext/>
        <w:widowControl w:val="0"/>
        <w:numPr>
          <w:ilvl w:val="12"/>
          <w:numId w:val="0"/>
        </w:numPr>
        <w:tabs>
          <w:tab w:val="clear" w:pos="567"/>
        </w:tabs>
        <w:spacing w:line="240" w:lineRule="auto"/>
        <w:outlineLvl w:val="0"/>
        <w:rPr>
          <w:b/>
          <w:noProof/>
        </w:rPr>
      </w:pPr>
      <w:r w:rsidRPr="007944F8">
        <w:rPr>
          <w:b/>
          <w:noProof/>
        </w:rPr>
        <w:t>Autres sources d’informations</w:t>
      </w:r>
    </w:p>
    <w:p w14:paraId="602E6883" w14:textId="77777777" w:rsidR="00E321BD" w:rsidRPr="007944F8" w:rsidRDefault="00E321BD" w:rsidP="00E96874">
      <w:pPr>
        <w:widowControl w:val="0"/>
        <w:numPr>
          <w:ilvl w:val="12"/>
          <w:numId w:val="0"/>
        </w:numPr>
        <w:tabs>
          <w:tab w:val="clear" w:pos="567"/>
        </w:tabs>
        <w:spacing w:line="240" w:lineRule="auto"/>
        <w:ind w:right="-2"/>
      </w:pPr>
      <w:r w:rsidRPr="007944F8">
        <w:t>Des informations détaillées sur ce médicament sont disponibles sur le site internet de l’Agence européenne des médicaments http://www.ema.europa.eu.</w:t>
      </w:r>
    </w:p>
    <w:p w14:paraId="6F6C5A48" w14:textId="77777777" w:rsidR="00E321BD" w:rsidRPr="007944F8" w:rsidRDefault="00E321BD" w:rsidP="00E96874">
      <w:pPr>
        <w:widowControl w:val="0"/>
        <w:numPr>
          <w:ilvl w:val="12"/>
          <w:numId w:val="0"/>
        </w:numPr>
        <w:tabs>
          <w:tab w:val="clear" w:pos="567"/>
        </w:tabs>
        <w:spacing w:line="240" w:lineRule="auto"/>
        <w:ind w:right="-2"/>
        <w:rPr>
          <w:noProof/>
          <w:szCs w:val="22"/>
        </w:rPr>
      </w:pPr>
    </w:p>
    <w:p w14:paraId="2AD05D31" w14:textId="77777777" w:rsidR="00E321BD" w:rsidRPr="007944F8" w:rsidRDefault="00561ED8" w:rsidP="00E96874">
      <w:pPr>
        <w:pStyle w:val="Default"/>
        <w:keepNext/>
        <w:widowControl w:val="0"/>
        <w:rPr>
          <w:sz w:val="22"/>
          <w:szCs w:val="22"/>
        </w:rPr>
      </w:pPr>
      <w:r w:rsidRPr="007944F8">
        <w:rPr>
          <w:sz w:val="22"/>
        </w:rPr>
        <w:t>Dans le cadre du Programme de P</w:t>
      </w:r>
      <w:r w:rsidR="00E321BD" w:rsidRPr="007944F8">
        <w:rPr>
          <w:sz w:val="22"/>
        </w:rPr>
        <w:t>révention de</w:t>
      </w:r>
      <w:r w:rsidRPr="007944F8">
        <w:rPr>
          <w:sz w:val="22"/>
        </w:rPr>
        <w:t xml:space="preserve"> la G</w:t>
      </w:r>
      <w:r w:rsidR="00E321BD" w:rsidRPr="007944F8">
        <w:rPr>
          <w:sz w:val="22"/>
        </w:rPr>
        <w:t>rossesse d’Odomzo, tous les patients recevront :</w:t>
      </w:r>
    </w:p>
    <w:p w14:paraId="1693DCF9" w14:textId="77777777" w:rsidR="00E321BD" w:rsidRPr="007944F8" w:rsidRDefault="00E321BD" w:rsidP="00E96874">
      <w:pPr>
        <w:keepNext/>
        <w:widowControl w:val="0"/>
        <w:numPr>
          <w:ilvl w:val="0"/>
          <w:numId w:val="34"/>
        </w:numPr>
        <w:tabs>
          <w:tab w:val="clear" w:pos="567"/>
        </w:tabs>
        <w:spacing w:line="240" w:lineRule="auto"/>
        <w:ind w:left="567" w:hanging="567"/>
        <w:rPr>
          <w:noProof/>
        </w:rPr>
      </w:pPr>
      <w:r w:rsidRPr="007944F8">
        <w:t>une brochure destinée aux patients</w:t>
      </w:r>
    </w:p>
    <w:p w14:paraId="4190EA77" w14:textId="77777777" w:rsidR="00E321BD" w:rsidRPr="007944F8" w:rsidRDefault="00E321BD" w:rsidP="00E96874">
      <w:pPr>
        <w:keepNext/>
        <w:widowControl w:val="0"/>
        <w:numPr>
          <w:ilvl w:val="0"/>
          <w:numId w:val="34"/>
        </w:numPr>
        <w:tabs>
          <w:tab w:val="clear" w:pos="567"/>
        </w:tabs>
        <w:spacing w:line="240" w:lineRule="auto"/>
        <w:ind w:left="567" w:hanging="567"/>
        <w:rPr>
          <w:noProof/>
        </w:rPr>
      </w:pPr>
      <w:r w:rsidRPr="007944F8">
        <w:t>une carte aide-mémoire destinée aux patients</w:t>
      </w:r>
    </w:p>
    <w:p w14:paraId="6F7F9EEF" w14:textId="77777777" w:rsidR="00E321BD" w:rsidRPr="007944F8" w:rsidRDefault="00E321BD" w:rsidP="00E96874">
      <w:pPr>
        <w:pStyle w:val="Default"/>
        <w:keepNext/>
        <w:widowControl w:val="0"/>
        <w:rPr>
          <w:sz w:val="22"/>
          <w:szCs w:val="22"/>
        </w:rPr>
      </w:pPr>
    </w:p>
    <w:p w14:paraId="0E013083" w14:textId="77777777" w:rsidR="00E321BD" w:rsidRPr="00A26F79" w:rsidRDefault="00E321BD" w:rsidP="00E96874">
      <w:pPr>
        <w:widowControl w:val="0"/>
        <w:numPr>
          <w:ilvl w:val="12"/>
          <w:numId w:val="0"/>
        </w:numPr>
        <w:rPr>
          <w:noProof/>
        </w:rPr>
      </w:pPr>
      <w:r w:rsidRPr="007944F8">
        <w:t>Veuillez consulter ces documents pour obtenir des informations complémentaires.</w:t>
      </w:r>
    </w:p>
    <w:p w14:paraId="5EAEC477" w14:textId="77777777" w:rsidR="00812D16" w:rsidRPr="007B42D3" w:rsidRDefault="00812D16" w:rsidP="00E93E8B">
      <w:pPr>
        <w:widowControl w:val="0"/>
        <w:numPr>
          <w:ilvl w:val="12"/>
          <w:numId w:val="0"/>
        </w:numPr>
        <w:tabs>
          <w:tab w:val="clear" w:pos="567"/>
        </w:tabs>
        <w:spacing w:line="240" w:lineRule="auto"/>
        <w:ind w:right="-2"/>
        <w:rPr>
          <w:noProof/>
        </w:rPr>
      </w:pPr>
    </w:p>
    <w:sectPr w:rsidR="00812D16" w:rsidRPr="007B42D3" w:rsidSect="00A25442">
      <w:footerReference w:type="default" r:id="rId17"/>
      <w:footerReference w:type="first" r:id="rId18"/>
      <w:endnotePr>
        <w:numFmt w:val="decimal"/>
      </w:endnotePr>
      <w:pgSz w:w="11907" w:h="16840" w:code="9"/>
      <w:pgMar w:top="1134" w:right="1134" w:bottom="1134" w:left="1134"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8211AA" w14:textId="77777777" w:rsidR="00DC2BFE" w:rsidRDefault="00DC2BFE">
      <w:r>
        <w:separator/>
      </w:r>
    </w:p>
  </w:endnote>
  <w:endnote w:type="continuationSeparator" w:id="0">
    <w:p w14:paraId="16D032AC" w14:textId="77777777" w:rsidR="00DC2BFE" w:rsidRDefault="00DC2BFE">
      <w:r>
        <w:continuationSeparator/>
      </w:r>
    </w:p>
  </w:endnote>
  <w:endnote w:type="continuationNotice" w:id="1">
    <w:p w14:paraId="1C1833CE" w14:textId="77777777" w:rsidR="00DC2BFE" w:rsidRDefault="00DC2BF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bon">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Yu Gothic"/>
    <w:panose1 w:val="00000000000000000000"/>
    <w:charset w:val="00"/>
    <w:family w:val="roman"/>
    <w:notTrueType/>
    <w:pitch w:val="default"/>
    <w:sig w:usb0="00000000" w:usb1="08070000" w:usb2="00000010" w:usb3="00000000" w:csb0="0002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BA2A3" w14:textId="362DEE9A" w:rsidR="008D3B3E" w:rsidRDefault="008D3B3E">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DA4E2C">
      <w:rPr>
        <w:rStyle w:val="PageNumber"/>
        <w:rFonts w:cs="Arial"/>
      </w:rPr>
      <w:t>20</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5E7F8" w14:textId="006D61A4" w:rsidR="008D3B3E" w:rsidRDefault="008D3B3E">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DA4E2C">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5F5C11" w14:textId="77777777" w:rsidR="00DC2BFE" w:rsidRDefault="00DC2BFE">
      <w:r>
        <w:separator/>
      </w:r>
    </w:p>
  </w:footnote>
  <w:footnote w:type="continuationSeparator" w:id="0">
    <w:p w14:paraId="166E7D55" w14:textId="77777777" w:rsidR="00DC2BFE" w:rsidRDefault="00DC2BFE">
      <w:r>
        <w:continuationSeparator/>
      </w:r>
    </w:p>
  </w:footnote>
  <w:footnote w:type="continuationNotice" w:id="1">
    <w:p w14:paraId="3065372A" w14:textId="77777777" w:rsidR="00DC2BFE" w:rsidRDefault="00DC2BFE">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561C90"/>
    <w:multiLevelType w:val="hybridMultilevel"/>
    <w:tmpl w:val="F6AA7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6A7FC5"/>
    <w:multiLevelType w:val="hybridMultilevel"/>
    <w:tmpl w:val="ECD0A6F0"/>
    <w:lvl w:ilvl="0" w:tplc="D124FEB0">
      <w:start w:val="4"/>
      <w:numFmt w:val="bullet"/>
      <w:lvlText w:val="-"/>
      <w:lvlJc w:val="left"/>
      <w:pPr>
        <w:ind w:left="1337" w:hanging="360"/>
      </w:pPr>
      <w:rPr>
        <w:rFonts w:ascii="Sabon" w:eastAsia="Times New Roman" w:hAnsi="Sabon" w:hint="default"/>
      </w:rPr>
    </w:lvl>
    <w:lvl w:ilvl="1" w:tplc="04090003" w:tentative="1">
      <w:start w:val="1"/>
      <w:numFmt w:val="bullet"/>
      <w:lvlText w:val="o"/>
      <w:lvlJc w:val="left"/>
      <w:pPr>
        <w:ind w:left="2057" w:hanging="360"/>
      </w:pPr>
      <w:rPr>
        <w:rFonts w:ascii="Courier New" w:hAnsi="Courier New" w:cs="Courier New" w:hint="default"/>
      </w:rPr>
    </w:lvl>
    <w:lvl w:ilvl="2" w:tplc="04090005" w:tentative="1">
      <w:start w:val="1"/>
      <w:numFmt w:val="bullet"/>
      <w:lvlText w:val=""/>
      <w:lvlJc w:val="left"/>
      <w:pPr>
        <w:ind w:left="2777" w:hanging="360"/>
      </w:pPr>
      <w:rPr>
        <w:rFonts w:ascii="Wingdings" w:hAnsi="Wingdings" w:hint="default"/>
      </w:rPr>
    </w:lvl>
    <w:lvl w:ilvl="3" w:tplc="04090001" w:tentative="1">
      <w:start w:val="1"/>
      <w:numFmt w:val="bullet"/>
      <w:lvlText w:val=""/>
      <w:lvlJc w:val="left"/>
      <w:pPr>
        <w:ind w:left="3497" w:hanging="360"/>
      </w:pPr>
      <w:rPr>
        <w:rFonts w:ascii="Symbol" w:hAnsi="Symbol" w:hint="default"/>
      </w:rPr>
    </w:lvl>
    <w:lvl w:ilvl="4" w:tplc="04090003" w:tentative="1">
      <w:start w:val="1"/>
      <w:numFmt w:val="bullet"/>
      <w:lvlText w:val="o"/>
      <w:lvlJc w:val="left"/>
      <w:pPr>
        <w:ind w:left="4217" w:hanging="360"/>
      </w:pPr>
      <w:rPr>
        <w:rFonts w:ascii="Courier New" w:hAnsi="Courier New" w:cs="Courier New" w:hint="default"/>
      </w:rPr>
    </w:lvl>
    <w:lvl w:ilvl="5" w:tplc="04090005" w:tentative="1">
      <w:start w:val="1"/>
      <w:numFmt w:val="bullet"/>
      <w:lvlText w:val=""/>
      <w:lvlJc w:val="left"/>
      <w:pPr>
        <w:ind w:left="4937" w:hanging="360"/>
      </w:pPr>
      <w:rPr>
        <w:rFonts w:ascii="Wingdings" w:hAnsi="Wingdings" w:hint="default"/>
      </w:rPr>
    </w:lvl>
    <w:lvl w:ilvl="6" w:tplc="04090001" w:tentative="1">
      <w:start w:val="1"/>
      <w:numFmt w:val="bullet"/>
      <w:lvlText w:val=""/>
      <w:lvlJc w:val="left"/>
      <w:pPr>
        <w:ind w:left="5657" w:hanging="360"/>
      </w:pPr>
      <w:rPr>
        <w:rFonts w:ascii="Symbol" w:hAnsi="Symbol" w:hint="default"/>
      </w:rPr>
    </w:lvl>
    <w:lvl w:ilvl="7" w:tplc="04090003" w:tentative="1">
      <w:start w:val="1"/>
      <w:numFmt w:val="bullet"/>
      <w:lvlText w:val="o"/>
      <w:lvlJc w:val="left"/>
      <w:pPr>
        <w:ind w:left="6377" w:hanging="360"/>
      </w:pPr>
      <w:rPr>
        <w:rFonts w:ascii="Courier New" w:hAnsi="Courier New" w:cs="Courier New" w:hint="default"/>
      </w:rPr>
    </w:lvl>
    <w:lvl w:ilvl="8" w:tplc="04090005" w:tentative="1">
      <w:start w:val="1"/>
      <w:numFmt w:val="bullet"/>
      <w:lvlText w:val=""/>
      <w:lvlJc w:val="left"/>
      <w:pPr>
        <w:ind w:left="7097" w:hanging="360"/>
      </w:pPr>
      <w:rPr>
        <w:rFonts w:ascii="Wingdings" w:hAnsi="Wingdings" w:hint="default"/>
      </w:rPr>
    </w:lvl>
  </w:abstractNum>
  <w:abstractNum w:abstractNumId="3" w15:restartNumberingAfterBreak="0">
    <w:nsid w:val="025C2D8C"/>
    <w:multiLevelType w:val="hybridMultilevel"/>
    <w:tmpl w:val="11042A38"/>
    <w:lvl w:ilvl="0" w:tplc="83408CDA">
      <w:start w:val="1"/>
      <w:numFmt w:val="bullet"/>
      <w:lvlText w:val=""/>
      <w:lvlJc w:val="left"/>
      <w:pPr>
        <w:ind w:left="142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D6005C"/>
    <w:multiLevelType w:val="hybridMultilevel"/>
    <w:tmpl w:val="DB887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303FE1"/>
    <w:multiLevelType w:val="hybridMultilevel"/>
    <w:tmpl w:val="AD6A6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18735D"/>
    <w:multiLevelType w:val="hybridMultilevel"/>
    <w:tmpl w:val="F424A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0E2B3B"/>
    <w:multiLevelType w:val="hybridMultilevel"/>
    <w:tmpl w:val="574EDCB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4620EE"/>
    <w:multiLevelType w:val="singleLevel"/>
    <w:tmpl w:val="3B72DF38"/>
    <w:lvl w:ilvl="0">
      <w:start w:val="1"/>
      <w:numFmt w:val="bullet"/>
      <w:lvlText w:val=""/>
      <w:lvlJc w:val="left"/>
      <w:pPr>
        <w:tabs>
          <w:tab w:val="num" w:pos="357"/>
        </w:tabs>
        <w:ind w:left="357" w:hanging="357"/>
      </w:pPr>
      <w:rPr>
        <w:rFonts w:ascii="Symbol" w:hAnsi="Symbol" w:hint="default"/>
      </w:rPr>
    </w:lvl>
  </w:abstractNum>
  <w:abstractNum w:abstractNumId="9" w15:restartNumberingAfterBreak="0">
    <w:nsid w:val="0A6D27FD"/>
    <w:multiLevelType w:val="hybridMultilevel"/>
    <w:tmpl w:val="8C6237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544DD8"/>
    <w:multiLevelType w:val="hybridMultilevel"/>
    <w:tmpl w:val="C352D1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DD973CF"/>
    <w:multiLevelType w:val="hybridMultilevel"/>
    <w:tmpl w:val="49FE2572"/>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2" w15:restartNumberingAfterBreak="0">
    <w:nsid w:val="11853D34"/>
    <w:multiLevelType w:val="hybridMultilevel"/>
    <w:tmpl w:val="689ECD3C"/>
    <w:lvl w:ilvl="0" w:tplc="83408CDA">
      <w:start w:val="1"/>
      <w:numFmt w:val="bullet"/>
      <w:lvlText w:val=""/>
      <w:lvlJc w:val="left"/>
      <w:pPr>
        <w:ind w:left="1428"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391641"/>
    <w:multiLevelType w:val="hybridMultilevel"/>
    <w:tmpl w:val="C7327D88"/>
    <w:lvl w:ilvl="0" w:tplc="E944736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8B0ED1"/>
    <w:multiLevelType w:val="hybridMultilevel"/>
    <w:tmpl w:val="D39208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8C446A1"/>
    <w:multiLevelType w:val="singleLevel"/>
    <w:tmpl w:val="CA0CDC74"/>
    <w:lvl w:ilvl="0">
      <w:start w:val="1"/>
      <w:numFmt w:val="bullet"/>
      <w:lvlText w:val=""/>
      <w:lvlJc w:val="left"/>
      <w:pPr>
        <w:tabs>
          <w:tab w:val="num" w:pos="357"/>
        </w:tabs>
        <w:ind w:left="357" w:hanging="357"/>
      </w:pPr>
      <w:rPr>
        <w:rFonts w:ascii="Symbol" w:hAnsi="Symbol" w:hint="default"/>
      </w:rPr>
    </w:lvl>
  </w:abstractNum>
  <w:abstractNum w:abstractNumId="16" w15:restartNumberingAfterBreak="0">
    <w:nsid w:val="19D81F95"/>
    <w:multiLevelType w:val="hybridMultilevel"/>
    <w:tmpl w:val="A248303C"/>
    <w:lvl w:ilvl="0" w:tplc="EC18E7F0">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27B1089"/>
    <w:multiLevelType w:val="hybridMultilevel"/>
    <w:tmpl w:val="2F4C0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B87249"/>
    <w:multiLevelType w:val="hybridMultilevel"/>
    <w:tmpl w:val="49E650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7993FBC"/>
    <w:multiLevelType w:val="hybridMultilevel"/>
    <w:tmpl w:val="9E9C58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90C5E03"/>
    <w:multiLevelType w:val="hybridMultilevel"/>
    <w:tmpl w:val="5C58E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F437FA"/>
    <w:multiLevelType w:val="hybridMultilevel"/>
    <w:tmpl w:val="78D04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4564FC"/>
    <w:multiLevelType w:val="singleLevel"/>
    <w:tmpl w:val="3B72DF38"/>
    <w:lvl w:ilvl="0">
      <w:start w:val="1"/>
      <w:numFmt w:val="bullet"/>
      <w:lvlText w:val=""/>
      <w:lvlJc w:val="left"/>
      <w:pPr>
        <w:tabs>
          <w:tab w:val="num" w:pos="357"/>
        </w:tabs>
        <w:ind w:left="357" w:hanging="357"/>
      </w:pPr>
      <w:rPr>
        <w:rFonts w:ascii="Symbol" w:hAnsi="Symbol" w:hint="default"/>
      </w:rPr>
    </w:lvl>
  </w:abstractNum>
  <w:abstractNum w:abstractNumId="23" w15:restartNumberingAfterBreak="0">
    <w:nsid w:val="32151407"/>
    <w:multiLevelType w:val="hybridMultilevel"/>
    <w:tmpl w:val="10DAE3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9344EFE"/>
    <w:multiLevelType w:val="hybridMultilevel"/>
    <w:tmpl w:val="60040F70"/>
    <w:lvl w:ilvl="0" w:tplc="83408CDA">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5" w15:restartNumberingAfterBreak="0">
    <w:nsid w:val="399305F2"/>
    <w:multiLevelType w:val="hybridMultilevel"/>
    <w:tmpl w:val="66FC3086"/>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26" w15:restartNumberingAfterBreak="0">
    <w:nsid w:val="3A940BC0"/>
    <w:multiLevelType w:val="hybridMultilevel"/>
    <w:tmpl w:val="DF6A8D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AD96944"/>
    <w:multiLevelType w:val="hybridMultilevel"/>
    <w:tmpl w:val="B790A3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2784846"/>
    <w:multiLevelType w:val="singleLevel"/>
    <w:tmpl w:val="83408CDA"/>
    <w:lvl w:ilvl="0">
      <w:start w:val="1"/>
      <w:numFmt w:val="bullet"/>
      <w:lvlText w:val=""/>
      <w:lvlJc w:val="left"/>
      <w:pPr>
        <w:tabs>
          <w:tab w:val="num" w:pos="357"/>
        </w:tabs>
        <w:ind w:left="357" w:hanging="357"/>
      </w:pPr>
      <w:rPr>
        <w:rFonts w:ascii="Symbol" w:hAnsi="Symbol" w:hint="default"/>
      </w:rPr>
    </w:lvl>
  </w:abstractNum>
  <w:abstractNum w:abstractNumId="29" w15:restartNumberingAfterBreak="0">
    <w:nsid w:val="47332BF8"/>
    <w:multiLevelType w:val="hybridMultilevel"/>
    <w:tmpl w:val="01FA1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6751C9"/>
    <w:multiLevelType w:val="singleLevel"/>
    <w:tmpl w:val="3B72DF38"/>
    <w:lvl w:ilvl="0">
      <w:start w:val="1"/>
      <w:numFmt w:val="bullet"/>
      <w:lvlText w:val=""/>
      <w:lvlJc w:val="left"/>
      <w:pPr>
        <w:tabs>
          <w:tab w:val="num" w:pos="357"/>
        </w:tabs>
        <w:ind w:left="357" w:hanging="357"/>
      </w:pPr>
      <w:rPr>
        <w:rFonts w:ascii="Symbol" w:hAnsi="Symbol" w:hint="default"/>
      </w:rPr>
    </w:lvl>
  </w:abstractNum>
  <w:abstractNum w:abstractNumId="31" w15:restartNumberingAfterBreak="0">
    <w:nsid w:val="4F12282E"/>
    <w:multiLevelType w:val="singleLevel"/>
    <w:tmpl w:val="1974E042"/>
    <w:lvl w:ilvl="0">
      <w:start w:val="1"/>
      <w:numFmt w:val="bullet"/>
      <w:lvlText w:val=""/>
      <w:lvlJc w:val="left"/>
      <w:pPr>
        <w:tabs>
          <w:tab w:val="num" w:pos="357"/>
        </w:tabs>
        <w:ind w:left="357" w:hanging="357"/>
      </w:pPr>
      <w:rPr>
        <w:rFonts w:ascii="Symbol" w:hAnsi="Symbol" w:hint="default"/>
      </w:rPr>
    </w:lvl>
  </w:abstractNum>
  <w:abstractNum w:abstractNumId="32" w15:restartNumberingAfterBreak="0">
    <w:nsid w:val="51B55E2B"/>
    <w:multiLevelType w:val="singleLevel"/>
    <w:tmpl w:val="CA0CDC74"/>
    <w:lvl w:ilvl="0">
      <w:start w:val="1"/>
      <w:numFmt w:val="bullet"/>
      <w:lvlText w:val=""/>
      <w:lvlJc w:val="left"/>
      <w:pPr>
        <w:tabs>
          <w:tab w:val="num" w:pos="357"/>
        </w:tabs>
        <w:ind w:left="357" w:hanging="357"/>
      </w:pPr>
      <w:rPr>
        <w:rFonts w:ascii="Symbol" w:hAnsi="Symbol" w:hint="default"/>
      </w:rPr>
    </w:lvl>
  </w:abstractNum>
  <w:abstractNum w:abstractNumId="33" w15:restartNumberingAfterBreak="0">
    <w:nsid w:val="55817368"/>
    <w:multiLevelType w:val="hybridMultilevel"/>
    <w:tmpl w:val="54C0BD3C"/>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34" w15:restartNumberingAfterBreak="0">
    <w:nsid w:val="59107E37"/>
    <w:multiLevelType w:val="hybridMultilevel"/>
    <w:tmpl w:val="B1BCE75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262917"/>
    <w:multiLevelType w:val="hybridMultilevel"/>
    <w:tmpl w:val="3B6C0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9E55AE"/>
    <w:multiLevelType w:val="hybridMultilevel"/>
    <w:tmpl w:val="6ACA2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6760038"/>
    <w:multiLevelType w:val="hybridMultilevel"/>
    <w:tmpl w:val="21123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782FED"/>
    <w:multiLevelType w:val="hybridMultilevel"/>
    <w:tmpl w:val="363600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9C61BF1"/>
    <w:multiLevelType w:val="hybridMultilevel"/>
    <w:tmpl w:val="454A84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24645AE"/>
    <w:multiLevelType w:val="hybridMultilevel"/>
    <w:tmpl w:val="AE9E5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8A4F3B"/>
    <w:multiLevelType w:val="hybridMultilevel"/>
    <w:tmpl w:val="6C265030"/>
    <w:lvl w:ilvl="0" w:tplc="0413000F">
      <w:start w:val="1"/>
      <w:numFmt w:val="decimal"/>
      <w:lvlText w:val="%1."/>
      <w:lvlJc w:val="left"/>
      <w:pPr>
        <w:ind w:left="360" w:hanging="360"/>
      </w:pPr>
      <w:rPr>
        <w:rFonts w:cs="Times New Roman" w:hint="default"/>
      </w:rPr>
    </w:lvl>
    <w:lvl w:ilvl="1" w:tplc="04130019">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42" w15:restartNumberingAfterBreak="0">
    <w:nsid w:val="74E951C6"/>
    <w:multiLevelType w:val="hybridMultilevel"/>
    <w:tmpl w:val="A02AF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A91DCC"/>
    <w:multiLevelType w:val="hybridMultilevel"/>
    <w:tmpl w:val="08D8B6C8"/>
    <w:lvl w:ilvl="0" w:tplc="99141C2C">
      <w:start w:val="2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C9412B"/>
    <w:multiLevelType w:val="hybridMultilevel"/>
    <w:tmpl w:val="CF70B7DC"/>
    <w:lvl w:ilvl="0" w:tplc="8CA8AF3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186884"/>
    <w:multiLevelType w:val="hybridMultilevel"/>
    <w:tmpl w:val="C5E46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2D272C"/>
    <w:multiLevelType w:val="hybridMultilevel"/>
    <w:tmpl w:val="4090231C"/>
    <w:lvl w:ilvl="0" w:tplc="04090001">
      <w:start w:val="1"/>
      <w:numFmt w:val="bullet"/>
      <w:lvlText w:val=""/>
      <w:lvlJc w:val="left"/>
      <w:pPr>
        <w:ind w:left="766"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7" w15:restartNumberingAfterBreak="0">
    <w:nsid w:val="7C52243C"/>
    <w:multiLevelType w:val="hybridMultilevel"/>
    <w:tmpl w:val="99AA9B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CD964CC"/>
    <w:multiLevelType w:val="hybridMultilevel"/>
    <w:tmpl w:val="777C51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EC63B31"/>
    <w:multiLevelType w:val="hybridMultilevel"/>
    <w:tmpl w:val="1FD8EFE4"/>
    <w:lvl w:ilvl="0" w:tplc="ACACB79A">
      <w:start w:val="2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lvl>
    </w:lvlOverride>
  </w:num>
  <w:num w:numId="3">
    <w:abstractNumId w:val="28"/>
  </w:num>
  <w:num w:numId="4">
    <w:abstractNumId w:val="4"/>
  </w:num>
  <w:num w:numId="5">
    <w:abstractNumId w:val="20"/>
  </w:num>
  <w:num w:numId="6">
    <w:abstractNumId w:val="9"/>
  </w:num>
  <w:num w:numId="7">
    <w:abstractNumId w:val="23"/>
  </w:num>
  <w:num w:numId="8">
    <w:abstractNumId w:val="48"/>
  </w:num>
  <w:num w:numId="9">
    <w:abstractNumId w:val="27"/>
  </w:num>
  <w:num w:numId="10">
    <w:abstractNumId w:val="36"/>
  </w:num>
  <w:num w:numId="11">
    <w:abstractNumId w:val="43"/>
  </w:num>
  <w:num w:numId="12">
    <w:abstractNumId w:val="49"/>
  </w:num>
  <w:num w:numId="13">
    <w:abstractNumId w:val="14"/>
  </w:num>
  <w:num w:numId="14">
    <w:abstractNumId w:val="38"/>
  </w:num>
  <w:num w:numId="15">
    <w:abstractNumId w:val="10"/>
  </w:num>
  <w:num w:numId="16">
    <w:abstractNumId w:val="22"/>
  </w:num>
  <w:num w:numId="17">
    <w:abstractNumId w:val="8"/>
  </w:num>
  <w:num w:numId="18">
    <w:abstractNumId w:val="30"/>
  </w:num>
  <w:num w:numId="19">
    <w:abstractNumId w:val="1"/>
  </w:num>
  <w:num w:numId="20">
    <w:abstractNumId w:val="7"/>
  </w:num>
  <w:num w:numId="21">
    <w:abstractNumId w:val="34"/>
  </w:num>
  <w:num w:numId="22">
    <w:abstractNumId w:val="32"/>
  </w:num>
  <w:num w:numId="23">
    <w:abstractNumId w:val="15"/>
  </w:num>
  <w:num w:numId="24">
    <w:abstractNumId w:val="24"/>
  </w:num>
  <w:num w:numId="25">
    <w:abstractNumId w:val="12"/>
  </w:num>
  <w:num w:numId="26">
    <w:abstractNumId w:val="3"/>
  </w:num>
  <w:num w:numId="27">
    <w:abstractNumId w:val="25"/>
  </w:num>
  <w:num w:numId="28">
    <w:abstractNumId w:val="33"/>
  </w:num>
  <w:num w:numId="29">
    <w:abstractNumId w:val="11"/>
  </w:num>
  <w:num w:numId="30">
    <w:abstractNumId w:val="39"/>
  </w:num>
  <w:num w:numId="31">
    <w:abstractNumId w:val="17"/>
  </w:num>
  <w:num w:numId="32">
    <w:abstractNumId w:val="26"/>
  </w:num>
  <w:num w:numId="33">
    <w:abstractNumId w:val="47"/>
  </w:num>
  <w:num w:numId="34">
    <w:abstractNumId w:val="19"/>
  </w:num>
  <w:num w:numId="35">
    <w:abstractNumId w:val="31"/>
  </w:num>
  <w:num w:numId="36">
    <w:abstractNumId w:val="0"/>
    <w:lvlOverride w:ilvl="0">
      <w:lvl w:ilvl="0">
        <w:numFmt w:val="bullet"/>
        <w:lvlText w:val=""/>
        <w:lvlJc w:val="left"/>
        <w:pPr>
          <w:ind w:left="360" w:hanging="360"/>
        </w:pPr>
        <w:rPr>
          <w:rFonts w:ascii="Symbol" w:hAnsi="Symbol" w:cs="Times New Roman" w:hint="default"/>
        </w:rPr>
      </w:lvl>
    </w:lvlOverride>
  </w:num>
  <w:num w:numId="37">
    <w:abstractNumId w:val="46"/>
  </w:num>
  <w:num w:numId="38">
    <w:abstractNumId w:val="16"/>
  </w:num>
  <w:num w:numId="39">
    <w:abstractNumId w:val="44"/>
  </w:num>
  <w:num w:numId="40">
    <w:abstractNumId w:val="2"/>
  </w:num>
  <w:num w:numId="41">
    <w:abstractNumId w:val="13"/>
  </w:num>
  <w:num w:numId="42">
    <w:abstractNumId w:val="41"/>
  </w:num>
  <w:num w:numId="43">
    <w:abstractNumId w:val="18"/>
  </w:num>
  <w:num w:numId="44">
    <w:abstractNumId w:val="40"/>
  </w:num>
  <w:num w:numId="45">
    <w:abstractNumId w:val="37"/>
  </w:num>
  <w:num w:numId="46">
    <w:abstractNumId w:val="29"/>
  </w:num>
  <w:num w:numId="47">
    <w:abstractNumId w:val="45"/>
  </w:num>
  <w:num w:numId="48">
    <w:abstractNumId w:val="5"/>
  </w:num>
  <w:num w:numId="49">
    <w:abstractNumId w:val="42"/>
  </w:num>
  <w:num w:numId="50">
    <w:abstractNumId w:val="21"/>
  </w:num>
  <w:num w:numId="51">
    <w:abstractNumId w:val="6"/>
  </w:num>
  <w:num w:numId="52">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60"/>
  <w:removePersonalInformation/>
  <w:removeDateAndTime/>
  <w:activeWritingStyle w:appName="MSWord" w:lang="it-IT" w:vendorID="64" w:dllVersion="6" w:nlCheck="1" w:checkStyle="0"/>
  <w:activeWritingStyle w:appName="MSWord" w:lang="fr-FR" w:vendorID="64" w:dllVersion="6" w:nlCheck="1" w:checkStyle="0"/>
  <w:activeWritingStyle w:appName="MSWord" w:lang="de-CH" w:vendorID="64" w:dllVersion="6" w:nlCheck="1" w:checkStyle="1"/>
  <w:activeWritingStyle w:appName="MSWord" w:lang="en-US" w:vendorID="64" w:dllVersion="6" w:nlCheck="1" w:checkStyle="1"/>
  <w:activeWritingStyle w:appName="MSWord" w:lang="fr-CH" w:vendorID="64" w:dllVersion="6" w:nlCheck="1" w:checkStyle="0"/>
  <w:activeWritingStyle w:appName="MSWord" w:lang="fr-BE" w:vendorID="64" w:dllVersion="6" w:nlCheck="1" w:checkStyle="0"/>
  <w:activeWritingStyle w:appName="MSWord" w:lang="es-ES" w:vendorID="64" w:dllVersion="6" w:nlCheck="1" w:checkStyle="0"/>
  <w:activeWritingStyle w:appName="MSWord" w:lang="de-DE" w:vendorID="64" w:dllVersion="6" w:nlCheck="1" w:checkStyle="1"/>
  <w:activeWritingStyle w:appName="MSWord" w:lang="nb-NO" w:vendorID="64" w:dllVersion="6" w:nlCheck="1" w:checkStyle="0"/>
  <w:activeWritingStyle w:appName="MSWord" w:lang="de-AT" w:vendorID="64" w:dllVersion="6" w:nlCheck="1" w:checkStyle="1"/>
  <w:activeWritingStyle w:appName="MSWord" w:lang="en-GB" w:vendorID="64" w:dllVersion="6" w:nlCheck="1" w:checkStyle="1"/>
  <w:activeWritingStyle w:appName="MSWord" w:lang="fr-FR" w:vendorID="64" w:dllVersion="0" w:nlCheck="1" w:checkStyle="0"/>
  <w:activeWritingStyle w:appName="MSWord" w:lang="fr-CH" w:vendorID="64" w:dllVersion="0" w:nlCheck="1" w:checkStyle="0"/>
  <w:activeWritingStyle w:appName="MSWord" w:lang="fr-BE" w:vendorID="64" w:dllVersion="0" w:nlCheck="1" w:checkStyle="0"/>
  <w:activeWritingStyle w:appName="MSWord" w:lang="en-US" w:vendorID="64" w:dllVersion="0" w:nlCheck="1" w:checkStyle="0"/>
  <w:activeWritingStyle w:appName="MSWord" w:lang="de-CH" w:vendorID="64" w:dllVersion="0" w:nlCheck="1" w:checkStyle="0"/>
  <w:activeWritingStyle w:appName="MSWord" w:lang="de-DE" w:vendorID="64" w:dllVersion="0" w:nlCheck="1" w:checkStyle="0"/>
  <w:activeWritingStyle w:appName="MSWord" w:lang="de-AT" w:vendorID="64" w:dllVersion="0" w:nlCheck="1" w:checkStyle="0"/>
  <w:activeWritingStyle w:appName="MSWord" w:lang="es-ES" w:vendorID="64" w:dllVersion="0" w:nlCheck="1" w:checkStyle="0"/>
  <w:activeWritingStyle w:appName="MSWord" w:lang="en-GB" w:vendorID="64" w:dllVersion="0" w:nlCheck="1" w:checkStyle="0"/>
  <w:activeWritingStyle w:appName="MSWord" w:lang="fr-FR" w:vendorID="64" w:dllVersion="4096" w:nlCheck="1" w:checkStyle="0"/>
  <w:activeWritingStyle w:appName="MSWord" w:lang="fr-CH" w:vendorID="64" w:dllVersion="4096" w:nlCheck="1" w:checkStyle="0"/>
  <w:activeWritingStyle w:appName="MSWord" w:lang="fr-BE"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n-GB" w:vendorID="64" w:dllVersion="4096" w:nlCheck="1" w:checkStyle="0"/>
  <w:activeWritingStyle w:appName="MSWord" w:lang="en-IN"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87"/>
    <w:rsid w:val="00002151"/>
    <w:rsid w:val="00002A7F"/>
    <w:rsid w:val="0000362A"/>
    <w:rsid w:val="00005701"/>
    <w:rsid w:val="0000717F"/>
    <w:rsid w:val="00007528"/>
    <w:rsid w:val="0001164F"/>
    <w:rsid w:val="00011A9C"/>
    <w:rsid w:val="000130BE"/>
    <w:rsid w:val="000141FA"/>
    <w:rsid w:val="00014869"/>
    <w:rsid w:val="000150D3"/>
    <w:rsid w:val="00015D41"/>
    <w:rsid w:val="000166C1"/>
    <w:rsid w:val="0001677A"/>
    <w:rsid w:val="0002006B"/>
    <w:rsid w:val="00020AE8"/>
    <w:rsid w:val="00020D31"/>
    <w:rsid w:val="000210AC"/>
    <w:rsid w:val="00023A2C"/>
    <w:rsid w:val="00025EBE"/>
    <w:rsid w:val="00026BF2"/>
    <w:rsid w:val="000271F6"/>
    <w:rsid w:val="00030445"/>
    <w:rsid w:val="000318C7"/>
    <w:rsid w:val="00033A90"/>
    <w:rsid w:val="00033D26"/>
    <w:rsid w:val="00033FDB"/>
    <w:rsid w:val="000344F6"/>
    <w:rsid w:val="0003494F"/>
    <w:rsid w:val="00035BB4"/>
    <w:rsid w:val="00036DB3"/>
    <w:rsid w:val="00037109"/>
    <w:rsid w:val="000371BF"/>
    <w:rsid w:val="00037294"/>
    <w:rsid w:val="00040F20"/>
    <w:rsid w:val="00042263"/>
    <w:rsid w:val="00042484"/>
    <w:rsid w:val="00043365"/>
    <w:rsid w:val="00043505"/>
    <w:rsid w:val="00043C70"/>
    <w:rsid w:val="00043CA9"/>
    <w:rsid w:val="00044042"/>
    <w:rsid w:val="000465F9"/>
    <w:rsid w:val="000474D2"/>
    <w:rsid w:val="000479C5"/>
    <w:rsid w:val="00050DFD"/>
    <w:rsid w:val="00052971"/>
    <w:rsid w:val="00053809"/>
    <w:rsid w:val="00053914"/>
    <w:rsid w:val="00054756"/>
    <w:rsid w:val="000554CF"/>
    <w:rsid w:val="00055893"/>
    <w:rsid w:val="000560C5"/>
    <w:rsid w:val="00056A88"/>
    <w:rsid w:val="00056C49"/>
    <w:rsid w:val="00056F59"/>
    <w:rsid w:val="00056FE0"/>
    <w:rsid w:val="000576CD"/>
    <w:rsid w:val="000603C8"/>
    <w:rsid w:val="000608A4"/>
    <w:rsid w:val="00060AA1"/>
    <w:rsid w:val="0006111E"/>
    <w:rsid w:val="00061375"/>
    <w:rsid w:val="000631FD"/>
    <w:rsid w:val="00063B49"/>
    <w:rsid w:val="00063C0A"/>
    <w:rsid w:val="000643D3"/>
    <w:rsid w:val="00065DA8"/>
    <w:rsid w:val="00067B16"/>
    <w:rsid w:val="00071F8A"/>
    <w:rsid w:val="00072089"/>
    <w:rsid w:val="000721CE"/>
    <w:rsid w:val="00073E04"/>
    <w:rsid w:val="000751AD"/>
    <w:rsid w:val="00076123"/>
    <w:rsid w:val="0007628D"/>
    <w:rsid w:val="00081D09"/>
    <w:rsid w:val="00081DAB"/>
    <w:rsid w:val="00085DA1"/>
    <w:rsid w:val="000911A2"/>
    <w:rsid w:val="00092829"/>
    <w:rsid w:val="00092B09"/>
    <w:rsid w:val="0009351E"/>
    <w:rsid w:val="0009376C"/>
    <w:rsid w:val="00093C59"/>
    <w:rsid w:val="0009479A"/>
    <w:rsid w:val="00094AD6"/>
    <w:rsid w:val="00095D61"/>
    <w:rsid w:val="00095E44"/>
    <w:rsid w:val="00096D8D"/>
    <w:rsid w:val="0009755A"/>
    <w:rsid w:val="0009780C"/>
    <w:rsid w:val="00097CF5"/>
    <w:rsid w:val="000A1232"/>
    <w:rsid w:val="000A2D3D"/>
    <w:rsid w:val="000A40D0"/>
    <w:rsid w:val="000A5620"/>
    <w:rsid w:val="000A65D4"/>
    <w:rsid w:val="000B0097"/>
    <w:rsid w:val="000B101F"/>
    <w:rsid w:val="000B150E"/>
    <w:rsid w:val="000B1F4B"/>
    <w:rsid w:val="000B2509"/>
    <w:rsid w:val="000B2638"/>
    <w:rsid w:val="000B2F27"/>
    <w:rsid w:val="000B2F58"/>
    <w:rsid w:val="000B37A8"/>
    <w:rsid w:val="000B42B8"/>
    <w:rsid w:val="000B45C4"/>
    <w:rsid w:val="000B51D9"/>
    <w:rsid w:val="000C0209"/>
    <w:rsid w:val="000C0395"/>
    <w:rsid w:val="000C03FB"/>
    <w:rsid w:val="000C2196"/>
    <w:rsid w:val="000C2E0A"/>
    <w:rsid w:val="000C2E45"/>
    <w:rsid w:val="000C308F"/>
    <w:rsid w:val="000C5747"/>
    <w:rsid w:val="000C5A4E"/>
    <w:rsid w:val="000C5CBD"/>
    <w:rsid w:val="000C635D"/>
    <w:rsid w:val="000C6AA4"/>
    <w:rsid w:val="000C7F49"/>
    <w:rsid w:val="000D01E7"/>
    <w:rsid w:val="000D0A70"/>
    <w:rsid w:val="000D0F5C"/>
    <w:rsid w:val="000D1423"/>
    <w:rsid w:val="000D1AEE"/>
    <w:rsid w:val="000D1F4F"/>
    <w:rsid w:val="000D222D"/>
    <w:rsid w:val="000D2635"/>
    <w:rsid w:val="000D330D"/>
    <w:rsid w:val="000D3528"/>
    <w:rsid w:val="000D4D07"/>
    <w:rsid w:val="000D51A8"/>
    <w:rsid w:val="000D52BA"/>
    <w:rsid w:val="000D66B2"/>
    <w:rsid w:val="000D689E"/>
    <w:rsid w:val="000D73A0"/>
    <w:rsid w:val="000D7535"/>
    <w:rsid w:val="000D7DF3"/>
    <w:rsid w:val="000E165D"/>
    <w:rsid w:val="000E1AAC"/>
    <w:rsid w:val="000E1BAF"/>
    <w:rsid w:val="000E2146"/>
    <w:rsid w:val="000E223E"/>
    <w:rsid w:val="000E2491"/>
    <w:rsid w:val="000E2EA9"/>
    <w:rsid w:val="000E46A3"/>
    <w:rsid w:val="000E4E88"/>
    <w:rsid w:val="000E5726"/>
    <w:rsid w:val="000E6C94"/>
    <w:rsid w:val="000E6EA9"/>
    <w:rsid w:val="000E6FDF"/>
    <w:rsid w:val="000F079F"/>
    <w:rsid w:val="000F1BB2"/>
    <w:rsid w:val="000F217A"/>
    <w:rsid w:val="000F3F94"/>
    <w:rsid w:val="000F4BDA"/>
    <w:rsid w:val="000F5B21"/>
    <w:rsid w:val="000F737D"/>
    <w:rsid w:val="000F7CB2"/>
    <w:rsid w:val="0010154D"/>
    <w:rsid w:val="001018B5"/>
    <w:rsid w:val="00103501"/>
    <w:rsid w:val="00103AC7"/>
    <w:rsid w:val="00103B2D"/>
    <w:rsid w:val="00103CD2"/>
    <w:rsid w:val="00104061"/>
    <w:rsid w:val="00107236"/>
    <w:rsid w:val="001101A2"/>
    <w:rsid w:val="001106F7"/>
    <w:rsid w:val="0011073B"/>
    <w:rsid w:val="001108A9"/>
    <w:rsid w:val="00111622"/>
    <w:rsid w:val="00112EDA"/>
    <w:rsid w:val="001133F2"/>
    <w:rsid w:val="00114174"/>
    <w:rsid w:val="001141F7"/>
    <w:rsid w:val="00117C1D"/>
    <w:rsid w:val="00120EF7"/>
    <w:rsid w:val="00121D2B"/>
    <w:rsid w:val="00122064"/>
    <w:rsid w:val="00123688"/>
    <w:rsid w:val="001243C8"/>
    <w:rsid w:val="00127F47"/>
    <w:rsid w:val="001321E3"/>
    <w:rsid w:val="00133572"/>
    <w:rsid w:val="00134052"/>
    <w:rsid w:val="001352B3"/>
    <w:rsid w:val="001364FB"/>
    <w:rsid w:val="001365F2"/>
    <w:rsid w:val="00136BE4"/>
    <w:rsid w:val="00136D7A"/>
    <w:rsid w:val="00141470"/>
    <w:rsid w:val="00141540"/>
    <w:rsid w:val="00142E68"/>
    <w:rsid w:val="001433D8"/>
    <w:rsid w:val="00143985"/>
    <w:rsid w:val="001449DF"/>
    <w:rsid w:val="00144A73"/>
    <w:rsid w:val="0014569B"/>
    <w:rsid w:val="001470E0"/>
    <w:rsid w:val="00150060"/>
    <w:rsid w:val="00151004"/>
    <w:rsid w:val="0015251D"/>
    <w:rsid w:val="00154C69"/>
    <w:rsid w:val="0015644A"/>
    <w:rsid w:val="0015704C"/>
    <w:rsid w:val="00157895"/>
    <w:rsid w:val="00160DE7"/>
    <w:rsid w:val="001610DF"/>
    <w:rsid w:val="00161701"/>
    <w:rsid w:val="00161E87"/>
    <w:rsid w:val="00162EE5"/>
    <w:rsid w:val="001630AC"/>
    <w:rsid w:val="0016310E"/>
    <w:rsid w:val="00163CA2"/>
    <w:rsid w:val="0016566C"/>
    <w:rsid w:val="00170091"/>
    <w:rsid w:val="0017061D"/>
    <w:rsid w:val="0017117F"/>
    <w:rsid w:val="001718EB"/>
    <w:rsid w:val="001727F0"/>
    <w:rsid w:val="00172B06"/>
    <w:rsid w:val="0017347E"/>
    <w:rsid w:val="001738D3"/>
    <w:rsid w:val="001752D8"/>
    <w:rsid w:val="00175931"/>
    <w:rsid w:val="00176B25"/>
    <w:rsid w:val="00180AA7"/>
    <w:rsid w:val="00181188"/>
    <w:rsid w:val="0018238B"/>
    <w:rsid w:val="00183419"/>
    <w:rsid w:val="0018394A"/>
    <w:rsid w:val="00183ECB"/>
    <w:rsid w:val="00184DCC"/>
    <w:rsid w:val="0018518C"/>
    <w:rsid w:val="00186988"/>
    <w:rsid w:val="00186A9D"/>
    <w:rsid w:val="001874A6"/>
    <w:rsid w:val="0018765B"/>
    <w:rsid w:val="00190551"/>
    <w:rsid w:val="00190913"/>
    <w:rsid w:val="001938AA"/>
    <w:rsid w:val="00193DD3"/>
    <w:rsid w:val="00193FFB"/>
    <w:rsid w:val="001948AA"/>
    <w:rsid w:val="0019500C"/>
    <w:rsid w:val="00195F65"/>
    <w:rsid w:val="001A07E2"/>
    <w:rsid w:val="001A0CA0"/>
    <w:rsid w:val="001A12EC"/>
    <w:rsid w:val="001A1990"/>
    <w:rsid w:val="001A1EE2"/>
    <w:rsid w:val="001A2018"/>
    <w:rsid w:val="001A56F1"/>
    <w:rsid w:val="001A5D0E"/>
    <w:rsid w:val="001A6DB9"/>
    <w:rsid w:val="001A703C"/>
    <w:rsid w:val="001A706F"/>
    <w:rsid w:val="001A7F6D"/>
    <w:rsid w:val="001B01C8"/>
    <w:rsid w:val="001B0B52"/>
    <w:rsid w:val="001B13F6"/>
    <w:rsid w:val="001B1747"/>
    <w:rsid w:val="001B2D44"/>
    <w:rsid w:val="001B371D"/>
    <w:rsid w:val="001B752A"/>
    <w:rsid w:val="001B76C9"/>
    <w:rsid w:val="001B7BEE"/>
    <w:rsid w:val="001C12FB"/>
    <w:rsid w:val="001C2DB4"/>
    <w:rsid w:val="001C2EF7"/>
    <w:rsid w:val="001C3152"/>
    <w:rsid w:val="001C3228"/>
    <w:rsid w:val="001C35E9"/>
    <w:rsid w:val="001C36BD"/>
    <w:rsid w:val="001C3733"/>
    <w:rsid w:val="001C49B3"/>
    <w:rsid w:val="001C4D09"/>
    <w:rsid w:val="001C5B30"/>
    <w:rsid w:val="001C6FDC"/>
    <w:rsid w:val="001C7280"/>
    <w:rsid w:val="001C79CC"/>
    <w:rsid w:val="001D1B2B"/>
    <w:rsid w:val="001D24F9"/>
    <w:rsid w:val="001D261C"/>
    <w:rsid w:val="001D3C05"/>
    <w:rsid w:val="001D4116"/>
    <w:rsid w:val="001D625D"/>
    <w:rsid w:val="001D6AF4"/>
    <w:rsid w:val="001D6D7F"/>
    <w:rsid w:val="001D716E"/>
    <w:rsid w:val="001E0CC1"/>
    <w:rsid w:val="001E1C10"/>
    <w:rsid w:val="001E25BD"/>
    <w:rsid w:val="001E3287"/>
    <w:rsid w:val="001E3CC0"/>
    <w:rsid w:val="001E3EBC"/>
    <w:rsid w:val="001E4A0B"/>
    <w:rsid w:val="001E666A"/>
    <w:rsid w:val="001E77C3"/>
    <w:rsid w:val="001E77C7"/>
    <w:rsid w:val="001E7A4C"/>
    <w:rsid w:val="001E7AB2"/>
    <w:rsid w:val="001F090B"/>
    <w:rsid w:val="001F180A"/>
    <w:rsid w:val="001F1A28"/>
    <w:rsid w:val="001F1AD0"/>
    <w:rsid w:val="001F1AEE"/>
    <w:rsid w:val="001F1CAD"/>
    <w:rsid w:val="001F1D0F"/>
    <w:rsid w:val="001F24BA"/>
    <w:rsid w:val="001F2BC5"/>
    <w:rsid w:val="001F35E8"/>
    <w:rsid w:val="001F3F17"/>
    <w:rsid w:val="001F4014"/>
    <w:rsid w:val="001F445E"/>
    <w:rsid w:val="001F6423"/>
    <w:rsid w:val="001F7D23"/>
    <w:rsid w:val="002007CE"/>
    <w:rsid w:val="00201213"/>
    <w:rsid w:val="0020165E"/>
    <w:rsid w:val="00202269"/>
    <w:rsid w:val="0020272E"/>
    <w:rsid w:val="00202E50"/>
    <w:rsid w:val="00205180"/>
    <w:rsid w:val="00205FC8"/>
    <w:rsid w:val="00206335"/>
    <w:rsid w:val="00207341"/>
    <w:rsid w:val="002077B0"/>
    <w:rsid w:val="00207998"/>
    <w:rsid w:val="00207F81"/>
    <w:rsid w:val="002109F4"/>
    <w:rsid w:val="00211CA9"/>
    <w:rsid w:val="00211FDA"/>
    <w:rsid w:val="002130C4"/>
    <w:rsid w:val="00215586"/>
    <w:rsid w:val="00215FDA"/>
    <w:rsid w:val="002160C2"/>
    <w:rsid w:val="00216BC7"/>
    <w:rsid w:val="00217964"/>
    <w:rsid w:val="002219BE"/>
    <w:rsid w:val="00221FDB"/>
    <w:rsid w:val="002226AB"/>
    <w:rsid w:val="00222BB9"/>
    <w:rsid w:val="00223584"/>
    <w:rsid w:val="00224145"/>
    <w:rsid w:val="002245AF"/>
    <w:rsid w:val="002258D6"/>
    <w:rsid w:val="0022592D"/>
    <w:rsid w:val="0022670E"/>
    <w:rsid w:val="00226E05"/>
    <w:rsid w:val="002274FB"/>
    <w:rsid w:val="00227F11"/>
    <w:rsid w:val="002309D2"/>
    <w:rsid w:val="00231530"/>
    <w:rsid w:val="00231B61"/>
    <w:rsid w:val="0023315B"/>
    <w:rsid w:val="00233B4E"/>
    <w:rsid w:val="00233D13"/>
    <w:rsid w:val="002345F0"/>
    <w:rsid w:val="002347FE"/>
    <w:rsid w:val="0024178D"/>
    <w:rsid w:val="00242E27"/>
    <w:rsid w:val="002436AD"/>
    <w:rsid w:val="0024392B"/>
    <w:rsid w:val="002450C6"/>
    <w:rsid w:val="002457E0"/>
    <w:rsid w:val="00245931"/>
    <w:rsid w:val="00245DCF"/>
    <w:rsid w:val="0024639C"/>
    <w:rsid w:val="00246C3C"/>
    <w:rsid w:val="00246C65"/>
    <w:rsid w:val="0024721F"/>
    <w:rsid w:val="00251A10"/>
    <w:rsid w:val="00252BFF"/>
    <w:rsid w:val="00253407"/>
    <w:rsid w:val="00253732"/>
    <w:rsid w:val="002542A8"/>
    <w:rsid w:val="0025453A"/>
    <w:rsid w:val="00255015"/>
    <w:rsid w:val="0025769C"/>
    <w:rsid w:val="00260957"/>
    <w:rsid w:val="00260A11"/>
    <w:rsid w:val="00261484"/>
    <w:rsid w:val="0026169A"/>
    <w:rsid w:val="002618C1"/>
    <w:rsid w:val="00262763"/>
    <w:rsid w:val="00263A66"/>
    <w:rsid w:val="00264874"/>
    <w:rsid w:val="00264BEA"/>
    <w:rsid w:val="00264F3E"/>
    <w:rsid w:val="002651B4"/>
    <w:rsid w:val="00265D34"/>
    <w:rsid w:val="00267293"/>
    <w:rsid w:val="00267850"/>
    <w:rsid w:val="00270B9C"/>
    <w:rsid w:val="00271032"/>
    <w:rsid w:val="00271615"/>
    <w:rsid w:val="00271917"/>
    <w:rsid w:val="002735E7"/>
    <w:rsid w:val="00273B62"/>
    <w:rsid w:val="00273E3E"/>
    <w:rsid w:val="00274147"/>
    <w:rsid w:val="00274689"/>
    <w:rsid w:val="00275189"/>
    <w:rsid w:val="002756DC"/>
    <w:rsid w:val="00276412"/>
    <w:rsid w:val="00276437"/>
    <w:rsid w:val="00276C4B"/>
    <w:rsid w:val="0027708A"/>
    <w:rsid w:val="00277A16"/>
    <w:rsid w:val="00280053"/>
    <w:rsid w:val="0028063F"/>
    <w:rsid w:val="00280740"/>
    <w:rsid w:val="00283B02"/>
    <w:rsid w:val="00283C5D"/>
    <w:rsid w:val="002844B0"/>
    <w:rsid w:val="0028462D"/>
    <w:rsid w:val="00286322"/>
    <w:rsid w:val="002863B2"/>
    <w:rsid w:val="002863B6"/>
    <w:rsid w:val="00286760"/>
    <w:rsid w:val="00290BDB"/>
    <w:rsid w:val="0029295C"/>
    <w:rsid w:val="00292B7E"/>
    <w:rsid w:val="00293141"/>
    <w:rsid w:val="00295464"/>
    <w:rsid w:val="00295C6F"/>
    <w:rsid w:val="00295E0E"/>
    <w:rsid w:val="002966C5"/>
    <w:rsid w:val="00296B03"/>
    <w:rsid w:val="00296C1F"/>
    <w:rsid w:val="00297B7E"/>
    <w:rsid w:val="002A01CD"/>
    <w:rsid w:val="002A1215"/>
    <w:rsid w:val="002A1963"/>
    <w:rsid w:val="002A1C16"/>
    <w:rsid w:val="002A228A"/>
    <w:rsid w:val="002A2D21"/>
    <w:rsid w:val="002A2F6B"/>
    <w:rsid w:val="002A3543"/>
    <w:rsid w:val="002A36CD"/>
    <w:rsid w:val="002A3A90"/>
    <w:rsid w:val="002A41E6"/>
    <w:rsid w:val="002A44C8"/>
    <w:rsid w:val="002A5E48"/>
    <w:rsid w:val="002A7B94"/>
    <w:rsid w:val="002B0059"/>
    <w:rsid w:val="002B0455"/>
    <w:rsid w:val="002B261C"/>
    <w:rsid w:val="002B2BEE"/>
    <w:rsid w:val="002B35C5"/>
    <w:rsid w:val="002B37BA"/>
    <w:rsid w:val="002B3935"/>
    <w:rsid w:val="002B3A7E"/>
    <w:rsid w:val="002B406A"/>
    <w:rsid w:val="002B41D4"/>
    <w:rsid w:val="002B4F2F"/>
    <w:rsid w:val="002B53BC"/>
    <w:rsid w:val="002B543F"/>
    <w:rsid w:val="002B5D56"/>
    <w:rsid w:val="002B634A"/>
    <w:rsid w:val="002B7D73"/>
    <w:rsid w:val="002B7E7E"/>
    <w:rsid w:val="002C06E3"/>
    <w:rsid w:val="002C0801"/>
    <w:rsid w:val="002C145F"/>
    <w:rsid w:val="002C2063"/>
    <w:rsid w:val="002C33B3"/>
    <w:rsid w:val="002C3824"/>
    <w:rsid w:val="002C3C14"/>
    <w:rsid w:val="002C44B0"/>
    <w:rsid w:val="002C4E07"/>
    <w:rsid w:val="002C6EAC"/>
    <w:rsid w:val="002C7219"/>
    <w:rsid w:val="002D0586"/>
    <w:rsid w:val="002D0DBD"/>
    <w:rsid w:val="002D1023"/>
    <w:rsid w:val="002D1459"/>
    <w:rsid w:val="002D1470"/>
    <w:rsid w:val="002D21CF"/>
    <w:rsid w:val="002D3DB7"/>
    <w:rsid w:val="002D4705"/>
    <w:rsid w:val="002D56FD"/>
    <w:rsid w:val="002D5B65"/>
    <w:rsid w:val="002D6396"/>
    <w:rsid w:val="002D7E5E"/>
    <w:rsid w:val="002E00B5"/>
    <w:rsid w:val="002E07B4"/>
    <w:rsid w:val="002E07BA"/>
    <w:rsid w:val="002E07EF"/>
    <w:rsid w:val="002E0D06"/>
    <w:rsid w:val="002E1810"/>
    <w:rsid w:val="002E4E94"/>
    <w:rsid w:val="002E55FB"/>
    <w:rsid w:val="002E5909"/>
    <w:rsid w:val="002F030C"/>
    <w:rsid w:val="002F1716"/>
    <w:rsid w:val="002F1F28"/>
    <w:rsid w:val="002F43CA"/>
    <w:rsid w:val="002F447B"/>
    <w:rsid w:val="002F47D9"/>
    <w:rsid w:val="002F49C5"/>
    <w:rsid w:val="002F558B"/>
    <w:rsid w:val="002F57AA"/>
    <w:rsid w:val="002F6111"/>
    <w:rsid w:val="002F61EF"/>
    <w:rsid w:val="002F6EF7"/>
    <w:rsid w:val="002F714C"/>
    <w:rsid w:val="002F77BF"/>
    <w:rsid w:val="0030024B"/>
    <w:rsid w:val="00300356"/>
    <w:rsid w:val="003004A2"/>
    <w:rsid w:val="003018BF"/>
    <w:rsid w:val="0030346B"/>
    <w:rsid w:val="00303DD5"/>
    <w:rsid w:val="0030436D"/>
    <w:rsid w:val="003047F2"/>
    <w:rsid w:val="003058DA"/>
    <w:rsid w:val="00307B74"/>
    <w:rsid w:val="00310764"/>
    <w:rsid w:val="00311782"/>
    <w:rsid w:val="00311BFD"/>
    <w:rsid w:val="00313C39"/>
    <w:rsid w:val="00314718"/>
    <w:rsid w:val="0031488A"/>
    <w:rsid w:val="003175E1"/>
    <w:rsid w:val="00317776"/>
    <w:rsid w:val="00317BCE"/>
    <w:rsid w:val="00320203"/>
    <w:rsid w:val="00320D72"/>
    <w:rsid w:val="003216E7"/>
    <w:rsid w:val="00321D2C"/>
    <w:rsid w:val="00322002"/>
    <w:rsid w:val="00322985"/>
    <w:rsid w:val="003247B0"/>
    <w:rsid w:val="00325E81"/>
    <w:rsid w:val="0032630D"/>
    <w:rsid w:val="00326948"/>
    <w:rsid w:val="00327052"/>
    <w:rsid w:val="0033052D"/>
    <w:rsid w:val="0033148F"/>
    <w:rsid w:val="003316DD"/>
    <w:rsid w:val="00332375"/>
    <w:rsid w:val="0033268A"/>
    <w:rsid w:val="00333353"/>
    <w:rsid w:val="00333864"/>
    <w:rsid w:val="00334631"/>
    <w:rsid w:val="0033486D"/>
    <w:rsid w:val="00334C51"/>
    <w:rsid w:val="00335335"/>
    <w:rsid w:val="00336472"/>
    <w:rsid w:val="003367C4"/>
    <w:rsid w:val="00336D8E"/>
    <w:rsid w:val="0033702E"/>
    <w:rsid w:val="003376B3"/>
    <w:rsid w:val="003378F8"/>
    <w:rsid w:val="00337A6F"/>
    <w:rsid w:val="00337DD0"/>
    <w:rsid w:val="00344B28"/>
    <w:rsid w:val="00345143"/>
    <w:rsid w:val="00345F9C"/>
    <w:rsid w:val="0034757A"/>
    <w:rsid w:val="00347776"/>
    <w:rsid w:val="00347ABD"/>
    <w:rsid w:val="00350A02"/>
    <w:rsid w:val="00351A91"/>
    <w:rsid w:val="003520C4"/>
    <w:rsid w:val="00352920"/>
    <w:rsid w:val="003533AE"/>
    <w:rsid w:val="00354036"/>
    <w:rsid w:val="003546EB"/>
    <w:rsid w:val="00355E14"/>
    <w:rsid w:val="00357C5E"/>
    <w:rsid w:val="003608BD"/>
    <w:rsid w:val="00361280"/>
    <w:rsid w:val="003615F1"/>
    <w:rsid w:val="00361A6E"/>
    <w:rsid w:val="00363D7F"/>
    <w:rsid w:val="0036478D"/>
    <w:rsid w:val="00364A63"/>
    <w:rsid w:val="003650BA"/>
    <w:rsid w:val="003653BC"/>
    <w:rsid w:val="0036655E"/>
    <w:rsid w:val="00367C66"/>
    <w:rsid w:val="003700B2"/>
    <w:rsid w:val="00370810"/>
    <w:rsid w:val="00372323"/>
    <w:rsid w:val="0037233D"/>
    <w:rsid w:val="00373395"/>
    <w:rsid w:val="003736EF"/>
    <w:rsid w:val="003737E3"/>
    <w:rsid w:val="003756E5"/>
    <w:rsid w:val="00375AFA"/>
    <w:rsid w:val="00380A1A"/>
    <w:rsid w:val="00380D80"/>
    <w:rsid w:val="003826D5"/>
    <w:rsid w:val="00382981"/>
    <w:rsid w:val="00383181"/>
    <w:rsid w:val="003839EE"/>
    <w:rsid w:val="00383B0C"/>
    <w:rsid w:val="0038500E"/>
    <w:rsid w:val="0038539B"/>
    <w:rsid w:val="003861A1"/>
    <w:rsid w:val="0038720C"/>
    <w:rsid w:val="003873BC"/>
    <w:rsid w:val="0038761D"/>
    <w:rsid w:val="003901B3"/>
    <w:rsid w:val="003906F8"/>
    <w:rsid w:val="00390897"/>
    <w:rsid w:val="00391437"/>
    <w:rsid w:val="0039162D"/>
    <w:rsid w:val="00391799"/>
    <w:rsid w:val="003917FC"/>
    <w:rsid w:val="00391AE3"/>
    <w:rsid w:val="00391E60"/>
    <w:rsid w:val="003935EE"/>
    <w:rsid w:val="00393ADF"/>
    <w:rsid w:val="00393EE9"/>
    <w:rsid w:val="0039408A"/>
    <w:rsid w:val="0039458D"/>
    <w:rsid w:val="003945F5"/>
    <w:rsid w:val="0039673D"/>
    <w:rsid w:val="003975DA"/>
    <w:rsid w:val="00397893"/>
    <w:rsid w:val="00397DAE"/>
    <w:rsid w:val="003A0C37"/>
    <w:rsid w:val="003A0D1C"/>
    <w:rsid w:val="003A1A95"/>
    <w:rsid w:val="003A2407"/>
    <w:rsid w:val="003A2A68"/>
    <w:rsid w:val="003A2CF0"/>
    <w:rsid w:val="003A33D3"/>
    <w:rsid w:val="003A3880"/>
    <w:rsid w:val="003A4489"/>
    <w:rsid w:val="003A49AC"/>
    <w:rsid w:val="003A4ACA"/>
    <w:rsid w:val="003A4B52"/>
    <w:rsid w:val="003A5BC5"/>
    <w:rsid w:val="003A5C12"/>
    <w:rsid w:val="003A5D55"/>
    <w:rsid w:val="003A62D2"/>
    <w:rsid w:val="003A68BC"/>
    <w:rsid w:val="003A6922"/>
    <w:rsid w:val="003A75E6"/>
    <w:rsid w:val="003B255B"/>
    <w:rsid w:val="003B3226"/>
    <w:rsid w:val="003B3317"/>
    <w:rsid w:val="003B41EE"/>
    <w:rsid w:val="003B4B2F"/>
    <w:rsid w:val="003B52D4"/>
    <w:rsid w:val="003C1AA3"/>
    <w:rsid w:val="003C1CA5"/>
    <w:rsid w:val="003C1EC7"/>
    <w:rsid w:val="003C2F4C"/>
    <w:rsid w:val="003C3D8E"/>
    <w:rsid w:val="003C467F"/>
    <w:rsid w:val="003C515A"/>
    <w:rsid w:val="003C64A0"/>
    <w:rsid w:val="003C6F0B"/>
    <w:rsid w:val="003C7BA3"/>
    <w:rsid w:val="003D0D4D"/>
    <w:rsid w:val="003D1944"/>
    <w:rsid w:val="003D3EC5"/>
    <w:rsid w:val="003D403F"/>
    <w:rsid w:val="003D4E9C"/>
    <w:rsid w:val="003D585C"/>
    <w:rsid w:val="003D6D41"/>
    <w:rsid w:val="003E0D78"/>
    <w:rsid w:val="003E139F"/>
    <w:rsid w:val="003E1CB1"/>
    <w:rsid w:val="003E37DD"/>
    <w:rsid w:val="003E3A1D"/>
    <w:rsid w:val="003E5889"/>
    <w:rsid w:val="003E6CA0"/>
    <w:rsid w:val="003F1660"/>
    <w:rsid w:val="003F1F41"/>
    <w:rsid w:val="003F2CF6"/>
    <w:rsid w:val="003F2FDE"/>
    <w:rsid w:val="003F330B"/>
    <w:rsid w:val="003F5220"/>
    <w:rsid w:val="003F6FDF"/>
    <w:rsid w:val="003F745F"/>
    <w:rsid w:val="0040165F"/>
    <w:rsid w:val="004016F5"/>
    <w:rsid w:val="00402F72"/>
    <w:rsid w:val="004045AA"/>
    <w:rsid w:val="004046B9"/>
    <w:rsid w:val="00404F84"/>
    <w:rsid w:val="00405224"/>
    <w:rsid w:val="0040549A"/>
    <w:rsid w:val="004057C0"/>
    <w:rsid w:val="00405CC9"/>
    <w:rsid w:val="0040711E"/>
    <w:rsid w:val="00407419"/>
    <w:rsid w:val="00407D67"/>
    <w:rsid w:val="00412450"/>
    <w:rsid w:val="00413235"/>
    <w:rsid w:val="004138DE"/>
    <w:rsid w:val="00413B39"/>
    <w:rsid w:val="00414B2F"/>
    <w:rsid w:val="00414B5B"/>
    <w:rsid w:val="00415E58"/>
    <w:rsid w:val="00416231"/>
    <w:rsid w:val="0041645F"/>
    <w:rsid w:val="00416A96"/>
    <w:rsid w:val="004171CF"/>
    <w:rsid w:val="0042023E"/>
    <w:rsid w:val="004206D9"/>
    <w:rsid w:val="004208AB"/>
    <w:rsid w:val="004219EF"/>
    <w:rsid w:val="00421A72"/>
    <w:rsid w:val="00424348"/>
    <w:rsid w:val="00425CB5"/>
    <w:rsid w:val="00425E28"/>
    <w:rsid w:val="00426A9A"/>
    <w:rsid w:val="00426CD9"/>
    <w:rsid w:val="00426E4A"/>
    <w:rsid w:val="00427DEE"/>
    <w:rsid w:val="00430F1A"/>
    <w:rsid w:val="00430FEB"/>
    <w:rsid w:val="004310EE"/>
    <w:rsid w:val="00431688"/>
    <w:rsid w:val="00433677"/>
    <w:rsid w:val="004340D5"/>
    <w:rsid w:val="00434880"/>
    <w:rsid w:val="00434A21"/>
    <w:rsid w:val="0043526D"/>
    <w:rsid w:val="00436AC2"/>
    <w:rsid w:val="004371AA"/>
    <w:rsid w:val="00437465"/>
    <w:rsid w:val="00440070"/>
    <w:rsid w:val="00443114"/>
    <w:rsid w:val="00443712"/>
    <w:rsid w:val="00444474"/>
    <w:rsid w:val="004460E9"/>
    <w:rsid w:val="00446AB5"/>
    <w:rsid w:val="00447B6F"/>
    <w:rsid w:val="00450BDF"/>
    <w:rsid w:val="0045107E"/>
    <w:rsid w:val="0045134C"/>
    <w:rsid w:val="00453623"/>
    <w:rsid w:val="00453C11"/>
    <w:rsid w:val="004557B0"/>
    <w:rsid w:val="00457946"/>
    <w:rsid w:val="00457D8B"/>
    <w:rsid w:val="00457F4D"/>
    <w:rsid w:val="00460A17"/>
    <w:rsid w:val="00461534"/>
    <w:rsid w:val="00462F79"/>
    <w:rsid w:val="00463ECE"/>
    <w:rsid w:val="00464A5A"/>
    <w:rsid w:val="00470CB5"/>
    <w:rsid w:val="00471A67"/>
    <w:rsid w:val="00471EAB"/>
    <w:rsid w:val="004723EE"/>
    <w:rsid w:val="00474C41"/>
    <w:rsid w:val="00474D3B"/>
    <w:rsid w:val="00475A92"/>
    <w:rsid w:val="00475BF8"/>
    <w:rsid w:val="004765A0"/>
    <w:rsid w:val="00477090"/>
    <w:rsid w:val="00477BB9"/>
    <w:rsid w:val="004820DC"/>
    <w:rsid w:val="00482343"/>
    <w:rsid w:val="00483A57"/>
    <w:rsid w:val="00483EAC"/>
    <w:rsid w:val="00483F5E"/>
    <w:rsid w:val="004859EE"/>
    <w:rsid w:val="00487366"/>
    <w:rsid w:val="004873E4"/>
    <w:rsid w:val="0049072C"/>
    <w:rsid w:val="00490FD1"/>
    <w:rsid w:val="00491AD2"/>
    <w:rsid w:val="00492ABE"/>
    <w:rsid w:val="00492B4B"/>
    <w:rsid w:val="00492BF6"/>
    <w:rsid w:val="00492C6D"/>
    <w:rsid w:val="004935C0"/>
    <w:rsid w:val="00493B43"/>
    <w:rsid w:val="00494EB1"/>
    <w:rsid w:val="004959E0"/>
    <w:rsid w:val="00496414"/>
    <w:rsid w:val="0049737B"/>
    <w:rsid w:val="00497741"/>
    <w:rsid w:val="00497A38"/>
    <w:rsid w:val="00497D80"/>
    <w:rsid w:val="004A45BD"/>
    <w:rsid w:val="004A4656"/>
    <w:rsid w:val="004A4F90"/>
    <w:rsid w:val="004A5602"/>
    <w:rsid w:val="004A59EB"/>
    <w:rsid w:val="004A5D86"/>
    <w:rsid w:val="004A5ECB"/>
    <w:rsid w:val="004A69B8"/>
    <w:rsid w:val="004A77B0"/>
    <w:rsid w:val="004A77BB"/>
    <w:rsid w:val="004B08A9"/>
    <w:rsid w:val="004B0D99"/>
    <w:rsid w:val="004B16BB"/>
    <w:rsid w:val="004B1CED"/>
    <w:rsid w:val="004B34A7"/>
    <w:rsid w:val="004B3B06"/>
    <w:rsid w:val="004B3E79"/>
    <w:rsid w:val="004B4643"/>
    <w:rsid w:val="004B4E3D"/>
    <w:rsid w:val="004B503A"/>
    <w:rsid w:val="004B5154"/>
    <w:rsid w:val="004B5B9B"/>
    <w:rsid w:val="004B7694"/>
    <w:rsid w:val="004B782B"/>
    <w:rsid w:val="004B7F67"/>
    <w:rsid w:val="004C06BE"/>
    <w:rsid w:val="004C0938"/>
    <w:rsid w:val="004C1994"/>
    <w:rsid w:val="004C3A73"/>
    <w:rsid w:val="004C4A32"/>
    <w:rsid w:val="004C4E1E"/>
    <w:rsid w:val="004C5930"/>
    <w:rsid w:val="004C6883"/>
    <w:rsid w:val="004C70FC"/>
    <w:rsid w:val="004D2675"/>
    <w:rsid w:val="004D3413"/>
    <w:rsid w:val="004D4080"/>
    <w:rsid w:val="004D45EC"/>
    <w:rsid w:val="004D7300"/>
    <w:rsid w:val="004E05FD"/>
    <w:rsid w:val="004E12C6"/>
    <w:rsid w:val="004E1A0D"/>
    <w:rsid w:val="004E23F5"/>
    <w:rsid w:val="004E26F2"/>
    <w:rsid w:val="004E5418"/>
    <w:rsid w:val="004E5AE4"/>
    <w:rsid w:val="004E6019"/>
    <w:rsid w:val="004E6096"/>
    <w:rsid w:val="004E63E5"/>
    <w:rsid w:val="004E68D0"/>
    <w:rsid w:val="004E6B76"/>
    <w:rsid w:val="004E77CD"/>
    <w:rsid w:val="004E7E1E"/>
    <w:rsid w:val="004F03FB"/>
    <w:rsid w:val="004F07B7"/>
    <w:rsid w:val="004F0CC8"/>
    <w:rsid w:val="004F1437"/>
    <w:rsid w:val="004F24E0"/>
    <w:rsid w:val="004F3540"/>
    <w:rsid w:val="004F36EF"/>
    <w:rsid w:val="004F52DB"/>
    <w:rsid w:val="004F5624"/>
    <w:rsid w:val="004F5DA4"/>
    <w:rsid w:val="004F6066"/>
    <w:rsid w:val="004F62B2"/>
    <w:rsid w:val="004F6424"/>
    <w:rsid w:val="004F6D0F"/>
    <w:rsid w:val="0050113C"/>
    <w:rsid w:val="0050381C"/>
    <w:rsid w:val="005038D5"/>
    <w:rsid w:val="00503966"/>
    <w:rsid w:val="005040CD"/>
    <w:rsid w:val="00505229"/>
    <w:rsid w:val="00507932"/>
    <w:rsid w:val="00507D0D"/>
    <w:rsid w:val="00507F98"/>
    <w:rsid w:val="00510583"/>
    <w:rsid w:val="00510601"/>
    <w:rsid w:val="005108A3"/>
    <w:rsid w:val="00510F6E"/>
    <w:rsid w:val="00511422"/>
    <w:rsid w:val="005118AE"/>
    <w:rsid w:val="00513226"/>
    <w:rsid w:val="005134AF"/>
    <w:rsid w:val="00513500"/>
    <w:rsid w:val="00514CE9"/>
    <w:rsid w:val="0051587A"/>
    <w:rsid w:val="005158FA"/>
    <w:rsid w:val="00516436"/>
    <w:rsid w:val="005169AD"/>
    <w:rsid w:val="005172FF"/>
    <w:rsid w:val="00520069"/>
    <w:rsid w:val="005208B9"/>
    <w:rsid w:val="00521548"/>
    <w:rsid w:val="00521CED"/>
    <w:rsid w:val="00521CF4"/>
    <w:rsid w:val="005221F0"/>
    <w:rsid w:val="00522CDC"/>
    <w:rsid w:val="005235FB"/>
    <w:rsid w:val="005237F9"/>
    <w:rsid w:val="00523D2C"/>
    <w:rsid w:val="00524807"/>
    <w:rsid w:val="00524884"/>
    <w:rsid w:val="0052506E"/>
    <w:rsid w:val="005252FE"/>
    <w:rsid w:val="00525FF9"/>
    <w:rsid w:val="00527743"/>
    <w:rsid w:val="005324F1"/>
    <w:rsid w:val="00532C41"/>
    <w:rsid w:val="00532D3F"/>
    <w:rsid w:val="00532E61"/>
    <w:rsid w:val="0053386D"/>
    <w:rsid w:val="005345A1"/>
    <w:rsid w:val="00534700"/>
    <w:rsid w:val="00534CC1"/>
    <w:rsid w:val="00535AE7"/>
    <w:rsid w:val="00535C36"/>
    <w:rsid w:val="0053791F"/>
    <w:rsid w:val="00541788"/>
    <w:rsid w:val="00542BE4"/>
    <w:rsid w:val="00545C94"/>
    <w:rsid w:val="00547538"/>
    <w:rsid w:val="00551C21"/>
    <w:rsid w:val="00552EA4"/>
    <w:rsid w:val="00553BFA"/>
    <w:rsid w:val="00554976"/>
    <w:rsid w:val="00554D05"/>
    <w:rsid w:val="00555A58"/>
    <w:rsid w:val="00556A82"/>
    <w:rsid w:val="005573C6"/>
    <w:rsid w:val="0056077E"/>
    <w:rsid w:val="00560EDA"/>
    <w:rsid w:val="00561ED8"/>
    <w:rsid w:val="00562201"/>
    <w:rsid w:val="005629EE"/>
    <w:rsid w:val="005648FA"/>
    <w:rsid w:val="00564D50"/>
    <w:rsid w:val="00566CE3"/>
    <w:rsid w:val="00567346"/>
    <w:rsid w:val="00570B7C"/>
    <w:rsid w:val="00572ECC"/>
    <w:rsid w:val="005733A9"/>
    <w:rsid w:val="0057371B"/>
    <w:rsid w:val="00573960"/>
    <w:rsid w:val="00575EB8"/>
    <w:rsid w:val="00576D8C"/>
    <w:rsid w:val="00577535"/>
    <w:rsid w:val="005813B3"/>
    <w:rsid w:val="00582A9B"/>
    <w:rsid w:val="005832AB"/>
    <w:rsid w:val="0058437C"/>
    <w:rsid w:val="00584F9D"/>
    <w:rsid w:val="00585D03"/>
    <w:rsid w:val="005868A7"/>
    <w:rsid w:val="00586BC4"/>
    <w:rsid w:val="00586E85"/>
    <w:rsid w:val="00591152"/>
    <w:rsid w:val="005925BE"/>
    <w:rsid w:val="00592D97"/>
    <w:rsid w:val="005935F4"/>
    <w:rsid w:val="00593E0A"/>
    <w:rsid w:val="00594755"/>
    <w:rsid w:val="0059741C"/>
    <w:rsid w:val="00597EC4"/>
    <w:rsid w:val="005A0EEC"/>
    <w:rsid w:val="005A11B3"/>
    <w:rsid w:val="005A150C"/>
    <w:rsid w:val="005A167F"/>
    <w:rsid w:val="005A1BB6"/>
    <w:rsid w:val="005A1F36"/>
    <w:rsid w:val="005A24E3"/>
    <w:rsid w:val="005A346E"/>
    <w:rsid w:val="005A73CF"/>
    <w:rsid w:val="005B01C6"/>
    <w:rsid w:val="005B3DFF"/>
    <w:rsid w:val="005B3F6F"/>
    <w:rsid w:val="005B6997"/>
    <w:rsid w:val="005B702E"/>
    <w:rsid w:val="005B798B"/>
    <w:rsid w:val="005C1A82"/>
    <w:rsid w:val="005C1FAE"/>
    <w:rsid w:val="005C2A0A"/>
    <w:rsid w:val="005C39E8"/>
    <w:rsid w:val="005C5660"/>
    <w:rsid w:val="005C72D2"/>
    <w:rsid w:val="005C72E3"/>
    <w:rsid w:val="005D01D3"/>
    <w:rsid w:val="005D0484"/>
    <w:rsid w:val="005D3A0C"/>
    <w:rsid w:val="005D4B68"/>
    <w:rsid w:val="005D5D8C"/>
    <w:rsid w:val="005D5E7C"/>
    <w:rsid w:val="005D6A69"/>
    <w:rsid w:val="005E051C"/>
    <w:rsid w:val="005E11C1"/>
    <w:rsid w:val="005E12E5"/>
    <w:rsid w:val="005E2563"/>
    <w:rsid w:val="005E2883"/>
    <w:rsid w:val="005E394C"/>
    <w:rsid w:val="005E42BF"/>
    <w:rsid w:val="005E4401"/>
    <w:rsid w:val="005E4E70"/>
    <w:rsid w:val="005E53AF"/>
    <w:rsid w:val="005E65BB"/>
    <w:rsid w:val="005F0DA0"/>
    <w:rsid w:val="005F193F"/>
    <w:rsid w:val="005F24F8"/>
    <w:rsid w:val="005F2767"/>
    <w:rsid w:val="005F2A2C"/>
    <w:rsid w:val="005F4914"/>
    <w:rsid w:val="005F5610"/>
    <w:rsid w:val="005F5B26"/>
    <w:rsid w:val="005F62B7"/>
    <w:rsid w:val="005F6869"/>
    <w:rsid w:val="005F6B46"/>
    <w:rsid w:val="005F6BB9"/>
    <w:rsid w:val="006006AE"/>
    <w:rsid w:val="00601A41"/>
    <w:rsid w:val="00603148"/>
    <w:rsid w:val="00604768"/>
    <w:rsid w:val="00605E14"/>
    <w:rsid w:val="006061DF"/>
    <w:rsid w:val="0060679E"/>
    <w:rsid w:val="00606FC7"/>
    <w:rsid w:val="0061005F"/>
    <w:rsid w:val="00610456"/>
    <w:rsid w:val="00611473"/>
    <w:rsid w:val="00611B36"/>
    <w:rsid w:val="00611D66"/>
    <w:rsid w:val="00613A34"/>
    <w:rsid w:val="00614FC1"/>
    <w:rsid w:val="00615ADA"/>
    <w:rsid w:val="00616717"/>
    <w:rsid w:val="00620600"/>
    <w:rsid w:val="0062098B"/>
    <w:rsid w:val="00620B07"/>
    <w:rsid w:val="006221CD"/>
    <w:rsid w:val="0062408F"/>
    <w:rsid w:val="00626305"/>
    <w:rsid w:val="006266A9"/>
    <w:rsid w:val="00630426"/>
    <w:rsid w:val="00630518"/>
    <w:rsid w:val="006316C1"/>
    <w:rsid w:val="00631ED4"/>
    <w:rsid w:val="006321D3"/>
    <w:rsid w:val="00633BC7"/>
    <w:rsid w:val="00633E9F"/>
    <w:rsid w:val="00635AC7"/>
    <w:rsid w:val="00635E9C"/>
    <w:rsid w:val="00636263"/>
    <w:rsid w:val="00637B41"/>
    <w:rsid w:val="00637D70"/>
    <w:rsid w:val="00640C8C"/>
    <w:rsid w:val="006414EE"/>
    <w:rsid w:val="00642524"/>
    <w:rsid w:val="0064274E"/>
    <w:rsid w:val="00642D0A"/>
    <w:rsid w:val="00644608"/>
    <w:rsid w:val="0064630E"/>
    <w:rsid w:val="00646FE1"/>
    <w:rsid w:val="00647075"/>
    <w:rsid w:val="00647667"/>
    <w:rsid w:val="0065070A"/>
    <w:rsid w:val="00650C66"/>
    <w:rsid w:val="00651B15"/>
    <w:rsid w:val="0065581D"/>
    <w:rsid w:val="00655B9F"/>
    <w:rsid w:val="00655C2F"/>
    <w:rsid w:val="00657A17"/>
    <w:rsid w:val="00660403"/>
    <w:rsid w:val="00661140"/>
    <w:rsid w:val="0066148D"/>
    <w:rsid w:val="00661E18"/>
    <w:rsid w:val="00662C35"/>
    <w:rsid w:val="00662DD1"/>
    <w:rsid w:val="00664576"/>
    <w:rsid w:val="006656FC"/>
    <w:rsid w:val="00666C11"/>
    <w:rsid w:val="006702CF"/>
    <w:rsid w:val="00670FDD"/>
    <w:rsid w:val="006710DD"/>
    <w:rsid w:val="00671943"/>
    <w:rsid w:val="00673200"/>
    <w:rsid w:val="00673C6A"/>
    <w:rsid w:val="0067501E"/>
    <w:rsid w:val="00676232"/>
    <w:rsid w:val="006762CB"/>
    <w:rsid w:val="00676581"/>
    <w:rsid w:val="00676C85"/>
    <w:rsid w:val="0067727A"/>
    <w:rsid w:val="006773D2"/>
    <w:rsid w:val="00680581"/>
    <w:rsid w:val="00681499"/>
    <w:rsid w:val="00681A41"/>
    <w:rsid w:val="006821B2"/>
    <w:rsid w:val="006838C0"/>
    <w:rsid w:val="00685800"/>
    <w:rsid w:val="00685901"/>
    <w:rsid w:val="00685BB9"/>
    <w:rsid w:val="00687065"/>
    <w:rsid w:val="00690127"/>
    <w:rsid w:val="00691BFF"/>
    <w:rsid w:val="006932EC"/>
    <w:rsid w:val="006953C1"/>
    <w:rsid w:val="00696EB2"/>
    <w:rsid w:val="00697034"/>
    <w:rsid w:val="00697570"/>
    <w:rsid w:val="006A16E9"/>
    <w:rsid w:val="006A22F8"/>
    <w:rsid w:val="006A5450"/>
    <w:rsid w:val="006A5848"/>
    <w:rsid w:val="006A71CE"/>
    <w:rsid w:val="006B0199"/>
    <w:rsid w:val="006B0A32"/>
    <w:rsid w:val="006B0BD8"/>
    <w:rsid w:val="006B2255"/>
    <w:rsid w:val="006B4557"/>
    <w:rsid w:val="006B5EA7"/>
    <w:rsid w:val="006B6E4B"/>
    <w:rsid w:val="006B7219"/>
    <w:rsid w:val="006B7EA5"/>
    <w:rsid w:val="006C0251"/>
    <w:rsid w:val="006C1880"/>
    <w:rsid w:val="006C1C0A"/>
    <w:rsid w:val="006C2938"/>
    <w:rsid w:val="006C2B9A"/>
    <w:rsid w:val="006C39BB"/>
    <w:rsid w:val="006C4502"/>
    <w:rsid w:val="006C6114"/>
    <w:rsid w:val="006C6D31"/>
    <w:rsid w:val="006C76A2"/>
    <w:rsid w:val="006C7DEF"/>
    <w:rsid w:val="006D1654"/>
    <w:rsid w:val="006D2288"/>
    <w:rsid w:val="006D3476"/>
    <w:rsid w:val="006D3AF5"/>
    <w:rsid w:val="006D4464"/>
    <w:rsid w:val="006D5E91"/>
    <w:rsid w:val="006D74FE"/>
    <w:rsid w:val="006D7BEC"/>
    <w:rsid w:val="006E108A"/>
    <w:rsid w:val="006E14E6"/>
    <w:rsid w:val="006E188C"/>
    <w:rsid w:val="006E1AEE"/>
    <w:rsid w:val="006E2F52"/>
    <w:rsid w:val="006E32A9"/>
    <w:rsid w:val="006E3B9C"/>
    <w:rsid w:val="006E42C7"/>
    <w:rsid w:val="006E51A2"/>
    <w:rsid w:val="006E5CAC"/>
    <w:rsid w:val="006E69B0"/>
    <w:rsid w:val="006E7531"/>
    <w:rsid w:val="006F0DE2"/>
    <w:rsid w:val="006F11BD"/>
    <w:rsid w:val="006F1268"/>
    <w:rsid w:val="006F1690"/>
    <w:rsid w:val="006F2075"/>
    <w:rsid w:val="006F25B4"/>
    <w:rsid w:val="006F30ED"/>
    <w:rsid w:val="006F32C7"/>
    <w:rsid w:val="006F3495"/>
    <w:rsid w:val="006F3E65"/>
    <w:rsid w:val="006F417D"/>
    <w:rsid w:val="006F5645"/>
    <w:rsid w:val="006F5A8B"/>
    <w:rsid w:val="006F5C83"/>
    <w:rsid w:val="006F6164"/>
    <w:rsid w:val="006F618E"/>
    <w:rsid w:val="006F67CC"/>
    <w:rsid w:val="006F6B89"/>
    <w:rsid w:val="006F7CA2"/>
    <w:rsid w:val="00700F31"/>
    <w:rsid w:val="00701133"/>
    <w:rsid w:val="00701C2D"/>
    <w:rsid w:val="00702162"/>
    <w:rsid w:val="00702F94"/>
    <w:rsid w:val="00703930"/>
    <w:rsid w:val="00704664"/>
    <w:rsid w:val="007046D2"/>
    <w:rsid w:val="00704C13"/>
    <w:rsid w:val="0070610E"/>
    <w:rsid w:val="00707759"/>
    <w:rsid w:val="00710081"/>
    <w:rsid w:val="00710B0D"/>
    <w:rsid w:val="00713924"/>
    <w:rsid w:val="00713CB5"/>
    <w:rsid w:val="00713EC6"/>
    <w:rsid w:val="00714E3F"/>
    <w:rsid w:val="0071558B"/>
    <w:rsid w:val="0071588E"/>
    <w:rsid w:val="00716CB0"/>
    <w:rsid w:val="007176DD"/>
    <w:rsid w:val="0071776A"/>
    <w:rsid w:val="00717A3F"/>
    <w:rsid w:val="00721189"/>
    <w:rsid w:val="007221C3"/>
    <w:rsid w:val="00722F2C"/>
    <w:rsid w:val="00723245"/>
    <w:rsid w:val="00723CCF"/>
    <w:rsid w:val="007240FD"/>
    <w:rsid w:val="00724D19"/>
    <w:rsid w:val="00724EF7"/>
    <w:rsid w:val="007254D1"/>
    <w:rsid w:val="00725B32"/>
    <w:rsid w:val="00725B3C"/>
    <w:rsid w:val="00725E2D"/>
    <w:rsid w:val="00726879"/>
    <w:rsid w:val="00730E8C"/>
    <w:rsid w:val="00731AF3"/>
    <w:rsid w:val="00731BBA"/>
    <w:rsid w:val="00733938"/>
    <w:rsid w:val="00733D54"/>
    <w:rsid w:val="00733DA9"/>
    <w:rsid w:val="007341A3"/>
    <w:rsid w:val="00734F21"/>
    <w:rsid w:val="00736A4F"/>
    <w:rsid w:val="00737753"/>
    <w:rsid w:val="00737768"/>
    <w:rsid w:val="00740CE9"/>
    <w:rsid w:val="00741D2C"/>
    <w:rsid w:val="007428E3"/>
    <w:rsid w:val="00743929"/>
    <w:rsid w:val="0074394E"/>
    <w:rsid w:val="0074422D"/>
    <w:rsid w:val="0074655A"/>
    <w:rsid w:val="00746BA6"/>
    <w:rsid w:val="00750D0A"/>
    <w:rsid w:val="007517D9"/>
    <w:rsid w:val="00751D93"/>
    <w:rsid w:val="00752300"/>
    <w:rsid w:val="00753BF5"/>
    <w:rsid w:val="007546F8"/>
    <w:rsid w:val="0075579B"/>
    <w:rsid w:val="00755BAB"/>
    <w:rsid w:val="0076080E"/>
    <w:rsid w:val="00762137"/>
    <w:rsid w:val="00762BE6"/>
    <w:rsid w:val="00762D72"/>
    <w:rsid w:val="0076411D"/>
    <w:rsid w:val="00764272"/>
    <w:rsid w:val="007644AD"/>
    <w:rsid w:val="00764997"/>
    <w:rsid w:val="00765378"/>
    <w:rsid w:val="007659D8"/>
    <w:rsid w:val="007666DA"/>
    <w:rsid w:val="007670F8"/>
    <w:rsid w:val="007671D4"/>
    <w:rsid w:val="00770842"/>
    <w:rsid w:val="007709E3"/>
    <w:rsid w:val="00770A85"/>
    <w:rsid w:val="007718E3"/>
    <w:rsid w:val="00772B81"/>
    <w:rsid w:val="00773514"/>
    <w:rsid w:val="00773CDE"/>
    <w:rsid w:val="00773DC9"/>
    <w:rsid w:val="0077572E"/>
    <w:rsid w:val="007768CF"/>
    <w:rsid w:val="00777605"/>
    <w:rsid w:val="00777BE4"/>
    <w:rsid w:val="0078031B"/>
    <w:rsid w:val="007803C6"/>
    <w:rsid w:val="00780B35"/>
    <w:rsid w:val="007818A3"/>
    <w:rsid w:val="00782432"/>
    <w:rsid w:val="007825E6"/>
    <w:rsid w:val="007832A9"/>
    <w:rsid w:val="00784F44"/>
    <w:rsid w:val="007865EB"/>
    <w:rsid w:val="00786672"/>
    <w:rsid w:val="007872CF"/>
    <w:rsid w:val="00790156"/>
    <w:rsid w:val="00790E9D"/>
    <w:rsid w:val="0079201C"/>
    <w:rsid w:val="0079307F"/>
    <w:rsid w:val="007940C5"/>
    <w:rsid w:val="007944F8"/>
    <w:rsid w:val="007947C4"/>
    <w:rsid w:val="00795CE1"/>
    <w:rsid w:val="007A0646"/>
    <w:rsid w:val="007A06AC"/>
    <w:rsid w:val="007A107E"/>
    <w:rsid w:val="007A1A12"/>
    <w:rsid w:val="007A2EAD"/>
    <w:rsid w:val="007A4636"/>
    <w:rsid w:val="007A488D"/>
    <w:rsid w:val="007A6117"/>
    <w:rsid w:val="007B0CC0"/>
    <w:rsid w:val="007B1014"/>
    <w:rsid w:val="007B103F"/>
    <w:rsid w:val="007B1220"/>
    <w:rsid w:val="007B1484"/>
    <w:rsid w:val="007B1A10"/>
    <w:rsid w:val="007B1C20"/>
    <w:rsid w:val="007B31AB"/>
    <w:rsid w:val="007B3268"/>
    <w:rsid w:val="007B42D3"/>
    <w:rsid w:val="007B46D9"/>
    <w:rsid w:val="007B5627"/>
    <w:rsid w:val="007B6659"/>
    <w:rsid w:val="007B6C39"/>
    <w:rsid w:val="007B7032"/>
    <w:rsid w:val="007B76AB"/>
    <w:rsid w:val="007B7C10"/>
    <w:rsid w:val="007B7DBD"/>
    <w:rsid w:val="007C0E2E"/>
    <w:rsid w:val="007C45D3"/>
    <w:rsid w:val="007C597B"/>
    <w:rsid w:val="007C6888"/>
    <w:rsid w:val="007C760C"/>
    <w:rsid w:val="007D08FD"/>
    <w:rsid w:val="007D1584"/>
    <w:rsid w:val="007D2044"/>
    <w:rsid w:val="007D27F3"/>
    <w:rsid w:val="007D405E"/>
    <w:rsid w:val="007D4F33"/>
    <w:rsid w:val="007D554B"/>
    <w:rsid w:val="007D5D59"/>
    <w:rsid w:val="007D600D"/>
    <w:rsid w:val="007D65C7"/>
    <w:rsid w:val="007D74D2"/>
    <w:rsid w:val="007D79B5"/>
    <w:rsid w:val="007E0E9D"/>
    <w:rsid w:val="007E0F66"/>
    <w:rsid w:val="007E2334"/>
    <w:rsid w:val="007E23CE"/>
    <w:rsid w:val="007E2CE7"/>
    <w:rsid w:val="007E3CA7"/>
    <w:rsid w:val="007E43D0"/>
    <w:rsid w:val="007E4F00"/>
    <w:rsid w:val="007E54F8"/>
    <w:rsid w:val="007E5987"/>
    <w:rsid w:val="007E5BD8"/>
    <w:rsid w:val="007E7BF9"/>
    <w:rsid w:val="007F02BC"/>
    <w:rsid w:val="007F1B97"/>
    <w:rsid w:val="007F1D17"/>
    <w:rsid w:val="007F20D7"/>
    <w:rsid w:val="007F2E65"/>
    <w:rsid w:val="007F43BA"/>
    <w:rsid w:val="007F45D1"/>
    <w:rsid w:val="007F64BE"/>
    <w:rsid w:val="007F6DC3"/>
    <w:rsid w:val="007F7D7A"/>
    <w:rsid w:val="008006B4"/>
    <w:rsid w:val="008015B6"/>
    <w:rsid w:val="00802DF8"/>
    <w:rsid w:val="00802E5C"/>
    <w:rsid w:val="00803F29"/>
    <w:rsid w:val="00803FD4"/>
    <w:rsid w:val="0080481C"/>
    <w:rsid w:val="00804C54"/>
    <w:rsid w:val="008056DD"/>
    <w:rsid w:val="008058A4"/>
    <w:rsid w:val="0081104C"/>
    <w:rsid w:val="008121F2"/>
    <w:rsid w:val="008128E3"/>
    <w:rsid w:val="00812D16"/>
    <w:rsid w:val="008146F8"/>
    <w:rsid w:val="00816C51"/>
    <w:rsid w:val="00816C84"/>
    <w:rsid w:val="00820A0C"/>
    <w:rsid w:val="00820F65"/>
    <w:rsid w:val="008217D1"/>
    <w:rsid w:val="00821865"/>
    <w:rsid w:val="00821DBA"/>
    <w:rsid w:val="008225EB"/>
    <w:rsid w:val="0082327D"/>
    <w:rsid w:val="0082426C"/>
    <w:rsid w:val="0082433D"/>
    <w:rsid w:val="00824AD0"/>
    <w:rsid w:val="00824BA2"/>
    <w:rsid w:val="008257BD"/>
    <w:rsid w:val="00826509"/>
    <w:rsid w:val="00826B19"/>
    <w:rsid w:val="008271B4"/>
    <w:rsid w:val="0082785E"/>
    <w:rsid w:val="00830125"/>
    <w:rsid w:val="00830A31"/>
    <w:rsid w:val="00830F80"/>
    <w:rsid w:val="00832200"/>
    <w:rsid w:val="0083354D"/>
    <w:rsid w:val="00834B7C"/>
    <w:rsid w:val="00834E6A"/>
    <w:rsid w:val="0083546A"/>
    <w:rsid w:val="0083561B"/>
    <w:rsid w:val="008360B1"/>
    <w:rsid w:val="00836200"/>
    <w:rsid w:val="00836A30"/>
    <w:rsid w:val="00837011"/>
    <w:rsid w:val="00837421"/>
    <w:rsid w:val="00837635"/>
    <w:rsid w:val="00837D78"/>
    <w:rsid w:val="00840D79"/>
    <w:rsid w:val="00841FFD"/>
    <w:rsid w:val="00842043"/>
    <w:rsid w:val="00842A21"/>
    <w:rsid w:val="00845AA0"/>
    <w:rsid w:val="00845DAD"/>
    <w:rsid w:val="00846919"/>
    <w:rsid w:val="00847863"/>
    <w:rsid w:val="008505D2"/>
    <w:rsid w:val="0085069B"/>
    <w:rsid w:val="00851377"/>
    <w:rsid w:val="00851D95"/>
    <w:rsid w:val="0085437C"/>
    <w:rsid w:val="008547F3"/>
    <w:rsid w:val="00854B2F"/>
    <w:rsid w:val="00855481"/>
    <w:rsid w:val="00856224"/>
    <w:rsid w:val="00856354"/>
    <w:rsid w:val="008565E3"/>
    <w:rsid w:val="008568E1"/>
    <w:rsid w:val="00856BE9"/>
    <w:rsid w:val="008578F8"/>
    <w:rsid w:val="00860566"/>
    <w:rsid w:val="0086165C"/>
    <w:rsid w:val="00861B26"/>
    <w:rsid w:val="00862EED"/>
    <w:rsid w:val="00863BAD"/>
    <w:rsid w:val="008643FC"/>
    <w:rsid w:val="008649B9"/>
    <w:rsid w:val="00865023"/>
    <w:rsid w:val="00865461"/>
    <w:rsid w:val="00865953"/>
    <w:rsid w:val="00866377"/>
    <w:rsid w:val="0086784F"/>
    <w:rsid w:val="00870394"/>
    <w:rsid w:val="0087073B"/>
    <w:rsid w:val="008707B3"/>
    <w:rsid w:val="00871BE6"/>
    <w:rsid w:val="008720CB"/>
    <w:rsid w:val="00872BE5"/>
    <w:rsid w:val="00873967"/>
    <w:rsid w:val="00873D52"/>
    <w:rsid w:val="0087576A"/>
    <w:rsid w:val="008770D4"/>
    <w:rsid w:val="008800E5"/>
    <w:rsid w:val="008808BB"/>
    <w:rsid w:val="008809DB"/>
    <w:rsid w:val="0088127F"/>
    <w:rsid w:val="008815EF"/>
    <w:rsid w:val="008822D0"/>
    <w:rsid w:val="00882BCB"/>
    <w:rsid w:val="0088495B"/>
    <w:rsid w:val="00884FE9"/>
    <w:rsid w:val="00885273"/>
    <w:rsid w:val="00885F2C"/>
    <w:rsid w:val="00886386"/>
    <w:rsid w:val="0088701C"/>
    <w:rsid w:val="00887060"/>
    <w:rsid w:val="00890D6C"/>
    <w:rsid w:val="00892459"/>
    <w:rsid w:val="008929AA"/>
    <w:rsid w:val="00892AA5"/>
    <w:rsid w:val="0089499B"/>
    <w:rsid w:val="00894ACA"/>
    <w:rsid w:val="00894EC5"/>
    <w:rsid w:val="00895E1A"/>
    <w:rsid w:val="00896658"/>
    <w:rsid w:val="008967B5"/>
    <w:rsid w:val="008976EA"/>
    <w:rsid w:val="008A03AC"/>
    <w:rsid w:val="008A04FA"/>
    <w:rsid w:val="008A1008"/>
    <w:rsid w:val="008A345A"/>
    <w:rsid w:val="008A3DB9"/>
    <w:rsid w:val="008A5ED8"/>
    <w:rsid w:val="008A604D"/>
    <w:rsid w:val="008A68D0"/>
    <w:rsid w:val="008A6A5C"/>
    <w:rsid w:val="008A7316"/>
    <w:rsid w:val="008B025F"/>
    <w:rsid w:val="008B1CAF"/>
    <w:rsid w:val="008B28B0"/>
    <w:rsid w:val="008B2FBB"/>
    <w:rsid w:val="008B3125"/>
    <w:rsid w:val="008B4A1C"/>
    <w:rsid w:val="008B500A"/>
    <w:rsid w:val="008B6931"/>
    <w:rsid w:val="008B747A"/>
    <w:rsid w:val="008C106E"/>
    <w:rsid w:val="008C1610"/>
    <w:rsid w:val="008C1783"/>
    <w:rsid w:val="008C1D3C"/>
    <w:rsid w:val="008C2F1E"/>
    <w:rsid w:val="008C3006"/>
    <w:rsid w:val="008C30E5"/>
    <w:rsid w:val="008C3490"/>
    <w:rsid w:val="008C3B5B"/>
    <w:rsid w:val="008C409F"/>
    <w:rsid w:val="008C5B72"/>
    <w:rsid w:val="008C5FAE"/>
    <w:rsid w:val="008C602D"/>
    <w:rsid w:val="008C6BCC"/>
    <w:rsid w:val="008C7B15"/>
    <w:rsid w:val="008D098D"/>
    <w:rsid w:val="008D135A"/>
    <w:rsid w:val="008D2205"/>
    <w:rsid w:val="008D2331"/>
    <w:rsid w:val="008D2B1B"/>
    <w:rsid w:val="008D347F"/>
    <w:rsid w:val="008D35AD"/>
    <w:rsid w:val="008D36CD"/>
    <w:rsid w:val="008D3702"/>
    <w:rsid w:val="008D3B3E"/>
    <w:rsid w:val="008D410B"/>
    <w:rsid w:val="008D4380"/>
    <w:rsid w:val="008D48D1"/>
    <w:rsid w:val="008D6BE8"/>
    <w:rsid w:val="008D7645"/>
    <w:rsid w:val="008E27E9"/>
    <w:rsid w:val="008E369F"/>
    <w:rsid w:val="008E42DE"/>
    <w:rsid w:val="008E4D69"/>
    <w:rsid w:val="008E6028"/>
    <w:rsid w:val="008F2C49"/>
    <w:rsid w:val="008F36F0"/>
    <w:rsid w:val="008F3C6B"/>
    <w:rsid w:val="008F5A55"/>
    <w:rsid w:val="008F66BC"/>
    <w:rsid w:val="008F7CFF"/>
    <w:rsid w:val="008F7ED1"/>
    <w:rsid w:val="0090085D"/>
    <w:rsid w:val="009008CF"/>
    <w:rsid w:val="00901C8D"/>
    <w:rsid w:val="00901F28"/>
    <w:rsid w:val="0090227D"/>
    <w:rsid w:val="00904A4D"/>
    <w:rsid w:val="0090515E"/>
    <w:rsid w:val="00905643"/>
    <w:rsid w:val="009057A8"/>
    <w:rsid w:val="00905EE9"/>
    <w:rsid w:val="009065F4"/>
    <w:rsid w:val="009075A7"/>
    <w:rsid w:val="00907DFB"/>
    <w:rsid w:val="0091047A"/>
    <w:rsid w:val="00910624"/>
    <w:rsid w:val="00910ED5"/>
    <w:rsid w:val="00910FBA"/>
    <w:rsid w:val="00911D39"/>
    <w:rsid w:val="00912B9F"/>
    <w:rsid w:val="00912C55"/>
    <w:rsid w:val="00914E17"/>
    <w:rsid w:val="009173B0"/>
    <w:rsid w:val="00917C0F"/>
    <w:rsid w:val="0092040E"/>
    <w:rsid w:val="00920C6C"/>
    <w:rsid w:val="00921897"/>
    <w:rsid w:val="00921A3F"/>
    <w:rsid w:val="00921C6D"/>
    <w:rsid w:val="009223FF"/>
    <w:rsid w:val="009227D9"/>
    <w:rsid w:val="00922F3E"/>
    <w:rsid w:val="00923C44"/>
    <w:rsid w:val="00926123"/>
    <w:rsid w:val="00926691"/>
    <w:rsid w:val="00927791"/>
    <w:rsid w:val="00930607"/>
    <w:rsid w:val="00930D0A"/>
    <w:rsid w:val="00931437"/>
    <w:rsid w:val="00931E42"/>
    <w:rsid w:val="009329BA"/>
    <w:rsid w:val="00932EF7"/>
    <w:rsid w:val="0093304D"/>
    <w:rsid w:val="00936939"/>
    <w:rsid w:val="009379E9"/>
    <w:rsid w:val="00937E4F"/>
    <w:rsid w:val="0094053B"/>
    <w:rsid w:val="009417E1"/>
    <w:rsid w:val="00941DF6"/>
    <w:rsid w:val="00942040"/>
    <w:rsid w:val="00942C9F"/>
    <w:rsid w:val="00943D4D"/>
    <w:rsid w:val="0094413E"/>
    <w:rsid w:val="00944167"/>
    <w:rsid w:val="00945631"/>
    <w:rsid w:val="00945A2D"/>
    <w:rsid w:val="00947549"/>
    <w:rsid w:val="009477BE"/>
    <w:rsid w:val="00947CF3"/>
    <w:rsid w:val="00953014"/>
    <w:rsid w:val="00953197"/>
    <w:rsid w:val="009550D1"/>
    <w:rsid w:val="00955592"/>
    <w:rsid w:val="0095792C"/>
    <w:rsid w:val="0095793C"/>
    <w:rsid w:val="00957947"/>
    <w:rsid w:val="0096111E"/>
    <w:rsid w:val="00961125"/>
    <w:rsid w:val="009623D8"/>
    <w:rsid w:val="00962FCB"/>
    <w:rsid w:val="00963362"/>
    <w:rsid w:val="009636E4"/>
    <w:rsid w:val="009638FA"/>
    <w:rsid w:val="00963A4A"/>
    <w:rsid w:val="00963BD1"/>
    <w:rsid w:val="00964D27"/>
    <w:rsid w:val="00966B1F"/>
    <w:rsid w:val="009675A4"/>
    <w:rsid w:val="00970A7E"/>
    <w:rsid w:val="0097116E"/>
    <w:rsid w:val="009730CC"/>
    <w:rsid w:val="0097412F"/>
    <w:rsid w:val="00974518"/>
    <w:rsid w:val="009756B8"/>
    <w:rsid w:val="00976815"/>
    <w:rsid w:val="009775B8"/>
    <w:rsid w:val="00980FE0"/>
    <w:rsid w:val="009810CA"/>
    <w:rsid w:val="00981C07"/>
    <w:rsid w:val="009845D5"/>
    <w:rsid w:val="00985F8B"/>
    <w:rsid w:val="00990C3B"/>
    <w:rsid w:val="00991CBD"/>
    <w:rsid w:val="009921E6"/>
    <w:rsid w:val="009928B7"/>
    <w:rsid w:val="00992AC7"/>
    <w:rsid w:val="0099321A"/>
    <w:rsid w:val="009943AC"/>
    <w:rsid w:val="009947E8"/>
    <w:rsid w:val="009960B7"/>
    <w:rsid w:val="00996898"/>
    <w:rsid w:val="00996F08"/>
    <w:rsid w:val="009972FE"/>
    <w:rsid w:val="009A1D28"/>
    <w:rsid w:val="009A6DB9"/>
    <w:rsid w:val="009A7275"/>
    <w:rsid w:val="009A77C0"/>
    <w:rsid w:val="009B2C33"/>
    <w:rsid w:val="009B3A47"/>
    <w:rsid w:val="009B4A6E"/>
    <w:rsid w:val="009B536C"/>
    <w:rsid w:val="009B5C19"/>
    <w:rsid w:val="009B6496"/>
    <w:rsid w:val="009C01DA"/>
    <w:rsid w:val="009C1528"/>
    <w:rsid w:val="009C1725"/>
    <w:rsid w:val="009C20CC"/>
    <w:rsid w:val="009C2BDF"/>
    <w:rsid w:val="009C3558"/>
    <w:rsid w:val="009C3D5E"/>
    <w:rsid w:val="009C4E8C"/>
    <w:rsid w:val="009C506B"/>
    <w:rsid w:val="009C562E"/>
    <w:rsid w:val="009C5AA7"/>
    <w:rsid w:val="009C5E44"/>
    <w:rsid w:val="009C7531"/>
    <w:rsid w:val="009C76F4"/>
    <w:rsid w:val="009C7CB9"/>
    <w:rsid w:val="009C7E16"/>
    <w:rsid w:val="009D11DE"/>
    <w:rsid w:val="009D1478"/>
    <w:rsid w:val="009D1AA5"/>
    <w:rsid w:val="009D220C"/>
    <w:rsid w:val="009D221F"/>
    <w:rsid w:val="009D368A"/>
    <w:rsid w:val="009D4A2B"/>
    <w:rsid w:val="009D5D74"/>
    <w:rsid w:val="009E03E4"/>
    <w:rsid w:val="009E09F0"/>
    <w:rsid w:val="009E0B79"/>
    <w:rsid w:val="009E19E8"/>
    <w:rsid w:val="009E377C"/>
    <w:rsid w:val="009E3B14"/>
    <w:rsid w:val="009E411C"/>
    <w:rsid w:val="009E458A"/>
    <w:rsid w:val="009E5316"/>
    <w:rsid w:val="009E5D53"/>
    <w:rsid w:val="009E5D7C"/>
    <w:rsid w:val="009E5DFC"/>
    <w:rsid w:val="009E7A46"/>
    <w:rsid w:val="009F1789"/>
    <w:rsid w:val="009F2E3B"/>
    <w:rsid w:val="009F36CE"/>
    <w:rsid w:val="009F36D2"/>
    <w:rsid w:val="009F388F"/>
    <w:rsid w:val="009F3B6B"/>
    <w:rsid w:val="009F3D62"/>
    <w:rsid w:val="009F3FE4"/>
    <w:rsid w:val="009F4504"/>
    <w:rsid w:val="009F502C"/>
    <w:rsid w:val="009F603B"/>
    <w:rsid w:val="009F63ED"/>
    <w:rsid w:val="009F6987"/>
    <w:rsid w:val="009F720F"/>
    <w:rsid w:val="00A010E7"/>
    <w:rsid w:val="00A01A17"/>
    <w:rsid w:val="00A01A60"/>
    <w:rsid w:val="00A01F39"/>
    <w:rsid w:val="00A03127"/>
    <w:rsid w:val="00A0382E"/>
    <w:rsid w:val="00A03997"/>
    <w:rsid w:val="00A046E2"/>
    <w:rsid w:val="00A04FC5"/>
    <w:rsid w:val="00A0551B"/>
    <w:rsid w:val="00A05D27"/>
    <w:rsid w:val="00A05FCD"/>
    <w:rsid w:val="00A06E6E"/>
    <w:rsid w:val="00A0715E"/>
    <w:rsid w:val="00A076F9"/>
    <w:rsid w:val="00A07997"/>
    <w:rsid w:val="00A07F87"/>
    <w:rsid w:val="00A106C0"/>
    <w:rsid w:val="00A1089E"/>
    <w:rsid w:val="00A129E1"/>
    <w:rsid w:val="00A13659"/>
    <w:rsid w:val="00A14D8E"/>
    <w:rsid w:val="00A14E03"/>
    <w:rsid w:val="00A15D8E"/>
    <w:rsid w:val="00A15DE9"/>
    <w:rsid w:val="00A16341"/>
    <w:rsid w:val="00A1637F"/>
    <w:rsid w:val="00A1699F"/>
    <w:rsid w:val="00A16C67"/>
    <w:rsid w:val="00A17037"/>
    <w:rsid w:val="00A17085"/>
    <w:rsid w:val="00A171E4"/>
    <w:rsid w:val="00A206ED"/>
    <w:rsid w:val="00A207BA"/>
    <w:rsid w:val="00A20806"/>
    <w:rsid w:val="00A20C7F"/>
    <w:rsid w:val="00A21D41"/>
    <w:rsid w:val="00A22DBA"/>
    <w:rsid w:val="00A2329D"/>
    <w:rsid w:val="00A2400E"/>
    <w:rsid w:val="00A2490E"/>
    <w:rsid w:val="00A25442"/>
    <w:rsid w:val="00A25BFF"/>
    <w:rsid w:val="00A264E7"/>
    <w:rsid w:val="00A26648"/>
    <w:rsid w:val="00A26F79"/>
    <w:rsid w:val="00A27105"/>
    <w:rsid w:val="00A27522"/>
    <w:rsid w:val="00A3136F"/>
    <w:rsid w:val="00A34D0C"/>
    <w:rsid w:val="00A34D76"/>
    <w:rsid w:val="00A34F55"/>
    <w:rsid w:val="00A35259"/>
    <w:rsid w:val="00A35ADB"/>
    <w:rsid w:val="00A365D0"/>
    <w:rsid w:val="00A36854"/>
    <w:rsid w:val="00A36AA6"/>
    <w:rsid w:val="00A402B8"/>
    <w:rsid w:val="00A4043E"/>
    <w:rsid w:val="00A4173C"/>
    <w:rsid w:val="00A41E3E"/>
    <w:rsid w:val="00A437D9"/>
    <w:rsid w:val="00A43C16"/>
    <w:rsid w:val="00A443A6"/>
    <w:rsid w:val="00A45A1A"/>
    <w:rsid w:val="00A45E61"/>
    <w:rsid w:val="00A47111"/>
    <w:rsid w:val="00A47514"/>
    <w:rsid w:val="00A47F32"/>
    <w:rsid w:val="00A50B51"/>
    <w:rsid w:val="00A50DED"/>
    <w:rsid w:val="00A51BCA"/>
    <w:rsid w:val="00A53178"/>
    <w:rsid w:val="00A53220"/>
    <w:rsid w:val="00A538E6"/>
    <w:rsid w:val="00A551D5"/>
    <w:rsid w:val="00A56102"/>
    <w:rsid w:val="00A5629B"/>
    <w:rsid w:val="00A56800"/>
    <w:rsid w:val="00A56D7E"/>
    <w:rsid w:val="00A5704C"/>
    <w:rsid w:val="00A57404"/>
    <w:rsid w:val="00A575BD"/>
    <w:rsid w:val="00A57A17"/>
    <w:rsid w:val="00A57E64"/>
    <w:rsid w:val="00A60EEC"/>
    <w:rsid w:val="00A60FCA"/>
    <w:rsid w:val="00A61D38"/>
    <w:rsid w:val="00A634AF"/>
    <w:rsid w:val="00A63B83"/>
    <w:rsid w:val="00A6434F"/>
    <w:rsid w:val="00A646CD"/>
    <w:rsid w:val="00A655B8"/>
    <w:rsid w:val="00A658F6"/>
    <w:rsid w:val="00A65BD9"/>
    <w:rsid w:val="00A66718"/>
    <w:rsid w:val="00A671EF"/>
    <w:rsid w:val="00A700D3"/>
    <w:rsid w:val="00A70524"/>
    <w:rsid w:val="00A70B31"/>
    <w:rsid w:val="00A70BE1"/>
    <w:rsid w:val="00A72214"/>
    <w:rsid w:val="00A725BC"/>
    <w:rsid w:val="00A73A74"/>
    <w:rsid w:val="00A744AC"/>
    <w:rsid w:val="00A759FE"/>
    <w:rsid w:val="00A75FE1"/>
    <w:rsid w:val="00A7619E"/>
    <w:rsid w:val="00A76A5F"/>
    <w:rsid w:val="00A76D67"/>
    <w:rsid w:val="00A77562"/>
    <w:rsid w:val="00A776B8"/>
    <w:rsid w:val="00A779EA"/>
    <w:rsid w:val="00A802AA"/>
    <w:rsid w:val="00A81EB6"/>
    <w:rsid w:val="00A82139"/>
    <w:rsid w:val="00A837FE"/>
    <w:rsid w:val="00A85357"/>
    <w:rsid w:val="00A85993"/>
    <w:rsid w:val="00A868AD"/>
    <w:rsid w:val="00A86E9D"/>
    <w:rsid w:val="00A87001"/>
    <w:rsid w:val="00A872A8"/>
    <w:rsid w:val="00A902DD"/>
    <w:rsid w:val="00A91617"/>
    <w:rsid w:val="00A917AC"/>
    <w:rsid w:val="00A9357D"/>
    <w:rsid w:val="00A9649D"/>
    <w:rsid w:val="00A96FA8"/>
    <w:rsid w:val="00A97164"/>
    <w:rsid w:val="00A9770A"/>
    <w:rsid w:val="00A97807"/>
    <w:rsid w:val="00AA0A43"/>
    <w:rsid w:val="00AA0C04"/>
    <w:rsid w:val="00AA0DD3"/>
    <w:rsid w:val="00AA1C07"/>
    <w:rsid w:val="00AA3688"/>
    <w:rsid w:val="00AA43EC"/>
    <w:rsid w:val="00AA5887"/>
    <w:rsid w:val="00AA61ED"/>
    <w:rsid w:val="00AA6840"/>
    <w:rsid w:val="00AA712C"/>
    <w:rsid w:val="00AB0B0A"/>
    <w:rsid w:val="00AB19F8"/>
    <w:rsid w:val="00AB2A61"/>
    <w:rsid w:val="00AB3A12"/>
    <w:rsid w:val="00AB4ADF"/>
    <w:rsid w:val="00AB5122"/>
    <w:rsid w:val="00AB5A8D"/>
    <w:rsid w:val="00AB5CB9"/>
    <w:rsid w:val="00AB6642"/>
    <w:rsid w:val="00AB6BEE"/>
    <w:rsid w:val="00AB751B"/>
    <w:rsid w:val="00AC2EFE"/>
    <w:rsid w:val="00AC3930"/>
    <w:rsid w:val="00AC3AB1"/>
    <w:rsid w:val="00AC67DC"/>
    <w:rsid w:val="00AC68C6"/>
    <w:rsid w:val="00AC79C1"/>
    <w:rsid w:val="00AC7CA4"/>
    <w:rsid w:val="00AD0920"/>
    <w:rsid w:val="00AD2777"/>
    <w:rsid w:val="00AD3426"/>
    <w:rsid w:val="00AD403D"/>
    <w:rsid w:val="00AD493B"/>
    <w:rsid w:val="00AD4A64"/>
    <w:rsid w:val="00AD4BDE"/>
    <w:rsid w:val="00AD4D4E"/>
    <w:rsid w:val="00AD598F"/>
    <w:rsid w:val="00AD6D09"/>
    <w:rsid w:val="00AE07DA"/>
    <w:rsid w:val="00AE098E"/>
    <w:rsid w:val="00AE0BBA"/>
    <w:rsid w:val="00AE0BF3"/>
    <w:rsid w:val="00AE2291"/>
    <w:rsid w:val="00AE25C8"/>
    <w:rsid w:val="00AE2CEB"/>
    <w:rsid w:val="00AE4113"/>
    <w:rsid w:val="00AE4380"/>
    <w:rsid w:val="00AE4FAC"/>
    <w:rsid w:val="00AE5525"/>
    <w:rsid w:val="00AE6216"/>
    <w:rsid w:val="00AE6381"/>
    <w:rsid w:val="00AE656F"/>
    <w:rsid w:val="00AE7D78"/>
    <w:rsid w:val="00AF0340"/>
    <w:rsid w:val="00AF1800"/>
    <w:rsid w:val="00AF1843"/>
    <w:rsid w:val="00AF20CA"/>
    <w:rsid w:val="00AF2309"/>
    <w:rsid w:val="00AF41F6"/>
    <w:rsid w:val="00AF438E"/>
    <w:rsid w:val="00AF45CA"/>
    <w:rsid w:val="00AF50AC"/>
    <w:rsid w:val="00AF5CEE"/>
    <w:rsid w:val="00AF646D"/>
    <w:rsid w:val="00AF65CA"/>
    <w:rsid w:val="00AF6C43"/>
    <w:rsid w:val="00AF703A"/>
    <w:rsid w:val="00AF7506"/>
    <w:rsid w:val="00B007DD"/>
    <w:rsid w:val="00B0098A"/>
    <w:rsid w:val="00B01016"/>
    <w:rsid w:val="00B0146E"/>
    <w:rsid w:val="00B02160"/>
    <w:rsid w:val="00B027CB"/>
    <w:rsid w:val="00B0352B"/>
    <w:rsid w:val="00B05465"/>
    <w:rsid w:val="00B06925"/>
    <w:rsid w:val="00B06D0F"/>
    <w:rsid w:val="00B06F37"/>
    <w:rsid w:val="00B073E6"/>
    <w:rsid w:val="00B074F8"/>
    <w:rsid w:val="00B11A3D"/>
    <w:rsid w:val="00B11BCF"/>
    <w:rsid w:val="00B121B0"/>
    <w:rsid w:val="00B1250B"/>
    <w:rsid w:val="00B12985"/>
    <w:rsid w:val="00B12BEB"/>
    <w:rsid w:val="00B1314D"/>
    <w:rsid w:val="00B13B87"/>
    <w:rsid w:val="00B15252"/>
    <w:rsid w:val="00B15AAA"/>
    <w:rsid w:val="00B17784"/>
    <w:rsid w:val="00B17FAB"/>
    <w:rsid w:val="00B21034"/>
    <w:rsid w:val="00B212CE"/>
    <w:rsid w:val="00B22C5F"/>
    <w:rsid w:val="00B23363"/>
    <w:rsid w:val="00B23687"/>
    <w:rsid w:val="00B250CA"/>
    <w:rsid w:val="00B25710"/>
    <w:rsid w:val="00B27B03"/>
    <w:rsid w:val="00B31129"/>
    <w:rsid w:val="00B31B62"/>
    <w:rsid w:val="00B3208E"/>
    <w:rsid w:val="00B33711"/>
    <w:rsid w:val="00B34889"/>
    <w:rsid w:val="00B35453"/>
    <w:rsid w:val="00B35845"/>
    <w:rsid w:val="00B364B8"/>
    <w:rsid w:val="00B3652F"/>
    <w:rsid w:val="00B372B5"/>
    <w:rsid w:val="00B37550"/>
    <w:rsid w:val="00B37906"/>
    <w:rsid w:val="00B37AA5"/>
    <w:rsid w:val="00B402C6"/>
    <w:rsid w:val="00B4199C"/>
    <w:rsid w:val="00B419BB"/>
    <w:rsid w:val="00B41DC1"/>
    <w:rsid w:val="00B425F9"/>
    <w:rsid w:val="00B4268A"/>
    <w:rsid w:val="00B42F69"/>
    <w:rsid w:val="00B447CA"/>
    <w:rsid w:val="00B44C69"/>
    <w:rsid w:val="00B4531F"/>
    <w:rsid w:val="00B46EC7"/>
    <w:rsid w:val="00B4726F"/>
    <w:rsid w:val="00B50A91"/>
    <w:rsid w:val="00B50F78"/>
    <w:rsid w:val="00B5160B"/>
    <w:rsid w:val="00B51761"/>
    <w:rsid w:val="00B51871"/>
    <w:rsid w:val="00B52022"/>
    <w:rsid w:val="00B52187"/>
    <w:rsid w:val="00B52955"/>
    <w:rsid w:val="00B533DC"/>
    <w:rsid w:val="00B53B59"/>
    <w:rsid w:val="00B54691"/>
    <w:rsid w:val="00B56846"/>
    <w:rsid w:val="00B57532"/>
    <w:rsid w:val="00B605A4"/>
    <w:rsid w:val="00B60CCD"/>
    <w:rsid w:val="00B62854"/>
    <w:rsid w:val="00B62ACD"/>
    <w:rsid w:val="00B62EF1"/>
    <w:rsid w:val="00B6312C"/>
    <w:rsid w:val="00B632BD"/>
    <w:rsid w:val="00B640CC"/>
    <w:rsid w:val="00B645B6"/>
    <w:rsid w:val="00B64B2F"/>
    <w:rsid w:val="00B64CD8"/>
    <w:rsid w:val="00B64D64"/>
    <w:rsid w:val="00B667BF"/>
    <w:rsid w:val="00B674D6"/>
    <w:rsid w:val="00B6797D"/>
    <w:rsid w:val="00B70FE3"/>
    <w:rsid w:val="00B7152D"/>
    <w:rsid w:val="00B735B8"/>
    <w:rsid w:val="00B747DB"/>
    <w:rsid w:val="00B74858"/>
    <w:rsid w:val="00B74D6D"/>
    <w:rsid w:val="00B752EB"/>
    <w:rsid w:val="00B754A4"/>
    <w:rsid w:val="00B757D2"/>
    <w:rsid w:val="00B77BE4"/>
    <w:rsid w:val="00B807A7"/>
    <w:rsid w:val="00B812BE"/>
    <w:rsid w:val="00B813D5"/>
    <w:rsid w:val="00B821D4"/>
    <w:rsid w:val="00B8258D"/>
    <w:rsid w:val="00B825B4"/>
    <w:rsid w:val="00B84037"/>
    <w:rsid w:val="00B84E7E"/>
    <w:rsid w:val="00B8519C"/>
    <w:rsid w:val="00B860EE"/>
    <w:rsid w:val="00B862E5"/>
    <w:rsid w:val="00B86608"/>
    <w:rsid w:val="00B87847"/>
    <w:rsid w:val="00B9008C"/>
    <w:rsid w:val="00B90477"/>
    <w:rsid w:val="00B92AA5"/>
    <w:rsid w:val="00B93904"/>
    <w:rsid w:val="00B94BB4"/>
    <w:rsid w:val="00B955FE"/>
    <w:rsid w:val="00B96530"/>
    <w:rsid w:val="00B96744"/>
    <w:rsid w:val="00B96900"/>
    <w:rsid w:val="00B97296"/>
    <w:rsid w:val="00B97D64"/>
    <w:rsid w:val="00B97DC9"/>
    <w:rsid w:val="00BA0B9F"/>
    <w:rsid w:val="00BA3287"/>
    <w:rsid w:val="00BA3CAD"/>
    <w:rsid w:val="00BA468F"/>
    <w:rsid w:val="00BA4C1E"/>
    <w:rsid w:val="00BA6419"/>
    <w:rsid w:val="00BA6550"/>
    <w:rsid w:val="00BB06DB"/>
    <w:rsid w:val="00BB1DA9"/>
    <w:rsid w:val="00BB256B"/>
    <w:rsid w:val="00BB2D7E"/>
    <w:rsid w:val="00BB3642"/>
    <w:rsid w:val="00BB4187"/>
    <w:rsid w:val="00BB473C"/>
    <w:rsid w:val="00BB4A3B"/>
    <w:rsid w:val="00BB5522"/>
    <w:rsid w:val="00BB58B9"/>
    <w:rsid w:val="00BB59F6"/>
    <w:rsid w:val="00BB5AB9"/>
    <w:rsid w:val="00BB5EF0"/>
    <w:rsid w:val="00BB66AB"/>
    <w:rsid w:val="00BB7218"/>
    <w:rsid w:val="00BB77F7"/>
    <w:rsid w:val="00BC0AD6"/>
    <w:rsid w:val="00BC122E"/>
    <w:rsid w:val="00BC3584"/>
    <w:rsid w:val="00BC3EDF"/>
    <w:rsid w:val="00BC3F33"/>
    <w:rsid w:val="00BC453F"/>
    <w:rsid w:val="00BC5838"/>
    <w:rsid w:val="00BC6719"/>
    <w:rsid w:val="00BC6DC2"/>
    <w:rsid w:val="00BD01F1"/>
    <w:rsid w:val="00BD0B56"/>
    <w:rsid w:val="00BD11DB"/>
    <w:rsid w:val="00BD21A5"/>
    <w:rsid w:val="00BD3E47"/>
    <w:rsid w:val="00BD5903"/>
    <w:rsid w:val="00BD68A1"/>
    <w:rsid w:val="00BD6F37"/>
    <w:rsid w:val="00BD7404"/>
    <w:rsid w:val="00BD75EB"/>
    <w:rsid w:val="00BE00E8"/>
    <w:rsid w:val="00BE1059"/>
    <w:rsid w:val="00BE1E3C"/>
    <w:rsid w:val="00BE3401"/>
    <w:rsid w:val="00BE4381"/>
    <w:rsid w:val="00BE4ED6"/>
    <w:rsid w:val="00BE54F3"/>
    <w:rsid w:val="00BE5F67"/>
    <w:rsid w:val="00BE7920"/>
    <w:rsid w:val="00BE7ABE"/>
    <w:rsid w:val="00BE7F7C"/>
    <w:rsid w:val="00BF0842"/>
    <w:rsid w:val="00BF1E46"/>
    <w:rsid w:val="00BF1F12"/>
    <w:rsid w:val="00BF2CD1"/>
    <w:rsid w:val="00BF417B"/>
    <w:rsid w:val="00BF4B22"/>
    <w:rsid w:val="00BF4B6A"/>
    <w:rsid w:val="00BF5135"/>
    <w:rsid w:val="00BF56E6"/>
    <w:rsid w:val="00BF5CE6"/>
    <w:rsid w:val="00BF6BFE"/>
    <w:rsid w:val="00BF6FCB"/>
    <w:rsid w:val="00C00312"/>
    <w:rsid w:val="00C009F5"/>
    <w:rsid w:val="00C01129"/>
    <w:rsid w:val="00C02239"/>
    <w:rsid w:val="00C022E1"/>
    <w:rsid w:val="00C0273F"/>
    <w:rsid w:val="00C029BF"/>
    <w:rsid w:val="00C031A6"/>
    <w:rsid w:val="00C0398D"/>
    <w:rsid w:val="00C0410E"/>
    <w:rsid w:val="00C04651"/>
    <w:rsid w:val="00C05C3D"/>
    <w:rsid w:val="00C066F1"/>
    <w:rsid w:val="00C071AC"/>
    <w:rsid w:val="00C109A2"/>
    <w:rsid w:val="00C10BD4"/>
    <w:rsid w:val="00C11E4C"/>
    <w:rsid w:val="00C12A4A"/>
    <w:rsid w:val="00C14954"/>
    <w:rsid w:val="00C14FED"/>
    <w:rsid w:val="00C152A4"/>
    <w:rsid w:val="00C15677"/>
    <w:rsid w:val="00C1571B"/>
    <w:rsid w:val="00C16BB9"/>
    <w:rsid w:val="00C17477"/>
    <w:rsid w:val="00C17794"/>
    <w:rsid w:val="00C179B0"/>
    <w:rsid w:val="00C200E5"/>
    <w:rsid w:val="00C20245"/>
    <w:rsid w:val="00C20CA6"/>
    <w:rsid w:val="00C22527"/>
    <w:rsid w:val="00C226F9"/>
    <w:rsid w:val="00C23398"/>
    <w:rsid w:val="00C23B23"/>
    <w:rsid w:val="00C2428B"/>
    <w:rsid w:val="00C25796"/>
    <w:rsid w:val="00C26C22"/>
    <w:rsid w:val="00C27B03"/>
    <w:rsid w:val="00C3089B"/>
    <w:rsid w:val="00C30F7B"/>
    <w:rsid w:val="00C3168B"/>
    <w:rsid w:val="00C3392E"/>
    <w:rsid w:val="00C33BA7"/>
    <w:rsid w:val="00C34B40"/>
    <w:rsid w:val="00C35836"/>
    <w:rsid w:val="00C40FBC"/>
    <w:rsid w:val="00C41CD3"/>
    <w:rsid w:val="00C43438"/>
    <w:rsid w:val="00C44264"/>
    <w:rsid w:val="00C46251"/>
    <w:rsid w:val="00C4790F"/>
    <w:rsid w:val="00C47FC0"/>
    <w:rsid w:val="00C5189F"/>
    <w:rsid w:val="00C528CC"/>
    <w:rsid w:val="00C52CCC"/>
    <w:rsid w:val="00C534F4"/>
    <w:rsid w:val="00C53615"/>
    <w:rsid w:val="00C53ABD"/>
    <w:rsid w:val="00C53AD3"/>
    <w:rsid w:val="00C53C94"/>
    <w:rsid w:val="00C54A5C"/>
    <w:rsid w:val="00C554D0"/>
    <w:rsid w:val="00C56905"/>
    <w:rsid w:val="00C57741"/>
    <w:rsid w:val="00C6074F"/>
    <w:rsid w:val="00C62568"/>
    <w:rsid w:val="00C62683"/>
    <w:rsid w:val="00C64143"/>
    <w:rsid w:val="00C6434D"/>
    <w:rsid w:val="00C64F17"/>
    <w:rsid w:val="00C652E5"/>
    <w:rsid w:val="00C65670"/>
    <w:rsid w:val="00C65BC1"/>
    <w:rsid w:val="00C6610D"/>
    <w:rsid w:val="00C67446"/>
    <w:rsid w:val="00C700D3"/>
    <w:rsid w:val="00C706D2"/>
    <w:rsid w:val="00C70962"/>
    <w:rsid w:val="00C71674"/>
    <w:rsid w:val="00C72680"/>
    <w:rsid w:val="00C726C3"/>
    <w:rsid w:val="00C734AE"/>
    <w:rsid w:val="00C73DE2"/>
    <w:rsid w:val="00C746C2"/>
    <w:rsid w:val="00C75A89"/>
    <w:rsid w:val="00C7650A"/>
    <w:rsid w:val="00C7697F"/>
    <w:rsid w:val="00C76DE7"/>
    <w:rsid w:val="00C8136C"/>
    <w:rsid w:val="00C82AA3"/>
    <w:rsid w:val="00C82FAC"/>
    <w:rsid w:val="00C82FFA"/>
    <w:rsid w:val="00C83FD6"/>
    <w:rsid w:val="00C849EC"/>
    <w:rsid w:val="00C84A1B"/>
    <w:rsid w:val="00C853D3"/>
    <w:rsid w:val="00C85521"/>
    <w:rsid w:val="00C856C0"/>
    <w:rsid w:val="00C85800"/>
    <w:rsid w:val="00C85D91"/>
    <w:rsid w:val="00C861EE"/>
    <w:rsid w:val="00C863EE"/>
    <w:rsid w:val="00C90F00"/>
    <w:rsid w:val="00C92646"/>
    <w:rsid w:val="00C9316A"/>
    <w:rsid w:val="00C93B5E"/>
    <w:rsid w:val="00C93CF1"/>
    <w:rsid w:val="00C95D8D"/>
    <w:rsid w:val="00C973DA"/>
    <w:rsid w:val="00C97C7F"/>
    <w:rsid w:val="00C97D8C"/>
    <w:rsid w:val="00CA082A"/>
    <w:rsid w:val="00CA1B24"/>
    <w:rsid w:val="00CA226B"/>
    <w:rsid w:val="00CA2283"/>
    <w:rsid w:val="00CA2AEF"/>
    <w:rsid w:val="00CA325F"/>
    <w:rsid w:val="00CA33B8"/>
    <w:rsid w:val="00CA3E92"/>
    <w:rsid w:val="00CA429A"/>
    <w:rsid w:val="00CA4D33"/>
    <w:rsid w:val="00CA4E40"/>
    <w:rsid w:val="00CA7463"/>
    <w:rsid w:val="00CB131C"/>
    <w:rsid w:val="00CB1582"/>
    <w:rsid w:val="00CB17B2"/>
    <w:rsid w:val="00CB1E86"/>
    <w:rsid w:val="00CB22B7"/>
    <w:rsid w:val="00CB31DA"/>
    <w:rsid w:val="00CB5032"/>
    <w:rsid w:val="00CB705C"/>
    <w:rsid w:val="00CB7DF6"/>
    <w:rsid w:val="00CC052A"/>
    <w:rsid w:val="00CC0B59"/>
    <w:rsid w:val="00CC2118"/>
    <w:rsid w:val="00CC2FFE"/>
    <w:rsid w:val="00CC303F"/>
    <w:rsid w:val="00CC3C96"/>
    <w:rsid w:val="00CC4397"/>
    <w:rsid w:val="00CC441D"/>
    <w:rsid w:val="00CC596E"/>
    <w:rsid w:val="00CC6D22"/>
    <w:rsid w:val="00CD077C"/>
    <w:rsid w:val="00CD342A"/>
    <w:rsid w:val="00CD38CC"/>
    <w:rsid w:val="00CD3940"/>
    <w:rsid w:val="00CD3ED2"/>
    <w:rsid w:val="00CD4976"/>
    <w:rsid w:val="00CD551D"/>
    <w:rsid w:val="00CD7370"/>
    <w:rsid w:val="00CD77D1"/>
    <w:rsid w:val="00CD78D0"/>
    <w:rsid w:val="00CE1FF7"/>
    <w:rsid w:val="00CE26CD"/>
    <w:rsid w:val="00CE27A4"/>
    <w:rsid w:val="00CE4F9C"/>
    <w:rsid w:val="00CE6A0B"/>
    <w:rsid w:val="00CE7762"/>
    <w:rsid w:val="00CF0950"/>
    <w:rsid w:val="00CF120B"/>
    <w:rsid w:val="00CF3B07"/>
    <w:rsid w:val="00CF4C13"/>
    <w:rsid w:val="00CF62E0"/>
    <w:rsid w:val="00CF6384"/>
    <w:rsid w:val="00CF655E"/>
    <w:rsid w:val="00CF6902"/>
    <w:rsid w:val="00D013D7"/>
    <w:rsid w:val="00D02450"/>
    <w:rsid w:val="00D03DD6"/>
    <w:rsid w:val="00D04069"/>
    <w:rsid w:val="00D04195"/>
    <w:rsid w:val="00D06E4F"/>
    <w:rsid w:val="00D06E88"/>
    <w:rsid w:val="00D0766D"/>
    <w:rsid w:val="00D07FA3"/>
    <w:rsid w:val="00D1142F"/>
    <w:rsid w:val="00D11F90"/>
    <w:rsid w:val="00D123A9"/>
    <w:rsid w:val="00D12944"/>
    <w:rsid w:val="00D13527"/>
    <w:rsid w:val="00D13A80"/>
    <w:rsid w:val="00D1493B"/>
    <w:rsid w:val="00D15E4E"/>
    <w:rsid w:val="00D16431"/>
    <w:rsid w:val="00D17601"/>
    <w:rsid w:val="00D20092"/>
    <w:rsid w:val="00D20961"/>
    <w:rsid w:val="00D20D6E"/>
    <w:rsid w:val="00D2101D"/>
    <w:rsid w:val="00D21300"/>
    <w:rsid w:val="00D2133E"/>
    <w:rsid w:val="00D228D5"/>
    <w:rsid w:val="00D22F7B"/>
    <w:rsid w:val="00D230DC"/>
    <w:rsid w:val="00D2336E"/>
    <w:rsid w:val="00D23BBA"/>
    <w:rsid w:val="00D24430"/>
    <w:rsid w:val="00D26087"/>
    <w:rsid w:val="00D26C9A"/>
    <w:rsid w:val="00D303E8"/>
    <w:rsid w:val="00D30E54"/>
    <w:rsid w:val="00D31BA6"/>
    <w:rsid w:val="00D320B0"/>
    <w:rsid w:val="00D328AB"/>
    <w:rsid w:val="00D335E1"/>
    <w:rsid w:val="00D3545E"/>
    <w:rsid w:val="00D35FEA"/>
    <w:rsid w:val="00D366E4"/>
    <w:rsid w:val="00D423AC"/>
    <w:rsid w:val="00D445FC"/>
    <w:rsid w:val="00D448F8"/>
    <w:rsid w:val="00D44B15"/>
    <w:rsid w:val="00D44DC6"/>
    <w:rsid w:val="00D476EA"/>
    <w:rsid w:val="00D47B26"/>
    <w:rsid w:val="00D47DEF"/>
    <w:rsid w:val="00D514E5"/>
    <w:rsid w:val="00D52B0D"/>
    <w:rsid w:val="00D53589"/>
    <w:rsid w:val="00D537BA"/>
    <w:rsid w:val="00D539D5"/>
    <w:rsid w:val="00D544D5"/>
    <w:rsid w:val="00D569AA"/>
    <w:rsid w:val="00D57351"/>
    <w:rsid w:val="00D577B3"/>
    <w:rsid w:val="00D57897"/>
    <w:rsid w:val="00D602DE"/>
    <w:rsid w:val="00D6096A"/>
    <w:rsid w:val="00D60ABE"/>
    <w:rsid w:val="00D60CE5"/>
    <w:rsid w:val="00D61811"/>
    <w:rsid w:val="00D62124"/>
    <w:rsid w:val="00D6395E"/>
    <w:rsid w:val="00D63F9F"/>
    <w:rsid w:val="00D646D3"/>
    <w:rsid w:val="00D64F33"/>
    <w:rsid w:val="00D662F2"/>
    <w:rsid w:val="00D665F1"/>
    <w:rsid w:val="00D6711E"/>
    <w:rsid w:val="00D676AF"/>
    <w:rsid w:val="00D7040C"/>
    <w:rsid w:val="00D718EF"/>
    <w:rsid w:val="00D72AB1"/>
    <w:rsid w:val="00D73B08"/>
    <w:rsid w:val="00D74198"/>
    <w:rsid w:val="00D74D76"/>
    <w:rsid w:val="00D762A7"/>
    <w:rsid w:val="00D80127"/>
    <w:rsid w:val="00D804E2"/>
    <w:rsid w:val="00D805D1"/>
    <w:rsid w:val="00D80667"/>
    <w:rsid w:val="00D80673"/>
    <w:rsid w:val="00D81FB3"/>
    <w:rsid w:val="00D8245B"/>
    <w:rsid w:val="00D82FD7"/>
    <w:rsid w:val="00D8372F"/>
    <w:rsid w:val="00D84FA6"/>
    <w:rsid w:val="00D85909"/>
    <w:rsid w:val="00D85C5F"/>
    <w:rsid w:val="00D85ECC"/>
    <w:rsid w:val="00D864C7"/>
    <w:rsid w:val="00D86872"/>
    <w:rsid w:val="00D86EB7"/>
    <w:rsid w:val="00D86F34"/>
    <w:rsid w:val="00D905DE"/>
    <w:rsid w:val="00D91B24"/>
    <w:rsid w:val="00D91E9F"/>
    <w:rsid w:val="00D92B5E"/>
    <w:rsid w:val="00D93388"/>
    <w:rsid w:val="00D93CFF"/>
    <w:rsid w:val="00D95457"/>
    <w:rsid w:val="00D97A7B"/>
    <w:rsid w:val="00D97C73"/>
    <w:rsid w:val="00DA1259"/>
    <w:rsid w:val="00DA1AAD"/>
    <w:rsid w:val="00DA1E08"/>
    <w:rsid w:val="00DA3AA8"/>
    <w:rsid w:val="00DA4520"/>
    <w:rsid w:val="00DA4A52"/>
    <w:rsid w:val="00DA4E2C"/>
    <w:rsid w:val="00DA4FBC"/>
    <w:rsid w:val="00DA6BAD"/>
    <w:rsid w:val="00DA7457"/>
    <w:rsid w:val="00DB0278"/>
    <w:rsid w:val="00DB1083"/>
    <w:rsid w:val="00DB2995"/>
    <w:rsid w:val="00DB2ED0"/>
    <w:rsid w:val="00DB38F0"/>
    <w:rsid w:val="00DB3EE8"/>
    <w:rsid w:val="00DB4701"/>
    <w:rsid w:val="00DB4E76"/>
    <w:rsid w:val="00DB59C0"/>
    <w:rsid w:val="00DB5E69"/>
    <w:rsid w:val="00DC0146"/>
    <w:rsid w:val="00DC03EE"/>
    <w:rsid w:val="00DC1325"/>
    <w:rsid w:val="00DC1D5C"/>
    <w:rsid w:val="00DC237A"/>
    <w:rsid w:val="00DC2BFE"/>
    <w:rsid w:val="00DC36B8"/>
    <w:rsid w:val="00DC3F13"/>
    <w:rsid w:val="00DC43DD"/>
    <w:rsid w:val="00DC51B6"/>
    <w:rsid w:val="00DC53F2"/>
    <w:rsid w:val="00DC55CD"/>
    <w:rsid w:val="00DC5861"/>
    <w:rsid w:val="00DC6318"/>
    <w:rsid w:val="00DC6725"/>
    <w:rsid w:val="00DC6B01"/>
    <w:rsid w:val="00DC734F"/>
    <w:rsid w:val="00DC73BD"/>
    <w:rsid w:val="00DC7797"/>
    <w:rsid w:val="00DC7E53"/>
    <w:rsid w:val="00DD078A"/>
    <w:rsid w:val="00DD0CAF"/>
    <w:rsid w:val="00DD1737"/>
    <w:rsid w:val="00DD184A"/>
    <w:rsid w:val="00DD34E1"/>
    <w:rsid w:val="00DD45E7"/>
    <w:rsid w:val="00DD4857"/>
    <w:rsid w:val="00DD4B85"/>
    <w:rsid w:val="00DD71F6"/>
    <w:rsid w:val="00DD7667"/>
    <w:rsid w:val="00DD777C"/>
    <w:rsid w:val="00DE0D2F"/>
    <w:rsid w:val="00DE0D75"/>
    <w:rsid w:val="00DE19EB"/>
    <w:rsid w:val="00DE2236"/>
    <w:rsid w:val="00DE432B"/>
    <w:rsid w:val="00DE49F9"/>
    <w:rsid w:val="00DE5B0F"/>
    <w:rsid w:val="00DF0FE3"/>
    <w:rsid w:val="00DF1F83"/>
    <w:rsid w:val="00DF2CB1"/>
    <w:rsid w:val="00DF3017"/>
    <w:rsid w:val="00DF55D2"/>
    <w:rsid w:val="00DF5F53"/>
    <w:rsid w:val="00DF69F9"/>
    <w:rsid w:val="00E02579"/>
    <w:rsid w:val="00E02B50"/>
    <w:rsid w:val="00E03054"/>
    <w:rsid w:val="00E04B3F"/>
    <w:rsid w:val="00E0521A"/>
    <w:rsid w:val="00E05C57"/>
    <w:rsid w:val="00E060C1"/>
    <w:rsid w:val="00E06B1E"/>
    <w:rsid w:val="00E07787"/>
    <w:rsid w:val="00E07C1F"/>
    <w:rsid w:val="00E10AAF"/>
    <w:rsid w:val="00E11CB3"/>
    <w:rsid w:val="00E12937"/>
    <w:rsid w:val="00E147D5"/>
    <w:rsid w:val="00E14C0E"/>
    <w:rsid w:val="00E14DA7"/>
    <w:rsid w:val="00E1503D"/>
    <w:rsid w:val="00E1541F"/>
    <w:rsid w:val="00E16642"/>
    <w:rsid w:val="00E17134"/>
    <w:rsid w:val="00E1787C"/>
    <w:rsid w:val="00E20C76"/>
    <w:rsid w:val="00E2249E"/>
    <w:rsid w:val="00E228FB"/>
    <w:rsid w:val="00E22B76"/>
    <w:rsid w:val="00E234F1"/>
    <w:rsid w:val="00E241ED"/>
    <w:rsid w:val="00E24E3A"/>
    <w:rsid w:val="00E25AF8"/>
    <w:rsid w:val="00E26805"/>
    <w:rsid w:val="00E26C55"/>
    <w:rsid w:val="00E26F6C"/>
    <w:rsid w:val="00E31BD0"/>
    <w:rsid w:val="00E321BD"/>
    <w:rsid w:val="00E34CA3"/>
    <w:rsid w:val="00E35C4A"/>
    <w:rsid w:val="00E37518"/>
    <w:rsid w:val="00E37996"/>
    <w:rsid w:val="00E37A0F"/>
    <w:rsid w:val="00E37DA6"/>
    <w:rsid w:val="00E37FE3"/>
    <w:rsid w:val="00E4063C"/>
    <w:rsid w:val="00E40650"/>
    <w:rsid w:val="00E40EB7"/>
    <w:rsid w:val="00E418EE"/>
    <w:rsid w:val="00E42964"/>
    <w:rsid w:val="00E4364A"/>
    <w:rsid w:val="00E43AAA"/>
    <w:rsid w:val="00E44C62"/>
    <w:rsid w:val="00E4648B"/>
    <w:rsid w:val="00E50D7B"/>
    <w:rsid w:val="00E5387C"/>
    <w:rsid w:val="00E54EF2"/>
    <w:rsid w:val="00E56A54"/>
    <w:rsid w:val="00E60DC5"/>
    <w:rsid w:val="00E611F3"/>
    <w:rsid w:val="00E612B3"/>
    <w:rsid w:val="00E614EA"/>
    <w:rsid w:val="00E61A94"/>
    <w:rsid w:val="00E62D66"/>
    <w:rsid w:val="00E63559"/>
    <w:rsid w:val="00E648C1"/>
    <w:rsid w:val="00E67180"/>
    <w:rsid w:val="00E6730B"/>
    <w:rsid w:val="00E676E2"/>
    <w:rsid w:val="00E70365"/>
    <w:rsid w:val="00E739D2"/>
    <w:rsid w:val="00E748BE"/>
    <w:rsid w:val="00E74FA5"/>
    <w:rsid w:val="00E756A8"/>
    <w:rsid w:val="00E76013"/>
    <w:rsid w:val="00E76032"/>
    <w:rsid w:val="00E768F2"/>
    <w:rsid w:val="00E77E9E"/>
    <w:rsid w:val="00E804B5"/>
    <w:rsid w:val="00E81DED"/>
    <w:rsid w:val="00E82316"/>
    <w:rsid w:val="00E825B3"/>
    <w:rsid w:val="00E849DE"/>
    <w:rsid w:val="00E85948"/>
    <w:rsid w:val="00E85F31"/>
    <w:rsid w:val="00E86536"/>
    <w:rsid w:val="00E879A2"/>
    <w:rsid w:val="00E87D9B"/>
    <w:rsid w:val="00E90117"/>
    <w:rsid w:val="00E9167E"/>
    <w:rsid w:val="00E922A4"/>
    <w:rsid w:val="00E925CE"/>
    <w:rsid w:val="00E93E8B"/>
    <w:rsid w:val="00E93F3F"/>
    <w:rsid w:val="00E94FBF"/>
    <w:rsid w:val="00E96436"/>
    <w:rsid w:val="00E9663E"/>
    <w:rsid w:val="00E96874"/>
    <w:rsid w:val="00EA05D9"/>
    <w:rsid w:val="00EA1104"/>
    <w:rsid w:val="00EA2B4B"/>
    <w:rsid w:val="00EA409D"/>
    <w:rsid w:val="00EA5257"/>
    <w:rsid w:val="00EA5561"/>
    <w:rsid w:val="00EA59B6"/>
    <w:rsid w:val="00EA7415"/>
    <w:rsid w:val="00EB0433"/>
    <w:rsid w:val="00EB1B8B"/>
    <w:rsid w:val="00EB3A70"/>
    <w:rsid w:val="00EB3C54"/>
    <w:rsid w:val="00EB4951"/>
    <w:rsid w:val="00EB595B"/>
    <w:rsid w:val="00EB7F2D"/>
    <w:rsid w:val="00EC00C9"/>
    <w:rsid w:val="00EC098E"/>
    <w:rsid w:val="00EC0BCB"/>
    <w:rsid w:val="00EC0E71"/>
    <w:rsid w:val="00EC3F55"/>
    <w:rsid w:val="00EC57DA"/>
    <w:rsid w:val="00EC6B73"/>
    <w:rsid w:val="00ED037C"/>
    <w:rsid w:val="00ED220C"/>
    <w:rsid w:val="00ED2EC5"/>
    <w:rsid w:val="00ED5DFA"/>
    <w:rsid w:val="00ED613A"/>
    <w:rsid w:val="00ED6CFA"/>
    <w:rsid w:val="00ED6D53"/>
    <w:rsid w:val="00ED7D88"/>
    <w:rsid w:val="00ED7FE5"/>
    <w:rsid w:val="00EE10D7"/>
    <w:rsid w:val="00EE1855"/>
    <w:rsid w:val="00EE2B68"/>
    <w:rsid w:val="00EE2F02"/>
    <w:rsid w:val="00EE3733"/>
    <w:rsid w:val="00EE395E"/>
    <w:rsid w:val="00EE3A04"/>
    <w:rsid w:val="00EE4581"/>
    <w:rsid w:val="00EE46D3"/>
    <w:rsid w:val="00EE4CAB"/>
    <w:rsid w:val="00EE6668"/>
    <w:rsid w:val="00EE6AE3"/>
    <w:rsid w:val="00EE6D70"/>
    <w:rsid w:val="00EE7A79"/>
    <w:rsid w:val="00EF04E5"/>
    <w:rsid w:val="00EF1386"/>
    <w:rsid w:val="00EF1630"/>
    <w:rsid w:val="00EF2491"/>
    <w:rsid w:val="00EF256B"/>
    <w:rsid w:val="00EF5044"/>
    <w:rsid w:val="00EF5277"/>
    <w:rsid w:val="00EF5CAD"/>
    <w:rsid w:val="00EF611F"/>
    <w:rsid w:val="00EF6AE0"/>
    <w:rsid w:val="00EF6CCC"/>
    <w:rsid w:val="00EF76E1"/>
    <w:rsid w:val="00F01B3C"/>
    <w:rsid w:val="00F027B8"/>
    <w:rsid w:val="00F029AF"/>
    <w:rsid w:val="00F02A92"/>
    <w:rsid w:val="00F04553"/>
    <w:rsid w:val="00F04D2C"/>
    <w:rsid w:val="00F04F46"/>
    <w:rsid w:val="00F0598E"/>
    <w:rsid w:val="00F05B37"/>
    <w:rsid w:val="00F05E77"/>
    <w:rsid w:val="00F06ACF"/>
    <w:rsid w:val="00F101BB"/>
    <w:rsid w:val="00F1030E"/>
    <w:rsid w:val="00F10925"/>
    <w:rsid w:val="00F12F6C"/>
    <w:rsid w:val="00F13340"/>
    <w:rsid w:val="00F13DAE"/>
    <w:rsid w:val="00F157D8"/>
    <w:rsid w:val="00F17D78"/>
    <w:rsid w:val="00F201AD"/>
    <w:rsid w:val="00F21481"/>
    <w:rsid w:val="00F218A8"/>
    <w:rsid w:val="00F21B21"/>
    <w:rsid w:val="00F222BB"/>
    <w:rsid w:val="00F22AD3"/>
    <w:rsid w:val="00F22F67"/>
    <w:rsid w:val="00F2491A"/>
    <w:rsid w:val="00F24EF6"/>
    <w:rsid w:val="00F254E4"/>
    <w:rsid w:val="00F26601"/>
    <w:rsid w:val="00F26F5D"/>
    <w:rsid w:val="00F27883"/>
    <w:rsid w:val="00F34C92"/>
    <w:rsid w:val="00F34F17"/>
    <w:rsid w:val="00F359ED"/>
    <w:rsid w:val="00F35D19"/>
    <w:rsid w:val="00F36C91"/>
    <w:rsid w:val="00F377AE"/>
    <w:rsid w:val="00F37937"/>
    <w:rsid w:val="00F40722"/>
    <w:rsid w:val="00F40793"/>
    <w:rsid w:val="00F41269"/>
    <w:rsid w:val="00F41319"/>
    <w:rsid w:val="00F42218"/>
    <w:rsid w:val="00F44B13"/>
    <w:rsid w:val="00F44E1B"/>
    <w:rsid w:val="00F45BE7"/>
    <w:rsid w:val="00F463D7"/>
    <w:rsid w:val="00F464D1"/>
    <w:rsid w:val="00F46BF7"/>
    <w:rsid w:val="00F47288"/>
    <w:rsid w:val="00F47FC6"/>
    <w:rsid w:val="00F50163"/>
    <w:rsid w:val="00F50C84"/>
    <w:rsid w:val="00F510E2"/>
    <w:rsid w:val="00F515F1"/>
    <w:rsid w:val="00F51C00"/>
    <w:rsid w:val="00F5273A"/>
    <w:rsid w:val="00F52D6B"/>
    <w:rsid w:val="00F52E18"/>
    <w:rsid w:val="00F53983"/>
    <w:rsid w:val="00F53C03"/>
    <w:rsid w:val="00F546FB"/>
    <w:rsid w:val="00F55335"/>
    <w:rsid w:val="00F55CF7"/>
    <w:rsid w:val="00F570D7"/>
    <w:rsid w:val="00F57D1C"/>
    <w:rsid w:val="00F6086A"/>
    <w:rsid w:val="00F60B9F"/>
    <w:rsid w:val="00F6169B"/>
    <w:rsid w:val="00F62824"/>
    <w:rsid w:val="00F62D7C"/>
    <w:rsid w:val="00F62F45"/>
    <w:rsid w:val="00F62FA9"/>
    <w:rsid w:val="00F634C8"/>
    <w:rsid w:val="00F64E1B"/>
    <w:rsid w:val="00F64EEA"/>
    <w:rsid w:val="00F6589E"/>
    <w:rsid w:val="00F66740"/>
    <w:rsid w:val="00F66E43"/>
    <w:rsid w:val="00F67155"/>
    <w:rsid w:val="00F7058F"/>
    <w:rsid w:val="00F70BDE"/>
    <w:rsid w:val="00F70D21"/>
    <w:rsid w:val="00F70FEF"/>
    <w:rsid w:val="00F72C31"/>
    <w:rsid w:val="00F73F06"/>
    <w:rsid w:val="00F74F3A"/>
    <w:rsid w:val="00F75C02"/>
    <w:rsid w:val="00F770BD"/>
    <w:rsid w:val="00F77ECB"/>
    <w:rsid w:val="00F81BF8"/>
    <w:rsid w:val="00F81E47"/>
    <w:rsid w:val="00F824EF"/>
    <w:rsid w:val="00F84408"/>
    <w:rsid w:val="00F85CFF"/>
    <w:rsid w:val="00F86474"/>
    <w:rsid w:val="00F868B4"/>
    <w:rsid w:val="00F8730A"/>
    <w:rsid w:val="00F9016F"/>
    <w:rsid w:val="00F90601"/>
    <w:rsid w:val="00F91D56"/>
    <w:rsid w:val="00F93703"/>
    <w:rsid w:val="00F93C9E"/>
    <w:rsid w:val="00F94FD6"/>
    <w:rsid w:val="00F95BEE"/>
    <w:rsid w:val="00FA09C9"/>
    <w:rsid w:val="00FA1058"/>
    <w:rsid w:val="00FA1AEB"/>
    <w:rsid w:val="00FA5325"/>
    <w:rsid w:val="00FA56A3"/>
    <w:rsid w:val="00FA5AD2"/>
    <w:rsid w:val="00FA78FD"/>
    <w:rsid w:val="00FB0EFA"/>
    <w:rsid w:val="00FB11BE"/>
    <w:rsid w:val="00FB1357"/>
    <w:rsid w:val="00FB1799"/>
    <w:rsid w:val="00FB18B4"/>
    <w:rsid w:val="00FB1B56"/>
    <w:rsid w:val="00FB27F1"/>
    <w:rsid w:val="00FB2C5E"/>
    <w:rsid w:val="00FB3477"/>
    <w:rsid w:val="00FB4C6F"/>
    <w:rsid w:val="00FC0705"/>
    <w:rsid w:val="00FC1910"/>
    <w:rsid w:val="00FC1C72"/>
    <w:rsid w:val="00FC2064"/>
    <w:rsid w:val="00FC290B"/>
    <w:rsid w:val="00FC33D7"/>
    <w:rsid w:val="00FC38C1"/>
    <w:rsid w:val="00FC5079"/>
    <w:rsid w:val="00FC512C"/>
    <w:rsid w:val="00FC5E76"/>
    <w:rsid w:val="00FC69CF"/>
    <w:rsid w:val="00FC6B2F"/>
    <w:rsid w:val="00FC7214"/>
    <w:rsid w:val="00FC7479"/>
    <w:rsid w:val="00FD058F"/>
    <w:rsid w:val="00FD0B70"/>
    <w:rsid w:val="00FD11B8"/>
    <w:rsid w:val="00FD126C"/>
    <w:rsid w:val="00FD1440"/>
    <w:rsid w:val="00FD1489"/>
    <w:rsid w:val="00FD17D7"/>
    <w:rsid w:val="00FD2DA9"/>
    <w:rsid w:val="00FD35FA"/>
    <w:rsid w:val="00FD50E9"/>
    <w:rsid w:val="00FD59F1"/>
    <w:rsid w:val="00FD5A9C"/>
    <w:rsid w:val="00FD6EC7"/>
    <w:rsid w:val="00FD6FE2"/>
    <w:rsid w:val="00FD74CB"/>
    <w:rsid w:val="00FD7543"/>
    <w:rsid w:val="00FD75B1"/>
    <w:rsid w:val="00FD7BF5"/>
    <w:rsid w:val="00FE185C"/>
    <w:rsid w:val="00FE287F"/>
    <w:rsid w:val="00FE2DEC"/>
    <w:rsid w:val="00FE3214"/>
    <w:rsid w:val="00FE3C5F"/>
    <w:rsid w:val="00FE401B"/>
    <w:rsid w:val="00FE4705"/>
    <w:rsid w:val="00FE4EC3"/>
    <w:rsid w:val="00FE5440"/>
    <w:rsid w:val="00FE557C"/>
    <w:rsid w:val="00FE69ED"/>
    <w:rsid w:val="00FE6A93"/>
    <w:rsid w:val="00FF05B8"/>
    <w:rsid w:val="00FF08D8"/>
    <w:rsid w:val="00FF0D55"/>
    <w:rsid w:val="00FF4C3A"/>
    <w:rsid w:val="00FF62F4"/>
    <w:rsid w:val="00FF6519"/>
    <w:rsid w:val="00FF6B5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4:docId w14:val="633491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12D16"/>
    <w:pPr>
      <w:tabs>
        <w:tab w:val="left" w:pos="567"/>
      </w:tabs>
      <w:spacing w:line="260" w:lineRule="exact"/>
    </w:pPr>
    <w:rPr>
      <w:rFonts w:eastAsia="Times New Roman"/>
      <w:sz w:val="22"/>
      <w:lang w:val="fr-FR" w:eastAsia="fr-FR" w:bidi="fr-FR"/>
    </w:rPr>
  </w:style>
  <w:style w:type="paragraph" w:styleId="Heading6">
    <w:name w:val="heading 6"/>
    <w:basedOn w:val="Normal"/>
    <w:next w:val="Text"/>
    <w:link w:val="Heading6Char"/>
    <w:qFormat/>
    <w:rsid w:val="003C2F4C"/>
    <w:pPr>
      <w:keepNext/>
      <w:keepLines/>
      <w:tabs>
        <w:tab w:val="clear" w:pos="567"/>
      </w:tabs>
      <w:spacing w:before="240" w:after="60" w:line="240" w:lineRule="auto"/>
      <w:ind w:left="1701" w:hanging="1701"/>
      <w:outlineLvl w:val="5"/>
    </w:pPr>
    <w:rPr>
      <w:rFonts w:ascii="Arial" w:eastAsia="MS Gothic" w:hAnsi="Arial"/>
      <w:b/>
      <w:lang w:val="x-none" w:bidi="ar-SA"/>
    </w:rPr>
  </w:style>
  <w:style w:type="paragraph" w:styleId="Heading7">
    <w:name w:val="heading 7"/>
    <w:basedOn w:val="Normal"/>
    <w:next w:val="Normal"/>
    <w:link w:val="Heading7Char"/>
    <w:semiHidden/>
    <w:unhideWhenUsed/>
    <w:qFormat/>
    <w:rsid w:val="008217D1"/>
    <w:pPr>
      <w:spacing w:before="240" w:after="60"/>
      <w:outlineLvl w:val="6"/>
    </w:pPr>
    <w:rPr>
      <w:rFonts w:ascii="Calibri" w:hAnsi="Calibri"/>
      <w:sz w:val="24"/>
      <w:szCs w:val="24"/>
      <w:lang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51D95"/>
    <w:pPr>
      <w:tabs>
        <w:tab w:val="center" w:pos="4536"/>
        <w:tab w:val="right" w:pos="8306"/>
      </w:tabs>
    </w:pPr>
    <w:rPr>
      <w:rFonts w:ascii="Arial" w:hAnsi="Arial"/>
      <w:noProof/>
      <w:sz w:val="16"/>
    </w:rPr>
  </w:style>
  <w:style w:type="paragraph" w:styleId="Header">
    <w:name w:val="header"/>
    <w:basedOn w:val="Normal"/>
    <w:rsid w:val="00851D95"/>
    <w:pPr>
      <w:tabs>
        <w:tab w:val="center" w:pos="4153"/>
        <w:tab w:val="right" w:pos="8306"/>
      </w:tabs>
    </w:pPr>
    <w:rPr>
      <w:rFonts w:ascii="Arial" w:hAnsi="Arial"/>
      <w:sz w:val="20"/>
    </w:rPr>
  </w:style>
  <w:style w:type="paragraph" w:customStyle="1" w:styleId="MemoHeaderStyle">
    <w:name w:val="MemoHeaderStyle"/>
    <w:basedOn w:val="Normal"/>
    <w:next w:val="Normal"/>
    <w:rsid w:val="00851D95"/>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aliases w:val="Comment Text Char1 Char,Comment Text Char Char Char,Comment Text Char1"/>
    <w:basedOn w:val="Normal"/>
    <w:link w:val="CommentTextChar"/>
    <w:uiPriority w:val="99"/>
    <w:rsid w:val="00812D16"/>
    <w:rPr>
      <w:sz w:val="20"/>
      <w:lang w:val="x-none" w:bidi="ar-SA"/>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345F9C"/>
    <w:rPr>
      <w:rFonts w:ascii="Verdana" w:eastAsia="Verdana" w:hAnsi="Verdana" w:cs="Verdana"/>
      <w:sz w:val="18"/>
      <w:szCs w:val="18"/>
      <w:lang w:val="fr-FR" w:eastAsia="fr-FR" w:bidi="fr-FR"/>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fr-FR" w:eastAsia="fr-FR" w:bidi="fr-FR"/>
    </w:rPr>
  </w:style>
  <w:style w:type="paragraph" w:customStyle="1" w:styleId="NormalAgency">
    <w:name w:val="Normal (Agency)"/>
    <w:link w:val="NormalAgencyChar"/>
    <w:rsid w:val="00C179B0"/>
    <w:rPr>
      <w:rFonts w:ascii="Verdana" w:eastAsia="Verdana" w:hAnsi="Verdana" w:cs="Verdana"/>
      <w:sz w:val="18"/>
      <w:szCs w:val="18"/>
      <w:lang w:val="fr-FR" w:eastAsia="fr-FR" w:bidi="fr-FR"/>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Verdana" w:hAnsi="Verdan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lang w:val="fr-FR" w:eastAsia="fr-FR" w:bidi="fr-FR"/>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Comment Text Char1 Char Char,Comment Text Char Char Char Char,Comment Text Char1 Char1"/>
    <w:link w:val="CommentText"/>
    <w:uiPriority w:val="99"/>
    <w:rsid w:val="00BC6DC2"/>
    <w:rPr>
      <w:rFonts w:eastAsia="Times New Roman"/>
      <w:lang w:eastAsia="fr-FR"/>
    </w:rPr>
  </w:style>
  <w:style w:type="character" w:customStyle="1" w:styleId="CommentSubjectChar">
    <w:name w:val="Comment Subject Char"/>
    <w:link w:val="CommentSubject"/>
    <w:rsid w:val="00BC6DC2"/>
    <w:rPr>
      <w:rFonts w:eastAsia="Times New Roman"/>
      <w:b/>
      <w:bCs/>
      <w:lang w:eastAsia="fr-FR"/>
    </w:rPr>
  </w:style>
  <w:style w:type="paragraph" w:customStyle="1" w:styleId="Text">
    <w:name w:val="Text"/>
    <w:aliases w:val="Graphic,Graphic Char Char,Graphic Char Char Char Char Char,Graphic Char Char Char Char Char Char Char C"/>
    <w:basedOn w:val="Normal"/>
    <w:link w:val="TextChar"/>
    <w:qFormat/>
    <w:rsid w:val="00BD75EB"/>
    <w:pPr>
      <w:keepLines/>
      <w:tabs>
        <w:tab w:val="clear" w:pos="567"/>
      </w:tabs>
      <w:spacing w:before="120" w:line="240" w:lineRule="auto"/>
      <w:jc w:val="both"/>
    </w:pPr>
    <w:rPr>
      <w:rFonts w:eastAsia="MS Mincho"/>
      <w:sz w:val="24"/>
      <w:lang w:val="x-none" w:bidi="ar-SA"/>
    </w:rPr>
  </w:style>
  <w:style w:type="character" w:customStyle="1" w:styleId="TextChar">
    <w:name w:val="Text Char"/>
    <w:link w:val="Text"/>
    <w:rsid w:val="00BD75EB"/>
    <w:rPr>
      <w:rFonts w:eastAsia="MS Mincho"/>
      <w:sz w:val="24"/>
      <w:lang w:eastAsia="fr-FR"/>
    </w:rPr>
  </w:style>
  <w:style w:type="paragraph" w:customStyle="1" w:styleId="Listlevel1">
    <w:name w:val="List level 1"/>
    <w:basedOn w:val="Normal"/>
    <w:rsid w:val="00F70BDE"/>
    <w:pPr>
      <w:keepLines/>
      <w:tabs>
        <w:tab w:val="clear" w:pos="567"/>
      </w:tabs>
      <w:spacing w:before="40" w:line="240" w:lineRule="auto"/>
      <w:ind w:left="425" w:hanging="425"/>
    </w:pPr>
    <w:rPr>
      <w:rFonts w:eastAsia="MS Mincho"/>
      <w:sz w:val="24"/>
    </w:rPr>
  </w:style>
  <w:style w:type="character" w:customStyle="1" w:styleId="Heading6Char">
    <w:name w:val="Heading 6 Char"/>
    <w:link w:val="Heading6"/>
    <w:rsid w:val="003C2F4C"/>
    <w:rPr>
      <w:rFonts w:ascii="Arial" w:eastAsia="MS Gothic" w:hAnsi="Arial" w:cs="Arial"/>
      <w:b/>
      <w:sz w:val="22"/>
      <w:lang w:eastAsia="fr-FR"/>
    </w:rPr>
  </w:style>
  <w:style w:type="paragraph" w:customStyle="1" w:styleId="Table">
    <w:name w:val="Table"/>
    <w:aliases w:val="10 pt  Bold,9 pt,10 pt"/>
    <w:basedOn w:val="Normal"/>
    <w:link w:val="TableChar"/>
    <w:rsid w:val="003C2F4C"/>
    <w:pPr>
      <w:keepLines/>
      <w:tabs>
        <w:tab w:val="clear" w:pos="567"/>
        <w:tab w:val="left" w:pos="284"/>
      </w:tabs>
      <w:spacing w:before="40" w:after="20" w:line="240" w:lineRule="auto"/>
    </w:pPr>
    <w:rPr>
      <w:rFonts w:ascii="Arial" w:eastAsia="MS Mincho" w:hAnsi="Arial"/>
      <w:sz w:val="20"/>
      <w:szCs w:val="24"/>
      <w:lang w:val="x-none" w:bidi="ar-SA"/>
    </w:rPr>
  </w:style>
  <w:style w:type="character" w:customStyle="1" w:styleId="TableChar">
    <w:name w:val="Table Char"/>
    <w:aliases w:val="10 pt  Bold Char,9 pt Char,10 pt Char,9pt Char,9 Char"/>
    <w:link w:val="Table"/>
    <w:rsid w:val="003C2F4C"/>
    <w:rPr>
      <w:rFonts w:ascii="Arial" w:eastAsia="MS Mincho" w:hAnsi="Arial" w:cs="Arial"/>
      <w:szCs w:val="24"/>
      <w:lang w:eastAsia="fr-FR"/>
    </w:rPr>
  </w:style>
  <w:style w:type="paragraph" w:customStyle="1" w:styleId="Nottoc-headings">
    <w:name w:val="Not toc-headings"/>
    <w:basedOn w:val="Normal"/>
    <w:next w:val="Text"/>
    <w:link w:val="Nottoc-headingsChar"/>
    <w:rsid w:val="003C2F4C"/>
    <w:pPr>
      <w:keepNext/>
      <w:keepLines/>
      <w:tabs>
        <w:tab w:val="clear" w:pos="567"/>
      </w:tabs>
      <w:spacing w:before="240" w:after="60" w:line="240" w:lineRule="auto"/>
    </w:pPr>
    <w:rPr>
      <w:rFonts w:ascii="Arial" w:eastAsia="MS Gothic" w:hAnsi="Arial"/>
      <w:b/>
      <w:sz w:val="24"/>
      <w:szCs w:val="24"/>
      <w:lang w:val="x-none" w:bidi="ar-SA"/>
    </w:rPr>
  </w:style>
  <w:style w:type="character" w:customStyle="1" w:styleId="Nottoc-headingsChar">
    <w:name w:val="Not toc-headings Char"/>
    <w:link w:val="Nottoc-headings"/>
    <w:rsid w:val="003C2F4C"/>
    <w:rPr>
      <w:rFonts w:ascii="Arial" w:eastAsia="MS Gothic" w:hAnsi="Arial" w:cs="Arial"/>
      <w:b/>
      <w:sz w:val="24"/>
      <w:szCs w:val="24"/>
      <w:lang w:eastAsia="fr-FR"/>
    </w:rPr>
  </w:style>
  <w:style w:type="paragraph" w:customStyle="1" w:styleId="Comment">
    <w:name w:val="Comment"/>
    <w:basedOn w:val="Normal"/>
    <w:next w:val="Text"/>
    <w:link w:val="CommentChar"/>
    <w:rsid w:val="000C2E45"/>
    <w:pPr>
      <w:keepLines/>
      <w:tabs>
        <w:tab w:val="clear" w:pos="567"/>
      </w:tabs>
      <w:spacing w:before="120" w:line="240" w:lineRule="auto"/>
      <w:jc w:val="both"/>
    </w:pPr>
    <w:rPr>
      <w:rFonts w:eastAsia="MS Mincho"/>
      <w:i/>
      <w:color w:val="BF30B5"/>
      <w:sz w:val="24"/>
      <w:szCs w:val="24"/>
      <w:lang w:val="x-none" w:bidi="ar-SA"/>
    </w:rPr>
  </w:style>
  <w:style w:type="character" w:customStyle="1" w:styleId="CommentChar">
    <w:name w:val="Comment Char"/>
    <w:link w:val="Comment"/>
    <w:rsid w:val="000C2E45"/>
    <w:rPr>
      <w:rFonts w:eastAsia="MS Mincho"/>
      <w:i/>
      <w:color w:val="BF30B5"/>
      <w:sz w:val="24"/>
      <w:szCs w:val="24"/>
      <w:lang w:eastAsia="fr-FR"/>
    </w:rPr>
  </w:style>
  <w:style w:type="paragraph" w:customStyle="1" w:styleId="Default">
    <w:name w:val="Default"/>
    <w:rsid w:val="002B7E7E"/>
    <w:pPr>
      <w:autoSpaceDE w:val="0"/>
      <w:autoSpaceDN w:val="0"/>
      <w:adjustRightInd w:val="0"/>
    </w:pPr>
    <w:rPr>
      <w:color w:val="000000"/>
      <w:sz w:val="24"/>
      <w:szCs w:val="24"/>
      <w:lang w:val="fr-FR" w:eastAsia="fr-FR" w:bidi="fr-FR"/>
    </w:rPr>
  </w:style>
  <w:style w:type="paragraph" w:styleId="Revision">
    <w:name w:val="Revision"/>
    <w:hidden/>
    <w:uiPriority w:val="99"/>
    <w:semiHidden/>
    <w:rsid w:val="00221FDB"/>
    <w:rPr>
      <w:rFonts w:eastAsia="Times New Roman"/>
      <w:sz w:val="22"/>
      <w:lang w:val="fr-FR" w:eastAsia="fr-FR" w:bidi="fr-FR"/>
    </w:rPr>
  </w:style>
  <w:style w:type="character" w:customStyle="1" w:styleId="Heading7Char">
    <w:name w:val="Heading 7 Char"/>
    <w:link w:val="Heading7"/>
    <w:semiHidden/>
    <w:rsid w:val="008217D1"/>
    <w:rPr>
      <w:rFonts w:ascii="Calibri" w:eastAsia="Times New Roman" w:hAnsi="Calibri" w:cs="Times New Roman"/>
      <w:sz w:val="24"/>
      <w:szCs w:val="24"/>
      <w:lang w:val="fr-FR"/>
    </w:rPr>
  </w:style>
  <w:style w:type="table" w:styleId="TableGrid">
    <w:name w:val="Table Grid"/>
    <w:basedOn w:val="TableNormal"/>
    <w:rsid w:val="008F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end">
    <w:name w:val="Legend"/>
    <w:basedOn w:val="Table"/>
    <w:link w:val="LegendChar"/>
    <w:rsid w:val="008565E3"/>
  </w:style>
  <w:style w:type="character" w:customStyle="1" w:styleId="LegendChar">
    <w:name w:val="Legend Char"/>
    <w:link w:val="Legend"/>
    <w:rsid w:val="008565E3"/>
    <w:rPr>
      <w:rFonts w:ascii="Arial" w:eastAsia="MS Mincho" w:hAnsi="Arial" w:cs="Arial"/>
      <w:szCs w:val="24"/>
      <w:lang w:eastAsia="fr-FR"/>
    </w:rPr>
  </w:style>
  <w:style w:type="paragraph" w:styleId="NormalWeb">
    <w:name w:val="Normal (Web)"/>
    <w:basedOn w:val="Normal"/>
    <w:uiPriority w:val="99"/>
    <w:rsid w:val="004B5154"/>
    <w:pPr>
      <w:tabs>
        <w:tab w:val="clear" w:pos="567"/>
      </w:tabs>
      <w:spacing w:before="40" w:line="240" w:lineRule="auto"/>
    </w:pPr>
    <w:rPr>
      <w:rFonts w:eastAsia="MS Mincho"/>
      <w:sz w:val="24"/>
      <w:szCs w:val="24"/>
    </w:rPr>
  </w:style>
  <w:style w:type="paragraph" w:customStyle="1" w:styleId="BodytextEMA">
    <w:name w:val="Body text (EMA)"/>
    <w:basedOn w:val="Normal"/>
    <w:rsid w:val="00ED220C"/>
    <w:pPr>
      <w:tabs>
        <w:tab w:val="clear" w:pos="567"/>
      </w:tabs>
      <w:spacing w:after="140" w:line="280" w:lineRule="atLeast"/>
    </w:pPr>
    <w:rPr>
      <w:rFonts w:ascii="Verdana" w:eastAsia="Verdana" w:hAnsi="Verdana" w:cs="Verdana"/>
      <w:sz w:val="18"/>
      <w:szCs w:val="18"/>
      <w:lang w:val="en-GB" w:eastAsia="en-GB" w:bidi="ar-SA"/>
    </w:rPr>
  </w:style>
  <w:style w:type="paragraph" w:styleId="DocumentMap">
    <w:name w:val="Document Map"/>
    <w:basedOn w:val="Normal"/>
    <w:link w:val="DocumentMapChar"/>
    <w:rsid w:val="00BE7F7C"/>
    <w:rPr>
      <w:rFonts w:ascii="Tahoma" w:hAnsi="Tahoma" w:cs="Tahoma"/>
      <w:sz w:val="16"/>
      <w:szCs w:val="16"/>
    </w:rPr>
  </w:style>
  <w:style w:type="character" w:customStyle="1" w:styleId="DocumentMapChar">
    <w:name w:val="Document Map Char"/>
    <w:link w:val="DocumentMap"/>
    <w:rsid w:val="00BE7F7C"/>
    <w:rPr>
      <w:rFonts w:ascii="Tahoma" w:eastAsia="Times New Roman" w:hAnsi="Tahoma" w:cs="Tahoma"/>
      <w:sz w:val="16"/>
      <w:szCs w:val="16"/>
      <w:lang w:val="fr-FR" w:eastAsia="fr-FR" w:bidi="fr-FR"/>
    </w:rPr>
  </w:style>
  <w:style w:type="character" w:styleId="Emphasis">
    <w:name w:val="Emphasis"/>
    <w:uiPriority w:val="20"/>
    <w:qFormat/>
    <w:rsid w:val="00A14D8E"/>
    <w:rPr>
      <w:i/>
      <w:iCs/>
    </w:rPr>
  </w:style>
  <w:style w:type="paragraph" w:customStyle="1" w:styleId="TitleEMA1">
    <w:name w:val="Title EMA1"/>
    <w:basedOn w:val="Normal"/>
    <w:link w:val="TitleEMA1Char"/>
    <w:qFormat/>
    <w:rsid w:val="0017061D"/>
    <w:pPr>
      <w:widowControl w:val="0"/>
      <w:jc w:val="center"/>
      <w:outlineLvl w:val="0"/>
    </w:pPr>
    <w:rPr>
      <w:b/>
      <w:noProof/>
    </w:rPr>
  </w:style>
  <w:style w:type="paragraph" w:customStyle="1" w:styleId="TitleEMA2">
    <w:name w:val="Title EMA2"/>
    <w:basedOn w:val="Normal"/>
    <w:link w:val="TitleEMA2Char"/>
    <w:qFormat/>
    <w:rsid w:val="00EC6B73"/>
    <w:pPr>
      <w:ind w:left="1701" w:right="1416" w:hanging="567"/>
    </w:pPr>
    <w:rPr>
      <w:b/>
      <w:lang w:val="fr-BE"/>
    </w:rPr>
  </w:style>
  <w:style w:type="character" w:customStyle="1" w:styleId="TitleEMA1Char">
    <w:name w:val="Title EMA1 Char"/>
    <w:link w:val="TitleEMA1"/>
    <w:rsid w:val="0017061D"/>
    <w:rPr>
      <w:rFonts w:eastAsia="Times New Roman"/>
      <w:b/>
      <w:noProof/>
      <w:sz w:val="22"/>
      <w:lang w:val="fr-FR" w:eastAsia="fr-FR" w:bidi="fr-FR"/>
    </w:rPr>
  </w:style>
  <w:style w:type="character" w:customStyle="1" w:styleId="TitleEMA2Char">
    <w:name w:val="Title EMA2 Char"/>
    <w:link w:val="TitleEMA2"/>
    <w:rsid w:val="00EC6B73"/>
    <w:rPr>
      <w:rFonts w:eastAsia="Times New Roman"/>
      <w:b/>
      <w:sz w:val="22"/>
      <w:lang w:val="fr-BE"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853462">
      <w:bodyDiv w:val="1"/>
      <w:marLeft w:val="0"/>
      <w:marRight w:val="0"/>
      <w:marTop w:val="0"/>
      <w:marBottom w:val="0"/>
      <w:divBdr>
        <w:top w:val="none" w:sz="0" w:space="0" w:color="auto"/>
        <w:left w:val="none" w:sz="0" w:space="0" w:color="auto"/>
        <w:bottom w:val="none" w:sz="0" w:space="0" w:color="auto"/>
        <w:right w:val="none" w:sz="0" w:space="0" w:color="auto"/>
      </w:divBdr>
    </w:div>
    <w:div w:id="175310234">
      <w:bodyDiv w:val="1"/>
      <w:marLeft w:val="0"/>
      <w:marRight w:val="0"/>
      <w:marTop w:val="0"/>
      <w:marBottom w:val="0"/>
      <w:divBdr>
        <w:top w:val="none" w:sz="0" w:space="0" w:color="auto"/>
        <w:left w:val="none" w:sz="0" w:space="0" w:color="auto"/>
        <w:bottom w:val="none" w:sz="0" w:space="0" w:color="auto"/>
        <w:right w:val="none" w:sz="0" w:space="0" w:color="auto"/>
      </w:divBdr>
    </w:div>
    <w:div w:id="218516990">
      <w:bodyDiv w:val="1"/>
      <w:marLeft w:val="0"/>
      <w:marRight w:val="0"/>
      <w:marTop w:val="0"/>
      <w:marBottom w:val="0"/>
      <w:divBdr>
        <w:top w:val="none" w:sz="0" w:space="0" w:color="auto"/>
        <w:left w:val="none" w:sz="0" w:space="0" w:color="auto"/>
        <w:bottom w:val="none" w:sz="0" w:space="0" w:color="auto"/>
        <w:right w:val="none" w:sz="0" w:space="0" w:color="auto"/>
      </w:divBdr>
    </w:div>
    <w:div w:id="281503912">
      <w:bodyDiv w:val="1"/>
      <w:marLeft w:val="0"/>
      <w:marRight w:val="0"/>
      <w:marTop w:val="0"/>
      <w:marBottom w:val="0"/>
      <w:divBdr>
        <w:top w:val="none" w:sz="0" w:space="0" w:color="auto"/>
        <w:left w:val="none" w:sz="0" w:space="0" w:color="auto"/>
        <w:bottom w:val="none" w:sz="0" w:space="0" w:color="auto"/>
        <w:right w:val="none" w:sz="0" w:space="0" w:color="auto"/>
      </w:divBdr>
    </w:div>
    <w:div w:id="417484150">
      <w:bodyDiv w:val="1"/>
      <w:marLeft w:val="0"/>
      <w:marRight w:val="0"/>
      <w:marTop w:val="0"/>
      <w:marBottom w:val="0"/>
      <w:divBdr>
        <w:top w:val="none" w:sz="0" w:space="0" w:color="auto"/>
        <w:left w:val="none" w:sz="0" w:space="0" w:color="auto"/>
        <w:bottom w:val="none" w:sz="0" w:space="0" w:color="auto"/>
        <w:right w:val="none" w:sz="0" w:space="0" w:color="auto"/>
      </w:divBdr>
    </w:div>
    <w:div w:id="456263363">
      <w:bodyDiv w:val="1"/>
      <w:marLeft w:val="0"/>
      <w:marRight w:val="0"/>
      <w:marTop w:val="0"/>
      <w:marBottom w:val="0"/>
      <w:divBdr>
        <w:top w:val="none" w:sz="0" w:space="0" w:color="auto"/>
        <w:left w:val="none" w:sz="0" w:space="0" w:color="auto"/>
        <w:bottom w:val="none" w:sz="0" w:space="0" w:color="auto"/>
        <w:right w:val="none" w:sz="0" w:space="0" w:color="auto"/>
      </w:divBdr>
    </w:div>
    <w:div w:id="501548500">
      <w:bodyDiv w:val="1"/>
      <w:marLeft w:val="0"/>
      <w:marRight w:val="0"/>
      <w:marTop w:val="0"/>
      <w:marBottom w:val="0"/>
      <w:divBdr>
        <w:top w:val="none" w:sz="0" w:space="0" w:color="auto"/>
        <w:left w:val="none" w:sz="0" w:space="0" w:color="auto"/>
        <w:bottom w:val="none" w:sz="0" w:space="0" w:color="auto"/>
        <w:right w:val="none" w:sz="0" w:space="0" w:color="auto"/>
      </w:divBdr>
    </w:div>
    <w:div w:id="511841220">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722678868">
      <w:bodyDiv w:val="1"/>
      <w:marLeft w:val="0"/>
      <w:marRight w:val="0"/>
      <w:marTop w:val="0"/>
      <w:marBottom w:val="0"/>
      <w:divBdr>
        <w:top w:val="none" w:sz="0" w:space="0" w:color="auto"/>
        <w:left w:val="none" w:sz="0" w:space="0" w:color="auto"/>
        <w:bottom w:val="none" w:sz="0" w:space="0" w:color="auto"/>
        <w:right w:val="none" w:sz="0" w:space="0" w:color="auto"/>
      </w:divBdr>
    </w:div>
    <w:div w:id="746341134">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878398207">
      <w:bodyDiv w:val="1"/>
      <w:marLeft w:val="0"/>
      <w:marRight w:val="0"/>
      <w:marTop w:val="0"/>
      <w:marBottom w:val="0"/>
      <w:divBdr>
        <w:top w:val="none" w:sz="0" w:space="0" w:color="auto"/>
        <w:left w:val="none" w:sz="0" w:space="0" w:color="auto"/>
        <w:bottom w:val="none" w:sz="0" w:space="0" w:color="auto"/>
        <w:right w:val="none" w:sz="0" w:space="0" w:color="auto"/>
      </w:divBdr>
    </w:div>
    <w:div w:id="903687844">
      <w:bodyDiv w:val="1"/>
      <w:marLeft w:val="0"/>
      <w:marRight w:val="0"/>
      <w:marTop w:val="0"/>
      <w:marBottom w:val="0"/>
      <w:divBdr>
        <w:top w:val="none" w:sz="0" w:space="0" w:color="auto"/>
        <w:left w:val="none" w:sz="0" w:space="0" w:color="auto"/>
        <w:bottom w:val="none" w:sz="0" w:space="0" w:color="auto"/>
        <w:right w:val="none" w:sz="0" w:space="0" w:color="auto"/>
      </w:divBdr>
      <w:divsChild>
        <w:div w:id="1082483079">
          <w:marLeft w:val="0"/>
          <w:marRight w:val="0"/>
          <w:marTop w:val="0"/>
          <w:marBottom w:val="0"/>
          <w:divBdr>
            <w:top w:val="none" w:sz="0" w:space="0" w:color="auto"/>
            <w:left w:val="none" w:sz="0" w:space="0" w:color="auto"/>
            <w:bottom w:val="none" w:sz="0" w:space="0" w:color="auto"/>
            <w:right w:val="none" w:sz="0" w:space="0" w:color="auto"/>
          </w:divBdr>
        </w:div>
        <w:div w:id="713577135">
          <w:marLeft w:val="0"/>
          <w:marRight w:val="0"/>
          <w:marTop w:val="0"/>
          <w:marBottom w:val="0"/>
          <w:divBdr>
            <w:top w:val="none" w:sz="0" w:space="0" w:color="auto"/>
            <w:left w:val="none" w:sz="0" w:space="0" w:color="auto"/>
            <w:bottom w:val="none" w:sz="0" w:space="0" w:color="auto"/>
            <w:right w:val="none" w:sz="0" w:space="0" w:color="auto"/>
          </w:divBdr>
        </w:div>
      </w:divsChild>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33441052">
      <w:bodyDiv w:val="1"/>
      <w:marLeft w:val="0"/>
      <w:marRight w:val="0"/>
      <w:marTop w:val="0"/>
      <w:marBottom w:val="0"/>
      <w:divBdr>
        <w:top w:val="none" w:sz="0" w:space="0" w:color="auto"/>
        <w:left w:val="none" w:sz="0" w:space="0" w:color="auto"/>
        <w:bottom w:val="none" w:sz="0" w:space="0" w:color="auto"/>
        <w:right w:val="none" w:sz="0" w:space="0" w:color="auto"/>
      </w:divBdr>
    </w:div>
    <w:div w:id="960460883">
      <w:bodyDiv w:val="1"/>
      <w:marLeft w:val="0"/>
      <w:marRight w:val="0"/>
      <w:marTop w:val="0"/>
      <w:marBottom w:val="0"/>
      <w:divBdr>
        <w:top w:val="none" w:sz="0" w:space="0" w:color="auto"/>
        <w:left w:val="none" w:sz="0" w:space="0" w:color="auto"/>
        <w:bottom w:val="none" w:sz="0" w:space="0" w:color="auto"/>
        <w:right w:val="none" w:sz="0" w:space="0" w:color="auto"/>
      </w:divBdr>
    </w:div>
    <w:div w:id="1014188537">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66554247">
      <w:bodyDiv w:val="1"/>
      <w:marLeft w:val="0"/>
      <w:marRight w:val="0"/>
      <w:marTop w:val="0"/>
      <w:marBottom w:val="0"/>
      <w:divBdr>
        <w:top w:val="none" w:sz="0" w:space="0" w:color="auto"/>
        <w:left w:val="none" w:sz="0" w:space="0" w:color="auto"/>
        <w:bottom w:val="none" w:sz="0" w:space="0" w:color="auto"/>
        <w:right w:val="none" w:sz="0" w:space="0" w:color="auto"/>
      </w:divBdr>
    </w:div>
    <w:div w:id="1469007465">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14703047">
      <w:bodyDiv w:val="1"/>
      <w:marLeft w:val="0"/>
      <w:marRight w:val="0"/>
      <w:marTop w:val="0"/>
      <w:marBottom w:val="0"/>
      <w:divBdr>
        <w:top w:val="none" w:sz="0" w:space="0" w:color="auto"/>
        <w:left w:val="none" w:sz="0" w:space="0" w:color="auto"/>
        <w:bottom w:val="none" w:sz="0" w:space="0" w:color="auto"/>
        <w:right w:val="none" w:sz="0" w:space="0" w:color="auto"/>
      </w:divBdr>
    </w:div>
    <w:div w:id="1725712561">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65636166">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04750474">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32854388">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007052584">
      <w:bodyDiv w:val="1"/>
      <w:marLeft w:val="0"/>
      <w:marRight w:val="0"/>
      <w:marTop w:val="0"/>
      <w:marBottom w:val="0"/>
      <w:divBdr>
        <w:top w:val="none" w:sz="0" w:space="0" w:color="auto"/>
        <w:left w:val="none" w:sz="0" w:space="0" w:color="auto"/>
        <w:bottom w:val="none" w:sz="0" w:space="0" w:color="auto"/>
        <w:right w:val="none" w:sz="0" w:space="0" w:color="auto"/>
      </w:divBdr>
    </w:div>
    <w:div w:id="2075003995">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gif"/><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vs.nci.nih.gov/ftp1/CTCAE/About.html" TargetMode="External"/><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nfo xmlns="50766a7e-c541-4ccc-92f8-7fbf32db0325" xsi:nil="true"/>
    <lcf76f155ced4ddcb4097134ff3c332f xmlns="50766a7e-c541-4ccc-92f8-7fbf32db0325">
      <Terms xmlns="http://schemas.microsoft.com/office/infopath/2007/PartnerControls"/>
    </lcf76f155ced4ddcb4097134ff3c332f>
    <_Flow_SignoffStatus xmlns="50766a7e-c541-4ccc-92f8-7fbf32db0325" xsi:nil="true"/>
    <TaxCatchAll xmlns="e2cb55d7-ceee-4163-8cb3-5bef154589f6" xsi:nil="true"/>
    <_ApprovalAssignedTo xmlns="50766a7e-c541-4ccc-92f8-7fbf32db0325">
      <UserInfo>
        <DisplayName/>
        <AccountId xsi:nil="true"/>
        <AccountType/>
      </UserInfo>
    </_ApprovalAssignedTo>
    <_ApprovalRespondedBy xmlns="50766a7e-c541-4ccc-92f8-7fbf32db0325">
      <UserInfo>
        <DisplayName/>
        <AccountId xsi:nil="true"/>
        <AccountType/>
      </UserInfo>
    </_ApprovalRespondedBy>
    <_ApprovalStatus xmlns="50766a7e-c541-4ccc-92f8-7fbf32db0325">0</_ApprovalStatus>
    <_ApprovalSentBy xmlns="50766a7e-c541-4ccc-92f8-7fbf32db0325">
      <UserInfo>
        <DisplayName/>
        <AccountId xsi:nil="true"/>
        <AccountType/>
      </UserInfo>
    </_ApprovalSent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90B9AA0549FA40AAFEDF5C106C1DE9" ma:contentTypeVersion="26" ma:contentTypeDescription="Create a new document." ma:contentTypeScope="" ma:versionID="4936e3c92e02f0895fb007bd2d1b2f53">
  <xsd:schema xmlns:xsd="http://www.w3.org/2001/XMLSchema" xmlns:xs="http://www.w3.org/2001/XMLSchema" xmlns:p="http://schemas.microsoft.com/office/2006/metadata/properties" xmlns:ns2="50766a7e-c541-4ccc-92f8-7fbf32db0325" xmlns:ns3="e2cb55d7-ceee-4163-8cb3-5bef154589f6" targetNamespace="http://schemas.microsoft.com/office/2006/metadata/properties" ma:root="true" ma:fieldsID="a38aa45ea9b8ed3f84e478355039eed7" ns2:_="" ns3:_="">
    <xsd:import namespace="50766a7e-c541-4ccc-92f8-7fbf32db0325"/>
    <xsd:import namespace="e2cb55d7-ceee-4163-8cb3-5bef154589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2:_Flow_SignoffStatus" minOccurs="0"/>
                <xsd:element ref="ns2:MediaServiceAutoKeyPoints" minOccurs="0"/>
                <xsd:element ref="ns2:MediaServiceKeyPoints" minOccurs="0"/>
                <xsd:element ref="ns2:MediaServiceLocation" minOccurs="0"/>
                <xsd:element ref="ns2:Info"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66a7e-c541-4ccc-92f8-7fbf32db03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_Flow_SignoffStatus" ma:index="18" nillable="true" ma:displayName="Sign-off status" ma:internalName="_x0024_Resources_x003a_core_x002c_Signoff_Status_x003b_">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Info" ma:index="22" nillable="true" ma:displayName="Info" ma:format="Dropdown" ma:internalName="Info">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20e67b1-e3c8-4145-a56b-cd4bd9f469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ApprovalAssignedTo" ma:index="29"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30"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31"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2" nillable="true" ma:displayName="Approval status"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cb55d7-ceee-4163-8cb3-5bef154589f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df7f7c85-102d-43bc-a920-f9525a43441f}" ma:internalName="TaxCatchAll" ma:showField="CatchAllData" ma:web="e2cb55d7-ceee-4163-8cb3-5bef154589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E6089-453D-4C71-93A7-8240301665B2}">
  <ds:schemaRefs>
    <ds:schemaRef ds:uri="http://schemas.microsoft.com/office/2006/metadata/properties"/>
    <ds:schemaRef ds:uri="http://purl.org/dc/terms/"/>
    <ds:schemaRef ds:uri="http://purl.org/dc/elements/1.1/"/>
    <ds:schemaRef ds:uri="http://schemas.microsoft.com/office/2006/documentManagement/types"/>
    <ds:schemaRef ds:uri="http://purl.org/dc/dcmitype/"/>
    <ds:schemaRef ds:uri="50766a7e-c541-4ccc-92f8-7fbf32db0325"/>
    <ds:schemaRef ds:uri="http://www.w3.org/XML/1998/namespace"/>
    <ds:schemaRef ds:uri="http://schemas.microsoft.com/office/infopath/2007/PartnerControls"/>
    <ds:schemaRef ds:uri="http://schemas.openxmlformats.org/package/2006/metadata/core-properties"/>
    <ds:schemaRef ds:uri="e2cb55d7-ceee-4163-8cb3-5bef154589f6"/>
  </ds:schemaRefs>
</ds:datastoreItem>
</file>

<file path=customXml/itemProps2.xml><?xml version="1.0" encoding="utf-8"?>
<ds:datastoreItem xmlns:ds="http://schemas.openxmlformats.org/officeDocument/2006/customXml" ds:itemID="{9420445B-4AB4-4856-B638-F68AD69A0147}">
  <ds:schemaRefs>
    <ds:schemaRef ds:uri="http://schemas.microsoft.com/sharepoint/v3/contenttype/forms"/>
  </ds:schemaRefs>
</ds:datastoreItem>
</file>

<file path=customXml/itemProps3.xml><?xml version="1.0" encoding="utf-8"?>
<ds:datastoreItem xmlns:ds="http://schemas.openxmlformats.org/officeDocument/2006/customXml" ds:itemID="{FA763564-16C7-4C21-B55E-4883DB50D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766a7e-c541-4ccc-92f8-7fbf32db0325"/>
    <ds:schemaRef ds:uri="e2cb55d7-ceee-4163-8cb3-5bef15458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5A2A8D-FCE4-43A2-930C-C6FC89374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13847</Words>
  <Characters>76575</Characters>
  <Application>Microsoft Office Word</Application>
  <DocSecurity>0</DocSecurity>
  <Lines>2069</Lines>
  <Paragraphs>1051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89371</CharactersWithSpaces>
  <SharedDoc>false</SharedDoc>
  <HLinks>
    <vt:vector size="18" baseType="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983108</vt:i4>
      </vt:variant>
      <vt:variant>
        <vt:i4>0</vt:i4>
      </vt:variant>
      <vt:variant>
        <vt:i4>0</vt:i4>
      </vt:variant>
      <vt:variant>
        <vt:i4>5</vt:i4>
      </vt:variant>
      <vt:variant>
        <vt:lpwstr>http://evs.nci.nih.gov/ftp1/CTCAE/About.html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5</cp:revision>
  <dcterms:created xsi:type="dcterms:W3CDTF">2025-10-21T09:48:00Z</dcterms:created>
  <dcterms:modified xsi:type="dcterms:W3CDTF">2025-11-10T20:04:00Z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0x010100C090B9AA0549FA40AAFEDF5C106C1DE9</vt:lpwstr>
  </property>
  <property fmtid="{D5CDD505-2E9C-101B-9397-08002B2CF9AE}" pid="3" name="MediaServiceImageTags">
    <vt:lpwstr/>
  </property>
</Properties>
</file>