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EBF0" w14:textId="77777777" w:rsidR="00B9798E" w:rsidRPr="00D2126A" w:rsidRDefault="00B9798E" w:rsidP="00C93C76">
      <w:pPr>
        <w:tabs>
          <w:tab w:val="left" w:pos="-1440"/>
          <w:tab w:val="left" w:pos="-720"/>
        </w:tabs>
        <w:jc w:val="center"/>
        <w:rPr>
          <w:noProof/>
          <w:color w:val="000000"/>
        </w:rPr>
      </w:pPr>
    </w:p>
    <w:p w14:paraId="03623952" w14:textId="77777777" w:rsidR="000E4A7A" w:rsidRPr="00D2126A" w:rsidRDefault="000E4A7A" w:rsidP="00C93C76">
      <w:pPr>
        <w:pStyle w:val="Date"/>
        <w:jc w:val="center"/>
      </w:pPr>
    </w:p>
    <w:p w14:paraId="6A3DBE2D" w14:textId="77777777" w:rsidR="000E4A7A" w:rsidRPr="00D2126A" w:rsidRDefault="000E4A7A" w:rsidP="00C93C76">
      <w:pPr>
        <w:jc w:val="center"/>
      </w:pPr>
    </w:p>
    <w:p w14:paraId="5DB5B7D0" w14:textId="77777777" w:rsidR="000E4A7A" w:rsidRPr="00D2126A" w:rsidRDefault="000E4A7A" w:rsidP="00C93C76">
      <w:pPr>
        <w:pStyle w:val="Date"/>
        <w:jc w:val="center"/>
      </w:pPr>
    </w:p>
    <w:p w14:paraId="1F597CE2" w14:textId="77777777" w:rsidR="000E4A7A" w:rsidRPr="00D2126A" w:rsidRDefault="000E4A7A" w:rsidP="00C93C76">
      <w:pPr>
        <w:jc w:val="center"/>
      </w:pPr>
    </w:p>
    <w:p w14:paraId="4718A72B" w14:textId="77777777" w:rsidR="000E4A7A" w:rsidRPr="00D2126A" w:rsidRDefault="000E4A7A" w:rsidP="00C93C76">
      <w:pPr>
        <w:pStyle w:val="Date"/>
        <w:jc w:val="center"/>
      </w:pPr>
    </w:p>
    <w:p w14:paraId="17D1F7E3" w14:textId="77777777" w:rsidR="000E4A7A" w:rsidRPr="00D2126A" w:rsidRDefault="000E4A7A" w:rsidP="00C93C76">
      <w:pPr>
        <w:jc w:val="center"/>
      </w:pPr>
    </w:p>
    <w:p w14:paraId="6D1F7C14" w14:textId="77777777" w:rsidR="000E4A7A" w:rsidRPr="00D2126A" w:rsidRDefault="000E4A7A" w:rsidP="00C93C76">
      <w:pPr>
        <w:pStyle w:val="Date"/>
        <w:jc w:val="center"/>
      </w:pPr>
    </w:p>
    <w:p w14:paraId="6BE80971" w14:textId="77777777" w:rsidR="001017D5" w:rsidRPr="00D2126A" w:rsidRDefault="001017D5" w:rsidP="00C93C76">
      <w:pPr>
        <w:jc w:val="center"/>
      </w:pPr>
    </w:p>
    <w:p w14:paraId="3FBF2FC2" w14:textId="77777777" w:rsidR="001017D5" w:rsidRPr="00D2126A" w:rsidRDefault="001017D5" w:rsidP="00C93C76">
      <w:pPr>
        <w:pStyle w:val="Date"/>
        <w:jc w:val="center"/>
      </w:pPr>
    </w:p>
    <w:p w14:paraId="2497FB1F" w14:textId="77777777" w:rsidR="000E4A7A" w:rsidRPr="00D2126A" w:rsidRDefault="000E4A7A" w:rsidP="00C93C76">
      <w:pPr>
        <w:jc w:val="center"/>
      </w:pPr>
    </w:p>
    <w:p w14:paraId="75899F56" w14:textId="77777777" w:rsidR="000E4A7A" w:rsidRPr="00D2126A" w:rsidRDefault="000E4A7A" w:rsidP="00C93C76">
      <w:pPr>
        <w:pStyle w:val="Date"/>
        <w:jc w:val="center"/>
      </w:pPr>
    </w:p>
    <w:p w14:paraId="3BB2A698" w14:textId="77777777" w:rsidR="000E4A7A" w:rsidRPr="00D2126A" w:rsidRDefault="000E4A7A" w:rsidP="00C93C76">
      <w:pPr>
        <w:jc w:val="center"/>
      </w:pPr>
    </w:p>
    <w:p w14:paraId="4FADF4E7" w14:textId="77777777" w:rsidR="000E4A7A" w:rsidRPr="00D2126A" w:rsidRDefault="000E4A7A" w:rsidP="00C93C76">
      <w:pPr>
        <w:pStyle w:val="Date"/>
        <w:jc w:val="center"/>
      </w:pPr>
    </w:p>
    <w:p w14:paraId="5F991A08" w14:textId="77777777" w:rsidR="000E4A7A" w:rsidRPr="00D2126A" w:rsidRDefault="000E4A7A" w:rsidP="00C93C76">
      <w:pPr>
        <w:jc w:val="center"/>
      </w:pPr>
    </w:p>
    <w:p w14:paraId="0F889620" w14:textId="77777777" w:rsidR="000E4A7A" w:rsidRPr="00D2126A" w:rsidRDefault="000E4A7A" w:rsidP="00C93C76">
      <w:pPr>
        <w:pStyle w:val="Date"/>
        <w:jc w:val="center"/>
      </w:pPr>
    </w:p>
    <w:p w14:paraId="05F40EB6" w14:textId="77777777" w:rsidR="000E4A7A" w:rsidRPr="00D2126A" w:rsidRDefault="000E4A7A" w:rsidP="00C93C76">
      <w:pPr>
        <w:jc w:val="center"/>
      </w:pPr>
    </w:p>
    <w:p w14:paraId="7EE521B9" w14:textId="77777777" w:rsidR="000E4A7A" w:rsidRPr="00D2126A" w:rsidRDefault="000E4A7A" w:rsidP="00C93C76">
      <w:pPr>
        <w:pStyle w:val="Date"/>
        <w:jc w:val="center"/>
      </w:pPr>
    </w:p>
    <w:p w14:paraId="374BAC98" w14:textId="77777777" w:rsidR="00B9798E" w:rsidRPr="00D2126A" w:rsidRDefault="00B9798E" w:rsidP="00C93C76">
      <w:pPr>
        <w:pStyle w:val="Date"/>
        <w:jc w:val="center"/>
        <w:rPr>
          <w:color w:val="000000"/>
        </w:rPr>
      </w:pPr>
    </w:p>
    <w:p w14:paraId="6D291CC1" w14:textId="77777777" w:rsidR="00655828" w:rsidRPr="00D2126A" w:rsidRDefault="00655828" w:rsidP="00C93C76">
      <w:pPr>
        <w:jc w:val="center"/>
      </w:pPr>
    </w:p>
    <w:p w14:paraId="5D411AA3" w14:textId="77777777" w:rsidR="00655828" w:rsidRPr="00D2126A" w:rsidRDefault="00655828" w:rsidP="00C93C76">
      <w:pPr>
        <w:pStyle w:val="Date"/>
        <w:jc w:val="center"/>
      </w:pPr>
    </w:p>
    <w:p w14:paraId="25A7C93E" w14:textId="77777777" w:rsidR="00B9798E" w:rsidRPr="00D2126A" w:rsidRDefault="00B9798E" w:rsidP="00C93C76">
      <w:pPr>
        <w:jc w:val="center"/>
        <w:rPr>
          <w:color w:val="000000"/>
        </w:rPr>
      </w:pPr>
    </w:p>
    <w:p w14:paraId="30E003D3" w14:textId="77777777" w:rsidR="00B9798E" w:rsidRPr="00D2126A" w:rsidRDefault="00B9798E" w:rsidP="00C93C76">
      <w:pPr>
        <w:jc w:val="center"/>
        <w:rPr>
          <w:color w:val="000000"/>
        </w:rPr>
      </w:pPr>
    </w:p>
    <w:p w14:paraId="1CFF8740" w14:textId="77777777" w:rsidR="00B52266" w:rsidRPr="00D2126A" w:rsidRDefault="000E5A86" w:rsidP="00C93C76">
      <w:pPr>
        <w:jc w:val="center"/>
        <w:rPr>
          <w:b/>
          <w:color w:val="000000"/>
        </w:rPr>
      </w:pPr>
      <w:r>
        <w:rPr>
          <w:b/>
          <w:color w:val="000000"/>
        </w:rPr>
        <w:t>ANNEXE I</w:t>
      </w:r>
    </w:p>
    <w:p w14:paraId="11F474AD" w14:textId="77777777" w:rsidR="00B52266" w:rsidRPr="00D2126A" w:rsidRDefault="00B52266" w:rsidP="00C93C76">
      <w:pPr>
        <w:jc w:val="center"/>
        <w:rPr>
          <w:b/>
          <w:color w:val="000000"/>
        </w:rPr>
      </w:pPr>
    </w:p>
    <w:p w14:paraId="6A2CBCD4" w14:textId="77777777" w:rsidR="00B52266" w:rsidRPr="00D2126A" w:rsidRDefault="000E5A86" w:rsidP="00C93C76">
      <w:pPr>
        <w:pStyle w:val="TitleA"/>
        <w:outlineLvl w:val="0"/>
        <w:rPr>
          <w:color w:val="000000"/>
        </w:rPr>
      </w:pPr>
      <w:r>
        <w:rPr>
          <w:color w:val="000000"/>
        </w:rPr>
        <w:t>RÉSUMÉ DES CARACTÉRISTIQUES DU PRODUIT</w:t>
      </w:r>
    </w:p>
    <w:p w14:paraId="45579BFA" w14:textId="7F39F893" w:rsidR="00B03EDC" w:rsidRPr="00D2126A" w:rsidRDefault="0097536F" w:rsidP="0097536F">
      <w:pPr>
        <w:rPr>
          <w:b/>
          <w:color w:val="000000"/>
        </w:rPr>
      </w:pPr>
      <w:r>
        <w:br w:type="page"/>
      </w:r>
      <w:r w:rsidR="005A5CBB">
        <w:lastRenderedPageBreak/>
        <w:pict w14:anchorId="5501BFAA">
          <v:shape id="_x0000_i1026" type="#_x0000_t75" style="width:15pt;height:13.5pt;visibility:visible;mso-wrap-style:square" o:bullet="t">
            <v:imagedata r:id="rId12" o:title=""/>
          </v:shape>
        </w:pict>
      </w:r>
      <w:r>
        <w:t>Ce médicament fait l’objet d’une surveillance supplémentaire qui permettra l’identification rapide de nouvelles informations relatives à la sécurité. Les professionnels de la santé déclarent tout effet indésirable suspecté. Voir rubrique 4.8 pour les modalités de déclaration des effets indésirables.</w:t>
      </w:r>
    </w:p>
    <w:p w14:paraId="4D0794F2" w14:textId="77777777" w:rsidR="00B03EDC" w:rsidRPr="00D2126A" w:rsidRDefault="00B03EDC" w:rsidP="00C93C76">
      <w:pPr>
        <w:ind w:left="567" w:hanging="567"/>
        <w:rPr>
          <w:color w:val="000000"/>
        </w:rPr>
      </w:pPr>
    </w:p>
    <w:p w14:paraId="36E9DA90" w14:textId="77777777" w:rsidR="00B03EDC" w:rsidRPr="00D2126A" w:rsidRDefault="00B03EDC" w:rsidP="00C93C76">
      <w:pPr>
        <w:ind w:left="567" w:hanging="567"/>
        <w:rPr>
          <w:color w:val="000000"/>
        </w:rPr>
      </w:pPr>
    </w:p>
    <w:p w14:paraId="44728733" w14:textId="77777777" w:rsidR="00375EAB" w:rsidRPr="00D2126A" w:rsidRDefault="000E5A86" w:rsidP="00C93C76">
      <w:pPr>
        <w:keepNext/>
        <w:ind w:left="567" w:hanging="567"/>
        <w:rPr>
          <w:color w:val="000000"/>
        </w:rPr>
      </w:pPr>
      <w:r>
        <w:rPr>
          <w:b/>
          <w:color w:val="000000"/>
        </w:rPr>
        <w:t>1.</w:t>
      </w:r>
      <w:r>
        <w:rPr>
          <w:b/>
          <w:color w:val="000000"/>
        </w:rPr>
        <w:tab/>
        <w:t>DÉNOMINATION DU MÉDICAMENT</w:t>
      </w:r>
    </w:p>
    <w:p w14:paraId="78B994E7" w14:textId="77777777" w:rsidR="00375EAB" w:rsidRPr="00D2126A" w:rsidRDefault="00375EAB" w:rsidP="00C93C76">
      <w:pPr>
        <w:keepNext/>
      </w:pPr>
    </w:p>
    <w:p w14:paraId="029258E8" w14:textId="77777777" w:rsidR="00375EAB" w:rsidRPr="00D2126A" w:rsidRDefault="000E5A86" w:rsidP="00C93C76">
      <w:r>
        <w:t>Revlimid 2,5 mg gélules</w:t>
      </w:r>
    </w:p>
    <w:p w14:paraId="436980D7" w14:textId="77777777" w:rsidR="00AC09FD" w:rsidRPr="00D2126A" w:rsidRDefault="000E5A86" w:rsidP="00C93C76">
      <w:r>
        <w:t>Revlimid 5 mg gélules</w:t>
      </w:r>
    </w:p>
    <w:p w14:paraId="418099AA" w14:textId="77777777" w:rsidR="00643E31" w:rsidRPr="00D2126A" w:rsidRDefault="000E5A86" w:rsidP="00C93C76">
      <w:r>
        <w:t>Revlimid 7,5 mg gélules</w:t>
      </w:r>
    </w:p>
    <w:p w14:paraId="7D93EC44" w14:textId="77777777" w:rsidR="001D0B6D" w:rsidRPr="00D2126A" w:rsidRDefault="000E5A86" w:rsidP="00C93C76">
      <w:r>
        <w:t>Revlimid 10 mg gélules</w:t>
      </w:r>
    </w:p>
    <w:p w14:paraId="2EDBE0EB" w14:textId="77777777" w:rsidR="00CF7468" w:rsidRPr="00D2126A" w:rsidRDefault="000E5A86" w:rsidP="00C93C76">
      <w:r>
        <w:t>Revlimid 15 mg gélules</w:t>
      </w:r>
    </w:p>
    <w:p w14:paraId="445066B8" w14:textId="77777777" w:rsidR="0043719B" w:rsidRPr="00D2126A" w:rsidRDefault="000E5A86" w:rsidP="00C93C76">
      <w:r>
        <w:t>Revlimid 20 mg gélules</w:t>
      </w:r>
    </w:p>
    <w:p w14:paraId="5B818865" w14:textId="77777777" w:rsidR="0043719B" w:rsidRPr="00D2126A" w:rsidRDefault="000E5A86" w:rsidP="00C93C76">
      <w:r>
        <w:t>Revlimid 25 mg gélules</w:t>
      </w:r>
    </w:p>
    <w:p w14:paraId="135A6595" w14:textId="77777777" w:rsidR="00375EAB" w:rsidRPr="00D2126A" w:rsidRDefault="00375EAB" w:rsidP="00C93C76"/>
    <w:p w14:paraId="0DF7C545" w14:textId="77777777" w:rsidR="00375EAB" w:rsidRPr="00D2126A" w:rsidRDefault="00375EAB" w:rsidP="00C93C76"/>
    <w:p w14:paraId="7557AE1F" w14:textId="77777777" w:rsidR="00375EAB" w:rsidRPr="00D2126A" w:rsidRDefault="000E5A86" w:rsidP="00C93C76">
      <w:pPr>
        <w:keepNext/>
        <w:ind w:left="567" w:hanging="567"/>
        <w:rPr>
          <w:color w:val="000000"/>
        </w:rPr>
      </w:pPr>
      <w:r>
        <w:rPr>
          <w:b/>
          <w:color w:val="000000"/>
        </w:rPr>
        <w:t>2.</w:t>
      </w:r>
      <w:r>
        <w:rPr>
          <w:b/>
          <w:color w:val="000000"/>
        </w:rPr>
        <w:tab/>
        <w:t>COMPOSITION QUALITATIVE ET QUANTITATIVE</w:t>
      </w:r>
    </w:p>
    <w:p w14:paraId="3FBFD518" w14:textId="77777777" w:rsidR="00375EAB" w:rsidRPr="00D2126A" w:rsidRDefault="00375EAB" w:rsidP="00C93C76">
      <w:pPr>
        <w:keepNext/>
        <w:rPr>
          <w:i/>
          <w:color w:val="000000"/>
        </w:rPr>
      </w:pPr>
    </w:p>
    <w:p w14:paraId="3D5EE10C" w14:textId="77777777" w:rsidR="00AC09FD" w:rsidRPr="00D2126A" w:rsidRDefault="000E5A86" w:rsidP="00C93C76">
      <w:pPr>
        <w:keepNext/>
        <w:rPr>
          <w:u w:val="single"/>
        </w:rPr>
      </w:pPr>
      <w:r>
        <w:rPr>
          <w:u w:val="single"/>
        </w:rPr>
        <w:t>Revlimid 2,5 mg gélules</w:t>
      </w:r>
    </w:p>
    <w:p w14:paraId="7BEC4F57" w14:textId="77777777" w:rsidR="00375EAB" w:rsidRPr="00D2126A" w:rsidRDefault="000E5A86" w:rsidP="00C93C76">
      <w:r>
        <w:t>Chaque gélule contient 2,5 mg de lénalidomide.</w:t>
      </w:r>
    </w:p>
    <w:p w14:paraId="33ACAF79" w14:textId="77777777" w:rsidR="00375EAB" w:rsidRPr="00D2126A" w:rsidRDefault="000E5A86" w:rsidP="00C93C76">
      <w:pPr>
        <w:keepNext/>
        <w:rPr>
          <w:u w:val="single"/>
        </w:rPr>
      </w:pPr>
      <w:r>
        <w:rPr>
          <w:u w:val="single"/>
        </w:rPr>
        <w:t>Excipient(s) à effet notoire</w:t>
      </w:r>
    </w:p>
    <w:p w14:paraId="02D479F8" w14:textId="77777777" w:rsidR="00375EAB" w:rsidRPr="00D2126A" w:rsidRDefault="000E5A86" w:rsidP="00C93C76">
      <w:r>
        <w:t>Chaque gélule contient 73,5 mg de lactose (sous forme de lactose anhydre).</w:t>
      </w:r>
    </w:p>
    <w:p w14:paraId="2C57DDBC" w14:textId="77777777" w:rsidR="00AC09FD" w:rsidRPr="00D2126A" w:rsidRDefault="00AC09FD" w:rsidP="00C93C76"/>
    <w:p w14:paraId="41E24972" w14:textId="77777777" w:rsidR="00AC09FD" w:rsidRPr="00D2126A" w:rsidRDefault="000E5A86" w:rsidP="00C93C76">
      <w:pPr>
        <w:keepNext/>
        <w:rPr>
          <w:u w:val="single"/>
        </w:rPr>
      </w:pPr>
      <w:r>
        <w:rPr>
          <w:u w:val="single"/>
        </w:rPr>
        <w:t>Revlimid 5 mg gélules</w:t>
      </w:r>
    </w:p>
    <w:p w14:paraId="21286438" w14:textId="77777777" w:rsidR="00AC09FD" w:rsidRPr="00D2126A" w:rsidRDefault="000E5A86" w:rsidP="00C93C76">
      <w:r>
        <w:t>Chaque gélule contient 5 mg de lénalidomide.</w:t>
      </w:r>
    </w:p>
    <w:p w14:paraId="25998EF6" w14:textId="77777777" w:rsidR="00AC09FD" w:rsidRPr="00D2126A" w:rsidRDefault="000E5A86" w:rsidP="00C93C76">
      <w:pPr>
        <w:keepNext/>
        <w:rPr>
          <w:u w:val="single"/>
        </w:rPr>
      </w:pPr>
      <w:r>
        <w:rPr>
          <w:u w:val="single"/>
        </w:rPr>
        <w:t>Excipient(s) à effet notoire</w:t>
      </w:r>
    </w:p>
    <w:p w14:paraId="0F0E4C4F" w14:textId="77777777" w:rsidR="00AC09FD" w:rsidRPr="00D2126A" w:rsidRDefault="000E5A86" w:rsidP="00C93C76">
      <w:r>
        <w:t>Chaque gélule contient 147 mg de lactose (sous forme de lactose anhydre).</w:t>
      </w:r>
    </w:p>
    <w:p w14:paraId="32923D7B" w14:textId="77777777" w:rsidR="00375EAB" w:rsidRPr="00D2126A" w:rsidRDefault="00375EAB" w:rsidP="00C93C76">
      <w:pPr>
        <w:pStyle w:val="Date"/>
      </w:pPr>
    </w:p>
    <w:p w14:paraId="2F4D55CD" w14:textId="77777777" w:rsidR="00643E31" w:rsidRPr="00D2126A" w:rsidRDefault="000E5A86" w:rsidP="00C93C76">
      <w:pPr>
        <w:keepNext/>
        <w:rPr>
          <w:u w:val="single"/>
        </w:rPr>
      </w:pPr>
      <w:r>
        <w:rPr>
          <w:u w:val="single"/>
        </w:rPr>
        <w:t>Revlimid 7,5 mg gélules</w:t>
      </w:r>
    </w:p>
    <w:p w14:paraId="44E16334" w14:textId="77777777" w:rsidR="00643E31" w:rsidRPr="00D2126A" w:rsidRDefault="000E5A86" w:rsidP="00C93C76">
      <w:r>
        <w:t>Chaque gélule contient 7,5 mg de lénalidomide.</w:t>
      </w:r>
    </w:p>
    <w:p w14:paraId="15A7918B" w14:textId="77777777" w:rsidR="00643E31" w:rsidRPr="00D2126A" w:rsidRDefault="000E5A86" w:rsidP="00C93C76">
      <w:pPr>
        <w:keepNext/>
        <w:rPr>
          <w:u w:val="single"/>
        </w:rPr>
      </w:pPr>
      <w:r>
        <w:rPr>
          <w:u w:val="single"/>
        </w:rPr>
        <w:t>Excipient(s) à effet notoire</w:t>
      </w:r>
    </w:p>
    <w:p w14:paraId="58873831" w14:textId="77777777" w:rsidR="00643E31" w:rsidRPr="00D2126A" w:rsidRDefault="000E5A86" w:rsidP="00C93C76">
      <w:r>
        <w:t>Chaque gélule contient 144,5 mg de lactose (sous forme de lactose anhydre).</w:t>
      </w:r>
    </w:p>
    <w:p w14:paraId="5683A091" w14:textId="77777777" w:rsidR="001D0B6D" w:rsidRPr="00D2126A" w:rsidRDefault="001D0B6D" w:rsidP="00C93C76">
      <w:pPr>
        <w:pStyle w:val="Date"/>
      </w:pPr>
    </w:p>
    <w:p w14:paraId="12B3C2AE" w14:textId="77777777" w:rsidR="001D0B6D" w:rsidRPr="00D2126A" w:rsidRDefault="000E5A86" w:rsidP="00C93C76">
      <w:pPr>
        <w:keepNext/>
        <w:rPr>
          <w:u w:val="single"/>
        </w:rPr>
      </w:pPr>
      <w:r>
        <w:rPr>
          <w:u w:val="single"/>
        </w:rPr>
        <w:t>Revlimid 10 mg gélules</w:t>
      </w:r>
    </w:p>
    <w:p w14:paraId="1540452F" w14:textId="77777777" w:rsidR="001D0B6D" w:rsidRPr="00D2126A" w:rsidRDefault="000E5A86" w:rsidP="00C93C76">
      <w:r>
        <w:t>Chaque gélule contient 10 mg de lénalidomide.</w:t>
      </w:r>
    </w:p>
    <w:p w14:paraId="5DAAE9D9" w14:textId="77777777" w:rsidR="001D0B6D" w:rsidRPr="00D2126A" w:rsidRDefault="000E5A86" w:rsidP="00C93C76">
      <w:pPr>
        <w:keepNext/>
        <w:rPr>
          <w:u w:val="single"/>
        </w:rPr>
      </w:pPr>
      <w:r>
        <w:rPr>
          <w:u w:val="single"/>
        </w:rPr>
        <w:t>Excipient(s) à effet notoire</w:t>
      </w:r>
    </w:p>
    <w:p w14:paraId="00DA1881" w14:textId="77777777" w:rsidR="001D0B6D" w:rsidRPr="00D2126A" w:rsidRDefault="000E5A86" w:rsidP="00C93C76">
      <w:r>
        <w:t>Chaque gélule contient 294 mg de lactose (sous forme de lactose anhydre).</w:t>
      </w:r>
    </w:p>
    <w:p w14:paraId="49EACB34" w14:textId="77777777" w:rsidR="00643E31" w:rsidRPr="00D2126A" w:rsidRDefault="00643E31" w:rsidP="00C93C76">
      <w:pPr>
        <w:pStyle w:val="Date"/>
      </w:pPr>
    </w:p>
    <w:p w14:paraId="4F826887" w14:textId="77777777" w:rsidR="00CF7468" w:rsidRPr="00D2126A" w:rsidRDefault="000E5A86" w:rsidP="00C93C76">
      <w:pPr>
        <w:keepNext/>
        <w:rPr>
          <w:u w:val="single"/>
        </w:rPr>
      </w:pPr>
      <w:r>
        <w:rPr>
          <w:u w:val="single"/>
        </w:rPr>
        <w:t>Revlimid 15 mg gélules</w:t>
      </w:r>
    </w:p>
    <w:p w14:paraId="58F0D1CB" w14:textId="77777777" w:rsidR="00CF7468" w:rsidRPr="00D2126A" w:rsidRDefault="000E5A86" w:rsidP="00C93C76">
      <w:r>
        <w:t>Chaque gélule contient 15 mg de lénalidomide.</w:t>
      </w:r>
    </w:p>
    <w:p w14:paraId="29AD2EEA" w14:textId="77777777" w:rsidR="00CF7468" w:rsidRPr="00D2126A" w:rsidRDefault="000E5A86" w:rsidP="00C93C76">
      <w:pPr>
        <w:keepNext/>
        <w:rPr>
          <w:u w:val="single"/>
        </w:rPr>
      </w:pPr>
      <w:r>
        <w:rPr>
          <w:u w:val="single"/>
        </w:rPr>
        <w:t>Excipient(s) à effet notoire</w:t>
      </w:r>
    </w:p>
    <w:p w14:paraId="73ED9C80" w14:textId="77777777" w:rsidR="00CF7468" w:rsidRPr="00D2126A" w:rsidRDefault="000E5A86" w:rsidP="00C93C76">
      <w:r>
        <w:t>Chaque gélule contient 289 mg de lactose (sous forme de lactose anhydre).</w:t>
      </w:r>
    </w:p>
    <w:p w14:paraId="7D99BE00" w14:textId="77777777" w:rsidR="00CF7468" w:rsidRPr="00D2126A" w:rsidRDefault="00CF7468" w:rsidP="00C93C76"/>
    <w:p w14:paraId="0E1B0E99" w14:textId="77777777" w:rsidR="0043719B" w:rsidRPr="00D2126A" w:rsidRDefault="000E5A86" w:rsidP="00C93C76">
      <w:pPr>
        <w:keepNext/>
        <w:rPr>
          <w:u w:val="single"/>
        </w:rPr>
      </w:pPr>
      <w:r>
        <w:rPr>
          <w:u w:val="single"/>
        </w:rPr>
        <w:t>Revlimid 20 mg gélules</w:t>
      </w:r>
    </w:p>
    <w:p w14:paraId="3F0BBC27" w14:textId="77777777" w:rsidR="0043719B" w:rsidRPr="00D2126A" w:rsidRDefault="000E5A86" w:rsidP="00C93C76">
      <w:r>
        <w:t>Chaque gélule contient 20 mg de lénalidomide.</w:t>
      </w:r>
    </w:p>
    <w:p w14:paraId="403E0354" w14:textId="77777777" w:rsidR="0043719B" w:rsidRPr="00D2126A" w:rsidRDefault="000E5A86" w:rsidP="00C93C76">
      <w:pPr>
        <w:keepNext/>
        <w:rPr>
          <w:u w:val="single"/>
        </w:rPr>
      </w:pPr>
      <w:r>
        <w:rPr>
          <w:u w:val="single"/>
        </w:rPr>
        <w:t>Excipient(s) à effet notoire</w:t>
      </w:r>
    </w:p>
    <w:p w14:paraId="26127B38" w14:textId="77777777" w:rsidR="0043719B" w:rsidRPr="00D2126A" w:rsidRDefault="000E5A86" w:rsidP="00C93C76">
      <w:r>
        <w:t>Chaque gélule contient 244,5 mg de lactose (sous forme de lactose anhydre).</w:t>
      </w:r>
    </w:p>
    <w:p w14:paraId="2E0DD4AF" w14:textId="77777777" w:rsidR="0043719B" w:rsidRPr="00D2126A" w:rsidRDefault="0043719B" w:rsidP="00C93C76">
      <w:pPr>
        <w:pStyle w:val="Date"/>
      </w:pPr>
    </w:p>
    <w:p w14:paraId="63A50009" w14:textId="77777777" w:rsidR="0043719B" w:rsidRPr="00D2126A" w:rsidRDefault="000E5A86" w:rsidP="00C93C76">
      <w:pPr>
        <w:keepNext/>
        <w:rPr>
          <w:u w:val="single"/>
        </w:rPr>
      </w:pPr>
      <w:r>
        <w:rPr>
          <w:u w:val="single"/>
        </w:rPr>
        <w:t>Revlimid 25 mg gélules</w:t>
      </w:r>
    </w:p>
    <w:p w14:paraId="4BFF3787" w14:textId="77777777" w:rsidR="0043719B" w:rsidRPr="00D2126A" w:rsidRDefault="000E5A86" w:rsidP="00C93C76">
      <w:r>
        <w:t>Chaque gélule contient 25 mg de lénalidomide.</w:t>
      </w:r>
    </w:p>
    <w:p w14:paraId="19022337" w14:textId="77777777" w:rsidR="0043719B" w:rsidRPr="00D2126A" w:rsidRDefault="000E5A86" w:rsidP="00C93C76">
      <w:pPr>
        <w:keepNext/>
        <w:rPr>
          <w:u w:val="single"/>
        </w:rPr>
      </w:pPr>
      <w:r>
        <w:rPr>
          <w:u w:val="single"/>
        </w:rPr>
        <w:t>Excipient(s) à effet notoire</w:t>
      </w:r>
    </w:p>
    <w:p w14:paraId="020DC169" w14:textId="77777777" w:rsidR="0043719B" w:rsidRPr="00D2126A" w:rsidRDefault="000E5A86" w:rsidP="00C93C76">
      <w:r>
        <w:t>Chaque gélule contient 200 mg de lactose (sous forme de lactose anhydre).</w:t>
      </w:r>
    </w:p>
    <w:p w14:paraId="64C1971C" w14:textId="77777777" w:rsidR="0043719B" w:rsidRPr="00D2126A" w:rsidRDefault="0043719B" w:rsidP="00C93C76">
      <w:pPr>
        <w:pStyle w:val="Date"/>
      </w:pPr>
    </w:p>
    <w:p w14:paraId="71CEEF54" w14:textId="77777777" w:rsidR="00375EAB" w:rsidRPr="00D2126A" w:rsidRDefault="000E5A86" w:rsidP="00C93C76">
      <w:pPr>
        <w:rPr>
          <w:color w:val="000000"/>
        </w:rPr>
      </w:pPr>
      <w:r>
        <w:rPr>
          <w:color w:val="000000"/>
        </w:rPr>
        <w:t>Pour la liste complète des excipients, voir rubrique 6.1.</w:t>
      </w:r>
    </w:p>
    <w:p w14:paraId="2AC05869" w14:textId="77777777" w:rsidR="00375EAB" w:rsidRPr="00D2126A" w:rsidRDefault="00375EAB" w:rsidP="00C93C76">
      <w:pPr>
        <w:rPr>
          <w:color w:val="000000"/>
        </w:rPr>
      </w:pPr>
    </w:p>
    <w:p w14:paraId="300C8764" w14:textId="77777777" w:rsidR="00643E31" w:rsidRPr="00D2126A" w:rsidRDefault="00643E31" w:rsidP="00C93C76"/>
    <w:p w14:paraId="6BB2D999" w14:textId="60E23F8D" w:rsidR="00375EAB" w:rsidRPr="00D2126A" w:rsidRDefault="000E5A86" w:rsidP="00C93C76">
      <w:pPr>
        <w:keepNext/>
        <w:ind w:left="567" w:hanging="567"/>
        <w:rPr>
          <w:color w:val="000000"/>
        </w:rPr>
      </w:pPr>
      <w:r>
        <w:rPr>
          <w:b/>
          <w:color w:val="000000"/>
        </w:rPr>
        <w:t>3.</w:t>
      </w:r>
      <w:r>
        <w:rPr>
          <w:b/>
          <w:color w:val="000000"/>
        </w:rPr>
        <w:tab/>
        <w:t>FORME PHARMACEUTIQUE</w:t>
      </w:r>
    </w:p>
    <w:p w14:paraId="4752AD5B" w14:textId="77777777" w:rsidR="00375EAB" w:rsidRPr="00D2126A" w:rsidRDefault="00375EAB" w:rsidP="00C93C76">
      <w:pPr>
        <w:keepNext/>
        <w:rPr>
          <w:color w:val="000000"/>
        </w:rPr>
      </w:pPr>
    </w:p>
    <w:p w14:paraId="49D14FC1" w14:textId="77777777" w:rsidR="00375EAB" w:rsidRPr="00D2126A" w:rsidRDefault="000E5A86" w:rsidP="00C93C76">
      <w:pPr>
        <w:rPr>
          <w:color w:val="000000"/>
        </w:rPr>
      </w:pPr>
      <w:r>
        <w:rPr>
          <w:color w:val="000000"/>
        </w:rPr>
        <w:t>Gélule.</w:t>
      </w:r>
    </w:p>
    <w:p w14:paraId="7DED74D4" w14:textId="77777777" w:rsidR="00375EAB" w:rsidRPr="00D2126A" w:rsidRDefault="00375EAB" w:rsidP="00C93C76">
      <w:pPr>
        <w:rPr>
          <w:color w:val="000000"/>
        </w:rPr>
      </w:pPr>
    </w:p>
    <w:p w14:paraId="19A7E16E" w14:textId="77777777" w:rsidR="00AC09FD" w:rsidRPr="00D2126A" w:rsidRDefault="000E5A86" w:rsidP="00C93C76">
      <w:pPr>
        <w:keepNext/>
        <w:rPr>
          <w:color w:val="000000"/>
          <w:u w:val="single"/>
        </w:rPr>
      </w:pPr>
      <w:r>
        <w:rPr>
          <w:color w:val="000000"/>
          <w:u w:val="single"/>
        </w:rPr>
        <w:t>Revlimid 2,5 mg gélules</w:t>
      </w:r>
    </w:p>
    <w:p w14:paraId="587FE88A" w14:textId="1249061D" w:rsidR="00375EAB" w:rsidRPr="00D2126A" w:rsidRDefault="000E5A86" w:rsidP="0064116A">
      <w:r>
        <w:t>Gélules bleu</w:t>
      </w:r>
      <w:r>
        <w:noBreakHyphen/>
        <w:t>vert/blanches de taille 4 de 14,3 mm portant l’inscription « REV 2.5 mg ».</w:t>
      </w:r>
    </w:p>
    <w:p w14:paraId="3E08DD16" w14:textId="77777777" w:rsidR="00375EAB" w:rsidRPr="00D2126A" w:rsidRDefault="00375EAB" w:rsidP="00C93C76">
      <w:pPr>
        <w:rPr>
          <w:color w:val="000000"/>
        </w:rPr>
      </w:pPr>
    </w:p>
    <w:p w14:paraId="75165E7E" w14:textId="77777777" w:rsidR="00AC09FD" w:rsidRPr="00D2126A" w:rsidRDefault="000E5A86" w:rsidP="00C93C76">
      <w:pPr>
        <w:keepNext/>
        <w:rPr>
          <w:color w:val="000000"/>
          <w:u w:val="single"/>
        </w:rPr>
      </w:pPr>
      <w:r>
        <w:rPr>
          <w:color w:val="000000"/>
          <w:u w:val="single"/>
        </w:rPr>
        <w:t>Revlimid 5 mg gélules</w:t>
      </w:r>
    </w:p>
    <w:p w14:paraId="76340F3E" w14:textId="094C6FF4" w:rsidR="00AC09FD" w:rsidRPr="00D2126A" w:rsidRDefault="000E5A86" w:rsidP="0064116A">
      <w:r>
        <w:t>Gélules blanches de taille 2 de 18,0 mm portant l’inscription « REV 5 mg ».</w:t>
      </w:r>
    </w:p>
    <w:p w14:paraId="4639A6F3" w14:textId="77777777" w:rsidR="00643E31" w:rsidRPr="00D2126A" w:rsidRDefault="00643E31" w:rsidP="00C93C76">
      <w:pPr>
        <w:pStyle w:val="Date"/>
      </w:pPr>
    </w:p>
    <w:p w14:paraId="2CC681A2" w14:textId="77777777" w:rsidR="00643E31" w:rsidRPr="00D2126A" w:rsidRDefault="000E5A86" w:rsidP="00C93C76">
      <w:pPr>
        <w:keepNext/>
        <w:rPr>
          <w:color w:val="000000"/>
          <w:u w:val="single"/>
        </w:rPr>
      </w:pPr>
      <w:r>
        <w:rPr>
          <w:color w:val="000000"/>
          <w:u w:val="single"/>
        </w:rPr>
        <w:t>Revlimid 7,5 mg gélules</w:t>
      </w:r>
    </w:p>
    <w:p w14:paraId="5667F705" w14:textId="386E03E2" w:rsidR="00643E31" w:rsidRPr="00D2126A" w:rsidRDefault="000E5A86" w:rsidP="0064116A">
      <w:r>
        <w:t>Gélules jaune pâle/blanches de taille 2 de 18,0 mm portant l’inscription « REV 7.5 mg ».</w:t>
      </w:r>
    </w:p>
    <w:p w14:paraId="6D7C6C7B" w14:textId="77777777" w:rsidR="00643E31" w:rsidRPr="00D2126A" w:rsidRDefault="00643E31" w:rsidP="00C93C76"/>
    <w:p w14:paraId="595A9994" w14:textId="77777777" w:rsidR="001D0B6D" w:rsidRPr="00D2126A" w:rsidRDefault="000E5A86" w:rsidP="00C93C76">
      <w:pPr>
        <w:keepNext/>
        <w:rPr>
          <w:color w:val="000000"/>
          <w:u w:val="single"/>
        </w:rPr>
      </w:pPr>
      <w:r>
        <w:rPr>
          <w:color w:val="000000"/>
          <w:u w:val="single"/>
        </w:rPr>
        <w:t>Revlimid 10 mg gélules</w:t>
      </w:r>
    </w:p>
    <w:p w14:paraId="03C29604" w14:textId="29EB7344" w:rsidR="001D0B6D" w:rsidRPr="00D2126A" w:rsidRDefault="000E5A86" w:rsidP="0064116A">
      <w:r>
        <w:t>Gélules bleu</w:t>
      </w:r>
      <w:r>
        <w:noBreakHyphen/>
        <w:t>vert/jaune pâle de taille 0 de 21,7 mm portant l’inscription « REV 10 mg ».</w:t>
      </w:r>
    </w:p>
    <w:p w14:paraId="5B01C35C" w14:textId="77777777" w:rsidR="00375EAB" w:rsidRPr="00D2126A" w:rsidRDefault="00375EAB" w:rsidP="00C93C76">
      <w:pPr>
        <w:rPr>
          <w:color w:val="000000"/>
        </w:rPr>
      </w:pPr>
    </w:p>
    <w:p w14:paraId="6DB08B31" w14:textId="77777777" w:rsidR="00A27498" w:rsidRPr="00D2126A" w:rsidRDefault="000E5A86" w:rsidP="00C93C76">
      <w:pPr>
        <w:keepNext/>
        <w:rPr>
          <w:color w:val="000000"/>
          <w:u w:val="single"/>
        </w:rPr>
      </w:pPr>
      <w:r>
        <w:rPr>
          <w:color w:val="000000"/>
          <w:u w:val="single"/>
        </w:rPr>
        <w:t>Revlimid 15 mg gélules</w:t>
      </w:r>
    </w:p>
    <w:p w14:paraId="28D8D0C9" w14:textId="6459C5DD" w:rsidR="00A27498" w:rsidRPr="00D2126A" w:rsidRDefault="000E5A86" w:rsidP="00C93C76">
      <w:pPr>
        <w:rPr>
          <w:color w:val="000000"/>
        </w:rPr>
      </w:pPr>
      <w:r>
        <w:rPr>
          <w:color w:val="000000"/>
        </w:rPr>
        <w:t>Gélules bleu pâle/blanches de taille 0 de 21,7 mm portant l’inscription « REV 15 mg ».</w:t>
      </w:r>
    </w:p>
    <w:p w14:paraId="20CE7DC5" w14:textId="77777777" w:rsidR="00A27498" w:rsidRPr="00D2126A" w:rsidRDefault="00A27498" w:rsidP="00C93C76">
      <w:pPr>
        <w:pStyle w:val="Date"/>
      </w:pPr>
    </w:p>
    <w:p w14:paraId="2CBBC4BC" w14:textId="77777777" w:rsidR="0043719B" w:rsidRPr="00D2126A" w:rsidRDefault="000E5A86" w:rsidP="00C93C76">
      <w:pPr>
        <w:keepNext/>
        <w:rPr>
          <w:color w:val="000000"/>
          <w:u w:val="single"/>
        </w:rPr>
      </w:pPr>
      <w:r>
        <w:rPr>
          <w:color w:val="000000"/>
          <w:u w:val="single"/>
        </w:rPr>
        <w:t>Revlimid 20 mg gélules</w:t>
      </w:r>
    </w:p>
    <w:p w14:paraId="3A7735CA" w14:textId="5A111BD4" w:rsidR="0043719B" w:rsidRPr="00D2126A" w:rsidRDefault="000E5A86" w:rsidP="0064116A">
      <w:r>
        <w:t>Gélules bleu</w:t>
      </w:r>
      <w:r>
        <w:noBreakHyphen/>
        <w:t>vert/bleu pâle de taille 0 de 21,7 mm portant l’inscription « REV 20 mg ».</w:t>
      </w:r>
    </w:p>
    <w:p w14:paraId="0A5769E4" w14:textId="77777777" w:rsidR="00AC09FD" w:rsidRPr="00D2126A" w:rsidRDefault="00AC09FD" w:rsidP="00C93C76">
      <w:pPr>
        <w:pStyle w:val="Date"/>
      </w:pPr>
    </w:p>
    <w:p w14:paraId="56860BB2" w14:textId="77777777" w:rsidR="00DC1102" w:rsidRPr="00D2126A" w:rsidRDefault="000E5A86" w:rsidP="00C93C76">
      <w:pPr>
        <w:keepNext/>
        <w:rPr>
          <w:color w:val="000000"/>
          <w:u w:val="single"/>
        </w:rPr>
      </w:pPr>
      <w:r>
        <w:rPr>
          <w:color w:val="000000"/>
          <w:u w:val="single"/>
        </w:rPr>
        <w:t>Revlimid 25 mg gélules</w:t>
      </w:r>
    </w:p>
    <w:p w14:paraId="6F7B8A85" w14:textId="1AC0935E" w:rsidR="00DC1102" w:rsidRPr="00D2126A" w:rsidRDefault="000E5A86" w:rsidP="0064116A">
      <w:r>
        <w:t>Gélules blanches de taille 0 de 21,7 mm portant l’inscription « REV 25 mg ».</w:t>
      </w:r>
    </w:p>
    <w:p w14:paraId="717E0EDE" w14:textId="77777777" w:rsidR="0043719B" w:rsidRPr="00D2126A" w:rsidRDefault="0043719B" w:rsidP="00C93C76"/>
    <w:p w14:paraId="0C0D52E9" w14:textId="77777777" w:rsidR="00DC1102" w:rsidRPr="00D2126A" w:rsidRDefault="00DC1102" w:rsidP="00C93C76">
      <w:pPr>
        <w:pStyle w:val="Date"/>
      </w:pPr>
    </w:p>
    <w:p w14:paraId="76327CA6" w14:textId="1DCFB1FA" w:rsidR="00375EAB" w:rsidRPr="00D2126A" w:rsidRDefault="005639A5" w:rsidP="00C93C76">
      <w:pPr>
        <w:keepNext/>
        <w:ind w:left="567" w:hanging="567"/>
        <w:rPr>
          <w:color w:val="000000"/>
        </w:rPr>
      </w:pPr>
      <w:r>
        <w:rPr>
          <w:b/>
          <w:color w:val="000000"/>
        </w:rPr>
        <w:t>4.</w:t>
      </w:r>
      <w:r>
        <w:rPr>
          <w:b/>
          <w:color w:val="000000"/>
        </w:rPr>
        <w:tab/>
        <w:t>INFORMATIONS CLINIQUES</w:t>
      </w:r>
    </w:p>
    <w:p w14:paraId="09E4DB80" w14:textId="77777777" w:rsidR="00375EAB" w:rsidRPr="00D2126A" w:rsidRDefault="00375EAB" w:rsidP="00C93C76">
      <w:pPr>
        <w:keepNext/>
        <w:rPr>
          <w:color w:val="000000"/>
        </w:rPr>
      </w:pPr>
    </w:p>
    <w:p w14:paraId="2BC58642" w14:textId="77777777" w:rsidR="00375EAB" w:rsidRPr="00D2126A" w:rsidRDefault="000E5A86" w:rsidP="00C93C76">
      <w:pPr>
        <w:keepNext/>
        <w:ind w:left="567" w:hanging="567"/>
        <w:rPr>
          <w:color w:val="000000"/>
        </w:rPr>
      </w:pPr>
      <w:r>
        <w:rPr>
          <w:b/>
          <w:color w:val="000000"/>
        </w:rPr>
        <w:t>4.1</w:t>
      </w:r>
      <w:r>
        <w:rPr>
          <w:b/>
          <w:color w:val="000000"/>
        </w:rPr>
        <w:tab/>
        <w:t>Indications thérapeutiques</w:t>
      </w:r>
    </w:p>
    <w:p w14:paraId="53BC53C3" w14:textId="77777777" w:rsidR="00375EAB" w:rsidRPr="00D2126A" w:rsidRDefault="00375EAB" w:rsidP="00C93C76">
      <w:pPr>
        <w:keepNext/>
        <w:rPr>
          <w:color w:val="000000"/>
        </w:rPr>
      </w:pPr>
    </w:p>
    <w:p w14:paraId="7AE64C1C" w14:textId="77777777" w:rsidR="00440CB1" w:rsidRPr="00D2126A" w:rsidRDefault="000E5A86" w:rsidP="00C93C76">
      <w:pPr>
        <w:pStyle w:val="Date"/>
        <w:keepNext/>
        <w:rPr>
          <w:color w:val="000000"/>
          <w:u w:val="single"/>
        </w:rPr>
      </w:pPr>
      <w:r>
        <w:rPr>
          <w:color w:val="000000"/>
          <w:u w:val="single"/>
        </w:rPr>
        <w:t>Myélome multiple</w:t>
      </w:r>
    </w:p>
    <w:p w14:paraId="7002BA11" w14:textId="77777777" w:rsidR="00D84B4E" w:rsidRPr="00D2126A" w:rsidRDefault="000E5A86" w:rsidP="0064116A">
      <w:r>
        <w:t>Revlimid est indiqué en monothérapie pour le traitement d'entretien du myélome multiple non préalablement traité chez les patients adultes ayant reçu une autogreffe de cellules souches.</w:t>
      </w:r>
    </w:p>
    <w:p w14:paraId="33A90D98" w14:textId="77777777" w:rsidR="00D84B4E" w:rsidRPr="00D2126A" w:rsidRDefault="00D84B4E" w:rsidP="00C93C76"/>
    <w:p w14:paraId="777B5DF3" w14:textId="17C353F5" w:rsidR="00B735D7" w:rsidRPr="00D2126A" w:rsidRDefault="000E5A86" w:rsidP="00C93C76">
      <w:r>
        <w:t>Revlimid est indiqué en association avec la dexaméthasone, ou avec le bortézomib et la dexaméthasone ou avec le melphalan et la prednisone (voir rubrique 4.2), pour le traitement du myélome multiple non préalablement traité chez les patients adultes non éligibles à une greffe.</w:t>
      </w:r>
    </w:p>
    <w:p w14:paraId="52D03C65" w14:textId="77777777" w:rsidR="00B735D7" w:rsidRPr="00D2126A" w:rsidRDefault="00B735D7" w:rsidP="00C93C76">
      <w:pPr>
        <w:pStyle w:val="Date"/>
      </w:pPr>
    </w:p>
    <w:p w14:paraId="19A9D81E" w14:textId="77777777" w:rsidR="00375EAB" w:rsidRPr="00D2126A" w:rsidRDefault="000E5A86" w:rsidP="00C93C76">
      <w:pPr>
        <w:rPr>
          <w:color w:val="000000"/>
        </w:rPr>
      </w:pPr>
      <w:r>
        <w:rPr>
          <w:color w:val="000000"/>
        </w:rPr>
        <w:t>Revlimid est indiqué, en association avec la dexaméthasone, pour le traitement du myélome multiple chez les patients adultes ayant déjà reçu au moins un traitement antérieur.</w:t>
      </w:r>
    </w:p>
    <w:p w14:paraId="23D4C02E" w14:textId="77777777" w:rsidR="00440CB1" w:rsidRPr="00D2126A" w:rsidRDefault="00440CB1" w:rsidP="00C93C76">
      <w:pPr>
        <w:pStyle w:val="Date"/>
        <w:rPr>
          <w:color w:val="000000"/>
        </w:rPr>
      </w:pPr>
    </w:p>
    <w:p w14:paraId="33DD70EA" w14:textId="77777777" w:rsidR="00440CB1" w:rsidRPr="00D2126A" w:rsidRDefault="000E5A86" w:rsidP="00C93C76">
      <w:pPr>
        <w:pStyle w:val="Date"/>
        <w:keepNext/>
        <w:rPr>
          <w:color w:val="000000"/>
          <w:u w:val="single"/>
        </w:rPr>
      </w:pPr>
      <w:r>
        <w:rPr>
          <w:color w:val="000000"/>
          <w:u w:val="single"/>
        </w:rPr>
        <w:t>Syndromes myélodysplasiques</w:t>
      </w:r>
    </w:p>
    <w:p w14:paraId="5141906E" w14:textId="486A0183" w:rsidR="00303528" w:rsidRPr="00D2126A" w:rsidRDefault="000E5A86" w:rsidP="0064116A">
      <w:r>
        <w:t>Revlimid est indiqué en monothérapie pour le traitement des patients adultes présentant une anémie avec dépendance transfusionnelle due à un syndrome myélodysplasique à risque faible ou intermédiaire 1 associé à une anomalie cytogénétique de type délétion 5q isolée, lorsque les autres options thérapeutiques sont insuffisantes ou inappropriées.</w:t>
      </w:r>
    </w:p>
    <w:p w14:paraId="5B4EBA7B" w14:textId="77777777" w:rsidR="00306BCA" w:rsidRPr="00D2126A" w:rsidRDefault="00306BCA" w:rsidP="00C93C76">
      <w:pPr>
        <w:pStyle w:val="Date"/>
        <w:rPr>
          <w:color w:val="000000"/>
        </w:rPr>
      </w:pPr>
    </w:p>
    <w:p w14:paraId="7654D773" w14:textId="77777777" w:rsidR="00A022E0" w:rsidRPr="00D2126A" w:rsidRDefault="000E5A86" w:rsidP="00DF154F">
      <w:pPr>
        <w:pStyle w:val="Date"/>
        <w:keepNext/>
        <w:rPr>
          <w:color w:val="000000"/>
          <w:u w:val="single"/>
        </w:rPr>
      </w:pPr>
      <w:r>
        <w:rPr>
          <w:color w:val="000000"/>
          <w:u w:val="single"/>
        </w:rPr>
        <w:t>Lymphome à cellules du manteau</w:t>
      </w:r>
    </w:p>
    <w:p w14:paraId="2FDA3DA8" w14:textId="1FAABCBB" w:rsidR="00A022E0" w:rsidRPr="00D2126A" w:rsidRDefault="000E5A86" w:rsidP="0064116A">
      <w:r>
        <w:t>Revlimid est indiqué en monothérapie pour le traitement des patients adultes présentant un lymphome à cellules du manteau en rechute ou réfractaire (voir rubriques 4.4 et 5.1).</w:t>
      </w:r>
    </w:p>
    <w:p w14:paraId="627C18A4" w14:textId="77777777" w:rsidR="00D978EF" w:rsidRPr="00D2126A" w:rsidRDefault="00D978EF" w:rsidP="00C93C76">
      <w:pPr>
        <w:pStyle w:val="Date"/>
      </w:pPr>
    </w:p>
    <w:p w14:paraId="4DCA37C6" w14:textId="77777777" w:rsidR="00F5481D" w:rsidRPr="00D2126A" w:rsidRDefault="000E5A86" w:rsidP="00C93C76">
      <w:pPr>
        <w:keepNext/>
        <w:rPr>
          <w:rFonts w:eastAsia="Yu Gothic"/>
          <w:u w:val="single"/>
        </w:rPr>
      </w:pPr>
      <w:r>
        <w:rPr>
          <w:u w:val="single"/>
        </w:rPr>
        <w:t>Lymphome folliculaire</w:t>
      </w:r>
    </w:p>
    <w:p w14:paraId="61CA8BDB" w14:textId="2E1698EF" w:rsidR="00091DD0" w:rsidRPr="00D2126A" w:rsidRDefault="000E5A86" w:rsidP="00C93C76">
      <w:pPr>
        <w:rPr>
          <w:rFonts w:eastAsia="Yu Gothic"/>
        </w:rPr>
      </w:pPr>
      <w:r>
        <w:t>Revlimid est indiqué, en association avec le rituximab (anticorps anti</w:t>
      </w:r>
      <w:r>
        <w:noBreakHyphen/>
        <w:t>CD20), pour le traitement des patients adultes présentant un lymphome folliculaire (de grade 1, 2 ou 3a) préalablement traité.</w:t>
      </w:r>
    </w:p>
    <w:p w14:paraId="32644419" w14:textId="77777777" w:rsidR="00F572DA" w:rsidRPr="00D2126A" w:rsidRDefault="00F572DA" w:rsidP="00C93C76">
      <w:pPr>
        <w:pStyle w:val="Date"/>
      </w:pPr>
    </w:p>
    <w:p w14:paraId="4B95505E" w14:textId="77777777" w:rsidR="00375EAB" w:rsidRPr="00D2126A" w:rsidRDefault="000E5A86" w:rsidP="00C93C76">
      <w:pPr>
        <w:keepNext/>
        <w:ind w:left="567" w:hanging="567"/>
        <w:rPr>
          <w:color w:val="000000"/>
        </w:rPr>
      </w:pPr>
      <w:r>
        <w:rPr>
          <w:b/>
          <w:color w:val="000000"/>
        </w:rPr>
        <w:t>4.2</w:t>
      </w:r>
      <w:r>
        <w:rPr>
          <w:b/>
          <w:color w:val="000000"/>
        </w:rPr>
        <w:tab/>
        <w:t>Posologie et mode d’administration</w:t>
      </w:r>
    </w:p>
    <w:p w14:paraId="3A390575" w14:textId="77777777" w:rsidR="00375EAB" w:rsidRPr="00D2126A" w:rsidRDefault="00375EAB" w:rsidP="00C93C76">
      <w:pPr>
        <w:keepNext/>
        <w:rPr>
          <w:color w:val="000000"/>
        </w:rPr>
      </w:pPr>
    </w:p>
    <w:p w14:paraId="38933524" w14:textId="77777777" w:rsidR="00DA32B2" w:rsidRPr="00D2126A" w:rsidRDefault="000E5A86" w:rsidP="00C93C76">
      <w:pPr>
        <w:pStyle w:val="Date"/>
        <w:rPr>
          <w:color w:val="000000"/>
        </w:rPr>
      </w:pPr>
      <w:r>
        <w:rPr>
          <w:color w:val="000000"/>
        </w:rPr>
        <w:t>Le traitement par Revlimid doit être administré sous la surveillance d’un médecin expérimenté dans l’utilisation des traitements anticancéreux.</w:t>
      </w:r>
    </w:p>
    <w:p w14:paraId="026A858A" w14:textId="77777777" w:rsidR="00632C69" w:rsidRPr="00D2126A" w:rsidRDefault="00632C69" w:rsidP="00C93C76">
      <w:pPr>
        <w:pStyle w:val="Date"/>
        <w:rPr>
          <w:color w:val="000000"/>
          <w:u w:val="single"/>
        </w:rPr>
      </w:pPr>
    </w:p>
    <w:p w14:paraId="4B91C258" w14:textId="77777777" w:rsidR="00A80C34" w:rsidRPr="00D2126A" w:rsidRDefault="000E5A86" w:rsidP="00C93C76">
      <w:pPr>
        <w:pStyle w:val="Date"/>
        <w:keepNext/>
      </w:pPr>
      <w:r>
        <w:t>Dans toutes les indications présentées ci</w:t>
      </w:r>
      <w:r>
        <w:noBreakHyphen/>
        <w:t>dessous :</w:t>
      </w:r>
    </w:p>
    <w:p w14:paraId="31D98130" w14:textId="48AF78F4" w:rsidR="00A80C34" w:rsidRPr="00D2126A" w:rsidRDefault="000E5A86" w:rsidP="00C93C76">
      <w:pPr>
        <w:pStyle w:val="Date"/>
        <w:numPr>
          <w:ilvl w:val="0"/>
          <w:numId w:val="44"/>
        </w:numPr>
        <w:ind w:left="567" w:hanging="567"/>
        <w:rPr>
          <w:bCs/>
          <w:color w:val="000000"/>
        </w:rPr>
      </w:pPr>
      <w:r>
        <w:rPr>
          <w:color w:val="000000"/>
        </w:rPr>
        <w:t>La posologie est modifiée en fonction des résultats des examens cliniques et des analyses biologiques (voir rubrique 4.4).</w:t>
      </w:r>
    </w:p>
    <w:p w14:paraId="003DE968" w14:textId="77777777" w:rsidR="00C25374" w:rsidRPr="00D2126A" w:rsidRDefault="000E5A86" w:rsidP="0064116A">
      <w:pPr>
        <w:pStyle w:val="StyleBullets"/>
      </w:pPr>
      <w:r>
        <w:t>Il est recommandé d’ajuster la posologie pendant le traitement et lors de la reprise du traitement pour prendre en charge les thrombopénies ou neutropénies de grade 3 ou 4, ou les autres toxicités de grade 3 ou 4 jugées comme étant liées au lénalidomide.</w:t>
      </w:r>
    </w:p>
    <w:p w14:paraId="622FDB86" w14:textId="77777777" w:rsidR="00C25374" w:rsidRPr="00D2126A" w:rsidRDefault="000E5A86" w:rsidP="00C93C76">
      <w:pPr>
        <w:pStyle w:val="Date"/>
        <w:keepNext/>
        <w:numPr>
          <w:ilvl w:val="0"/>
          <w:numId w:val="44"/>
        </w:numPr>
        <w:ind w:left="567" w:hanging="567"/>
        <w:rPr>
          <w:color w:val="000000"/>
          <w:szCs w:val="24"/>
        </w:rPr>
      </w:pPr>
      <w:r>
        <w:rPr>
          <w:color w:val="000000"/>
        </w:rPr>
        <w:t>En cas de neutropénie, l’utilisation de facteurs de croissance pour la prise en charge des patients devra être envisagée.</w:t>
      </w:r>
    </w:p>
    <w:p w14:paraId="7442BC59" w14:textId="77777777" w:rsidR="00036363" w:rsidRPr="00D2126A" w:rsidRDefault="000E5A86" w:rsidP="00C93C76">
      <w:pPr>
        <w:numPr>
          <w:ilvl w:val="0"/>
          <w:numId w:val="44"/>
        </w:numPr>
        <w:ind w:left="567" w:hanging="567"/>
        <w:rPr>
          <w:szCs w:val="24"/>
        </w:rPr>
      </w:pPr>
      <w:r>
        <w:rPr>
          <w:color w:val="000000"/>
        </w:rPr>
        <w:t>Si une prise a été oubliée depuis moins de 12 heures, le patient peut prendre la dose manquante. Au</w:t>
      </w:r>
      <w:r>
        <w:rPr>
          <w:color w:val="000000"/>
        </w:rPr>
        <w:noBreakHyphen/>
        <w:t>delà de 12 heures après un oubli, la dose manquée ne doit pas être rattrapée. La dose suivante sera prise à l’heure habituelle, le lendemain.</w:t>
      </w:r>
    </w:p>
    <w:p w14:paraId="2CD7FE6B" w14:textId="14C8BE8C" w:rsidR="00A80C34" w:rsidRPr="00D2126A" w:rsidRDefault="00A80C34" w:rsidP="00C93C76">
      <w:pPr>
        <w:pStyle w:val="Date"/>
        <w:rPr>
          <w:bCs/>
          <w:color w:val="000000"/>
        </w:rPr>
      </w:pPr>
    </w:p>
    <w:p w14:paraId="7548075D" w14:textId="77777777" w:rsidR="00375EAB" w:rsidRPr="00D2126A" w:rsidRDefault="000E5A86" w:rsidP="00C93C76">
      <w:pPr>
        <w:pStyle w:val="Date"/>
        <w:keepNext/>
        <w:rPr>
          <w:color w:val="000000"/>
          <w:u w:val="single"/>
        </w:rPr>
      </w:pPr>
      <w:r>
        <w:rPr>
          <w:color w:val="000000"/>
          <w:u w:val="single"/>
        </w:rPr>
        <w:t>Posologie</w:t>
      </w:r>
    </w:p>
    <w:p w14:paraId="674F7956" w14:textId="77777777" w:rsidR="00701B93" w:rsidRPr="00D2126A" w:rsidRDefault="000E5A86" w:rsidP="00C93C76">
      <w:pPr>
        <w:pStyle w:val="Date"/>
        <w:keepNext/>
        <w:rPr>
          <w:i/>
          <w:color w:val="000000"/>
          <w:u w:val="single"/>
        </w:rPr>
      </w:pPr>
      <w:r>
        <w:rPr>
          <w:i/>
          <w:color w:val="000000"/>
          <w:u w:val="single"/>
        </w:rPr>
        <w:t>Myélome multiple non préalablement traité (MMNPT)</w:t>
      </w:r>
    </w:p>
    <w:p w14:paraId="6AE6737D" w14:textId="77777777" w:rsidR="00FB5483" w:rsidRPr="00D2126A" w:rsidRDefault="00FB5483" w:rsidP="00C93C76"/>
    <w:p w14:paraId="6EEED080" w14:textId="77777777" w:rsidR="009B53EC" w:rsidRPr="00D2126A" w:rsidRDefault="000E5A86" w:rsidP="00C93C76">
      <w:pPr>
        <w:numPr>
          <w:ilvl w:val="0"/>
          <w:numId w:val="52"/>
        </w:numPr>
        <w:autoSpaceDE w:val="0"/>
        <w:autoSpaceDN w:val="0"/>
        <w:adjustRightInd w:val="0"/>
        <w:ind w:left="567" w:right="-20" w:hanging="567"/>
        <w:rPr>
          <w:color w:val="000000"/>
          <w:u w:val="single"/>
        </w:rPr>
      </w:pPr>
      <w:r>
        <w:rPr>
          <w:u w:val="single"/>
        </w:rPr>
        <w:t>Lénalidomide administré en association avec la dexaméthasone jusqu’à la progression de la maladie chez les patients non éligibles à une greffe</w:t>
      </w:r>
    </w:p>
    <w:p w14:paraId="418A4ADA" w14:textId="77777777" w:rsidR="00A5619C" w:rsidRPr="00D2126A" w:rsidRDefault="00A5619C" w:rsidP="00C93C76">
      <w:pPr>
        <w:pStyle w:val="Date"/>
        <w:rPr>
          <w:bCs/>
          <w:color w:val="000000"/>
        </w:rPr>
      </w:pPr>
    </w:p>
    <w:p w14:paraId="5AC1ACCB" w14:textId="6603F992" w:rsidR="009B53EC" w:rsidRPr="00D2126A" w:rsidRDefault="000E5A86" w:rsidP="0064116A">
      <w:r>
        <w:t>Le traitement par le lénalidomide ne doit pas être initié si la numération des polynucléaires neutrophiles (PNN) est &lt; 1,0 x 10</w:t>
      </w:r>
      <w:r>
        <w:rPr>
          <w:vertAlign w:val="superscript"/>
        </w:rPr>
        <w:t>9</w:t>
      </w:r>
      <w:r>
        <w:t>/l et/ou si la numération plaquettaire est &lt; 50 x 10</w:t>
      </w:r>
      <w:r>
        <w:rPr>
          <w:vertAlign w:val="superscript"/>
        </w:rPr>
        <w:t>9</w:t>
      </w:r>
      <w:r>
        <w:t>/l.</w:t>
      </w:r>
    </w:p>
    <w:p w14:paraId="530ECFF8" w14:textId="77777777" w:rsidR="009B53EC" w:rsidRPr="00D2126A" w:rsidRDefault="009B53EC" w:rsidP="00C93C76">
      <w:pPr>
        <w:pStyle w:val="Date"/>
        <w:rPr>
          <w:i/>
          <w:u w:val="single"/>
        </w:rPr>
      </w:pPr>
    </w:p>
    <w:p w14:paraId="7A4D5055" w14:textId="77777777" w:rsidR="009B53EC" w:rsidRPr="00D2126A" w:rsidRDefault="000E5A86" w:rsidP="00C93C76">
      <w:pPr>
        <w:pStyle w:val="Date"/>
        <w:keepNext/>
        <w:rPr>
          <w:i/>
        </w:rPr>
      </w:pPr>
      <w:r>
        <w:rPr>
          <w:i/>
        </w:rPr>
        <w:t>Posologie recommandée</w:t>
      </w:r>
    </w:p>
    <w:p w14:paraId="030FB4A9" w14:textId="1F3F0C96" w:rsidR="009B53EC" w:rsidRPr="00D2126A" w:rsidRDefault="000E5A86" w:rsidP="00C93C76">
      <w:r>
        <w:t>La dose initiale recommandée est de 25 mg de lénalidomide par voie orale en une prise par jour les jours 1 à 21 de chaque cycle de 28 jours.</w:t>
      </w:r>
    </w:p>
    <w:p w14:paraId="05AFC78D" w14:textId="77777777" w:rsidR="00FB5483" w:rsidRPr="00D2126A" w:rsidRDefault="00FB5483" w:rsidP="00C93C76">
      <w:pPr>
        <w:pStyle w:val="Date"/>
      </w:pPr>
    </w:p>
    <w:p w14:paraId="2EEFE4C6" w14:textId="699D3CB2" w:rsidR="00036363" w:rsidRPr="00D2126A" w:rsidRDefault="000E5A86" w:rsidP="00C93C76">
      <w:r>
        <w:t>La dose recommandée de dexaméthasone est de 40 mg en une prise par jour par voie orale les jours 1, 8, 15 et 22 de chaque cycle de 28 jours. Le traitement par le lénalidomide et la dexaméthasone peut être poursuivi jusqu’à la progression de la maladie ou une toxicité.</w:t>
      </w:r>
    </w:p>
    <w:p w14:paraId="65A81AE1" w14:textId="3F40AB14" w:rsidR="009B53EC" w:rsidRPr="00D2126A" w:rsidRDefault="009B53EC" w:rsidP="00C93C76"/>
    <w:p w14:paraId="7D1C03CA" w14:textId="77777777" w:rsidR="009B53EC" w:rsidRPr="00D2126A" w:rsidRDefault="000E5A86" w:rsidP="00C93C76">
      <w:pPr>
        <w:pStyle w:val="Date"/>
        <w:keepNext/>
        <w:numPr>
          <w:ilvl w:val="0"/>
          <w:numId w:val="36"/>
        </w:numPr>
        <w:ind w:left="567" w:hanging="567"/>
        <w:rPr>
          <w:i/>
        </w:rPr>
      </w:pPr>
      <w:r>
        <w:rPr>
          <w:i/>
        </w:rPr>
        <w:t>Paliers de réduction de posologie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476"/>
        <w:gridCol w:w="3035"/>
        <w:gridCol w:w="2775"/>
      </w:tblGrid>
      <w:tr w:rsidR="00D5485C" w:rsidRPr="00D2126A" w14:paraId="563BFD87" w14:textId="77777777" w:rsidTr="00A5619C">
        <w:trPr>
          <w:cantSplit/>
          <w:trHeight w:val="57"/>
          <w:jc w:val="center"/>
        </w:trPr>
        <w:tc>
          <w:tcPr>
            <w:tcW w:w="1872" w:type="pct"/>
            <w:shd w:val="clear" w:color="auto" w:fill="auto"/>
          </w:tcPr>
          <w:p w14:paraId="36CA5A0A" w14:textId="77777777" w:rsidR="009B53EC" w:rsidRPr="00D2126A" w:rsidRDefault="009B53EC" w:rsidP="00C93C76">
            <w:pPr>
              <w:keepNext/>
            </w:pPr>
          </w:p>
        </w:tc>
        <w:tc>
          <w:tcPr>
            <w:tcW w:w="1634" w:type="pct"/>
            <w:shd w:val="clear" w:color="auto" w:fill="auto"/>
          </w:tcPr>
          <w:p w14:paraId="0BECFCA4" w14:textId="77777777" w:rsidR="009B53EC" w:rsidRPr="00D2126A" w:rsidRDefault="000E5A86" w:rsidP="00C93C76">
            <w:pPr>
              <w:keepNext/>
              <w:jc w:val="center"/>
            </w:pPr>
            <w:r>
              <w:t>Lénalidomide</w:t>
            </w:r>
            <w:r>
              <w:rPr>
                <w:vertAlign w:val="superscript"/>
              </w:rPr>
              <w:t>a</w:t>
            </w:r>
          </w:p>
        </w:tc>
        <w:tc>
          <w:tcPr>
            <w:tcW w:w="1494" w:type="pct"/>
            <w:shd w:val="clear" w:color="auto" w:fill="auto"/>
          </w:tcPr>
          <w:p w14:paraId="1DA4CC3D" w14:textId="77777777" w:rsidR="009B53EC" w:rsidRPr="00D2126A" w:rsidRDefault="000E5A86" w:rsidP="00C93C76">
            <w:pPr>
              <w:keepNext/>
              <w:jc w:val="center"/>
            </w:pPr>
            <w:r>
              <w:t>Dexaméthasone</w:t>
            </w:r>
            <w:r>
              <w:rPr>
                <w:vertAlign w:val="superscript"/>
              </w:rPr>
              <w:t>a</w:t>
            </w:r>
          </w:p>
        </w:tc>
      </w:tr>
      <w:tr w:rsidR="00D5485C" w:rsidRPr="00D2126A" w14:paraId="1F1BD87B" w14:textId="77777777" w:rsidTr="00A5619C">
        <w:trPr>
          <w:cantSplit/>
          <w:trHeight w:val="57"/>
          <w:jc w:val="center"/>
        </w:trPr>
        <w:tc>
          <w:tcPr>
            <w:tcW w:w="1872" w:type="pct"/>
            <w:shd w:val="clear" w:color="auto" w:fill="auto"/>
          </w:tcPr>
          <w:p w14:paraId="5679F4D1" w14:textId="77777777" w:rsidR="009B53EC" w:rsidRPr="00D2126A" w:rsidRDefault="000E5A86" w:rsidP="00C93C76">
            <w:r>
              <w:t>Dose initiale</w:t>
            </w:r>
          </w:p>
        </w:tc>
        <w:tc>
          <w:tcPr>
            <w:tcW w:w="1634" w:type="pct"/>
            <w:shd w:val="clear" w:color="auto" w:fill="auto"/>
          </w:tcPr>
          <w:p w14:paraId="1FB1C86D" w14:textId="77777777" w:rsidR="009B53EC" w:rsidRPr="00D2126A" w:rsidRDefault="000E5A86" w:rsidP="00C93C76">
            <w:pPr>
              <w:keepNext/>
              <w:jc w:val="center"/>
            </w:pPr>
            <w:r>
              <w:t>25 mg</w:t>
            </w:r>
          </w:p>
        </w:tc>
        <w:tc>
          <w:tcPr>
            <w:tcW w:w="1494" w:type="pct"/>
            <w:shd w:val="clear" w:color="auto" w:fill="auto"/>
          </w:tcPr>
          <w:p w14:paraId="0262B08E" w14:textId="77777777" w:rsidR="009B53EC" w:rsidRPr="00D2126A" w:rsidRDefault="000E5A86" w:rsidP="00C93C76">
            <w:pPr>
              <w:keepNext/>
              <w:jc w:val="center"/>
            </w:pPr>
            <w:r>
              <w:t>40 mg</w:t>
            </w:r>
          </w:p>
        </w:tc>
      </w:tr>
      <w:tr w:rsidR="00D5485C" w:rsidRPr="00D2126A" w14:paraId="7E52FFAE" w14:textId="77777777" w:rsidTr="00A5619C">
        <w:trPr>
          <w:cantSplit/>
          <w:trHeight w:val="57"/>
          <w:jc w:val="center"/>
        </w:trPr>
        <w:tc>
          <w:tcPr>
            <w:tcW w:w="1872" w:type="pct"/>
            <w:shd w:val="clear" w:color="auto" w:fill="auto"/>
          </w:tcPr>
          <w:p w14:paraId="0A4CB690" w14:textId="2AF29477" w:rsidR="009B53EC" w:rsidRPr="00D2126A" w:rsidRDefault="000E5A86" w:rsidP="00C93C76">
            <w:r>
              <w:t>Palier de dose -1</w:t>
            </w:r>
          </w:p>
        </w:tc>
        <w:tc>
          <w:tcPr>
            <w:tcW w:w="1634" w:type="pct"/>
            <w:shd w:val="clear" w:color="auto" w:fill="auto"/>
          </w:tcPr>
          <w:p w14:paraId="3C046E8E" w14:textId="77777777" w:rsidR="009B53EC" w:rsidRPr="00D2126A" w:rsidRDefault="000E5A86" w:rsidP="00C93C76">
            <w:pPr>
              <w:keepNext/>
              <w:jc w:val="center"/>
            </w:pPr>
            <w:r>
              <w:t>20 mg</w:t>
            </w:r>
          </w:p>
        </w:tc>
        <w:tc>
          <w:tcPr>
            <w:tcW w:w="1494" w:type="pct"/>
            <w:shd w:val="clear" w:color="auto" w:fill="auto"/>
          </w:tcPr>
          <w:p w14:paraId="111218ED" w14:textId="77777777" w:rsidR="009B53EC" w:rsidRPr="00D2126A" w:rsidRDefault="000E5A86" w:rsidP="00C93C76">
            <w:pPr>
              <w:keepNext/>
              <w:jc w:val="center"/>
            </w:pPr>
            <w:r>
              <w:t>20 mg</w:t>
            </w:r>
          </w:p>
        </w:tc>
      </w:tr>
      <w:tr w:rsidR="00D5485C" w:rsidRPr="00D2126A" w14:paraId="23A954F0" w14:textId="77777777" w:rsidTr="00A5619C">
        <w:trPr>
          <w:cantSplit/>
          <w:trHeight w:val="57"/>
          <w:jc w:val="center"/>
        </w:trPr>
        <w:tc>
          <w:tcPr>
            <w:tcW w:w="1872" w:type="pct"/>
            <w:shd w:val="clear" w:color="auto" w:fill="auto"/>
          </w:tcPr>
          <w:p w14:paraId="5127B045" w14:textId="1AE4153E" w:rsidR="009B53EC" w:rsidRPr="00D2126A" w:rsidRDefault="000E5A86" w:rsidP="00C93C76">
            <w:r>
              <w:t>Palier de dose -2</w:t>
            </w:r>
          </w:p>
        </w:tc>
        <w:tc>
          <w:tcPr>
            <w:tcW w:w="1634" w:type="pct"/>
            <w:shd w:val="clear" w:color="auto" w:fill="auto"/>
          </w:tcPr>
          <w:p w14:paraId="7AA21CDB" w14:textId="77777777" w:rsidR="009B53EC" w:rsidRPr="00D2126A" w:rsidRDefault="000E5A86" w:rsidP="00C93C76">
            <w:pPr>
              <w:jc w:val="center"/>
            </w:pPr>
            <w:r>
              <w:t>15 mg</w:t>
            </w:r>
          </w:p>
        </w:tc>
        <w:tc>
          <w:tcPr>
            <w:tcW w:w="1494" w:type="pct"/>
            <w:shd w:val="clear" w:color="auto" w:fill="auto"/>
          </w:tcPr>
          <w:p w14:paraId="3839FCF0" w14:textId="77777777" w:rsidR="009B53EC" w:rsidRPr="00D2126A" w:rsidRDefault="000E5A86" w:rsidP="00C93C76">
            <w:pPr>
              <w:jc w:val="center"/>
            </w:pPr>
            <w:r>
              <w:t>12 mg</w:t>
            </w:r>
          </w:p>
        </w:tc>
      </w:tr>
      <w:tr w:rsidR="00D5485C" w:rsidRPr="00D2126A" w14:paraId="628C368F" w14:textId="77777777" w:rsidTr="00A5619C">
        <w:trPr>
          <w:cantSplit/>
          <w:trHeight w:val="57"/>
          <w:jc w:val="center"/>
        </w:trPr>
        <w:tc>
          <w:tcPr>
            <w:tcW w:w="1872" w:type="pct"/>
            <w:shd w:val="clear" w:color="auto" w:fill="auto"/>
          </w:tcPr>
          <w:p w14:paraId="322C352F" w14:textId="3A4D8904" w:rsidR="009B53EC" w:rsidRPr="00D2126A" w:rsidRDefault="000E5A86" w:rsidP="00C93C76">
            <w:r>
              <w:t>Palier de dose -3</w:t>
            </w:r>
          </w:p>
        </w:tc>
        <w:tc>
          <w:tcPr>
            <w:tcW w:w="1634" w:type="pct"/>
            <w:shd w:val="clear" w:color="auto" w:fill="auto"/>
          </w:tcPr>
          <w:p w14:paraId="6501162D" w14:textId="77777777" w:rsidR="009B53EC" w:rsidRPr="00D2126A" w:rsidRDefault="000E5A86" w:rsidP="00C93C76">
            <w:pPr>
              <w:jc w:val="center"/>
            </w:pPr>
            <w:r>
              <w:t>10 mg</w:t>
            </w:r>
          </w:p>
        </w:tc>
        <w:tc>
          <w:tcPr>
            <w:tcW w:w="1494" w:type="pct"/>
            <w:shd w:val="clear" w:color="auto" w:fill="auto"/>
          </w:tcPr>
          <w:p w14:paraId="75BCAED6" w14:textId="77777777" w:rsidR="009B53EC" w:rsidRPr="00D2126A" w:rsidRDefault="000E5A86" w:rsidP="00C93C76">
            <w:pPr>
              <w:jc w:val="center"/>
            </w:pPr>
            <w:r>
              <w:t>8 mg</w:t>
            </w:r>
          </w:p>
        </w:tc>
      </w:tr>
      <w:tr w:rsidR="00D5485C" w:rsidRPr="00D2126A" w14:paraId="2E968BDE" w14:textId="77777777" w:rsidTr="00A5619C">
        <w:trPr>
          <w:cantSplit/>
          <w:trHeight w:val="57"/>
          <w:jc w:val="center"/>
        </w:trPr>
        <w:tc>
          <w:tcPr>
            <w:tcW w:w="1872" w:type="pct"/>
            <w:shd w:val="clear" w:color="auto" w:fill="auto"/>
          </w:tcPr>
          <w:p w14:paraId="3815FEAA" w14:textId="722C9B54" w:rsidR="009B53EC" w:rsidRPr="00D2126A" w:rsidRDefault="000E5A86" w:rsidP="00C93C76">
            <w:pPr>
              <w:keepNext/>
            </w:pPr>
            <w:r>
              <w:t>Palier de dose -4</w:t>
            </w:r>
          </w:p>
        </w:tc>
        <w:tc>
          <w:tcPr>
            <w:tcW w:w="1634" w:type="pct"/>
            <w:shd w:val="clear" w:color="auto" w:fill="auto"/>
          </w:tcPr>
          <w:p w14:paraId="3ED79D1E" w14:textId="77777777" w:rsidR="009B53EC" w:rsidRPr="00D2126A" w:rsidRDefault="000E5A86" w:rsidP="00C93C76">
            <w:pPr>
              <w:jc w:val="center"/>
            </w:pPr>
            <w:r>
              <w:t>5 mg</w:t>
            </w:r>
          </w:p>
        </w:tc>
        <w:tc>
          <w:tcPr>
            <w:tcW w:w="1494" w:type="pct"/>
            <w:shd w:val="clear" w:color="auto" w:fill="auto"/>
          </w:tcPr>
          <w:p w14:paraId="70B36E2C" w14:textId="77777777" w:rsidR="009B53EC" w:rsidRPr="00D2126A" w:rsidRDefault="000E5A86" w:rsidP="00C93C76">
            <w:pPr>
              <w:jc w:val="center"/>
            </w:pPr>
            <w:r>
              <w:t>4 mg</w:t>
            </w:r>
          </w:p>
        </w:tc>
      </w:tr>
      <w:tr w:rsidR="00D5485C" w:rsidRPr="00D2126A" w14:paraId="4CF99F72" w14:textId="77777777" w:rsidTr="00A5619C">
        <w:trPr>
          <w:cantSplit/>
          <w:trHeight w:val="57"/>
          <w:jc w:val="center"/>
        </w:trPr>
        <w:tc>
          <w:tcPr>
            <w:tcW w:w="1872" w:type="pct"/>
            <w:shd w:val="clear" w:color="auto" w:fill="auto"/>
          </w:tcPr>
          <w:p w14:paraId="60807D1E" w14:textId="5648840B" w:rsidR="009B53EC" w:rsidRPr="00D2126A" w:rsidRDefault="000E5A86" w:rsidP="00C93C76">
            <w:pPr>
              <w:keepNext/>
            </w:pPr>
            <w:r>
              <w:t>Palier de dose -5</w:t>
            </w:r>
          </w:p>
        </w:tc>
        <w:tc>
          <w:tcPr>
            <w:tcW w:w="1634" w:type="pct"/>
            <w:shd w:val="clear" w:color="auto" w:fill="auto"/>
          </w:tcPr>
          <w:p w14:paraId="3C4CCDF4" w14:textId="77777777" w:rsidR="009B53EC" w:rsidRPr="00D2126A" w:rsidRDefault="000E5A86" w:rsidP="00C93C76">
            <w:pPr>
              <w:jc w:val="center"/>
            </w:pPr>
            <w:r>
              <w:t>2,5 mg</w:t>
            </w:r>
          </w:p>
        </w:tc>
        <w:tc>
          <w:tcPr>
            <w:tcW w:w="1494" w:type="pct"/>
            <w:shd w:val="clear" w:color="auto" w:fill="auto"/>
          </w:tcPr>
          <w:p w14:paraId="6985CC40" w14:textId="77777777" w:rsidR="009B53EC" w:rsidRPr="00D2126A" w:rsidRDefault="000E5A86" w:rsidP="00C93C76">
            <w:pPr>
              <w:jc w:val="center"/>
            </w:pPr>
            <w:r>
              <w:t>Sans objet</w:t>
            </w:r>
          </w:p>
        </w:tc>
      </w:tr>
    </w:tbl>
    <w:p w14:paraId="1F66BD58" w14:textId="77777777" w:rsidR="009B53EC" w:rsidRPr="00D2126A" w:rsidRDefault="000E5A86" w:rsidP="00C93C76">
      <w:pPr>
        <w:pStyle w:val="Date"/>
        <w:rPr>
          <w:sz w:val="16"/>
          <w:szCs w:val="16"/>
        </w:rPr>
      </w:pPr>
      <w:r>
        <w:rPr>
          <w:sz w:val="16"/>
        </w:rPr>
        <w:t>ª Les réductions de posologie des deux médicaments peuvent être gérées indépendamment.</w:t>
      </w:r>
    </w:p>
    <w:p w14:paraId="437AA625" w14:textId="77777777" w:rsidR="009B53EC" w:rsidRPr="00D2126A" w:rsidRDefault="009B53EC" w:rsidP="00C93C76"/>
    <w:p w14:paraId="5344B6BA" w14:textId="77777777" w:rsidR="009B53EC" w:rsidRPr="00D2126A" w:rsidRDefault="000E5A86" w:rsidP="00C93C76">
      <w:pPr>
        <w:pStyle w:val="Date"/>
        <w:keepNext/>
        <w:numPr>
          <w:ilvl w:val="0"/>
          <w:numId w:val="36"/>
        </w:numPr>
        <w:ind w:left="567" w:hanging="567"/>
        <w:rPr>
          <w:i/>
        </w:rPr>
      </w:pPr>
      <w:r>
        <w:rPr>
          <w:i/>
        </w:rPr>
        <w:t>Thrombopénie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5EA36555" w14:textId="77777777" w:rsidTr="0060680F">
        <w:trPr>
          <w:cantSplit/>
          <w:trHeight w:val="57"/>
        </w:trPr>
        <w:tc>
          <w:tcPr>
            <w:tcW w:w="2627" w:type="pct"/>
            <w:tcBorders>
              <w:left w:val="nil"/>
              <w:right w:val="nil"/>
            </w:tcBorders>
            <w:shd w:val="clear" w:color="auto" w:fill="auto"/>
          </w:tcPr>
          <w:p w14:paraId="0E22DCE2" w14:textId="77777777" w:rsidR="009B53EC" w:rsidRPr="00D2126A" w:rsidRDefault="000E5A86" w:rsidP="0064116A">
            <w:pPr>
              <w:keepNext/>
              <w:rPr>
                <w:color w:val="000000"/>
              </w:rPr>
            </w:pPr>
            <w:r>
              <w:rPr>
                <w:color w:val="000000"/>
              </w:rPr>
              <w:t>Numération plaquettaire</w:t>
            </w:r>
          </w:p>
        </w:tc>
        <w:tc>
          <w:tcPr>
            <w:tcW w:w="2373" w:type="pct"/>
            <w:tcBorders>
              <w:left w:val="nil"/>
              <w:right w:val="nil"/>
            </w:tcBorders>
            <w:shd w:val="clear" w:color="auto" w:fill="auto"/>
          </w:tcPr>
          <w:p w14:paraId="6A807F60" w14:textId="77777777" w:rsidR="009B53EC" w:rsidRPr="00D2126A" w:rsidRDefault="000E5A86" w:rsidP="00C93C76">
            <w:pPr>
              <w:rPr>
                <w:color w:val="000000"/>
              </w:rPr>
            </w:pPr>
            <w:r>
              <w:rPr>
                <w:color w:val="000000"/>
              </w:rPr>
              <w:t>Action recommandée</w:t>
            </w:r>
          </w:p>
        </w:tc>
      </w:tr>
      <w:tr w:rsidR="00D5485C" w:rsidRPr="00D2126A" w14:paraId="41559162" w14:textId="77777777" w:rsidTr="0060680F">
        <w:trPr>
          <w:cantSplit/>
          <w:trHeight w:val="57"/>
        </w:trPr>
        <w:tc>
          <w:tcPr>
            <w:tcW w:w="2627" w:type="pct"/>
            <w:tcBorders>
              <w:left w:val="nil"/>
              <w:right w:val="nil"/>
            </w:tcBorders>
            <w:shd w:val="clear" w:color="auto" w:fill="auto"/>
          </w:tcPr>
          <w:p w14:paraId="3D735774" w14:textId="77777777" w:rsidR="009B53EC" w:rsidRPr="00D2126A" w:rsidRDefault="000E5A86" w:rsidP="0064116A">
            <w:pPr>
              <w:keepNext/>
            </w:pPr>
            <w:r>
              <w:t>Chute &lt; 25 x 10</w:t>
            </w:r>
            <w:r>
              <w:rPr>
                <w:vertAlign w:val="superscript"/>
              </w:rPr>
              <w:t>9</w:t>
            </w:r>
            <w:r>
              <w:t>/l</w:t>
            </w:r>
          </w:p>
        </w:tc>
        <w:tc>
          <w:tcPr>
            <w:tcW w:w="2373" w:type="pct"/>
            <w:tcBorders>
              <w:left w:val="nil"/>
              <w:right w:val="nil"/>
            </w:tcBorders>
            <w:shd w:val="clear" w:color="auto" w:fill="auto"/>
          </w:tcPr>
          <w:p w14:paraId="0CEED45C" w14:textId="77777777" w:rsidR="009B53EC" w:rsidRPr="00D2126A" w:rsidRDefault="000E5A86" w:rsidP="00C93C76">
            <w:pPr>
              <w:rPr>
                <w:color w:val="000000"/>
              </w:rPr>
            </w:pPr>
            <w:r>
              <w:rPr>
                <w:color w:val="000000"/>
              </w:rPr>
              <w:t>Arrêter l’administration de lénalidomide pendant le reste du cycleª.</w:t>
            </w:r>
          </w:p>
        </w:tc>
      </w:tr>
      <w:tr w:rsidR="00D5485C" w:rsidRPr="00D2126A" w14:paraId="44B35CB3" w14:textId="77777777" w:rsidTr="0060680F">
        <w:trPr>
          <w:cantSplit/>
          <w:trHeight w:val="57"/>
        </w:trPr>
        <w:tc>
          <w:tcPr>
            <w:tcW w:w="2627" w:type="pct"/>
            <w:tcBorders>
              <w:left w:val="nil"/>
              <w:right w:val="nil"/>
            </w:tcBorders>
            <w:shd w:val="clear" w:color="auto" w:fill="auto"/>
          </w:tcPr>
          <w:p w14:paraId="0AB72CC7" w14:textId="77777777" w:rsidR="009B53EC" w:rsidRPr="00D2126A" w:rsidRDefault="000E5A86" w:rsidP="00B12D5B">
            <w:pPr>
              <w:keepNext/>
            </w:pPr>
            <w:r>
              <w:t>Retour &gt; 50 x 10</w:t>
            </w:r>
            <w:r>
              <w:rPr>
                <w:vertAlign w:val="superscript"/>
              </w:rPr>
              <w:t>9</w:t>
            </w:r>
            <w:r>
              <w:t>/l</w:t>
            </w:r>
          </w:p>
        </w:tc>
        <w:tc>
          <w:tcPr>
            <w:tcW w:w="2373" w:type="pct"/>
            <w:tcBorders>
              <w:left w:val="nil"/>
              <w:right w:val="nil"/>
            </w:tcBorders>
            <w:shd w:val="clear" w:color="auto" w:fill="auto"/>
          </w:tcPr>
          <w:p w14:paraId="303D8F68" w14:textId="77777777" w:rsidR="009B53EC" w:rsidRPr="00D2126A" w:rsidRDefault="000E5A86" w:rsidP="00C93C76">
            <w:pPr>
              <w:rPr>
                <w:color w:val="000000"/>
              </w:rPr>
            </w:pPr>
            <w:r>
              <w:rPr>
                <w:color w:val="000000"/>
              </w:rPr>
              <w:t>Reprendre le traitement lors du cycle suivant en diminuant la dose d’un palier.</w:t>
            </w:r>
          </w:p>
        </w:tc>
      </w:tr>
    </w:tbl>
    <w:p w14:paraId="2FF829A7" w14:textId="3B3A4C69" w:rsidR="009B53EC" w:rsidRPr="00D2126A" w:rsidRDefault="000E5A86" w:rsidP="0064116A">
      <w:pPr>
        <w:pStyle w:val="StyleTablenotes8"/>
      </w:pPr>
      <w:r>
        <w:t>ª En cas de toxicité dose</w:t>
      </w:r>
      <w:r>
        <w:noBreakHyphen/>
        <w:t>limitante (TDL) survenant à partir du 15</w:t>
      </w:r>
      <w:r>
        <w:rPr>
          <w:vertAlign w:val="superscript"/>
        </w:rPr>
        <w:t>e</w:t>
      </w:r>
      <w:r>
        <w:t> jour d’un cycle, le traitement par le lénalidomide doit être interrompu pendant au moins le reste du cycle de 28 jours en cours.</w:t>
      </w:r>
    </w:p>
    <w:p w14:paraId="5E62B15A" w14:textId="77777777" w:rsidR="009B53EC" w:rsidRPr="00D2126A" w:rsidRDefault="009B53EC" w:rsidP="00C93C76"/>
    <w:p w14:paraId="0B3AA0B1" w14:textId="77777777" w:rsidR="009B53EC" w:rsidRPr="00D2126A" w:rsidRDefault="000E5A86" w:rsidP="00C93C76">
      <w:pPr>
        <w:pStyle w:val="Date"/>
        <w:keepNext/>
        <w:numPr>
          <w:ilvl w:val="0"/>
          <w:numId w:val="36"/>
        </w:numPr>
        <w:ind w:left="567" w:hanging="567"/>
        <w:rPr>
          <w:i/>
        </w:rPr>
      </w:pPr>
      <w:r>
        <w:rPr>
          <w:i/>
        </w:rPr>
        <w:t xml:space="preserve">Numération des polynucléaires neutrophiles (PNN) </w:t>
      </w:r>
      <w:r>
        <w:rPr>
          <w:i/>
        </w:rPr>
        <w:noBreakHyphen/>
        <w:t xml:space="preserve"> neutropénie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16AC8D93" w14:textId="77777777" w:rsidTr="0060680F">
        <w:trPr>
          <w:cantSplit/>
          <w:trHeight w:val="57"/>
          <w:tblHeader/>
        </w:trPr>
        <w:tc>
          <w:tcPr>
            <w:tcW w:w="2627" w:type="pct"/>
            <w:tcBorders>
              <w:left w:val="nil"/>
              <w:bottom w:val="single" w:sz="4" w:space="0" w:color="auto"/>
              <w:right w:val="nil"/>
            </w:tcBorders>
            <w:shd w:val="clear" w:color="auto" w:fill="auto"/>
          </w:tcPr>
          <w:p w14:paraId="6333555B" w14:textId="77777777" w:rsidR="009B53EC" w:rsidRPr="00D2126A" w:rsidRDefault="000E5A86" w:rsidP="00C93C76">
            <w:pPr>
              <w:keepNext/>
              <w:rPr>
                <w:color w:val="000000"/>
              </w:rPr>
            </w:pPr>
            <w:r>
              <w:rPr>
                <w:color w:val="000000"/>
              </w:rPr>
              <w:t>Numération des PNN</w:t>
            </w:r>
          </w:p>
        </w:tc>
        <w:tc>
          <w:tcPr>
            <w:tcW w:w="2373" w:type="pct"/>
            <w:tcBorders>
              <w:left w:val="nil"/>
              <w:bottom w:val="single" w:sz="4" w:space="0" w:color="auto"/>
              <w:right w:val="nil"/>
            </w:tcBorders>
            <w:shd w:val="clear" w:color="auto" w:fill="auto"/>
          </w:tcPr>
          <w:p w14:paraId="435E6098" w14:textId="77777777" w:rsidR="009B53EC" w:rsidRPr="00D2126A" w:rsidRDefault="000E5A86" w:rsidP="00C93C76">
            <w:pPr>
              <w:keepNext/>
              <w:rPr>
                <w:color w:val="000000"/>
              </w:rPr>
            </w:pPr>
            <w:r>
              <w:rPr>
                <w:color w:val="000000"/>
              </w:rPr>
              <w:t>Action recommandéeª</w:t>
            </w:r>
          </w:p>
        </w:tc>
      </w:tr>
      <w:tr w:rsidR="00D5485C" w:rsidRPr="00D2126A" w14:paraId="4684CAC1" w14:textId="77777777" w:rsidTr="0060680F">
        <w:trPr>
          <w:cantSplit/>
          <w:trHeight w:val="57"/>
        </w:trPr>
        <w:tc>
          <w:tcPr>
            <w:tcW w:w="2627" w:type="pct"/>
            <w:tcBorders>
              <w:left w:val="nil"/>
              <w:bottom w:val="nil"/>
              <w:right w:val="nil"/>
            </w:tcBorders>
            <w:shd w:val="clear" w:color="auto" w:fill="auto"/>
          </w:tcPr>
          <w:p w14:paraId="74BFF885" w14:textId="77777777" w:rsidR="009B53EC" w:rsidRPr="00D2126A" w:rsidRDefault="000E5A86" w:rsidP="00C93C76">
            <w:pPr>
              <w:rPr>
                <w:color w:val="000000"/>
              </w:rPr>
            </w:pPr>
            <w:r>
              <w:rPr>
                <w:color w:val="000000"/>
              </w:rPr>
              <w:t>Première chute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03AE0865" w14:textId="77777777" w:rsidR="009B53EC" w:rsidRPr="00D2126A" w:rsidRDefault="000E5A86" w:rsidP="00C93C76">
            <w:pPr>
              <w:rPr>
                <w:color w:val="000000"/>
              </w:rPr>
            </w:pPr>
            <w:r>
              <w:rPr>
                <w:color w:val="000000"/>
              </w:rPr>
              <w:t>Interrompre le traitement par le lénalidomide.</w:t>
            </w:r>
          </w:p>
        </w:tc>
      </w:tr>
      <w:tr w:rsidR="00D5485C" w:rsidRPr="00D2126A" w14:paraId="56DC2C94" w14:textId="77777777" w:rsidTr="0060680F">
        <w:trPr>
          <w:cantSplit/>
          <w:trHeight w:val="57"/>
        </w:trPr>
        <w:tc>
          <w:tcPr>
            <w:tcW w:w="2627" w:type="pct"/>
            <w:tcBorders>
              <w:top w:val="nil"/>
              <w:left w:val="nil"/>
              <w:right w:val="nil"/>
            </w:tcBorders>
            <w:shd w:val="clear" w:color="auto" w:fill="auto"/>
          </w:tcPr>
          <w:p w14:paraId="6F633390" w14:textId="77777777" w:rsidR="009B53EC" w:rsidRPr="00D2126A" w:rsidRDefault="000E5A86" w:rsidP="005265C9">
            <w:r>
              <w:t>Retour ≥ 1 x 10</w:t>
            </w:r>
            <w:r>
              <w:rPr>
                <w:vertAlign w:val="superscript"/>
              </w:rPr>
              <w:t>9</w:t>
            </w:r>
            <w:r>
              <w:t>/l, la neutropénie étant la seule toxicité observée</w:t>
            </w:r>
          </w:p>
        </w:tc>
        <w:tc>
          <w:tcPr>
            <w:tcW w:w="2373" w:type="pct"/>
            <w:tcBorders>
              <w:top w:val="nil"/>
              <w:left w:val="nil"/>
              <w:right w:val="nil"/>
            </w:tcBorders>
            <w:shd w:val="clear" w:color="auto" w:fill="auto"/>
          </w:tcPr>
          <w:p w14:paraId="4BBE1944" w14:textId="77777777" w:rsidR="009B53EC" w:rsidRPr="00D2126A" w:rsidRDefault="000E5A86" w:rsidP="00C93C76">
            <w:pPr>
              <w:rPr>
                <w:color w:val="000000"/>
              </w:rPr>
            </w:pPr>
            <w:r>
              <w:rPr>
                <w:color w:val="000000"/>
              </w:rPr>
              <w:t>Reprendre le lénalidomide à la dose initiale en une prise par jour.</w:t>
            </w:r>
          </w:p>
        </w:tc>
      </w:tr>
      <w:tr w:rsidR="00D5485C" w:rsidRPr="00D2126A" w14:paraId="428DF499" w14:textId="77777777" w:rsidTr="0060680F">
        <w:trPr>
          <w:cantSplit/>
          <w:trHeight w:val="57"/>
        </w:trPr>
        <w:tc>
          <w:tcPr>
            <w:tcW w:w="2627" w:type="pct"/>
            <w:tcBorders>
              <w:left w:val="nil"/>
              <w:bottom w:val="single" w:sz="4" w:space="0" w:color="auto"/>
              <w:right w:val="nil"/>
            </w:tcBorders>
            <w:shd w:val="clear" w:color="auto" w:fill="auto"/>
          </w:tcPr>
          <w:p w14:paraId="57A712AA" w14:textId="77777777" w:rsidR="009B53EC" w:rsidRPr="00D2126A" w:rsidRDefault="000E5A86" w:rsidP="00C93C76">
            <w:pPr>
              <w:rPr>
                <w:color w:val="000000"/>
              </w:rPr>
            </w:pPr>
            <w:r>
              <w:rPr>
                <w:color w:val="000000"/>
              </w:rPr>
              <w:t>Retour ≥ 0,5 x 10</w:t>
            </w:r>
            <w:r>
              <w:rPr>
                <w:color w:val="000000"/>
                <w:vertAlign w:val="superscript"/>
              </w:rPr>
              <w:t>9</w:t>
            </w:r>
            <w:r>
              <w:rPr>
                <w:color w:val="000000"/>
              </w:rPr>
              <w:t>/l, en cas de toxicités hématologiques dépendantes de la dose autres que la neutropénie</w:t>
            </w:r>
          </w:p>
        </w:tc>
        <w:tc>
          <w:tcPr>
            <w:tcW w:w="2373" w:type="pct"/>
            <w:tcBorders>
              <w:left w:val="nil"/>
              <w:bottom w:val="single" w:sz="4" w:space="0" w:color="auto"/>
              <w:right w:val="nil"/>
            </w:tcBorders>
            <w:shd w:val="clear" w:color="auto" w:fill="auto"/>
          </w:tcPr>
          <w:p w14:paraId="3F83E8FC" w14:textId="0D137A97" w:rsidR="009B53EC" w:rsidRPr="00D2126A" w:rsidRDefault="000E5A86" w:rsidP="00C93C76">
            <w:pPr>
              <w:rPr>
                <w:color w:val="000000"/>
              </w:rPr>
            </w:pPr>
            <w:r>
              <w:rPr>
                <w:color w:val="000000"/>
              </w:rPr>
              <w:t>Reprendre le lénalidomide au palier de dose -1 en une prise par jour.</w:t>
            </w:r>
          </w:p>
        </w:tc>
      </w:tr>
      <w:tr w:rsidR="00D5485C" w:rsidRPr="00D2126A" w14:paraId="5044A7B2" w14:textId="77777777" w:rsidTr="0060680F">
        <w:trPr>
          <w:cantSplit/>
          <w:trHeight w:val="57"/>
        </w:trPr>
        <w:tc>
          <w:tcPr>
            <w:tcW w:w="2627" w:type="pct"/>
            <w:tcBorders>
              <w:left w:val="nil"/>
              <w:bottom w:val="nil"/>
              <w:right w:val="nil"/>
            </w:tcBorders>
            <w:shd w:val="clear" w:color="auto" w:fill="auto"/>
          </w:tcPr>
          <w:p w14:paraId="5AED5E62" w14:textId="77777777" w:rsidR="009B53EC" w:rsidRPr="00D2126A" w:rsidRDefault="000E5A86" w:rsidP="00C93C76">
            <w:pPr>
              <w:keepNext/>
              <w:rPr>
                <w:color w:val="000000"/>
              </w:rPr>
            </w:pPr>
            <w:r>
              <w:rPr>
                <w:color w:val="000000"/>
              </w:rPr>
              <w:t>Pour toute nouvelle rechute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5F4AB668" w14:textId="77777777" w:rsidR="009B53EC" w:rsidRPr="00D2126A" w:rsidRDefault="000E5A86" w:rsidP="00C93C76">
            <w:pPr>
              <w:rPr>
                <w:color w:val="000000"/>
              </w:rPr>
            </w:pPr>
            <w:r>
              <w:rPr>
                <w:color w:val="000000"/>
              </w:rPr>
              <w:t>Interrompre le traitement par le lénalidomide.</w:t>
            </w:r>
          </w:p>
        </w:tc>
      </w:tr>
      <w:tr w:rsidR="00D5485C" w:rsidRPr="00D2126A" w14:paraId="1FF23E58" w14:textId="77777777" w:rsidTr="0060680F">
        <w:trPr>
          <w:cantSplit/>
          <w:trHeight w:val="57"/>
        </w:trPr>
        <w:tc>
          <w:tcPr>
            <w:tcW w:w="2627" w:type="pct"/>
            <w:tcBorders>
              <w:top w:val="nil"/>
              <w:left w:val="nil"/>
              <w:right w:val="nil"/>
            </w:tcBorders>
            <w:shd w:val="clear" w:color="auto" w:fill="auto"/>
          </w:tcPr>
          <w:p w14:paraId="74E2316D" w14:textId="77777777" w:rsidR="009B53EC" w:rsidRPr="00D2126A" w:rsidRDefault="000E5A86" w:rsidP="00B12D5B">
            <w:r>
              <w:t>Retour ≥ 0,5 x 10</w:t>
            </w:r>
            <w:r>
              <w:rPr>
                <w:vertAlign w:val="superscript"/>
              </w:rPr>
              <w:t>9</w:t>
            </w:r>
            <w:r>
              <w:t>/l</w:t>
            </w:r>
          </w:p>
        </w:tc>
        <w:tc>
          <w:tcPr>
            <w:tcW w:w="2373" w:type="pct"/>
            <w:tcBorders>
              <w:top w:val="nil"/>
              <w:left w:val="nil"/>
              <w:right w:val="nil"/>
            </w:tcBorders>
            <w:shd w:val="clear" w:color="auto" w:fill="auto"/>
          </w:tcPr>
          <w:p w14:paraId="248F13AB" w14:textId="2A78C48C" w:rsidR="009B53EC" w:rsidRPr="00D2126A" w:rsidRDefault="000E5A86" w:rsidP="005265C9">
            <w:r>
              <w:t>Reprendre le lénalidomide à la dose immédiatement inférieure en une prise par jour.</w:t>
            </w:r>
          </w:p>
        </w:tc>
      </w:tr>
    </w:tbl>
    <w:p w14:paraId="2B4E8ACA" w14:textId="77777777" w:rsidR="009B53EC" w:rsidRPr="00D2126A" w:rsidRDefault="000E5A86" w:rsidP="00C93C76">
      <w:pPr>
        <w:keepNext/>
        <w:rPr>
          <w:sz w:val="16"/>
        </w:rPr>
      </w:pPr>
      <w:r>
        <w:rPr>
          <w:sz w:val="16"/>
          <w:vertAlign w:val="superscript"/>
        </w:rPr>
        <w:t>a</w:t>
      </w:r>
      <w:r>
        <w:rPr>
          <w:sz w:val="16"/>
        </w:rPr>
        <w:t xml:space="preserve"> À l’appréciation du médecin, si la neutropénie est la seule toxicité quel que soit le palier de dose, ajouter un facteur de croissance granulocytaire (G</w:t>
      </w:r>
      <w:r>
        <w:rPr>
          <w:sz w:val="16"/>
        </w:rPr>
        <w:noBreakHyphen/>
        <w:t>CSF) et maintenir la dose de lénalidomide.</w:t>
      </w:r>
    </w:p>
    <w:p w14:paraId="7F2F3288" w14:textId="77777777" w:rsidR="009B53EC" w:rsidRPr="00D2126A" w:rsidRDefault="009B53EC" w:rsidP="00C93C76">
      <w:pPr>
        <w:pStyle w:val="Date"/>
      </w:pPr>
    </w:p>
    <w:p w14:paraId="50B292BA" w14:textId="7504132F" w:rsidR="009B53EC" w:rsidRPr="00D2126A" w:rsidRDefault="000E5A86" w:rsidP="00C93C76">
      <w:pPr>
        <w:pStyle w:val="Date"/>
      </w:pPr>
      <w:r>
        <w:t>En cas de toxicité hématologique, le traitement pourra être repris au palier de dose immédiatement supérieur (jusqu’à la dose initiale) après amélioration de la fonction médullaire (absence de toxicité hématologique pendant au moins deux cycles consécutifs : PNN ≥ 1,5 x 10</w:t>
      </w:r>
      <w:r>
        <w:rPr>
          <w:vertAlign w:val="superscript"/>
        </w:rPr>
        <w:t>9</w:t>
      </w:r>
      <w:r>
        <w:t>/l et plaquettes ≥ 100 x 10</w:t>
      </w:r>
      <w:r>
        <w:rPr>
          <w:vertAlign w:val="superscript"/>
        </w:rPr>
        <w:t>9</w:t>
      </w:r>
      <w:r>
        <w:t>/l au début d’un nouveau cycle).</w:t>
      </w:r>
    </w:p>
    <w:p w14:paraId="6DB3C535" w14:textId="77777777" w:rsidR="00BC6DF1" w:rsidRPr="00D2126A" w:rsidRDefault="00BC6DF1" w:rsidP="00C93C76"/>
    <w:p w14:paraId="24A161B7" w14:textId="77777777" w:rsidR="006E1495" w:rsidRPr="00D2126A" w:rsidRDefault="000E5A86" w:rsidP="00C93C76">
      <w:pPr>
        <w:numPr>
          <w:ilvl w:val="0"/>
          <w:numId w:val="52"/>
        </w:numPr>
        <w:autoSpaceDE w:val="0"/>
        <w:autoSpaceDN w:val="0"/>
        <w:adjustRightInd w:val="0"/>
        <w:ind w:left="567" w:right="-20" w:hanging="567"/>
        <w:rPr>
          <w:u w:val="single"/>
        </w:rPr>
      </w:pPr>
      <w:r>
        <w:rPr>
          <w:u w:val="single"/>
        </w:rPr>
        <w:t>Lénalidomide en association avec le bortézomib et la dexaméthasone suivis d’un traitement par le lénalidomide et la dexaméthasone jusqu’à la progression de la maladie chez les patients non éligibles à une greffe</w:t>
      </w:r>
    </w:p>
    <w:p w14:paraId="19B8DAD5" w14:textId="77777777" w:rsidR="00FB5483" w:rsidRPr="00D2126A" w:rsidRDefault="00FB5483" w:rsidP="00C93C76">
      <w:pPr>
        <w:rPr>
          <w:i/>
          <w:iCs/>
          <w:color w:val="000000"/>
          <w:szCs w:val="24"/>
          <w:shd w:val="clear" w:color="auto" w:fill="FFFFFF"/>
        </w:rPr>
      </w:pPr>
    </w:p>
    <w:p w14:paraId="5E2E6CD7" w14:textId="4F5C0F04" w:rsidR="00AC4694" w:rsidRPr="00D2126A" w:rsidRDefault="000E5A86" w:rsidP="00C93C76">
      <w:pPr>
        <w:keepNext/>
        <w:rPr>
          <w:bCs/>
          <w:szCs w:val="24"/>
        </w:rPr>
      </w:pPr>
      <w:r>
        <w:rPr>
          <w:i/>
          <w:color w:val="000000"/>
          <w:shd w:val="clear" w:color="auto" w:fill="FFFFFF"/>
        </w:rPr>
        <w:t>Traitement initial : lénalidomide en association avec le bortézomib et la dexaméthasone</w:t>
      </w:r>
    </w:p>
    <w:p w14:paraId="5A989148" w14:textId="77777777" w:rsidR="00036363" w:rsidRPr="00D2126A" w:rsidRDefault="000E5A86" w:rsidP="00970500">
      <w:r>
        <w:t>Le traitement par le lénalidomide en association avec le bortézomib et la dexaméthasone ne doit pas être initié si la numération des PNN est &lt; 1,0 x 10</w:t>
      </w:r>
      <w:r>
        <w:rPr>
          <w:vertAlign w:val="superscript"/>
        </w:rPr>
        <w:t>9</w:t>
      </w:r>
      <w:r>
        <w:t>/l et/ou si la numération plaquettaire est &lt; 50 x 10</w:t>
      </w:r>
      <w:r>
        <w:rPr>
          <w:vertAlign w:val="superscript"/>
        </w:rPr>
        <w:t>9</w:t>
      </w:r>
      <w:r>
        <w:t>/l.</w:t>
      </w:r>
    </w:p>
    <w:p w14:paraId="78F71B0E" w14:textId="442856D9" w:rsidR="00AC4694" w:rsidRPr="00D2126A" w:rsidRDefault="00AC4694" w:rsidP="00C93C76">
      <w:pPr>
        <w:autoSpaceDE w:val="0"/>
        <w:autoSpaceDN w:val="0"/>
        <w:adjustRightInd w:val="0"/>
        <w:rPr>
          <w:bCs/>
        </w:rPr>
      </w:pPr>
    </w:p>
    <w:p w14:paraId="69D7AC8A" w14:textId="78023925" w:rsidR="00036363" w:rsidRPr="00D2126A" w:rsidRDefault="000E5A86" w:rsidP="00C93C76">
      <w:pPr>
        <w:autoSpaceDE w:val="0"/>
        <w:autoSpaceDN w:val="0"/>
        <w:adjustRightInd w:val="0"/>
        <w:rPr>
          <w:bCs/>
        </w:rPr>
      </w:pPr>
      <w:r>
        <w:t>La dose initiale recommandée est de 25 mg de lénalidomide par voie orale en une prise par jour les jours 1 à 14 de chaque cycle de 21 jours, en association avec le bortézomib et la dexaméthasone. Le bortézomib doit être administré en injection sous</w:t>
      </w:r>
      <w:r>
        <w:noBreakHyphen/>
        <w:t>cutanée (1,3 mg/m</w:t>
      </w:r>
      <w:r>
        <w:rPr>
          <w:vertAlign w:val="superscript"/>
        </w:rPr>
        <w:t>2</w:t>
      </w:r>
      <w:r>
        <w:t xml:space="preserve"> de surface corporelle) deux fois par semaine les jours 1, 4, 8 et 11 de chaque cycle de 21 jours. Pour des informations supplémentaires sur la dose, le schéma posologique et les ajustements de la posologie des médicaments administrés avec le lénalidomide, voir la rubrique 5.1 et le Résumé des Caractéristiques du Produit de chaque médicament.</w:t>
      </w:r>
    </w:p>
    <w:p w14:paraId="39E71FF2" w14:textId="2A0A57D1" w:rsidR="00AC4694" w:rsidRPr="00D2126A" w:rsidRDefault="00AC4694" w:rsidP="00C93C76">
      <w:pPr>
        <w:autoSpaceDE w:val="0"/>
        <w:autoSpaceDN w:val="0"/>
        <w:adjustRightInd w:val="0"/>
        <w:rPr>
          <w:bCs/>
        </w:rPr>
      </w:pPr>
    </w:p>
    <w:p w14:paraId="19F58B09" w14:textId="6965FDB9" w:rsidR="00036363" w:rsidRPr="00D2126A" w:rsidRDefault="000E5A86" w:rsidP="00C93C76">
      <w:pPr>
        <w:autoSpaceDE w:val="0"/>
        <w:autoSpaceDN w:val="0"/>
        <w:adjustRightInd w:val="0"/>
        <w:rPr>
          <w:bCs/>
        </w:rPr>
      </w:pPr>
      <w:r>
        <w:t>Jusqu’à 8 cycles de traitement de 21 jours (durée du traitement initial de 24 semaines) sont recommandés.</w:t>
      </w:r>
    </w:p>
    <w:p w14:paraId="7E594CEA" w14:textId="12030C24" w:rsidR="00AC4694" w:rsidRPr="00D2126A" w:rsidRDefault="00AC4694" w:rsidP="00C93C76">
      <w:pPr>
        <w:autoSpaceDE w:val="0"/>
        <w:autoSpaceDN w:val="0"/>
        <w:adjustRightInd w:val="0"/>
        <w:rPr>
          <w:bCs/>
        </w:rPr>
      </w:pPr>
    </w:p>
    <w:p w14:paraId="42E89C47" w14:textId="77777777" w:rsidR="00AC4694" w:rsidRPr="00D2126A" w:rsidRDefault="000E5A86" w:rsidP="00C93C76">
      <w:pPr>
        <w:keepNext/>
        <w:autoSpaceDE w:val="0"/>
        <w:autoSpaceDN w:val="0"/>
        <w:adjustRightInd w:val="0"/>
        <w:rPr>
          <w:i/>
          <w:iCs/>
          <w:color w:val="000000"/>
          <w:szCs w:val="24"/>
          <w:shd w:val="clear" w:color="auto" w:fill="FFFFFF"/>
        </w:rPr>
      </w:pPr>
      <w:r>
        <w:rPr>
          <w:i/>
          <w:color w:val="000000"/>
          <w:shd w:val="clear" w:color="auto" w:fill="FFFFFF"/>
        </w:rPr>
        <w:t>Poursuite du traitement : lénalidomide en association avec la dexaméthasone jusqu’à la progression de la maladie</w:t>
      </w:r>
    </w:p>
    <w:p w14:paraId="650FFD90" w14:textId="131ED0BC" w:rsidR="00036363" w:rsidRPr="00D2126A" w:rsidRDefault="000E5A86" w:rsidP="00C93C76">
      <w:pPr>
        <w:pStyle w:val="Date"/>
        <w:rPr>
          <w:szCs w:val="24"/>
        </w:rPr>
      </w:pPr>
      <w:r>
        <w:t>Poursuivre le traitement par le lénalidomide 25 mg par voie orale en une prise par jour les jours 1 à 21 de cycles de 28 jours répétés, en association avec la dexaméthasone. Le traitement doit être poursuivi jusqu’à progression de la maladie ou survenue d’une toxicité inacceptable.</w:t>
      </w:r>
    </w:p>
    <w:p w14:paraId="1588CEDB" w14:textId="7BE39675" w:rsidR="00AC4694" w:rsidRPr="00D2126A" w:rsidRDefault="00AC4694" w:rsidP="00C93C76">
      <w:pPr>
        <w:rPr>
          <w:szCs w:val="24"/>
        </w:rPr>
      </w:pPr>
    </w:p>
    <w:p w14:paraId="3C7469B9" w14:textId="77777777" w:rsidR="00AC4694" w:rsidRPr="00D2126A" w:rsidRDefault="000E5A86" w:rsidP="00C93C76">
      <w:pPr>
        <w:pStyle w:val="ListParagraph"/>
        <w:keepNext/>
        <w:numPr>
          <w:ilvl w:val="0"/>
          <w:numId w:val="54"/>
        </w:numPr>
        <w:ind w:left="567" w:hanging="567"/>
        <w:rPr>
          <w:rFonts w:ascii="Times New Roman" w:hAnsi="Times New Roman" w:cs="Times New Roman"/>
          <w:i/>
        </w:rPr>
      </w:pPr>
      <w:r>
        <w:rPr>
          <w:rFonts w:ascii="Times New Roman" w:hAnsi="Times New Roman"/>
          <w:i/>
        </w:rPr>
        <w:t>Paliers de réduction de posologie</w:t>
      </w:r>
    </w:p>
    <w:tbl>
      <w:tblPr>
        <w:tblW w:w="2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77"/>
        <w:gridCol w:w="2337"/>
      </w:tblGrid>
      <w:tr w:rsidR="00D5485C" w:rsidRPr="00D2126A" w14:paraId="666A7284" w14:textId="77777777" w:rsidTr="0060680F">
        <w:trPr>
          <w:cantSplit/>
          <w:trHeight w:val="57"/>
          <w:jc w:val="center"/>
        </w:trPr>
        <w:tc>
          <w:tcPr>
            <w:tcW w:w="2670" w:type="pct"/>
            <w:shd w:val="clear" w:color="auto" w:fill="auto"/>
          </w:tcPr>
          <w:p w14:paraId="5908A098" w14:textId="77777777" w:rsidR="00AC4694" w:rsidRPr="00D2126A" w:rsidRDefault="00AC4694" w:rsidP="00C93C76">
            <w:pPr>
              <w:keepNext/>
            </w:pPr>
          </w:p>
        </w:tc>
        <w:tc>
          <w:tcPr>
            <w:tcW w:w="2330" w:type="pct"/>
            <w:shd w:val="clear" w:color="auto" w:fill="auto"/>
          </w:tcPr>
          <w:p w14:paraId="3B05BE83" w14:textId="77777777" w:rsidR="00AC4694" w:rsidRPr="00D2126A" w:rsidRDefault="000E5A86" w:rsidP="00C93C76">
            <w:pPr>
              <w:keepNext/>
              <w:jc w:val="center"/>
            </w:pPr>
            <w:r>
              <w:t>Lénalidomide</w:t>
            </w:r>
            <w:r>
              <w:rPr>
                <w:vertAlign w:val="superscript"/>
              </w:rPr>
              <w:t>a</w:t>
            </w:r>
          </w:p>
        </w:tc>
      </w:tr>
      <w:tr w:rsidR="00D5485C" w:rsidRPr="00D2126A" w14:paraId="50B75A66" w14:textId="77777777" w:rsidTr="0060680F">
        <w:trPr>
          <w:cantSplit/>
          <w:trHeight w:val="57"/>
          <w:jc w:val="center"/>
        </w:trPr>
        <w:tc>
          <w:tcPr>
            <w:tcW w:w="2670" w:type="pct"/>
            <w:shd w:val="clear" w:color="auto" w:fill="auto"/>
          </w:tcPr>
          <w:p w14:paraId="1CB8245F" w14:textId="77777777" w:rsidR="00AC4694" w:rsidRPr="00D2126A" w:rsidRDefault="000E5A86" w:rsidP="00C93C76">
            <w:r>
              <w:t>Dose initiale</w:t>
            </w:r>
          </w:p>
        </w:tc>
        <w:tc>
          <w:tcPr>
            <w:tcW w:w="2330" w:type="pct"/>
            <w:shd w:val="clear" w:color="auto" w:fill="auto"/>
          </w:tcPr>
          <w:p w14:paraId="5F5811FF" w14:textId="77777777" w:rsidR="00AC4694" w:rsidRPr="00D2126A" w:rsidRDefault="000E5A86" w:rsidP="00C93C76">
            <w:pPr>
              <w:keepNext/>
              <w:jc w:val="center"/>
            </w:pPr>
            <w:r>
              <w:t>25 mg</w:t>
            </w:r>
          </w:p>
        </w:tc>
      </w:tr>
      <w:tr w:rsidR="00D5485C" w:rsidRPr="00D2126A" w14:paraId="6E67AD40" w14:textId="77777777" w:rsidTr="0060680F">
        <w:trPr>
          <w:cantSplit/>
          <w:trHeight w:val="57"/>
          <w:jc w:val="center"/>
        </w:trPr>
        <w:tc>
          <w:tcPr>
            <w:tcW w:w="2670" w:type="pct"/>
            <w:shd w:val="clear" w:color="auto" w:fill="auto"/>
          </w:tcPr>
          <w:p w14:paraId="2513D113" w14:textId="7F812A16" w:rsidR="00AC4694" w:rsidRPr="00D2126A" w:rsidRDefault="000E5A86" w:rsidP="00C93C76">
            <w:r>
              <w:t>Palier de dose -1</w:t>
            </w:r>
          </w:p>
        </w:tc>
        <w:tc>
          <w:tcPr>
            <w:tcW w:w="2330" w:type="pct"/>
            <w:shd w:val="clear" w:color="auto" w:fill="auto"/>
          </w:tcPr>
          <w:p w14:paraId="04488D76" w14:textId="77777777" w:rsidR="00AC4694" w:rsidRPr="00D2126A" w:rsidRDefault="000E5A86" w:rsidP="00C93C76">
            <w:pPr>
              <w:keepNext/>
              <w:jc w:val="center"/>
            </w:pPr>
            <w:r>
              <w:t>20 mg</w:t>
            </w:r>
          </w:p>
        </w:tc>
      </w:tr>
      <w:tr w:rsidR="00D5485C" w:rsidRPr="00D2126A" w14:paraId="2D59C4A7" w14:textId="77777777" w:rsidTr="0060680F">
        <w:trPr>
          <w:cantSplit/>
          <w:trHeight w:val="57"/>
          <w:jc w:val="center"/>
        </w:trPr>
        <w:tc>
          <w:tcPr>
            <w:tcW w:w="2670" w:type="pct"/>
            <w:shd w:val="clear" w:color="auto" w:fill="auto"/>
          </w:tcPr>
          <w:p w14:paraId="1A6E51BC" w14:textId="40969405" w:rsidR="00AC4694" w:rsidRPr="00D2126A" w:rsidRDefault="000E5A86" w:rsidP="00C93C76">
            <w:r>
              <w:t>Palier de dose -2</w:t>
            </w:r>
          </w:p>
        </w:tc>
        <w:tc>
          <w:tcPr>
            <w:tcW w:w="2330" w:type="pct"/>
            <w:shd w:val="clear" w:color="auto" w:fill="auto"/>
          </w:tcPr>
          <w:p w14:paraId="154258EA" w14:textId="77777777" w:rsidR="00AC4694" w:rsidRPr="00D2126A" w:rsidRDefault="000E5A86" w:rsidP="00C93C76">
            <w:pPr>
              <w:jc w:val="center"/>
            </w:pPr>
            <w:r>
              <w:t>15 mg</w:t>
            </w:r>
          </w:p>
        </w:tc>
      </w:tr>
      <w:tr w:rsidR="00D5485C" w:rsidRPr="00D2126A" w14:paraId="65E0F01F" w14:textId="77777777" w:rsidTr="0060680F">
        <w:trPr>
          <w:cantSplit/>
          <w:trHeight w:val="57"/>
          <w:jc w:val="center"/>
        </w:trPr>
        <w:tc>
          <w:tcPr>
            <w:tcW w:w="2670" w:type="pct"/>
            <w:shd w:val="clear" w:color="auto" w:fill="auto"/>
          </w:tcPr>
          <w:p w14:paraId="67DA049F" w14:textId="2C65202D" w:rsidR="00AC4694" w:rsidRPr="00D2126A" w:rsidRDefault="000E5A86" w:rsidP="00C93C76">
            <w:r>
              <w:t>Palier de dose -3</w:t>
            </w:r>
          </w:p>
        </w:tc>
        <w:tc>
          <w:tcPr>
            <w:tcW w:w="2330" w:type="pct"/>
            <w:shd w:val="clear" w:color="auto" w:fill="auto"/>
          </w:tcPr>
          <w:p w14:paraId="31F02C51" w14:textId="77777777" w:rsidR="00AC4694" w:rsidRPr="00D2126A" w:rsidRDefault="000E5A86" w:rsidP="00C93C76">
            <w:pPr>
              <w:jc w:val="center"/>
            </w:pPr>
            <w:r>
              <w:t>10 mg</w:t>
            </w:r>
          </w:p>
        </w:tc>
      </w:tr>
      <w:tr w:rsidR="00D5485C" w:rsidRPr="00D2126A" w14:paraId="26FD0132" w14:textId="77777777" w:rsidTr="0060680F">
        <w:trPr>
          <w:cantSplit/>
          <w:trHeight w:val="57"/>
          <w:jc w:val="center"/>
        </w:trPr>
        <w:tc>
          <w:tcPr>
            <w:tcW w:w="2670" w:type="pct"/>
            <w:shd w:val="clear" w:color="auto" w:fill="auto"/>
          </w:tcPr>
          <w:p w14:paraId="0168C728" w14:textId="69E2618B" w:rsidR="00AC4694" w:rsidRPr="00D2126A" w:rsidRDefault="000E5A86" w:rsidP="00D3352B">
            <w:pPr>
              <w:keepNext/>
              <w:keepLines/>
            </w:pPr>
            <w:r>
              <w:t>Palier de dose -4</w:t>
            </w:r>
          </w:p>
        </w:tc>
        <w:tc>
          <w:tcPr>
            <w:tcW w:w="2330" w:type="pct"/>
            <w:shd w:val="clear" w:color="auto" w:fill="auto"/>
          </w:tcPr>
          <w:p w14:paraId="2BAD009B" w14:textId="77777777" w:rsidR="00AC4694" w:rsidRPr="00D2126A" w:rsidRDefault="000E5A86" w:rsidP="00D3352B">
            <w:pPr>
              <w:keepNext/>
              <w:keepLines/>
              <w:jc w:val="center"/>
            </w:pPr>
            <w:r>
              <w:t>5 mg</w:t>
            </w:r>
          </w:p>
        </w:tc>
      </w:tr>
      <w:tr w:rsidR="00D5485C" w:rsidRPr="00D2126A" w14:paraId="10FB8B3A" w14:textId="77777777" w:rsidTr="0060680F">
        <w:trPr>
          <w:cantSplit/>
          <w:trHeight w:val="57"/>
          <w:jc w:val="center"/>
        </w:trPr>
        <w:tc>
          <w:tcPr>
            <w:tcW w:w="2670" w:type="pct"/>
            <w:shd w:val="clear" w:color="auto" w:fill="auto"/>
          </w:tcPr>
          <w:p w14:paraId="532393B2" w14:textId="072ADF4A" w:rsidR="00AC4694" w:rsidRPr="00D2126A" w:rsidRDefault="000E5A86" w:rsidP="00D3352B">
            <w:pPr>
              <w:keepNext/>
              <w:keepLines/>
            </w:pPr>
            <w:r>
              <w:t>Palier de dose -5</w:t>
            </w:r>
          </w:p>
        </w:tc>
        <w:tc>
          <w:tcPr>
            <w:tcW w:w="2330" w:type="pct"/>
            <w:shd w:val="clear" w:color="auto" w:fill="auto"/>
          </w:tcPr>
          <w:p w14:paraId="16E60286" w14:textId="77777777" w:rsidR="00AC4694" w:rsidRPr="00D2126A" w:rsidRDefault="000E5A86" w:rsidP="00D3352B">
            <w:pPr>
              <w:keepNext/>
              <w:keepLines/>
              <w:jc w:val="center"/>
            </w:pPr>
            <w:r>
              <w:t>2,5 mg</w:t>
            </w:r>
          </w:p>
        </w:tc>
      </w:tr>
    </w:tbl>
    <w:p w14:paraId="1D18DA8F" w14:textId="77777777" w:rsidR="00AC4694" w:rsidRPr="00D2126A" w:rsidRDefault="000E5A86" w:rsidP="00D3352B">
      <w:pPr>
        <w:pStyle w:val="Date"/>
        <w:keepNext/>
        <w:keepLines/>
        <w:rPr>
          <w:sz w:val="16"/>
          <w:szCs w:val="16"/>
        </w:rPr>
      </w:pPr>
      <w:r>
        <w:rPr>
          <w:sz w:val="16"/>
        </w:rPr>
        <w:t>ª Les réductions de posologie de chaque médicament peuvent être gérées indépendamment.</w:t>
      </w:r>
    </w:p>
    <w:p w14:paraId="5D85530D" w14:textId="77777777" w:rsidR="00AC4694" w:rsidRPr="00D2126A" w:rsidRDefault="00AC4694" w:rsidP="00C93C76"/>
    <w:p w14:paraId="5ECFEEEA" w14:textId="77777777" w:rsidR="00AC4694" w:rsidRPr="00D2126A" w:rsidRDefault="000E5A86" w:rsidP="00C93C76">
      <w:pPr>
        <w:pStyle w:val="ListParagraph"/>
        <w:keepNext/>
        <w:numPr>
          <w:ilvl w:val="0"/>
          <w:numId w:val="54"/>
        </w:numPr>
        <w:ind w:left="567" w:hanging="567"/>
        <w:rPr>
          <w:rFonts w:ascii="Times New Roman" w:hAnsi="Times New Roman" w:cs="Times New Roman"/>
          <w:i/>
        </w:rPr>
      </w:pPr>
      <w:r>
        <w:rPr>
          <w:rFonts w:ascii="Times New Roman" w:hAnsi="Times New Roman"/>
          <w:i/>
        </w:rPr>
        <w:t>Thrombopénie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59BA10D7" w14:textId="77777777" w:rsidTr="0060680F">
        <w:trPr>
          <w:cantSplit/>
          <w:trHeight w:val="57"/>
        </w:trPr>
        <w:tc>
          <w:tcPr>
            <w:tcW w:w="2627" w:type="pct"/>
            <w:tcBorders>
              <w:left w:val="nil"/>
              <w:bottom w:val="single" w:sz="4" w:space="0" w:color="auto"/>
              <w:right w:val="nil"/>
            </w:tcBorders>
            <w:shd w:val="clear" w:color="auto" w:fill="auto"/>
          </w:tcPr>
          <w:p w14:paraId="6A0D7500" w14:textId="77777777" w:rsidR="00AC4694" w:rsidRPr="00D2126A" w:rsidRDefault="000E5A86" w:rsidP="00C93C76">
            <w:pPr>
              <w:keepNext/>
            </w:pPr>
            <w:r>
              <w:t>Numération plaquettaire</w:t>
            </w:r>
          </w:p>
        </w:tc>
        <w:tc>
          <w:tcPr>
            <w:tcW w:w="2373" w:type="pct"/>
            <w:tcBorders>
              <w:left w:val="nil"/>
              <w:bottom w:val="single" w:sz="4" w:space="0" w:color="auto"/>
              <w:right w:val="nil"/>
            </w:tcBorders>
            <w:shd w:val="clear" w:color="auto" w:fill="auto"/>
          </w:tcPr>
          <w:p w14:paraId="214E73B8" w14:textId="77777777" w:rsidR="00AC4694" w:rsidRPr="00D2126A" w:rsidRDefault="000E5A86" w:rsidP="00C93C76">
            <w:r>
              <w:t>Action recommandée</w:t>
            </w:r>
          </w:p>
        </w:tc>
      </w:tr>
      <w:tr w:rsidR="00D5485C" w:rsidRPr="00D2126A" w14:paraId="5ED047BB" w14:textId="77777777" w:rsidTr="0060680F">
        <w:trPr>
          <w:cantSplit/>
          <w:trHeight w:val="57"/>
        </w:trPr>
        <w:tc>
          <w:tcPr>
            <w:tcW w:w="2627" w:type="pct"/>
            <w:tcBorders>
              <w:left w:val="nil"/>
              <w:bottom w:val="nil"/>
              <w:right w:val="nil"/>
            </w:tcBorders>
            <w:shd w:val="clear" w:color="auto" w:fill="auto"/>
          </w:tcPr>
          <w:p w14:paraId="5224EE62" w14:textId="77777777" w:rsidR="00AC4694" w:rsidRPr="00D2126A" w:rsidRDefault="000E5A86" w:rsidP="00C93C76">
            <w:r>
              <w:t>Chute &lt; 30 x 10</w:t>
            </w:r>
            <w:r>
              <w:rPr>
                <w:vertAlign w:val="superscript"/>
              </w:rPr>
              <w:t>9</w:t>
            </w:r>
            <w:r>
              <w:t>/l</w:t>
            </w:r>
          </w:p>
        </w:tc>
        <w:tc>
          <w:tcPr>
            <w:tcW w:w="2373" w:type="pct"/>
            <w:tcBorders>
              <w:left w:val="nil"/>
              <w:bottom w:val="nil"/>
              <w:right w:val="nil"/>
            </w:tcBorders>
            <w:shd w:val="clear" w:color="auto" w:fill="auto"/>
          </w:tcPr>
          <w:p w14:paraId="6DD9FD1E" w14:textId="77777777" w:rsidR="00AC4694" w:rsidRPr="00D2126A" w:rsidRDefault="000E5A86" w:rsidP="00C93C76">
            <w:r>
              <w:t>Interrompre le traitement par le lénalidomide.</w:t>
            </w:r>
          </w:p>
        </w:tc>
      </w:tr>
      <w:tr w:rsidR="00D5485C" w:rsidRPr="00D2126A" w14:paraId="6480A68D" w14:textId="77777777" w:rsidTr="0060680F">
        <w:trPr>
          <w:cantSplit/>
          <w:trHeight w:val="57"/>
        </w:trPr>
        <w:tc>
          <w:tcPr>
            <w:tcW w:w="2627" w:type="pct"/>
            <w:tcBorders>
              <w:top w:val="nil"/>
              <w:left w:val="nil"/>
              <w:bottom w:val="single" w:sz="4" w:space="0" w:color="auto"/>
              <w:right w:val="nil"/>
            </w:tcBorders>
            <w:shd w:val="clear" w:color="auto" w:fill="auto"/>
          </w:tcPr>
          <w:p w14:paraId="775CB70F" w14:textId="39B50538" w:rsidR="00AC4694" w:rsidRPr="00D2126A" w:rsidRDefault="000E5A86" w:rsidP="00C93C76">
            <w:r>
              <w:t>Retour ≥ 50 x 10</w:t>
            </w:r>
            <w:r>
              <w:rPr>
                <w:vertAlign w:val="superscript"/>
              </w:rPr>
              <w:t>9</w:t>
            </w:r>
            <w:r>
              <w:t>/l</w:t>
            </w:r>
          </w:p>
        </w:tc>
        <w:tc>
          <w:tcPr>
            <w:tcW w:w="2373" w:type="pct"/>
            <w:tcBorders>
              <w:top w:val="nil"/>
              <w:left w:val="nil"/>
              <w:bottom w:val="single" w:sz="4" w:space="0" w:color="auto"/>
              <w:right w:val="nil"/>
            </w:tcBorders>
            <w:shd w:val="clear" w:color="auto" w:fill="auto"/>
          </w:tcPr>
          <w:p w14:paraId="3AE7AA65" w14:textId="555B745B" w:rsidR="00AC4694" w:rsidRPr="00D2126A" w:rsidRDefault="000E5A86" w:rsidP="00C93C76">
            <w:r>
              <w:t>Reprendre le lénalidomide au palier de dose -1 en une prise par jour.</w:t>
            </w:r>
          </w:p>
        </w:tc>
      </w:tr>
      <w:tr w:rsidR="00D5485C" w:rsidRPr="00D2126A" w14:paraId="2C3EF35F" w14:textId="77777777" w:rsidTr="0060680F">
        <w:trPr>
          <w:cantSplit/>
          <w:trHeight w:val="57"/>
        </w:trPr>
        <w:tc>
          <w:tcPr>
            <w:tcW w:w="2627" w:type="pct"/>
            <w:tcBorders>
              <w:left w:val="nil"/>
              <w:bottom w:val="nil"/>
              <w:right w:val="nil"/>
            </w:tcBorders>
            <w:shd w:val="clear" w:color="auto" w:fill="auto"/>
          </w:tcPr>
          <w:p w14:paraId="36826277" w14:textId="77777777" w:rsidR="00AC4694" w:rsidRPr="00D2126A" w:rsidRDefault="000E5A86" w:rsidP="00C93C76">
            <w:pPr>
              <w:keepNext/>
              <w:rPr>
                <w:color w:val="000000"/>
              </w:rPr>
            </w:pPr>
            <w:r>
              <w:rPr>
                <w:color w:val="000000"/>
              </w:rPr>
              <w:t>Pour toute nouvelle rechute &lt;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430830A5" w14:textId="77777777" w:rsidR="00AC4694" w:rsidRPr="00D2126A" w:rsidRDefault="000E5A86" w:rsidP="00C93C76">
            <w:pPr>
              <w:rPr>
                <w:color w:val="000000"/>
              </w:rPr>
            </w:pPr>
            <w:r>
              <w:rPr>
                <w:color w:val="000000"/>
              </w:rPr>
              <w:t>Interrompre le traitement par le lénalidomide.</w:t>
            </w:r>
          </w:p>
        </w:tc>
      </w:tr>
      <w:tr w:rsidR="00D5485C" w:rsidRPr="00D2126A" w14:paraId="19EBF21A" w14:textId="77777777" w:rsidTr="0060680F">
        <w:trPr>
          <w:cantSplit/>
          <w:trHeight w:val="57"/>
        </w:trPr>
        <w:tc>
          <w:tcPr>
            <w:tcW w:w="2627" w:type="pct"/>
            <w:tcBorders>
              <w:top w:val="nil"/>
              <w:left w:val="nil"/>
              <w:right w:val="nil"/>
            </w:tcBorders>
            <w:shd w:val="clear" w:color="auto" w:fill="auto"/>
          </w:tcPr>
          <w:p w14:paraId="060B5DA8" w14:textId="77777777" w:rsidR="00AC4694" w:rsidRPr="00D2126A" w:rsidRDefault="000E5A86" w:rsidP="00B12D5B">
            <w:r>
              <w:t>Retour ≥ 50 x 10</w:t>
            </w:r>
            <w:r>
              <w:rPr>
                <w:vertAlign w:val="superscript"/>
              </w:rPr>
              <w:t>9</w:t>
            </w:r>
            <w:r>
              <w:t>/l</w:t>
            </w:r>
          </w:p>
        </w:tc>
        <w:tc>
          <w:tcPr>
            <w:tcW w:w="2373" w:type="pct"/>
            <w:tcBorders>
              <w:top w:val="nil"/>
              <w:left w:val="nil"/>
              <w:right w:val="nil"/>
            </w:tcBorders>
            <w:shd w:val="clear" w:color="auto" w:fill="auto"/>
          </w:tcPr>
          <w:p w14:paraId="7D1496D9" w14:textId="77777777" w:rsidR="00AC4694" w:rsidRPr="00D2126A" w:rsidRDefault="000E5A86" w:rsidP="00967610">
            <w:r>
              <w:t>Reprendre le lénalidomide à la dose immédiatement inférieure en une prise par jour.</w:t>
            </w:r>
          </w:p>
        </w:tc>
      </w:tr>
    </w:tbl>
    <w:p w14:paraId="0BB39F3F" w14:textId="77777777" w:rsidR="00AC4694" w:rsidRPr="00D2126A" w:rsidRDefault="00AC4694" w:rsidP="00C93C76"/>
    <w:p w14:paraId="04F0F886" w14:textId="77777777" w:rsidR="00AC4694" w:rsidRPr="00D2126A" w:rsidRDefault="000E5A86" w:rsidP="00C93C76">
      <w:pPr>
        <w:pStyle w:val="Date"/>
        <w:keepNext/>
        <w:numPr>
          <w:ilvl w:val="0"/>
          <w:numId w:val="54"/>
        </w:numPr>
        <w:ind w:left="567" w:hanging="567"/>
        <w:rPr>
          <w:i/>
        </w:rPr>
      </w:pPr>
      <w:r>
        <w:rPr>
          <w:i/>
        </w:rPr>
        <w:t xml:space="preserve">Numération des polynucléaires neutrophiles </w:t>
      </w:r>
      <w:r>
        <w:rPr>
          <w:i/>
        </w:rPr>
        <w:noBreakHyphen/>
        <w:t xml:space="preserve"> neutropénie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248D26DA" w14:textId="77777777" w:rsidTr="0060680F">
        <w:trPr>
          <w:cantSplit/>
          <w:trHeight w:val="57"/>
          <w:tblHeader/>
        </w:trPr>
        <w:tc>
          <w:tcPr>
            <w:tcW w:w="2627" w:type="pct"/>
            <w:tcBorders>
              <w:left w:val="nil"/>
              <w:bottom w:val="single" w:sz="4" w:space="0" w:color="auto"/>
              <w:right w:val="nil"/>
            </w:tcBorders>
            <w:shd w:val="clear" w:color="auto" w:fill="auto"/>
          </w:tcPr>
          <w:p w14:paraId="2B7AEED8" w14:textId="77777777" w:rsidR="00AC4694" w:rsidRPr="00D2126A" w:rsidRDefault="000E5A86" w:rsidP="00C93C76">
            <w:pPr>
              <w:keepNext/>
              <w:rPr>
                <w:color w:val="000000"/>
              </w:rPr>
            </w:pPr>
            <w:r>
              <w:rPr>
                <w:color w:val="000000"/>
              </w:rPr>
              <w:t>Numération des PNN</w:t>
            </w:r>
          </w:p>
        </w:tc>
        <w:tc>
          <w:tcPr>
            <w:tcW w:w="2373" w:type="pct"/>
            <w:tcBorders>
              <w:left w:val="nil"/>
              <w:bottom w:val="single" w:sz="4" w:space="0" w:color="auto"/>
              <w:right w:val="nil"/>
            </w:tcBorders>
            <w:shd w:val="clear" w:color="auto" w:fill="auto"/>
          </w:tcPr>
          <w:p w14:paraId="262996DB" w14:textId="77777777" w:rsidR="00AC4694" w:rsidRPr="00D2126A" w:rsidRDefault="000E5A86" w:rsidP="00C93C76">
            <w:pPr>
              <w:keepNext/>
              <w:rPr>
                <w:color w:val="000000"/>
              </w:rPr>
            </w:pPr>
            <w:r>
              <w:rPr>
                <w:color w:val="000000"/>
              </w:rPr>
              <w:t>Action recommandée</w:t>
            </w:r>
            <w:r>
              <w:rPr>
                <w:color w:val="000000"/>
                <w:vertAlign w:val="superscript"/>
              </w:rPr>
              <w:t>a</w:t>
            </w:r>
          </w:p>
        </w:tc>
      </w:tr>
      <w:tr w:rsidR="00D5485C" w:rsidRPr="00D2126A" w14:paraId="4C3613B3" w14:textId="77777777" w:rsidTr="0060680F">
        <w:trPr>
          <w:cantSplit/>
          <w:trHeight w:val="57"/>
        </w:trPr>
        <w:tc>
          <w:tcPr>
            <w:tcW w:w="2627" w:type="pct"/>
            <w:tcBorders>
              <w:left w:val="nil"/>
              <w:bottom w:val="nil"/>
              <w:right w:val="nil"/>
            </w:tcBorders>
            <w:shd w:val="clear" w:color="auto" w:fill="auto"/>
          </w:tcPr>
          <w:p w14:paraId="5618441F" w14:textId="77777777" w:rsidR="00AC4694" w:rsidRPr="00D2126A" w:rsidRDefault="000E5A86" w:rsidP="00C93C76">
            <w:pPr>
              <w:rPr>
                <w:color w:val="000000"/>
              </w:rPr>
            </w:pPr>
            <w:r>
              <w:rPr>
                <w:color w:val="000000"/>
              </w:rPr>
              <w:t>Première chute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7BFA4BAD" w14:textId="77777777" w:rsidR="00AC4694" w:rsidRPr="00D2126A" w:rsidRDefault="000E5A86" w:rsidP="00C93C76">
            <w:pPr>
              <w:keepNext/>
              <w:rPr>
                <w:color w:val="000000"/>
              </w:rPr>
            </w:pPr>
            <w:r>
              <w:rPr>
                <w:color w:val="000000"/>
              </w:rPr>
              <w:t>Interrompre le traitement par le lénalidomide.</w:t>
            </w:r>
          </w:p>
        </w:tc>
      </w:tr>
      <w:tr w:rsidR="00D5485C" w:rsidRPr="00D2126A" w14:paraId="3D0841BD" w14:textId="77777777" w:rsidTr="0060680F">
        <w:trPr>
          <w:cantSplit/>
          <w:trHeight w:val="57"/>
        </w:trPr>
        <w:tc>
          <w:tcPr>
            <w:tcW w:w="2627" w:type="pct"/>
            <w:tcBorders>
              <w:top w:val="nil"/>
              <w:left w:val="nil"/>
              <w:right w:val="nil"/>
            </w:tcBorders>
            <w:shd w:val="clear" w:color="auto" w:fill="auto"/>
          </w:tcPr>
          <w:p w14:paraId="519E8A93" w14:textId="77777777" w:rsidR="00AC4694" w:rsidRPr="00D2126A" w:rsidRDefault="000E5A86" w:rsidP="005265C9">
            <w:r>
              <w:t>Retour ≥ 1 x 10</w:t>
            </w:r>
            <w:r>
              <w:rPr>
                <w:vertAlign w:val="superscript"/>
              </w:rPr>
              <w:t>9</w:t>
            </w:r>
            <w:r>
              <w:t>/l, la neutropénie étant la seule toxicité observée</w:t>
            </w:r>
          </w:p>
        </w:tc>
        <w:tc>
          <w:tcPr>
            <w:tcW w:w="2373" w:type="pct"/>
            <w:tcBorders>
              <w:top w:val="nil"/>
              <w:left w:val="nil"/>
              <w:right w:val="nil"/>
            </w:tcBorders>
            <w:shd w:val="clear" w:color="auto" w:fill="auto"/>
          </w:tcPr>
          <w:p w14:paraId="4A370D5B" w14:textId="77777777" w:rsidR="00AC4694" w:rsidRPr="00D2126A" w:rsidRDefault="000E5A86" w:rsidP="00C93C76">
            <w:pPr>
              <w:keepNext/>
              <w:rPr>
                <w:color w:val="000000"/>
              </w:rPr>
            </w:pPr>
            <w:r>
              <w:rPr>
                <w:color w:val="000000"/>
              </w:rPr>
              <w:t>Reprendre le lénalidomide à la dose initiale en une prise par jour.</w:t>
            </w:r>
          </w:p>
        </w:tc>
      </w:tr>
      <w:tr w:rsidR="00D5485C" w:rsidRPr="00D2126A" w14:paraId="2F1D7922" w14:textId="77777777" w:rsidTr="0060680F">
        <w:trPr>
          <w:cantSplit/>
          <w:trHeight w:val="57"/>
        </w:trPr>
        <w:tc>
          <w:tcPr>
            <w:tcW w:w="2627" w:type="pct"/>
            <w:tcBorders>
              <w:left w:val="nil"/>
              <w:bottom w:val="single" w:sz="4" w:space="0" w:color="auto"/>
              <w:right w:val="nil"/>
            </w:tcBorders>
            <w:shd w:val="clear" w:color="auto" w:fill="auto"/>
          </w:tcPr>
          <w:p w14:paraId="00CEB5CC" w14:textId="77777777" w:rsidR="00AC4694" w:rsidRPr="00D2126A" w:rsidRDefault="000E5A86" w:rsidP="00C93C76">
            <w:pPr>
              <w:rPr>
                <w:color w:val="000000"/>
              </w:rPr>
            </w:pPr>
            <w:r>
              <w:rPr>
                <w:color w:val="000000"/>
              </w:rPr>
              <w:t>Retour ≥ 0,5 x 10</w:t>
            </w:r>
            <w:r>
              <w:rPr>
                <w:color w:val="000000"/>
                <w:vertAlign w:val="superscript"/>
              </w:rPr>
              <w:t>9</w:t>
            </w:r>
            <w:r>
              <w:rPr>
                <w:color w:val="000000"/>
              </w:rPr>
              <w:t>/l, en cas de toxicités hématologiques dépendantes de la dose autres que la neutropénie</w:t>
            </w:r>
          </w:p>
        </w:tc>
        <w:tc>
          <w:tcPr>
            <w:tcW w:w="2373" w:type="pct"/>
            <w:tcBorders>
              <w:left w:val="nil"/>
              <w:bottom w:val="single" w:sz="4" w:space="0" w:color="auto"/>
              <w:right w:val="nil"/>
            </w:tcBorders>
            <w:shd w:val="clear" w:color="auto" w:fill="auto"/>
          </w:tcPr>
          <w:p w14:paraId="15210730" w14:textId="67A911D3" w:rsidR="00AC4694" w:rsidRPr="00D2126A" w:rsidRDefault="000E5A86" w:rsidP="00C93C76">
            <w:pPr>
              <w:keepNext/>
              <w:rPr>
                <w:color w:val="000000"/>
              </w:rPr>
            </w:pPr>
            <w:r>
              <w:rPr>
                <w:color w:val="000000"/>
              </w:rPr>
              <w:t>Reprendre le lénalidomide au palier de dose -1 en une prise par jour.</w:t>
            </w:r>
          </w:p>
        </w:tc>
      </w:tr>
      <w:tr w:rsidR="00D5485C" w:rsidRPr="00D2126A" w14:paraId="2BF04254" w14:textId="77777777" w:rsidTr="0060680F">
        <w:trPr>
          <w:cantSplit/>
          <w:trHeight w:val="57"/>
        </w:trPr>
        <w:tc>
          <w:tcPr>
            <w:tcW w:w="2627" w:type="pct"/>
            <w:tcBorders>
              <w:left w:val="nil"/>
              <w:bottom w:val="nil"/>
              <w:right w:val="nil"/>
            </w:tcBorders>
            <w:shd w:val="clear" w:color="auto" w:fill="auto"/>
          </w:tcPr>
          <w:p w14:paraId="18BCD147" w14:textId="77777777" w:rsidR="00AC4694" w:rsidRPr="00D2126A" w:rsidRDefault="000E5A86" w:rsidP="00C93C76">
            <w:pPr>
              <w:keepNext/>
              <w:rPr>
                <w:color w:val="000000"/>
              </w:rPr>
            </w:pPr>
            <w:r>
              <w:rPr>
                <w:color w:val="000000"/>
              </w:rPr>
              <w:t>Pour toute nouvelle rechute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1EB54A4E" w14:textId="77777777" w:rsidR="00AC4694" w:rsidRPr="00D2126A" w:rsidRDefault="000E5A86" w:rsidP="00C93C76">
            <w:pPr>
              <w:rPr>
                <w:color w:val="000000"/>
              </w:rPr>
            </w:pPr>
            <w:r>
              <w:rPr>
                <w:color w:val="000000"/>
              </w:rPr>
              <w:t>Interrompre le traitement par le lénalidomide.</w:t>
            </w:r>
          </w:p>
        </w:tc>
      </w:tr>
      <w:tr w:rsidR="00D5485C" w:rsidRPr="00D2126A" w14:paraId="597C8745" w14:textId="77777777" w:rsidTr="0060680F">
        <w:trPr>
          <w:cantSplit/>
          <w:trHeight w:val="57"/>
        </w:trPr>
        <w:tc>
          <w:tcPr>
            <w:tcW w:w="2627" w:type="pct"/>
            <w:tcBorders>
              <w:top w:val="nil"/>
              <w:left w:val="nil"/>
              <w:right w:val="nil"/>
            </w:tcBorders>
            <w:shd w:val="clear" w:color="auto" w:fill="auto"/>
          </w:tcPr>
          <w:p w14:paraId="3B2D6440" w14:textId="77777777" w:rsidR="00AC4694" w:rsidRPr="00D2126A" w:rsidRDefault="000E5A86" w:rsidP="00B12D5B">
            <w:r>
              <w:t>Retour ≥ 0,5 x 10</w:t>
            </w:r>
            <w:r>
              <w:rPr>
                <w:vertAlign w:val="superscript"/>
              </w:rPr>
              <w:t>9</w:t>
            </w:r>
            <w:r>
              <w:t>/l</w:t>
            </w:r>
          </w:p>
        </w:tc>
        <w:tc>
          <w:tcPr>
            <w:tcW w:w="2373" w:type="pct"/>
            <w:tcBorders>
              <w:top w:val="nil"/>
              <w:left w:val="nil"/>
              <w:right w:val="nil"/>
            </w:tcBorders>
            <w:shd w:val="clear" w:color="auto" w:fill="auto"/>
          </w:tcPr>
          <w:p w14:paraId="576BB145" w14:textId="7618FFC7" w:rsidR="00AC4694" w:rsidRPr="00D2126A" w:rsidRDefault="000E5A86" w:rsidP="005265C9">
            <w:r>
              <w:t>Reprendre le lénalidomide à la dose immédiatement inférieure en une prise par jour.</w:t>
            </w:r>
          </w:p>
        </w:tc>
      </w:tr>
    </w:tbl>
    <w:p w14:paraId="195E4ECA" w14:textId="77777777" w:rsidR="00AC4694" w:rsidRPr="00D2126A" w:rsidRDefault="000E5A86" w:rsidP="00C93C76">
      <w:pPr>
        <w:keepNext/>
        <w:rPr>
          <w:sz w:val="16"/>
        </w:rPr>
      </w:pPr>
      <w:r>
        <w:rPr>
          <w:sz w:val="16"/>
          <w:vertAlign w:val="superscript"/>
        </w:rPr>
        <w:t>a</w:t>
      </w:r>
      <w:r>
        <w:rPr>
          <w:sz w:val="16"/>
        </w:rPr>
        <w:t xml:space="preserve"> À l’appréciation du médecin, si la neutropénie est la seule toxicité quelque soit le palier de dose, ajouter un facteur de croissance granulocytaire (G</w:t>
      </w:r>
      <w:r>
        <w:rPr>
          <w:sz w:val="16"/>
        </w:rPr>
        <w:noBreakHyphen/>
        <w:t>CSF) et maintenir la dose de lénalidomide.</w:t>
      </w:r>
    </w:p>
    <w:p w14:paraId="5201645D" w14:textId="77777777" w:rsidR="00AC4694" w:rsidRPr="00D2126A" w:rsidRDefault="00AC4694" w:rsidP="00C93C76">
      <w:pPr>
        <w:autoSpaceDE w:val="0"/>
        <w:autoSpaceDN w:val="0"/>
        <w:adjustRightInd w:val="0"/>
        <w:ind w:right="-20"/>
        <w:rPr>
          <w:bCs/>
          <w:iCs/>
          <w:u w:val="single"/>
        </w:rPr>
      </w:pPr>
    </w:p>
    <w:p w14:paraId="1A741A7B" w14:textId="77777777" w:rsidR="0086792D" w:rsidRPr="00D2126A" w:rsidRDefault="000E5A86" w:rsidP="00C93C76">
      <w:pPr>
        <w:keepNext/>
        <w:numPr>
          <w:ilvl w:val="0"/>
          <w:numId w:val="36"/>
        </w:numPr>
        <w:ind w:left="567" w:hanging="567"/>
        <w:rPr>
          <w:bCs/>
          <w:iCs/>
          <w:w w:val="103"/>
          <w:u w:val="single"/>
        </w:rPr>
      </w:pPr>
      <w:r>
        <w:rPr>
          <w:u w:val="single"/>
        </w:rPr>
        <w:t>Lénalidomide en association avec le melphalan et la prednisone suivis d’un traitement d’entretien par le lénalidomide chez les patients non éligibles à une greffe</w:t>
      </w:r>
    </w:p>
    <w:p w14:paraId="7B29E6AC" w14:textId="77777777" w:rsidR="00FB5483" w:rsidRPr="00D2126A" w:rsidRDefault="00FB5483" w:rsidP="00C93C76">
      <w:pPr>
        <w:keepNext/>
        <w:ind w:left="40"/>
        <w:rPr>
          <w:bCs/>
          <w:color w:val="000000"/>
        </w:rPr>
      </w:pPr>
    </w:p>
    <w:p w14:paraId="73289A3A" w14:textId="375962A3" w:rsidR="0086792D" w:rsidRPr="00D2126A" w:rsidRDefault="000E5A86" w:rsidP="00C93C76">
      <w:pPr>
        <w:ind w:left="40"/>
        <w:rPr>
          <w:bCs/>
          <w:color w:val="000000"/>
        </w:rPr>
      </w:pPr>
      <w:r>
        <w:rPr>
          <w:color w:val="000000"/>
        </w:rPr>
        <w:t>Le traitement par le lénalidomide ne doit pas être initié si la numération des PNN est &lt; 1,5 x 10</w:t>
      </w:r>
      <w:r>
        <w:rPr>
          <w:color w:val="000000"/>
          <w:vertAlign w:val="superscript"/>
        </w:rPr>
        <w:t>9</w:t>
      </w:r>
      <w:r>
        <w:rPr>
          <w:color w:val="000000"/>
        </w:rPr>
        <w:t>/l et/ou si la numération plaquettaire est &lt; 75 x 10</w:t>
      </w:r>
      <w:r>
        <w:rPr>
          <w:color w:val="000000"/>
          <w:vertAlign w:val="superscript"/>
        </w:rPr>
        <w:t>9</w:t>
      </w:r>
      <w:r>
        <w:rPr>
          <w:color w:val="000000"/>
        </w:rPr>
        <w:t>/l.</w:t>
      </w:r>
    </w:p>
    <w:p w14:paraId="77B19017" w14:textId="77777777" w:rsidR="0086792D" w:rsidRPr="00D2126A" w:rsidRDefault="0086792D" w:rsidP="00C93C76">
      <w:pPr>
        <w:pStyle w:val="Date"/>
      </w:pPr>
    </w:p>
    <w:p w14:paraId="71F1A748" w14:textId="77777777" w:rsidR="0086792D" w:rsidRPr="00D2126A" w:rsidRDefault="000E5A86" w:rsidP="00C93C76">
      <w:pPr>
        <w:keepNext/>
        <w:rPr>
          <w:i/>
          <w:color w:val="000000"/>
        </w:rPr>
      </w:pPr>
      <w:r>
        <w:rPr>
          <w:i/>
          <w:color w:val="000000"/>
        </w:rPr>
        <w:t>Posologie recommandée</w:t>
      </w:r>
    </w:p>
    <w:p w14:paraId="00DCDB33" w14:textId="6335673F" w:rsidR="00036363" w:rsidRPr="00D2126A" w:rsidRDefault="000E5A86" w:rsidP="0064116A">
      <w:r>
        <w:t>Les doses initiales recommandées sont de 10 mg de lénalidomide par voie orale en une prise par jour les jours 1 à 21 de chaque cycle de 28 jours pendant 9 cycles au maximum, de 0,18 mg/kg de melphalan par voie orale les jours 1 à 4 de chaque cycle de 28 jours et de 2 mg/kg de prednisone par voie orale les jours 1 à 4 de chaque cycle de 28 jours. Les patients ayant terminé 9 cycles ou qui ne peuvent pas terminer le traitement en association en raison d’une toxicité sont traités par le lénalidomide en monothérapie comme suit : 10 mg par voie orale en une prise par jour les jours 1 à 21 de chaque cycle de 28 jours jusqu’à la progression de la maladie.</w:t>
      </w:r>
    </w:p>
    <w:p w14:paraId="70DF31E5" w14:textId="317F6F48" w:rsidR="0086792D" w:rsidRPr="00D2126A" w:rsidRDefault="0086792D" w:rsidP="00C93C76">
      <w:pPr>
        <w:pStyle w:val="Date"/>
      </w:pPr>
    </w:p>
    <w:p w14:paraId="3D8A0059" w14:textId="77777777" w:rsidR="0086792D" w:rsidRPr="00D2126A" w:rsidRDefault="000E5A86" w:rsidP="00C93C76">
      <w:pPr>
        <w:pStyle w:val="Date"/>
        <w:keepNext/>
        <w:numPr>
          <w:ilvl w:val="0"/>
          <w:numId w:val="36"/>
        </w:numPr>
        <w:ind w:left="567" w:hanging="567"/>
        <w:rPr>
          <w:i/>
        </w:rPr>
      </w:pPr>
      <w:r>
        <w:rPr>
          <w:i/>
        </w:rPr>
        <w:t>Paliers de réduction de la posologie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282"/>
        <w:gridCol w:w="2714"/>
        <w:gridCol w:w="2145"/>
        <w:gridCol w:w="2145"/>
      </w:tblGrid>
      <w:tr w:rsidR="00D5485C" w:rsidRPr="00D2126A" w14:paraId="13D1F9B3" w14:textId="77777777" w:rsidTr="0060680F">
        <w:trPr>
          <w:cantSplit/>
          <w:trHeight w:val="57"/>
          <w:jc w:val="center"/>
        </w:trPr>
        <w:tc>
          <w:tcPr>
            <w:tcW w:w="1228" w:type="pct"/>
            <w:shd w:val="clear" w:color="auto" w:fill="auto"/>
          </w:tcPr>
          <w:p w14:paraId="723C2E5F" w14:textId="77777777" w:rsidR="0086792D" w:rsidRPr="00D2126A" w:rsidRDefault="0086792D" w:rsidP="00C93C76">
            <w:pPr>
              <w:keepNext/>
              <w:jc w:val="center"/>
            </w:pPr>
          </w:p>
        </w:tc>
        <w:tc>
          <w:tcPr>
            <w:tcW w:w="1461" w:type="pct"/>
            <w:shd w:val="clear" w:color="auto" w:fill="auto"/>
          </w:tcPr>
          <w:p w14:paraId="09CBDCC4" w14:textId="77777777" w:rsidR="0086792D" w:rsidRPr="00D2126A" w:rsidRDefault="000E5A86" w:rsidP="00C93C76">
            <w:pPr>
              <w:keepNext/>
              <w:jc w:val="center"/>
            </w:pPr>
            <w:r>
              <w:t>Lénalidomide</w:t>
            </w:r>
          </w:p>
        </w:tc>
        <w:tc>
          <w:tcPr>
            <w:tcW w:w="1155" w:type="pct"/>
            <w:shd w:val="clear" w:color="auto" w:fill="auto"/>
          </w:tcPr>
          <w:p w14:paraId="6CE0EE31" w14:textId="77777777" w:rsidR="0086792D" w:rsidRPr="00D2126A" w:rsidRDefault="000E5A86" w:rsidP="00C93C76">
            <w:pPr>
              <w:keepNext/>
              <w:jc w:val="center"/>
            </w:pPr>
            <w:r>
              <w:t>Melphalan</w:t>
            </w:r>
          </w:p>
        </w:tc>
        <w:tc>
          <w:tcPr>
            <w:tcW w:w="1155" w:type="pct"/>
            <w:shd w:val="clear" w:color="auto" w:fill="auto"/>
          </w:tcPr>
          <w:p w14:paraId="0C1EC757" w14:textId="77777777" w:rsidR="0086792D" w:rsidRPr="00D2126A" w:rsidRDefault="000E5A86" w:rsidP="00C93C76">
            <w:pPr>
              <w:keepNext/>
              <w:jc w:val="center"/>
            </w:pPr>
            <w:r>
              <w:t>Prednisone</w:t>
            </w:r>
          </w:p>
        </w:tc>
      </w:tr>
      <w:tr w:rsidR="00D5485C" w:rsidRPr="00D2126A" w14:paraId="6997184C" w14:textId="77777777" w:rsidTr="0060680F">
        <w:trPr>
          <w:cantSplit/>
          <w:trHeight w:val="57"/>
          <w:jc w:val="center"/>
        </w:trPr>
        <w:tc>
          <w:tcPr>
            <w:tcW w:w="1228" w:type="pct"/>
            <w:shd w:val="clear" w:color="auto" w:fill="auto"/>
          </w:tcPr>
          <w:p w14:paraId="7964F821" w14:textId="77777777" w:rsidR="0086792D" w:rsidRPr="00D2126A" w:rsidRDefault="000E5A86" w:rsidP="00C93C76">
            <w:pPr>
              <w:keepNext/>
              <w:jc w:val="center"/>
            </w:pPr>
            <w:r>
              <w:t>Dose initiale</w:t>
            </w:r>
          </w:p>
        </w:tc>
        <w:tc>
          <w:tcPr>
            <w:tcW w:w="1461" w:type="pct"/>
            <w:shd w:val="clear" w:color="auto" w:fill="auto"/>
          </w:tcPr>
          <w:p w14:paraId="318FFB5B" w14:textId="77777777" w:rsidR="0086792D" w:rsidRPr="00D2126A" w:rsidRDefault="000E5A86" w:rsidP="00C93C76">
            <w:pPr>
              <w:keepNext/>
              <w:jc w:val="center"/>
            </w:pPr>
            <w:r>
              <w:t>10 mgª</w:t>
            </w:r>
          </w:p>
        </w:tc>
        <w:tc>
          <w:tcPr>
            <w:tcW w:w="1155" w:type="pct"/>
            <w:shd w:val="clear" w:color="auto" w:fill="auto"/>
          </w:tcPr>
          <w:p w14:paraId="7BAAA527" w14:textId="77777777" w:rsidR="0086792D" w:rsidRPr="00D2126A" w:rsidRDefault="000E5A86" w:rsidP="00C93C76">
            <w:pPr>
              <w:keepNext/>
              <w:jc w:val="center"/>
            </w:pPr>
            <w:r>
              <w:t>0,18 mg/kg</w:t>
            </w:r>
          </w:p>
        </w:tc>
        <w:tc>
          <w:tcPr>
            <w:tcW w:w="1155" w:type="pct"/>
            <w:shd w:val="clear" w:color="auto" w:fill="auto"/>
          </w:tcPr>
          <w:p w14:paraId="5C8EB3DD" w14:textId="77777777" w:rsidR="0086792D" w:rsidRPr="00D2126A" w:rsidRDefault="000E5A86" w:rsidP="00C93C76">
            <w:pPr>
              <w:keepNext/>
              <w:jc w:val="center"/>
            </w:pPr>
            <w:r>
              <w:t>2 mg/kg</w:t>
            </w:r>
          </w:p>
        </w:tc>
      </w:tr>
      <w:tr w:rsidR="00D5485C" w:rsidRPr="00D2126A" w14:paraId="0F797646" w14:textId="77777777" w:rsidTr="0060680F">
        <w:trPr>
          <w:cantSplit/>
          <w:trHeight w:val="57"/>
          <w:jc w:val="center"/>
        </w:trPr>
        <w:tc>
          <w:tcPr>
            <w:tcW w:w="1228" w:type="pct"/>
            <w:shd w:val="clear" w:color="auto" w:fill="auto"/>
          </w:tcPr>
          <w:p w14:paraId="648C14D7" w14:textId="23BB3D3B" w:rsidR="0086792D" w:rsidRPr="00D2126A" w:rsidRDefault="000E5A86" w:rsidP="00C93C76">
            <w:pPr>
              <w:keepNext/>
              <w:jc w:val="center"/>
            </w:pPr>
            <w:r>
              <w:t>Palier de dose -1</w:t>
            </w:r>
          </w:p>
        </w:tc>
        <w:tc>
          <w:tcPr>
            <w:tcW w:w="1461" w:type="pct"/>
            <w:shd w:val="clear" w:color="auto" w:fill="auto"/>
          </w:tcPr>
          <w:p w14:paraId="6D087842" w14:textId="77777777" w:rsidR="0086792D" w:rsidRPr="00D2126A" w:rsidRDefault="000E5A86" w:rsidP="00C93C76">
            <w:pPr>
              <w:keepNext/>
              <w:jc w:val="center"/>
            </w:pPr>
            <w:r>
              <w:t>7,5 mg</w:t>
            </w:r>
          </w:p>
        </w:tc>
        <w:tc>
          <w:tcPr>
            <w:tcW w:w="1155" w:type="pct"/>
            <w:shd w:val="clear" w:color="auto" w:fill="auto"/>
          </w:tcPr>
          <w:p w14:paraId="78FA7B5A" w14:textId="77777777" w:rsidR="0086792D" w:rsidRPr="00D2126A" w:rsidRDefault="000E5A86" w:rsidP="00C93C76">
            <w:pPr>
              <w:keepNext/>
              <w:jc w:val="center"/>
            </w:pPr>
            <w:r>
              <w:t>0,14 mg/kg</w:t>
            </w:r>
          </w:p>
        </w:tc>
        <w:tc>
          <w:tcPr>
            <w:tcW w:w="1155" w:type="pct"/>
            <w:shd w:val="clear" w:color="auto" w:fill="auto"/>
          </w:tcPr>
          <w:p w14:paraId="3C5B23CE" w14:textId="77777777" w:rsidR="0086792D" w:rsidRPr="00D2126A" w:rsidRDefault="000E5A86" w:rsidP="00C93C76">
            <w:pPr>
              <w:keepNext/>
              <w:jc w:val="center"/>
            </w:pPr>
            <w:r>
              <w:t>1 mg/kg</w:t>
            </w:r>
          </w:p>
        </w:tc>
      </w:tr>
      <w:tr w:rsidR="00D5485C" w:rsidRPr="00D2126A" w14:paraId="168863EF" w14:textId="77777777" w:rsidTr="0060680F">
        <w:trPr>
          <w:cantSplit/>
          <w:trHeight w:val="57"/>
          <w:jc w:val="center"/>
        </w:trPr>
        <w:tc>
          <w:tcPr>
            <w:tcW w:w="1228" w:type="pct"/>
            <w:shd w:val="clear" w:color="auto" w:fill="auto"/>
          </w:tcPr>
          <w:p w14:paraId="41BB0624" w14:textId="7505DB39" w:rsidR="0086792D" w:rsidRPr="00D2126A" w:rsidRDefault="000E5A86" w:rsidP="00996A85">
            <w:pPr>
              <w:keepNext/>
              <w:jc w:val="center"/>
            </w:pPr>
            <w:r>
              <w:t>Palier de dose -2</w:t>
            </w:r>
          </w:p>
        </w:tc>
        <w:tc>
          <w:tcPr>
            <w:tcW w:w="1461" w:type="pct"/>
            <w:shd w:val="clear" w:color="auto" w:fill="auto"/>
          </w:tcPr>
          <w:p w14:paraId="3EE75B16" w14:textId="77777777" w:rsidR="0086792D" w:rsidRPr="00D2126A" w:rsidRDefault="000E5A86" w:rsidP="00C93C76">
            <w:pPr>
              <w:keepNext/>
              <w:jc w:val="center"/>
            </w:pPr>
            <w:r>
              <w:t>5 mg</w:t>
            </w:r>
          </w:p>
        </w:tc>
        <w:tc>
          <w:tcPr>
            <w:tcW w:w="1155" w:type="pct"/>
            <w:shd w:val="clear" w:color="auto" w:fill="auto"/>
          </w:tcPr>
          <w:p w14:paraId="4C9E23D2" w14:textId="77777777" w:rsidR="0086792D" w:rsidRPr="00D2126A" w:rsidRDefault="000E5A86" w:rsidP="00C93C76">
            <w:pPr>
              <w:keepNext/>
              <w:jc w:val="center"/>
            </w:pPr>
            <w:r>
              <w:t>0,10 mg/kg</w:t>
            </w:r>
          </w:p>
        </w:tc>
        <w:tc>
          <w:tcPr>
            <w:tcW w:w="1155" w:type="pct"/>
            <w:shd w:val="clear" w:color="auto" w:fill="auto"/>
          </w:tcPr>
          <w:p w14:paraId="69D11E68" w14:textId="77777777" w:rsidR="0086792D" w:rsidRPr="00D2126A" w:rsidRDefault="000E5A86" w:rsidP="00C93C76">
            <w:pPr>
              <w:keepNext/>
              <w:jc w:val="center"/>
            </w:pPr>
            <w:r>
              <w:t>0,5 mg/kg</w:t>
            </w:r>
          </w:p>
        </w:tc>
      </w:tr>
      <w:tr w:rsidR="00D5485C" w:rsidRPr="00D2126A" w14:paraId="6DD4C834" w14:textId="77777777" w:rsidTr="0060680F">
        <w:trPr>
          <w:cantSplit/>
          <w:trHeight w:val="57"/>
          <w:jc w:val="center"/>
        </w:trPr>
        <w:tc>
          <w:tcPr>
            <w:tcW w:w="1228" w:type="pct"/>
            <w:shd w:val="clear" w:color="auto" w:fill="auto"/>
          </w:tcPr>
          <w:p w14:paraId="096E8DBC" w14:textId="3BFAE616" w:rsidR="0086792D" w:rsidRPr="00D2126A" w:rsidRDefault="000E5A86" w:rsidP="00C93C76">
            <w:pPr>
              <w:keepNext/>
              <w:jc w:val="center"/>
            </w:pPr>
            <w:r>
              <w:t>Palier de dose -3</w:t>
            </w:r>
          </w:p>
        </w:tc>
        <w:tc>
          <w:tcPr>
            <w:tcW w:w="1461" w:type="pct"/>
            <w:shd w:val="clear" w:color="auto" w:fill="auto"/>
          </w:tcPr>
          <w:p w14:paraId="71402AD4" w14:textId="77777777" w:rsidR="0086792D" w:rsidRPr="00D2126A" w:rsidRDefault="000E5A86" w:rsidP="00C93C76">
            <w:pPr>
              <w:keepNext/>
              <w:jc w:val="center"/>
            </w:pPr>
            <w:r>
              <w:t>2,5 mg</w:t>
            </w:r>
          </w:p>
        </w:tc>
        <w:tc>
          <w:tcPr>
            <w:tcW w:w="1155" w:type="pct"/>
            <w:shd w:val="clear" w:color="auto" w:fill="auto"/>
          </w:tcPr>
          <w:p w14:paraId="45B7F66F" w14:textId="77777777" w:rsidR="0086792D" w:rsidRPr="00D2126A" w:rsidRDefault="000E5A86" w:rsidP="00C93C76">
            <w:pPr>
              <w:keepNext/>
              <w:jc w:val="center"/>
            </w:pPr>
            <w:r>
              <w:t>Sans objet</w:t>
            </w:r>
          </w:p>
        </w:tc>
        <w:tc>
          <w:tcPr>
            <w:tcW w:w="1155" w:type="pct"/>
            <w:shd w:val="clear" w:color="auto" w:fill="auto"/>
          </w:tcPr>
          <w:p w14:paraId="3D75DE0F" w14:textId="77777777" w:rsidR="0086792D" w:rsidRPr="00D2126A" w:rsidRDefault="000E5A86" w:rsidP="00C93C76">
            <w:pPr>
              <w:keepNext/>
              <w:jc w:val="center"/>
            </w:pPr>
            <w:r>
              <w:t>0,25 mg/kg</w:t>
            </w:r>
          </w:p>
        </w:tc>
      </w:tr>
    </w:tbl>
    <w:p w14:paraId="17115C2B" w14:textId="77777777" w:rsidR="0086792D" w:rsidRPr="00D2126A" w:rsidRDefault="000E5A86" w:rsidP="00C93C76">
      <w:pPr>
        <w:rPr>
          <w:color w:val="000000"/>
          <w:sz w:val="16"/>
          <w:szCs w:val="16"/>
          <w:u w:val="single"/>
        </w:rPr>
      </w:pPr>
      <w:r>
        <w:rPr>
          <w:sz w:val="16"/>
        </w:rPr>
        <w:t>ª Si la neutropénie est la seule toxicité quelque soit le palier de dose, ajouter un facteur de croissance granulocytaire (G</w:t>
      </w:r>
      <w:r>
        <w:rPr>
          <w:sz w:val="16"/>
        </w:rPr>
        <w:noBreakHyphen/>
        <w:t>CSF) et maintenir la dose de lénalidomide.</w:t>
      </w:r>
    </w:p>
    <w:p w14:paraId="1009990B" w14:textId="77777777" w:rsidR="0086792D" w:rsidRPr="00D2126A" w:rsidRDefault="0086792D" w:rsidP="00C93C76">
      <w:pPr>
        <w:rPr>
          <w:i/>
          <w:color w:val="000000"/>
          <w:u w:val="single"/>
        </w:rPr>
      </w:pPr>
    </w:p>
    <w:p w14:paraId="5B40F00B" w14:textId="77777777" w:rsidR="0086792D" w:rsidRPr="00D2126A" w:rsidRDefault="000E5A86" w:rsidP="00C93C76">
      <w:pPr>
        <w:pStyle w:val="Date"/>
        <w:keepNext/>
        <w:numPr>
          <w:ilvl w:val="0"/>
          <w:numId w:val="36"/>
        </w:numPr>
        <w:ind w:left="567" w:hanging="567"/>
        <w:rPr>
          <w:i/>
        </w:rPr>
      </w:pPr>
      <w:r>
        <w:rPr>
          <w:i/>
        </w:rPr>
        <w:t>Thrombopénie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57BE0038" w14:textId="77777777" w:rsidTr="0060680F">
        <w:trPr>
          <w:cantSplit/>
          <w:trHeight w:val="57"/>
        </w:trPr>
        <w:tc>
          <w:tcPr>
            <w:tcW w:w="2627" w:type="pct"/>
            <w:tcBorders>
              <w:left w:val="nil"/>
              <w:bottom w:val="single" w:sz="4" w:space="0" w:color="auto"/>
              <w:right w:val="nil"/>
            </w:tcBorders>
            <w:shd w:val="clear" w:color="auto" w:fill="auto"/>
          </w:tcPr>
          <w:p w14:paraId="6545C6E9" w14:textId="77777777" w:rsidR="0086792D" w:rsidRPr="00D2126A" w:rsidRDefault="000E5A86" w:rsidP="00B12D5B">
            <w:pPr>
              <w:keepNext/>
              <w:rPr>
                <w:color w:val="000000"/>
              </w:rPr>
            </w:pPr>
            <w:r>
              <w:rPr>
                <w:color w:val="000000"/>
              </w:rPr>
              <w:t>Numération plaquettaire</w:t>
            </w:r>
          </w:p>
        </w:tc>
        <w:tc>
          <w:tcPr>
            <w:tcW w:w="2373" w:type="pct"/>
            <w:tcBorders>
              <w:left w:val="nil"/>
              <w:bottom w:val="single" w:sz="4" w:space="0" w:color="auto"/>
              <w:right w:val="nil"/>
            </w:tcBorders>
            <w:shd w:val="clear" w:color="auto" w:fill="auto"/>
          </w:tcPr>
          <w:p w14:paraId="40ECCE95" w14:textId="77777777" w:rsidR="0086792D" w:rsidRPr="00D2126A" w:rsidRDefault="000E5A86" w:rsidP="00B12D5B">
            <w:pPr>
              <w:keepNext/>
              <w:rPr>
                <w:color w:val="000000"/>
              </w:rPr>
            </w:pPr>
            <w:r>
              <w:rPr>
                <w:color w:val="000000"/>
              </w:rPr>
              <w:t>Action recommandée</w:t>
            </w:r>
          </w:p>
        </w:tc>
      </w:tr>
      <w:tr w:rsidR="00D5485C" w:rsidRPr="00D2126A" w14:paraId="407D654E" w14:textId="77777777" w:rsidTr="0060680F">
        <w:trPr>
          <w:cantSplit/>
          <w:trHeight w:val="57"/>
        </w:trPr>
        <w:tc>
          <w:tcPr>
            <w:tcW w:w="2627" w:type="pct"/>
            <w:tcBorders>
              <w:left w:val="nil"/>
              <w:bottom w:val="nil"/>
              <w:right w:val="nil"/>
            </w:tcBorders>
            <w:shd w:val="clear" w:color="auto" w:fill="auto"/>
          </w:tcPr>
          <w:p w14:paraId="2F1B593C" w14:textId="77777777" w:rsidR="0086792D" w:rsidRPr="00D2126A" w:rsidRDefault="000E5A86" w:rsidP="00B12D5B">
            <w:pPr>
              <w:keepNext/>
              <w:rPr>
                <w:color w:val="000000"/>
              </w:rPr>
            </w:pPr>
            <w:r>
              <w:rPr>
                <w:color w:val="000000"/>
              </w:rPr>
              <w:t>Première chute &lt; 25 x 10</w:t>
            </w:r>
            <w:r>
              <w:rPr>
                <w:color w:val="000000"/>
                <w:vertAlign w:val="superscript"/>
              </w:rPr>
              <w:t>9</w:t>
            </w:r>
            <w:r>
              <w:rPr>
                <w:color w:val="000000"/>
              </w:rPr>
              <w:t>/l</w:t>
            </w:r>
          </w:p>
        </w:tc>
        <w:tc>
          <w:tcPr>
            <w:tcW w:w="2373" w:type="pct"/>
            <w:tcBorders>
              <w:left w:val="nil"/>
              <w:bottom w:val="nil"/>
              <w:right w:val="nil"/>
            </w:tcBorders>
            <w:shd w:val="clear" w:color="auto" w:fill="auto"/>
          </w:tcPr>
          <w:p w14:paraId="473B140F" w14:textId="77777777" w:rsidR="0086792D" w:rsidRPr="00D2126A" w:rsidRDefault="000E5A86" w:rsidP="00B12D5B">
            <w:pPr>
              <w:keepNext/>
              <w:rPr>
                <w:color w:val="000000"/>
              </w:rPr>
            </w:pPr>
            <w:r>
              <w:rPr>
                <w:color w:val="000000"/>
              </w:rPr>
              <w:t>Interrompre le traitement par le lénalidomide.</w:t>
            </w:r>
          </w:p>
        </w:tc>
      </w:tr>
      <w:tr w:rsidR="00D5485C" w:rsidRPr="00D2126A" w14:paraId="466563BE" w14:textId="77777777" w:rsidTr="0060680F">
        <w:trPr>
          <w:cantSplit/>
          <w:trHeight w:val="57"/>
        </w:trPr>
        <w:tc>
          <w:tcPr>
            <w:tcW w:w="2627" w:type="pct"/>
            <w:tcBorders>
              <w:top w:val="nil"/>
              <w:left w:val="nil"/>
              <w:bottom w:val="single" w:sz="4" w:space="0" w:color="auto"/>
              <w:right w:val="nil"/>
            </w:tcBorders>
            <w:shd w:val="clear" w:color="auto" w:fill="auto"/>
          </w:tcPr>
          <w:p w14:paraId="25A443B8" w14:textId="77777777" w:rsidR="0086792D" w:rsidRPr="00D2126A" w:rsidRDefault="000E5A86" w:rsidP="00B12D5B">
            <w:pPr>
              <w:keepNext/>
            </w:pPr>
            <w:r>
              <w:t>Retour ≥ 25 x 10</w:t>
            </w:r>
            <w:r>
              <w:rPr>
                <w:vertAlign w:val="superscript"/>
              </w:rPr>
              <w:t>9</w:t>
            </w:r>
            <w:r>
              <w:t>/l</w:t>
            </w:r>
          </w:p>
        </w:tc>
        <w:tc>
          <w:tcPr>
            <w:tcW w:w="2373" w:type="pct"/>
            <w:tcBorders>
              <w:top w:val="nil"/>
              <w:left w:val="nil"/>
              <w:bottom w:val="single" w:sz="4" w:space="0" w:color="auto"/>
              <w:right w:val="nil"/>
            </w:tcBorders>
            <w:shd w:val="clear" w:color="auto" w:fill="auto"/>
          </w:tcPr>
          <w:p w14:paraId="29C6B047" w14:textId="0232098D" w:rsidR="0086792D" w:rsidRPr="00D2126A" w:rsidRDefault="000E5A86" w:rsidP="00B12D5B">
            <w:pPr>
              <w:keepNext/>
              <w:rPr>
                <w:color w:val="000000"/>
              </w:rPr>
            </w:pPr>
            <w:r>
              <w:rPr>
                <w:color w:val="000000"/>
              </w:rPr>
              <w:t>Reprendre le lénalidomide et le melphalan au palier de dose -1.</w:t>
            </w:r>
          </w:p>
        </w:tc>
      </w:tr>
      <w:tr w:rsidR="00D5485C" w:rsidRPr="00D2126A" w14:paraId="34FB9500" w14:textId="77777777" w:rsidTr="0060680F">
        <w:trPr>
          <w:cantSplit/>
          <w:trHeight w:val="57"/>
        </w:trPr>
        <w:tc>
          <w:tcPr>
            <w:tcW w:w="2627" w:type="pct"/>
            <w:tcBorders>
              <w:left w:val="nil"/>
              <w:bottom w:val="nil"/>
              <w:right w:val="nil"/>
            </w:tcBorders>
            <w:shd w:val="clear" w:color="auto" w:fill="auto"/>
          </w:tcPr>
          <w:p w14:paraId="3AB04298" w14:textId="77777777" w:rsidR="0086792D" w:rsidRPr="00D2126A" w:rsidRDefault="000E5A86" w:rsidP="00B12D5B">
            <w:pPr>
              <w:keepNext/>
              <w:rPr>
                <w:color w:val="000000"/>
              </w:rPr>
            </w:pPr>
            <w:r>
              <w:rPr>
                <w:color w:val="000000"/>
              </w:rPr>
              <w:t>Pour toute nouvelle rechute &lt;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16F7A181" w14:textId="77777777" w:rsidR="0086792D" w:rsidRPr="00D2126A" w:rsidRDefault="000E5A86" w:rsidP="00B12D5B">
            <w:pPr>
              <w:keepNext/>
              <w:rPr>
                <w:color w:val="000000"/>
              </w:rPr>
            </w:pPr>
            <w:r>
              <w:rPr>
                <w:color w:val="000000"/>
              </w:rPr>
              <w:t>Interrompre le traitement par le lénalidomide.</w:t>
            </w:r>
          </w:p>
        </w:tc>
      </w:tr>
      <w:tr w:rsidR="00D5485C" w:rsidRPr="00D2126A" w14:paraId="0B4548AE" w14:textId="77777777" w:rsidTr="0060680F">
        <w:trPr>
          <w:cantSplit/>
          <w:trHeight w:val="57"/>
        </w:trPr>
        <w:tc>
          <w:tcPr>
            <w:tcW w:w="2627" w:type="pct"/>
            <w:tcBorders>
              <w:top w:val="nil"/>
              <w:left w:val="nil"/>
              <w:right w:val="nil"/>
            </w:tcBorders>
            <w:shd w:val="clear" w:color="auto" w:fill="auto"/>
          </w:tcPr>
          <w:p w14:paraId="328FF140" w14:textId="77777777" w:rsidR="0086792D" w:rsidRPr="00D2126A" w:rsidRDefault="000E5A86" w:rsidP="00B12D5B">
            <w:pPr>
              <w:keepNext/>
            </w:pPr>
            <w:r>
              <w:t>Retour ≥ 30 x 10</w:t>
            </w:r>
            <w:r>
              <w:rPr>
                <w:vertAlign w:val="superscript"/>
              </w:rPr>
              <w:t>9</w:t>
            </w:r>
            <w:r>
              <w:t>/l</w:t>
            </w:r>
          </w:p>
        </w:tc>
        <w:tc>
          <w:tcPr>
            <w:tcW w:w="2373" w:type="pct"/>
            <w:tcBorders>
              <w:top w:val="nil"/>
              <w:left w:val="nil"/>
              <w:right w:val="nil"/>
            </w:tcBorders>
            <w:shd w:val="clear" w:color="auto" w:fill="auto"/>
          </w:tcPr>
          <w:p w14:paraId="5726EC54" w14:textId="59089991" w:rsidR="0086792D" w:rsidRPr="00D2126A" w:rsidRDefault="000E5A86" w:rsidP="00B12D5B">
            <w:pPr>
              <w:keepNext/>
              <w:rPr>
                <w:color w:val="000000"/>
              </w:rPr>
            </w:pPr>
            <w:r>
              <w:rPr>
                <w:color w:val="000000"/>
              </w:rPr>
              <w:t>Reprendre le lénalidomide à la dose immédiatement inférieure (palier de dose -2 ou -3) en une prise par jour.</w:t>
            </w:r>
          </w:p>
        </w:tc>
      </w:tr>
    </w:tbl>
    <w:p w14:paraId="7C01FFD8" w14:textId="77777777" w:rsidR="0086792D" w:rsidRPr="00D2126A" w:rsidRDefault="0086792D" w:rsidP="00C93C76"/>
    <w:p w14:paraId="73C0E9FE" w14:textId="77777777" w:rsidR="0086792D" w:rsidRPr="00D2126A" w:rsidRDefault="000E5A86" w:rsidP="00C93C76">
      <w:pPr>
        <w:pStyle w:val="Date"/>
        <w:keepNext/>
        <w:numPr>
          <w:ilvl w:val="0"/>
          <w:numId w:val="36"/>
        </w:numPr>
        <w:ind w:left="567" w:hanging="567"/>
        <w:rPr>
          <w:i/>
        </w:rPr>
      </w:pPr>
      <w:r>
        <w:rPr>
          <w:i/>
        </w:rPr>
        <w:t xml:space="preserve">Numération des polynucléaires neutrophiles (PNN) </w:t>
      </w:r>
      <w:r>
        <w:rPr>
          <w:i/>
        </w:rPr>
        <w:noBreakHyphen/>
        <w:t xml:space="preserve"> neutropénie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2F1AEDA6" w14:textId="77777777" w:rsidTr="0060680F">
        <w:trPr>
          <w:cantSplit/>
          <w:trHeight w:val="57"/>
          <w:tblHeader/>
        </w:trPr>
        <w:tc>
          <w:tcPr>
            <w:tcW w:w="2627" w:type="pct"/>
            <w:tcBorders>
              <w:left w:val="nil"/>
              <w:bottom w:val="single" w:sz="4" w:space="0" w:color="auto"/>
              <w:right w:val="nil"/>
            </w:tcBorders>
            <w:shd w:val="clear" w:color="auto" w:fill="auto"/>
          </w:tcPr>
          <w:p w14:paraId="4ADD9E19" w14:textId="77777777" w:rsidR="0086792D" w:rsidRPr="00D2126A" w:rsidRDefault="000E5A86" w:rsidP="00C93C76">
            <w:pPr>
              <w:keepNext/>
              <w:rPr>
                <w:color w:val="000000"/>
              </w:rPr>
            </w:pPr>
            <w:r>
              <w:rPr>
                <w:color w:val="000000"/>
              </w:rPr>
              <w:t>Numération des PNN</w:t>
            </w:r>
          </w:p>
        </w:tc>
        <w:tc>
          <w:tcPr>
            <w:tcW w:w="2373" w:type="pct"/>
            <w:tcBorders>
              <w:left w:val="nil"/>
              <w:bottom w:val="single" w:sz="4" w:space="0" w:color="auto"/>
              <w:right w:val="nil"/>
            </w:tcBorders>
            <w:shd w:val="clear" w:color="auto" w:fill="auto"/>
          </w:tcPr>
          <w:p w14:paraId="3307036B" w14:textId="77777777" w:rsidR="0086792D" w:rsidRPr="00D2126A" w:rsidRDefault="000E5A86" w:rsidP="00C93C76">
            <w:pPr>
              <w:keepNext/>
              <w:rPr>
                <w:color w:val="000000"/>
              </w:rPr>
            </w:pPr>
            <w:r>
              <w:rPr>
                <w:color w:val="000000"/>
              </w:rPr>
              <w:t>Action recommandéeª</w:t>
            </w:r>
          </w:p>
        </w:tc>
      </w:tr>
      <w:tr w:rsidR="00D5485C" w:rsidRPr="00D2126A" w14:paraId="1ACDDB83" w14:textId="77777777" w:rsidTr="0060680F">
        <w:trPr>
          <w:cantSplit/>
          <w:trHeight w:val="57"/>
        </w:trPr>
        <w:tc>
          <w:tcPr>
            <w:tcW w:w="2627" w:type="pct"/>
            <w:tcBorders>
              <w:left w:val="nil"/>
              <w:bottom w:val="nil"/>
              <w:right w:val="nil"/>
            </w:tcBorders>
            <w:shd w:val="clear" w:color="auto" w:fill="auto"/>
          </w:tcPr>
          <w:p w14:paraId="371BC19D" w14:textId="77777777" w:rsidR="0086792D" w:rsidRPr="00D2126A" w:rsidRDefault="000E5A86" w:rsidP="00C93C76">
            <w:pPr>
              <w:rPr>
                <w:color w:val="000000"/>
              </w:rPr>
            </w:pPr>
            <w:r>
              <w:rPr>
                <w:color w:val="000000"/>
              </w:rPr>
              <w:t>Première chute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3EDF6260" w14:textId="77777777" w:rsidR="0086792D" w:rsidRPr="00D2126A" w:rsidRDefault="000E5A86" w:rsidP="00C93C76">
            <w:pPr>
              <w:rPr>
                <w:color w:val="000000"/>
              </w:rPr>
            </w:pPr>
            <w:r>
              <w:rPr>
                <w:color w:val="000000"/>
              </w:rPr>
              <w:t>Interrompre le traitement par le lénalidomide.</w:t>
            </w:r>
          </w:p>
        </w:tc>
      </w:tr>
      <w:tr w:rsidR="00D5485C" w:rsidRPr="00D2126A" w14:paraId="0BDA7228" w14:textId="77777777" w:rsidTr="0060680F">
        <w:trPr>
          <w:cantSplit/>
          <w:trHeight w:val="57"/>
        </w:trPr>
        <w:tc>
          <w:tcPr>
            <w:tcW w:w="2627" w:type="pct"/>
            <w:tcBorders>
              <w:top w:val="nil"/>
              <w:left w:val="nil"/>
              <w:right w:val="nil"/>
            </w:tcBorders>
            <w:shd w:val="clear" w:color="auto" w:fill="auto"/>
          </w:tcPr>
          <w:p w14:paraId="666AF3E0" w14:textId="77777777" w:rsidR="0086792D" w:rsidRPr="00D2126A" w:rsidRDefault="000E5A86" w:rsidP="00C93C76">
            <w:pPr>
              <w:rPr>
                <w:color w:val="000000"/>
              </w:rPr>
            </w:pPr>
            <w:r>
              <w:rPr>
                <w:color w:val="000000"/>
              </w:rPr>
              <w:t>Retour ≥ 0,5 x 10</w:t>
            </w:r>
            <w:r>
              <w:rPr>
                <w:color w:val="000000"/>
                <w:vertAlign w:val="superscript"/>
              </w:rPr>
              <w:t>9</w:t>
            </w:r>
            <w:r>
              <w:rPr>
                <w:color w:val="000000"/>
              </w:rPr>
              <w:t>/l, la neutropénie étant la seule toxicité observée</w:t>
            </w:r>
          </w:p>
        </w:tc>
        <w:tc>
          <w:tcPr>
            <w:tcW w:w="2373" w:type="pct"/>
            <w:tcBorders>
              <w:top w:val="nil"/>
              <w:left w:val="nil"/>
              <w:right w:val="nil"/>
            </w:tcBorders>
            <w:shd w:val="clear" w:color="auto" w:fill="auto"/>
          </w:tcPr>
          <w:p w14:paraId="301AB690" w14:textId="77777777" w:rsidR="0086792D" w:rsidRPr="00D2126A" w:rsidRDefault="000E5A86" w:rsidP="00C93C76">
            <w:pPr>
              <w:keepNext/>
              <w:rPr>
                <w:color w:val="000000"/>
              </w:rPr>
            </w:pPr>
            <w:r>
              <w:rPr>
                <w:color w:val="000000"/>
              </w:rPr>
              <w:t>Reprendre le lénalidomide à la dose initiale en une prise par jour.</w:t>
            </w:r>
          </w:p>
        </w:tc>
      </w:tr>
      <w:tr w:rsidR="00D5485C" w:rsidRPr="00D2126A" w14:paraId="2EA4BA01" w14:textId="77777777" w:rsidTr="0060680F">
        <w:trPr>
          <w:cantSplit/>
          <w:trHeight w:val="57"/>
        </w:trPr>
        <w:tc>
          <w:tcPr>
            <w:tcW w:w="2627" w:type="pct"/>
            <w:tcBorders>
              <w:left w:val="nil"/>
              <w:bottom w:val="single" w:sz="4" w:space="0" w:color="auto"/>
              <w:right w:val="nil"/>
            </w:tcBorders>
            <w:shd w:val="clear" w:color="auto" w:fill="auto"/>
          </w:tcPr>
          <w:p w14:paraId="565A12B7" w14:textId="77777777" w:rsidR="0086792D" w:rsidRPr="00D2126A" w:rsidRDefault="000E5A86" w:rsidP="00C93C76">
            <w:pPr>
              <w:rPr>
                <w:color w:val="000000"/>
              </w:rPr>
            </w:pPr>
            <w:r>
              <w:rPr>
                <w:color w:val="000000"/>
              </w:rPr>
              <w:t>Retour ≥ 0,5 x 10</w:t>
            </w:r>
            <w:r>
              <w:rPr>
                <w:color w:val="000000"/>
                <w:vertAlign w:val="superscript"/>
              </w:rPr>
              <w:t>9</w:t>
            </w:r>
            <w:r>
              <w:rPr>
                <w:color w:val="000000"/>
              </w:rPr>
              <w:t>/l, en cas de toxicités hématologiques dépendantes de la dose autres que la neutropénie</w:t>
            </w:r>
          </w:p>
        </w:tc>
        <w:tc>
          <w:tcPr>
            <w:tcW w:w="2373" w:type="pct"/>
            <w:tcBorders>
              <w:left w:val="nil"/>
              <w:bottom w:val="single" w:sz="4" w:space="0" w:color="auto"/>
              <w:right w:val="nil"/>
            </w:tcBorders>
            <w:shd w:val="clear" w:color="auto" w:fill="auto"/>
          </w:tcPr>
          <w:p w14:paraId="588CDA6F" w14:textId="4C6287DB" w:rsidR="0086792D" w:rsidRPr="00D2126A" w:rsidRDefault="000E5A86" w:rsidP="00C93C76">
            <w:pPr>
              <w:rPr>
                <w:color w:val="000000"/>
              </w:rPr>
            </w:pPr>
            <w:r>
              <w:rPr>
                <w:color w:val="000000"/>
              </w:rPr>
              <w:t>Reprendre le lénalidomide au palier de dose -1 en une prise par jour.</w:t>
            </w:r>
          </w:p>
        </w:tc>
      </w:tr>
      <w:tr w:rsidR="00D5485C" w:rsidRPr="00D2126A" w14:paraId="752CF275" w14:textId="77777777" w:rsidTr="0060680F">
        <w:trPr>
          <w:cantSplit/>
          <w:trHeight w:val="57"/>
        </w:trPr>
        <w:tc>
          <w:tcPr>
            <w:tcW w:w="2627" w:type="pct"/>
            <w:tcBorders>
              <w:left w:val="nil"/>
              <w:bottom w:val="nil"/>
              <w:right w:val="nil"/>
            </w:tcBorders>
            <w:shd w:val="clear" w:color="auto" w:fill="auto"/>
          </w:tcPr>
          <w:p w14:paraId="00807E80" w14:textId="77777777" w:rsidR="0086792D" w:rsidRPr="00D2126A" w:rsidRDefault="000E5A86" w:rsidP="00C93C76">
            <w:pPr>
              <w:keepNext/>
              <w:rPr>
                <w:color w:val="000000"/>
              </w:rPr>
            </w:pPr>
            <w:r>
              <w:rPr>
                <w:color w:val="000000"/>
              </w:rPr>
              <w:t>Pour toute nouvelle rechute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5C81A893" w14:textId="77777777" w:rsidR="0086792D" w:rsidRPr="00D2126A" w:rsidRDefault="000E5A86" w:rsidP="00C93C76">
            <w:pPr>
              <w:keepNext/>
              <w:rPr>
                <w:color w:val="000000"/>
              </w:rPr>
            </w:pPr>
            <w:r>
              <w:rPr>
                <w:color w:val="000000"/>
              </w:rPr>
              <w:t>Interrompre le traitement par le lénalidomide.</w:t>
            </w:r>
          </w:p>
        </w:tc>
      </w:tr>
      <w:tr w:rsidR="00D5485C" w:rsidRPr="00D2126A" w14:paraId="5A25CBC3" w14:textId="77777777" w:rsidTr="0060680F">
        <w:trPr>
          <w:cantSplit/>
          <w:trHeight w:val="57"/>
        </w:trPr>
        <w:tc>
          <w:tcPr>
            <w:tcW w:w="2627" w:type="pct"/>
            <w:tcBorders>
              <w:top w:val="nil"/>
              <w:left w:val="nil"/>
              <w:right w:val="nil"/>
            </w:tcBorders>
            <w:shd w:val="clear" w:color="auto" w:fill="auto"/>
          </w:tcPr>
          <w:p w14:paraId="585E5CC0" w14:textId="77777777" w:rsidR="0086792D" w:rsidRPr="00D2126A" w:rsidRDefault="000E5A86" w:rsidP="00B12D5B">
            <w:r>
              <w:t>Retour ≥ 0,5 x 10</w:t>
            </w:r>
            <w:r>
              <w:rPr>
                <w:vertAlign w:val="superscript"/>
              </w:rPr>
              <w:t>9</w:t>
            </w:r>
            <w:r>
              <w:t>/l</w:t>
            </w:r>
          </w:p>
        </w:tc>
        <w:tc>
          <w:tcPr>
            <w:tcW w:w="2373" w:type="pct"/>
            <w:tcBorders>
              <w:top w:val="nil"/>
              <w:left w:val="nil"/>
              <w:right w:val="nil"/>
            </w:tcBorders>
            <w:shd w:val="clear" w:color="auto" w:fill="auto"/>
          </w:tcPr>
          <w:p w14:paraId="37192178" w14:textId="3A88D6D7" w:rsidR="0086792D" w:rsidRPr="00D2126A" w:rsidRDefault="000E5A86" w:rsidP="005265C9">
            <w:r>
              <w:t>Reprendre le lénalidomide à la dose immédiatement inférieure en une prise par jour.</w:t>
            </w:r>
          </w:p>
        </w:tc>
      </w:tr>
    </w:tbl>
    <w:p w14:paraId="7706E981" w14:textId="77777777" w:rsidR="00AC4694" w:rsidRPr="00D2126A" w:rsidRDefault="000E5A86" w:rsidP="00C93C76">
      <w:pPr>
        <w:rPr>
          <w:sz w:val="16"/>
        </w:rPr>
      </w:pPr>
      <w:r>
        <w:rPr>
          <w:sz w:val="16"/>
          <w:vertAlign w:val="superscript"/>
        </w:rPr>
        <w:t>a</w:t>
      </w:r>
      <w:r>
        <w:rPr>
          <w:sz w:val="16"/>
        </w:rPr>
        <w:t xml:space="preserve"> À l’appréciation du médecin, si la neutropénie est la seule toxicité quel que soit le palier de dose, ajouter un facteur de croissance granulocytaire (G</w:t>
      </w:r>
      <w:r>
        <w:rPr>
          <w:sz w:val="16"/>
        </w:rPr>
        <w:noBreakHyphen/>
        <w:t>CSF) et maintenir la dose de lénalidomide.</w:t>
      </w:r>
    </w:p>
    <w:p w14:paraId="5F38E8C1" w14:textId="77777777" w:rsidR="00BC1397" w:rsidRPr="00D2126A" w:rsidRDefault="00BC1397" w:rsidP="00C93C76">
      <w:pPr>
        <w:pStyle w:val="Date"/>
      </w:pPr>
    </w:p>
    <w:p w14:paraId="25462DB9" w14:textId="77777777" w:rsidR="00BC1397" w:rsidRPr="00D2126A" w:rsidRDefault="000E5A86" w:rsidP="00C93C76">
      <w:pPr>
        <w:keepNext/>
        <w:numPr>
          <w:ilvl w:val="0"/>
          <w:numId w:val="52"/>
        </w:numPr>
        <w:autoSpaceDE w:val="0"/>
        <w:autoSpaceDN w:val="0"/>
        <w:adjustRightInd w:val="0"/>
        <w:ind w:left="567" w:right="-20" w:hanging="567"/>
        <w:rPr>
          <w:bCs/>
          <w:iCs/>
          <w:u w:val="single"/>
        </w:rPr>
      </w:pPr>
      <w:r>
        <w:rPr>
          <w:u w:val="single"/>
        </w:rPr>
        <w:t>Lénalidomide en traitement d’entretien chez les patients ayant reçu une autogreffe de cellules souches (AGCS)</w:t>
      </w:r>
    </w:p>
    <w:p w14:paraId="74659192" w14:textId="77777777" w:rsidR="00FB5483" w:rsidRPr="00D2126A" w:rsidRDefault="00FB5483" w:rsidP="00C93C76">
      <w:pPr>
        <w:keepNext/>
      </w:pPr>
    </w:p>
    <w:p w14:paraId="1054E47B" w14:textId="7D5D03BE" w:rsidR="00BC1397" w:rsidRPr="00D2126A" w:rsidRDefault="000E5A86" w:rsidP="00C93C76">
      <w:r>
        <w:t>Le traitement d’entretien par le lénalidomide doit être instauré après une bonne récupération hématologique post</w:t>
      </w:r>
      <w:r>
        <w:noBreakHyphen/>
        <w:t>AGCS, chez les patients sans signe de progression. Le traitement par le lénalidomide ne doit pas être initié si la numération des PNN est &lt; 1,0 x 10</w:t>
      </w:r>
      <w:r>
        <w:rPr>
          <w:vertAlign w:val="superscript"/>
        </w:rPr>
        <w:t>9</w:t>
      </w:r>
      <w:r>
        <w:t>/l, et/ou si la numération plaquettaire est &lt; 75 x 10</w:t>
      </w:r>
      <w:r>
        <w:rPr>
          <w:vertAlign w:val="superscript"/>
        </w:rPr>
        <w:t>9</w:t>
      </w:r>
      <w:r>
        <w:t>/l.</w:t>
      </w:r>
    </w:p>
    <w:p w14:paraId="23CE0718" w14:textId="77777777" w:rsidR="00BC1397" w:rsidRPr="00D2126A" w:rsidRDefault="00BC1397" w:rsidP="00C93C76"/>
    <w:p w14:paraId="31F2F757" w14:textId="77777777" w:rsidR="00BC1397" w:rsidRPr="00D2126A" w:rsidRDefault="000E5A86" w:rsidP="00C93C76">
      <w:pPr>
        <w:keepNext/>
        <w:rPr>
          <w:i/>
        </w:rPr>
      </w:pPr>
      <w:r>
        <w:rPr>
          <w:i/>
        </w:rPr>
        <w:t>Posologie recommandée</w:t>
      </w:r>
    </w:p>
    <w:p w14:paraId="18E248A8" w14:textId="70CE1D58" w:rsidR="00036363" w:rsidRPr="00D2126A" w:rsidRDefault="000E5A86" w:rsidP="00C93C76">
      <w:r>
        <w:t>La dose initiale recommandée est de 10 mg de lénalidomide par voie orale en une prise par jour de façon continue (les jours 1 à 28 de chaque cycle de 28 jours) jusqu’à la progression de la maladie ou survenue d’une intolérance. Après 3 cycles de traitement d’entretien par le lénalidomide, la dose peut être augmentée à 15 mg par voie orale en une prise par jour si elle est tolérée.</w:t>
      </w:r>
    </w:p>
    <w:p w14:paraId="2AACE03A" w14:textId="33D1F64A" w:rsidR="00BC1397" w:rsidRPr="00D2126A" w:rsidRDefault="00BC1397" w:rsidP="00C93C76"/>
    <w:p w14:paraId="4522E690" w14:textId="77777777" w:rsidR="00BC1397" w:rsidRPr="00D2126A" w:rsidRDefault="000E5A86" w:rsidP="00C93C76">
      <w:pPr>
        <w:keepNext/>
        <w:numPr>
          <w:ilvl w:val="0"/>
          <w:numId w:val="54"/>
        </w:numPr>
        <w:ind w:left="567" w:hanging="567"/>
        <w:rPr>
          <w:i/>
        </w:rPr>
      </w:pPr>
      <w:r>
        <w:rPr>
          <w:i/>
        </w:rPr>
        <w:t>Paliers de réduction de la posologie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809"/>
        <w:gridCol w:w="3649"/>
        <w:gridCol w:w="3828"/>
      </w:tblGrid>
      <w:tr w:rsidR="00D5485C" w:rsidRPr="00D2126A" w14:paraId="47890A85" w14:textId="77777777" w:rsidTr="00D3352B">
        <w:trPr>
          <w:cantSplit/>
          <w:trHeight w:val="57"/>
        </w:trPr>
        <w:tc>
          <w:tcPr>
            <w:tcW w:w="974" w:type="pct"/>
            <w:shd w:val="clear" w:color="auto" w:fill="auto"/>
          </w:tcPr>
          <w:p w14:paraId="66F405D1" w14:textId="77777777" w:rsidR="00BC1397" w:rsidRPr="00D2126A" w:rsidRDefault="00BC1397" w:rsidP="00C93C76">
            <w:pPr>
              <w:keepNext/>
            </w:pPr>
          </w:p>
        </w:tc>
        <w:tc>
          <w:tcPr>
            <w:tcW w:w="1965" w:type="pct"/>
            <w:shd w:val="clear" w:color="auto" w:fill="auto"/>
          </w:tcPr>
          <w:p w14:paraId="3A900528" w14:textId="4D94C3DF" w:rsidR="00BC1397" w:rsidRPr="00D2126A" w:rsidRDefault="000E5A86" w:rsidP="00C93C76">
            <w:pPr>
              <w:keepNext/>
              <w:jc w:val="center"/>
            </w:pPr>
            <w:r>
              <w:t>Dose initiale (10 mg)</w:t>
            </w:r>
          </w:p>
        </w:tc>
        <w:tc>
          <w:tcPr>
            <w:tcW w:w="2061" w:type="pct"/>
            <w:shd w:val="clear" w:color="auto" w:fill="auto"/>
          </w:tcPr>
          <w:p w14:paraId="4222AE64" w14:textId="34757938" w:rsidR="00BC1397" w:rsidRPr="00D2126A" w:rsidRDefault="000E5A86" w:rsidP="00C93C76">
            <w:pPr>
              <w:keepNext/>
              <w:jc w:val="center"/>
            </w:pPr>
            <w:r>
              <w:t>En cas d’augmentation de la dose (15 mg)</w:t>
            </w:r>
            <w:r>
              <w:rPr>
                <w:vertAlign w:val="superscript"/>
              </w:rPr>
              <w:t xml:space="preserve"> a</w:t>
            </w:r>
          </w:p>
        </w:tc>
      </w:tr>
      <w:tr w:rsidR="00D5485C" w:rsidRPr="00D2126A" w14:paraId="3C2CE88E" w14:textId="77777777" w:rsidTr="00D3352B">
        <w:trPr>
          <w:cantSplit/>
          <w:trHeight w:val="57"/>
        </w:trPr>
        <w:tc>
          <w:tcPr>
            <w:tcW w:w="974" w:type="pct"/>
            <w:shd w:val="clear" w:color="auto" w:fill="auto"/>
          </w:tcPr>
          <w:p w14:paraId="6F656223" w14:textId="732082B6" w:rsidR="00BC1397" w:rsidRPr="00D2126A" w:rsidRDefault="000E5A86" w:rsidP="00C93C76">
            <w:pPr>
              <w:keepNext/>
            </w:pPr>
            <w:r>
              <w:t>Palier de dose -1</w:t>
            </w:r>
          </w:p>
        </w:tc>
        <w:tc>
          <w:tcPr>
            <w:tcW w:w="1965" w:type="pct"/>
            <w:shd w:val="clear" w:color="auto" w:fill="auto"/>
          </w:tcPr>
          <w:p w14:paraId="1F72C00B" w14:textId="7CC8B2C8" w:rsidR="00BC1397" w:rsidRPr="00D2126A" w:rsidRDefault="000E5A86" w:rsidP="00C93C76">
            <w:pPr>
              <w:keepNext/>
              <w:jc w:val="center"/>
            </w:pPr>
            <w:r>
              <w:t>5 mg</w:t>
            </w:r>
          </w:p>
        </w:tc>
        <w:tc>
          <w:tcPr>
            <w:tcW w:w="2061" w:type="pct"/>
            <w:shd w:val="clear" w:color="auto" w:fill="auto"/>
          </w:tcPr>
          <w:p w14:paraId="103E2C0F" w14:textId="5EC440D6" w:rsidR="00BC1397" w:rsidRPr="00D2126A" w:rsidRDefault="000E5A86" w:rsidP="00C93C76">
            <w:pPr>
              <w:keepNext/>
              <w:jc w:val="center"/>
            </w:pPr>
            <w:r>
              <w:t>10 mg</w:t>
            </w:r>
          </w:p>
        </w:tc>
      </w:tr>
      <w:tr w:rsidR="00D5485C" w:rsidRPr="00D2126A" w14:paraId="2DDD36D3" w14:textId="77777777" w:rsidTr="00D3352B">
        <w:trPr>
          <w:cantSplit/>
          <w:trHeight w:val="57"/>
        </w:trPr>
        <w:tc>
          <w:tcPr>
            <w:tcW w:w="974" w:type="pct"/>
            <w:shd w:val="clear" w:color="auto" w:fill="auto"/>
          </w:tcPr>
          <w:p w14:paraId="21E276C4" w14:textId="569E8707" w:rsidR="00BC1397" w:rsidRPr="00D2126A" w:rsidRDefault="000E5A86" w:rsidP="00C93C76">
            <w:pPr>
              <w:keepNext/>
            </w:pPr>
            <w:r>
              <w:t>Palier de dose -2</w:t>
            </w:r>
          </w:p>
        </w:tc>
        <w:tc>
          <w:tcPr>
            <w:tcW w:w="1965" w:type="pct"/>
            <w:shd w:val="clear" w:color="auto" w:fill="auto"/>
          </w:tcPr>
          <w:p w14:paraId="07F2F541" w14:textId="09E2593F" w:rsidR="00BC1397" w:rsidRPr="00D2126A" w:rsidRDefault="000E5A86" w:rsidP="00C93C76">
            <w:pPr>
              <w:keepNext/>
              <w:jc w:val="center"/>
            </w:pPr>
            <w:r>
              <w:t>5 mg (jours 1 à 21 de chaque cycle de 28 jours)</w:t>
            </w:r>
          </w:p>
        </w:tc>
        <w:tc>
          <w:tcPr>
            <w:tcW w:w="2061" w:type="pct"/>
            <w:shd w:val="clear" w:color="auto" w:fill="auto"/>
          </w:tcPr>
          <w:p w14:paraId="0EB76CFF" w14:textId="495711D8" w:rsidR="00BC1397" w:rsidRPr="00D2126A" w:rsidRDefault="000E5A86" w:rsidP="00C93C76">
            <w:pPr>
              <w:keepNext/>
              <w:jc w:val="center"/>
            </w:pPr>
            <w:r>
              <w:t>5 mg</w:t>
            </w:r>
          </w:p>
        </w:tc>
      </w:tr>
      <w:tr w:rsidR="00D5485C" w:rsidRPr="00D2126A" w14:paraId="5C71B2A9" w14:textId="77777777" w:rsidTr="00D3352B">
        <w:trPr>
          <w:cantSplit/>
          <w:trHeight w:val="57"/>
        </w:trPr>
        <w:tc>
          <w:tcPr>
            <w:tcW w:w="974" w:type="pct"/>
            <w:shd w:val="clear" w:color="auto" w:fill="auto"/>
          </w:tcPr>
          <w:p w14:paraId="1A8CFB5F" w14:textId="46941592" w:rsidR="00BC1397" w:rsidRPr="00D2126A" w:rsidRDefault="000E5A86" w:rsidP="00C93C76">
            <w:pPr>
              <w:keepNext/>
            </w:pPr>
            <w:r>
              <w:t>Palier de dose -3</w:t>
            </w:r>
          </w:p>
        </w:tc>
        <w:tc>
          <w:tcPr>
            <w:tcW w:w="1965" w:type="pct"/>
            <w:shd w:val="clear" w:color="auto" w:fill="auto"/>
          </w:tcPr>
          <w:p w14:paraId="2D942043" w14:textId="77777777" w:rsidR="00BC1397" w:rsidRPr="00D2126A" w:rsidRDefault="000E5A86" w:rsidP="00C93C76">
            <w:pPr>
              <w:keepNext/>
              <w:jc w:val="center"/>
            </w:pPr>
            <w:r>
              <w:t>Sans objet</w:t>
            </w:r>
          </w:p>
        </w:tc>
        <w:tc>
          <w:tcPr>
            <w:tcW w:w="2061" w:type="pct"/>
            <w:shd w:val="clear" w:color="auto" w:fill="auto"/>
          </w:tcPr>
          <w:p w14:paraId="26A67F63" w14:textId="017D4FDE" w:rsidR="00BC1397" w:rsidRPr="00D2126A" w:rsidRDefault="000E5A86" w:rsidP="00C93C76">
            <w:pPr>
              <w:keepNext/>
              <w:jc w:val="center"/>
            </w:pPr>
            <w:r>
              <w:t>5 mg (jours 1 à 21 de chaque cycle de 28 jours)</w:t>
            </w:r>
          </w:p>
        </w:tc>
      </w:tr>
      <w:tr w:rsidR="00D5485C" w:rsidRPr="00D2126A" w14:paraId="71FEE2A2" w14:textId="77777777" w:rsidTr="00D3352B">
        <w:trPr>
          <w:cantSplit/>
          <w:trHeight w:val="57"/>
        </w:trPr>
        <w:tc>
          <w:tcPr>
            <w:tcW w:w="974" w:type="pct"/>
            <w:shd w:val="clear" w:color="auto" w:fill="auto"/>
          </w:tcPr>
          <w:p w14:paraId="10DFD1FE" w14:textId="77777777" w:rsidR="00BC1397" w:rsidRPr="00D2126A" w:rsidRDefault="00BC1397" w:rsidP="00C93C76">
            <w:pPr>
              <w:keepNext/>
            </w:pPr>
          </w:p>
        </w:tc>
        <w:tc>
          <w:tcPr>
            <w:tcW w:w="4026" w:type="pct"/>
            <w:gridSpan w:val="2"/>
            <w:shd w:val="clear" w:color="auto" w:fill="auto"/>
          </w:tcPr>
          <w:p w14:paraId="7587B385" w14:textId="6A793CC2" w:rsidR="00BC1397" w:rsidRPr="00D2126A" w:rsidRDefault="000E5A86" w:rsidP="00C93C76">
            <w:pPr>
              <w:keepNext/>
              <w:jc w:val="center"/>
            </w:pPr>
            <w:r>
              <w:t>Ne pas diminuer la dose en dessous de 5 mg (jours 1 à 21 de chaque cycle de 28 jours)</w:t>
            </w:r>
          </w:p>
        </w:tc>
      </w:tr>
    </w:tbl>
    <w:p w14:paraId="5A4961A7" w14:textId="1247BC8C" w:rsidR="00BC1397" w:rsidRPr="00D2126A" w:rsidRDefault="000E5A86" w:rsidP="00C93C76">
      <w:pPr>
        <w:rPr>
          <w:sz w:val="16"/>
          <w:szCs w:val="16"/>
        </w:rPr>
      </w:pPr>
      <w:r>
        <w:rPr>
          <w:sz w:val="16"/>
          <w:vertAlign w:val="superscript"/>
        </w:rPr>
        <w:t xml:space="preserve">a </w:t>
      </w:r>
      <w:r>
        <w:rPr>
          <w:sz w:val="16"/>
        </w:rPr>
        <w:t>Après 3 cycles de lénalidomide en traitement d’entretien, la dose peut être augmentée à 15 mg par voie orale en une prise par jour si le traitement est bien toléré.</w:t>
      </w:r>
    </w:p>
    <w:p w14:paraId="4C3426CC" w14:textId="77777777" w:rsidR="00BC1397" w:rsidRPr="00D2126A" w:rsidRDefault="00BC1397" w:rsidP="00C93C76"/>
    <w:p w14:paraId="07C145DE" w14:textId="77777777" w:rsidR="00BC1397" w:rsidRPr="00D2126A" w:rsidRDefault="000E5A86" w:rsidP="00C93C76">
      <w:pPr>
        <w:keepNext/>
        <w:numPr>
          <w:ilvl w:val="0"/>
          <w:numId w:val="54"/>
        </w:numPr>
        <w:ind w:left="567" w:hanging="567"/>
        <w:rPr>
          <w:i/>
        </w:rPr>
      </w:pPr>
      <w:r>
        <w:rPr>
          <w:i/>
        </w:rPr>
        <w:t>Thrombopénie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25E80597" w14:textId="77777777" w:rsidTr="0060680F">
        <w:trPr>
          <w:cantSplit/>
          <w:trHeight w:val="57"/>
        </w:trPr>
        <w:tc>
          <w:tcPr>
            <w:tcW w:w="2627" w:type="pct"/>
            <w:tcBorders>
              <w:left w:val="nil"/>
              <w:bottom w:val="single" w:sz="4" w:space="0" w:color="auto"/>
              <w:right w:val="nil"/>
            </w:tcBorders>
            <w:shd w:val="clear" w:color="auto" w:fill="auto"/>
          </w:tcPr>
          <w:p w14:paraId="1CA1FC64" w14:textId="77777777" w:rsidR="00BC1397" w:rsidRPr="00D2126A" w:rsidRDefault="000E5A86" w:rsidP="00C93C76">
            <w:pPr>
              <w:keepNext/>
            </w:pPr>
            <w:r>
              <w:t>Numération plaquettaire</w:t>
            </w:r>
          </w:p>
        </w:tc>
        <w:tc>
          <w:tcPr>
            <w:tcW w:w="2373" w:type="pct"/>
            <w:tcBorders>
              <w:left w:val="nil"/>
              <w:bottom w:val="single" w:sz="4" w:space="0" w:color="auto"/>
              <w:right w:val="nil"/>
            </w:tcBorders>
            <w:shd w:val="clear" w:color="auto" w:fill="auto"/>
          </w:tcPr>
          <w:p w14:paraId="0D5C3849" w14:textId="77777777" w:rsidR="00BC1397" w:rsidRPr="00D2126A" w:rsidRDefault="000E5A86" w:rsidP="00C93C76">
            <w:pPr>
              <w:keepNext/>
            </w:pPr>
            <w:r>
              <w:t>Action recommandée</w:t>
            </w:r>
          </w:p>
        </w:tc>
      </w:tr>
      <w:tr w:rsidR="00D5485C" w:rsidRPr="00D2126A" w14:paraId="1DE9798A" w14:textId="77777777" w:rsidTr="0060680F">
        <w:trPr>
          <w:cantSplit/>
          <w:trHeight w:val="57"/>
        </w:trPr>
        <w:tc>
          <w:tcPr>
            <w:tcW w:w="2627" w:type="pct"/>
            <w:tcBorders>
              <w:left w:val="nil"/>
              <w:bottom w:val="nil"/>
              <w:right w:val="nil"/>
            </w:tcBorders>
            <w:shd w:val="clear" w:color="auto" w:fill="auto"/>
          </w:tcPr>
          <w:p w14:paraId="512B26C1" w14:textId="77777777" w:rsidR="00BC1397" w:rsidRPr="00D2126A" w:rsidRDefault="000E5A86" w:rsidP="00B12D5B">
            <w:pPr>
              <w:keepNext/>
            </w:pPr>
            <w:r>
              <w:t>Chute &lt; 30 x 10</w:t>
            </w:r>
            <w:r>
              <w:rPr>
                <w:vertAlign w:val="superscript"/>
              </w:rPr>
              <w:t>9</w:t>
            </w:r>
            <w:r>
              <w:t>/l</w:t>
            </w:r>
          </w:p>
        </w:tc>
        <w:tc>
          <w:tcPr>
            <w:tcW w:w="2373" w:type="pct"/>
            <w:tcBorders>
              <w:left w:val="nil"/>
              <w:bottom w:val="nil"/>
              <w:right w:val="nil"/>
            </w:tcBorders>
            <w:shd w:val="clear" w:color="auto" w:fill="auto"/>
          </w:tcPr>
          <w:p w14:paraId="7F7A9D17" w14:textId="77777777" w:rsidR="00BC1397" w:rsidRPr="00D2126A" w:rsidRDefault="000E5A86" w:rsidP="00C93C76">
            <w:r>
              <w:t>Interrompre le traitement par le lénalidomide.</w:t>
            </w:r>
          </w:p>
        </w:tc>
      </w:tr>
      <w:tr w:rsidR="00D5485C" w:rsidRPr="00D2126A" w14:paraId="0614E7EC" w14:textId="77777777" w:rsidTr="0060680F">
        <w:trPr>
          <w:cantSplit/>
          <w:trHeight w:val="57"/>
        </w:trPr>
        <w:tc>
          <w:tcPr>
            <w:tcW w:w="2627" w:type="pct"/>
            <w:tcBorders>
              <w:top w:val="nil"/>
              <w:left w:val="nil"/>
              <w:bottom w:val="single" w:sz="4" w:space="0" w:color="auto"/>
              <w:right w:val="nil"/>
            </w:tcBorders>
            <w:shd w:val="clear" w:color="auto" w:fill="auto"/>
          </w:tcPr>
          <w:p w14:paraId="20E8521D" w14:textId="0BA73724" w:rsidR="00BC1397" w:rsidRPr="00D2126A" w:rsidRDefault="000E5A86" w:rsidP="00B12D5B">
            <w:pPr>
              <w:keepNext/>
            </w:pPr>
            <w:r>
              <w:t>Retour ≥ 30 x 10</w:t>
            </w:r>
            <w:r>
              <w:rPr>
                <w:vertAlign w:val="superscript"/>
              </w:rPr>
              <w:t>9</w:t>
            </w:r>
            <w:r>
              <w:t>/l</w:t>
            </w:r>
          </w:p>
        </w:tc>
        <w:tc>
          <w:tcPr>
            <w:tcW w:w="2373" w:type="pct"/>
            <w:tcBorders>
              <w:top w:val="nil"/>
              <w:left w:val="nil"/>
              <w:bottom w:val="single" w:sz="4" w:space="0" w:color="auto"/>
              <w:right w:val="nil"/>
            </w:tcBorders>
            <w:shd w:val="clear" w:color="auto" w:fill="auto"/>
          </w:tcPr>
          <w:p w14:paraId="0BA2F81B" w14:textId="4A82C135" w:rsidR="00BC1397" w:rsidRPr="00D2126A" w:rsidRDefault="000E5A86" w:rsidP="00C93C76">
            <w:r>
              <w:t>Reprendre le lénalidomide au palier de dose -1 en une prise par jour.</w:t>
            </w:r>
          </w:p>
        </w:tc>
      </w:tr>
      <w:tr w:rsidR="00D5485C" w:rsidRPr="00D2126A" w14:paraId="761F051D" w14:textId="77777777" w:rsidTr="0060680F">
        <w:trPr>
          <w:cantSplit/>
          <w:trHeight w:val="57"/>
        </w:trPr>
        <w:tc>
          <w:tcPr>
            <w:tcW w:w="2627" w:type="pct"/>
            <w:tcBorders>
              <w:left w:val="nil"/>
              <w:bottom w:val="nil"/>
              <w:right w:val="nil"/>
            </w:tcBorders>
            <w:shd w:val="clear" w:color="auto" w:fill="auto"/>
          </w:tcPr>
          <w:p w14:paraId="6B12007B" w14:textId="77777777" w:rsidR="00BC1397" w:rsidRPr="00D2126A" w:rsidRDefault="000E5A86" w:rsidP="00B12D5B">
            <w:pPr>
              <w:keepNext/>
            </w:pPr>
            <w:r>
              <w:t>Pour toute nouvelle rechute &lt; 30 x 10</w:t>
            </w:r>
            <w:r>
              <w:rPr>
                <w:vertAlign w:val="superscript"/>
              </w:rPr>
              <w:t>9</w:t>
            </w:r>
            <w:r>
              <w:t>/l</w:t>
            </w:r>
          </w:p>
        </w:tc>
        <w:tc>
          <w:tcPr>
            <w:tcW w:w="2373" w:type="pct"/>
            <w:tcBorders>
              <w:left w:val="nil"/>
              <w:bottom w:val="nil"/>
              <w:right w:val="nil"/>
            </w:tcBorders>
            <w:shd w:val="clear" w:color="auto" w:fill="auto"/>
          </w:tcPr>
          <w:p w14:paraId="2CA94DEB" w14:textId="77777777" w:rsidR="00BC1397" w:rsidRPr="00D2126A" w:rsidRDefault="000E5A86" w:rsidP="00C93C76">
            <w:r>
              <w:t>Interrompre le traitement par le lénalidomide.</w:t>
            </w:r>
          </w:p>
        </w:tc>
      </w:tr>
      <w:tr w:rsidR="00D5485C" w:rsidRPr="00D2126A" w14:paraId="7705109B" w14:textId="77777777" w:rsidTr="0060680F">
        <w:trPr>
          <w:cantSplit/>
          <w:trHeight w:val="57"/>
        </w:trPr>
        <w:tc>
          <w:tcPr>
            <w:tcW w:w="2627" w:type="pct"/>
            <w:tcBorders>
              <w:top w:val="nil"/>
              <w:left w:val="nil"/>
              <w:right w:val="nil"/>
            </w:tcBorders>
            <w:shd w:val="clear" w:color="auto" w:fill="auto"/>
          </w:tcPr>
          <w:p w14:paraId="1F141416" w14:textId="77777777" w:rsidR="00BC1397" w:rsidRPr="00D2126A" w:rsidRDefault="000E5A86" w:rsidP="00B12D5B">
            <w:pPr>
              <w:keepNext/>
            </w:pPr>
            <w:r>
              <w:t>Retour ≥ 30 x 10</w:t>
            </w:r>
            <w:r>
              <w:rPr>
                <w:vertAlign w:val="superscript"/>
              </w:rPr>
              <w:t>9</w:t>
            </w:r>
            <w:r>
              <w:t>/l</w:t>
            </w:r>
          </w:p>
        </w:tc>
        <w:tc>
          <w:tcPr>
            <w:tcW w:w="2373" w:type="pct"/>
            <w:tcBorders>
              <w:top w:val="nil"/>
              <w:left w:val="nil"/>
              <w:right w:val="nil"/>
            </w:tcBorders>
            <w:shd w:val="clear" w:color="auto" w:fill="auto"/>
          </w:tcPr>
          <w:p w14:paraId="60534EDB" w14:textId="77777777" w:rsidR="00BC1397" w:rsidRPr="00D2126A" w:rsidRDefault="000E5A86" w:rsidP="00967610">
            <w:r>
              <w:t>Reprendre le lénalidomide à la dose immédiatement inférieure en une prise par jour.</w:t>
            </w:r>
          </w:p>
        </w:tc>
      </w:tr>
    </w:tbl>
    <w:p w14:paraId="185AFD7A" w14:textId="77777777" w:rsidR="00BC1397" w:rsidRPr="00D2126A" w:rsidRDefault="00BC1397" w:rsidP="00C93C76"/>
    <w:p w14:paraId="75BAEBD6" w14:textId="77777777" w:rsidR="00BC1397" w:rsidRPr="00D2126A" w:rsidRDefault="000E5A86" w:rsidP="00C93C76">
      <w:pPr>
        <w:keepNext/>
        <w:numPr>
          <w:ilvl w:val="0"/>
          <w:numId w:val="54"/>
        </w:numPr>
        <w:ind w:left="567" w:hanging="567"/>
        <w:rPr>
          <w:i/>
        </w:rPr>
      </w:pPr>
      <w:r>
        <w:rPr>
          <w:i/>
        </w:rPr>
        <w:t xml:space="preserve">Numération des polynucléaires neutrophiles (PNN) </w:t>
      </w:r>
      <w:r>
        <w:rPr>
          <w:i/>
        </w:rPr>
        <w:noBreakHyphen/>
        <w:t xml:space="preserve"> neutropénie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9"/>
        <w:gridCol w:w="4407"/>
      </w:tblGrid>
      <w:tr w:rsidR="00D5485C" w:rsidRPr="00D2126A" w14:paraId="7FBC86A4" w14:textId="77777777" w:rsidTr="00CE1A4F">
        <w:trPr>
          <w:tblHeader/>
        </w:trPr>
        <w:tc>
          <w:tcPr>
            <w:tcW w:w="2627" w:type="pct"/>
            <w:tcBorders>
              <w:left w:val="nil"/>
              <w:bottom w:val="single" w:sz="4" w:space="0" w:color="auto"/>
              <w:right w:val="single" w:sz="4" w:space="0" w:color="auto"/>
            </w:tcBorders>
          </w:tcPr>
          <w:p w14:paraId="1EF66BA0" w14:textId="77777777" w:rsidR="00BC1397" w:rsidRPr="00D2126A" w:rsidRDefault="000E5A86" w:rsidP="00B12D5B">
            <w:pPr>
              <w:keepNext/>
            </w:pPr>
            <w:r>
              <w:t>Numération des PNN</w:t>
            </w:r>
          </w:p>
        </w:tc>
        <w:tc>
          <w:tcPr>
            <w:tcW w:w="2373" w:type="pct"/>
            <w:tcBorders>
              <w:left w:val="single" w:sz="4" w:space="0" w:color="auto"/>
              <w:bottom w:val="single" w:sz="4" w:space="0" w:color="auto"/>
              <w:right w:val="nil"/>
            </w:tcBorders>
          </w:tcPr>
          <w:p w14:paraId="6E8BAEC4" w14:textId="77777777" w:rsidR="00BC1397" w:rsidRPr="00D2126A" w:rsidRDefault="000E5A86" w:rsidP="00B12D5B">
            <w:pPr>
              <w:keepNext/>
            </w:pPr>
            <w:r>
              <w:t>Action recommandée</w:t>
            </w:r>
            <w:r>
              <w:rPr>
                <w:vertAlign w:val="superscript"/>
              </w:rPr>
              <w:t>a</w:t>
            </w:r>
          </w:p>
        </w:tc>
      </w:tr>
      <w:tr w:rsidR="00D5485C" w:rsidRPr="00D2126A" w14:paraId="0123626B" w14:textId="77777777" w:rsidTr="00CE1A4F">
        <w:tc>
          <w:tcPr>
            <w:tcW w:w="2627" w:type="pct"/>
            <w:tcBorders>
              <w:left w:val="nil"/>
              <w:bottom w:val="nil"/>
              <w:right w:val="single" w:sz="4" w:space="0" w:color="auto"/>
            </w:tcBorders>
          </w:tcPr>
          <w:p w14:paraId="7E864214" w14:textId="77777777" w:rsidR="00BC1397" w:rsidRPr="00D2126A" w:rsidRDefault="000E5A86" w:rsidP="00B12D5B">
            <w:pPr>
              <w:keepNext/>
            </w:pPr>
            <w:r>
              <w:t>Chute &lt; 0,5 x 10</w:t>
            </w:r>
            <w:r>
              <w:rPr>
                <w:vertAlign w:val="superscript"/>
              </w:rPr>
              <w:t>9</w:t>
            </w:r>
            <w:r>
              <w:t>/l</w:t>
            </w:r>
          </w:p>
        </w:tc>
        <w:tc>
          <w:tcPr>
            <w:tcW w:w="2373" w:type="pct"/>
            <w:tcBorders>
              <w:left w:val="single" w:sz="4" w:space="0" w:color="auto"/>
              <w:bottom w:val="nil"/>
              <w:right w:val="nil"/>
            </w:tcBorders>
          </w:tcPr>
          <w:p w14:paraId="7FA1E6E2" w14:textId="2EA6BAD1" w:rsidR="00BC1397" w:rsidRPr="00D2126A" w:rsidRDefault="000E5A86" w:rsidP="00B12D5B">
            <w:pPr>
              <w:keepNext/>
            </w:pPr>
            <w:r>
              <w:t>Interrompre le traitement par le lénalidomide.</w:t>
            </w:r>
          </w:p>
        </w:tc>
      </w:tr>
      <w:tr w:rsidR="00D5485C" w:rsidRPr="00D2126A" w14:paraId="2FB263B7" w14:textId="77777777" w:rsidTr="00CE1A4F">
        <w:tc>
          <w:tcPr>
            <w:tcW w:w="2627" w:type="pct"/>
            <w:tcBorders>
              <w:top w:val="nil"/>
              <w:left w:val="nil"/>
              <w:bottom w:val="single" w:sz="4" w:space="0" w:color="auto"/>
              <w:right w:val="single" w:sz="4" w:space="0" w:color="auto"/>
            </w:tcBorders>
          </w:tcPr>
          <w:p w14:paraId="45834F27" w14:textId="77777777" w:rsidR="00BC1397" w:rsidRPr="00D2126A" w:rsidRDefault="000E5A86" w:rsidP="00B12D5B">
            <w:pPr>
              <w:keepNext/>
            </w:pPr>
            <w:r>
              <w:t>Retour ≥ 0,5 x 10</w:t>
            </w:r>
            <w:r>
              <w:rPr>
                <w:vertAlign w:val="superscript"/>
              </w:rPr>
              <w:t>9</w:t>
            </w:r>
            <w:r>
              <w:t>/l</w:t>
            </w:r>
          </w:p>
        </w:tc>
        <w:tc>
          <w:tcPr>
            <w:tcW w:w="2373" w:type="pct"/>
            <w:tcBorders>
              <w:top w:val="nil"/>
              <w:left w:val="single" w:sz="4" w:space="0" w:color="auto"/>
              <w:bottom w:val="single" w:sz="4" w:space="0" w:color="auto"/>
              <w:right w:val="nil"/>
            </w:tcBorders>
          </w:tcPr>
          <w:p w14:paraId="5980726B" w14:textId="1EE512AC" w:rsidR="00BC1397" w:rsidRPr="00D2126A" w:rsidRDefault="000E5A86" w:rsidP="00B12D5B">
            <w:pPr>
              <w:keepNext/>
            </w:pPr>
            <w:r>
              <w:t>Reprendre le lénalidomide au palier de dose -1 en une prise par jour.</w:t>
            </w:r>
          </w:p>
        </w:tc>
      </w:tr>
      <w:tr w:rsidR="00D5485C" w:rsidRPr="00D2126A" w14:paraId="471D1967" w14:textId="77777777" w:rsidTr="00CE1A4F">
        <w:tc>
          <w:tcPr>
            <w:tcW w:w="2627" w:type="pct"/>
            <w:tcBorders>
              <w:top w:val="single" w:sz="4" w:space="0" w:color="auto"/>
              <w:left w:val="nil"/>
              <w:bottom w:val="nil"/>
              <w:right w:val="single" w:sz="4" w:space="0" w:color="auto"/>
            </w:tcBorders>
          </w:tcPr>
          <w:p w14:paraId="69A82C15" w14:textId="77777777" w:rsidR="00BC1397" w:rsidRPr="00D2126A" w:rsidRDefault="000E5A86" w:rsidP="00B12D5B">
            <w:pPr>
              <w:keepNext/>
            </w:pPr>
            <w:r>
              <w:t>Pour toute nouvelle rechute &lt; 0,5 x 10</w:t>
            </w:r>
            <w:r>
              <w:rPr>
                <w:vertAlign w:val="superscript"/>
              </w:rPr>
              <w:t>9</w:t>
            </w:r>
            <w:r>
              <w:t>/l</w:t>
            </w:r>
          </w:p>
        </w:tc>
        <w:tc>
          <w:tcPr>
            <w:tcW w:w="2373" w:type="pct"/>
            <w:tcBorders>
              <w:top w:val="single" w:sz="4" w:space="0" w:color="auto"/>
              <w:left w:val="single" w:sz="4" w:space="0" w:color="auto"/>
              <w:bottom w:val="nil"/>
              <w:right w:val="nil"/>
            </w:tcBorders>
          </w:tcPr>
          <w:p w14:paraId="73B02234" w14:textId="77777777" w:rsidR="00BC1397" w:rsidRPr="00D2126A" w:rsidRDefault="000E5A86" w:rsidP="00B12D5B">
            <w:pPr>
              <w:keepNext/>
            </w:pPr>
            <w:r>
              <w:t>Interrompre le traitement par le lénalidomide.</w:t>
            </w:r>
          </w:p>
        </w:tc>
      </w:tr>
      <w:tr w:rsidR="00D5485C" w:rsidRPr="00D2126A" w14:paraId="1D473F55" w14:textId="77777777" w:rsidTr="00CE1A4F">
        <w:tc>
          <w:tcPr>
            <w:tcW w:w="2627" w:type="pct"/>
            <w:tcBorders>
              <w:top w:val="nil"/>
              <w:left w:val="nil"/>
              <w:bottom w:val="single" w:sz="4" w:space="0" w:color="auto"/>
              <w:right w:val="single" w:sz="4" w:space="0" w:color="auto"/>
            </w:tcBorders>
          </w:tcPr>
          <w:p w14:paraId="42646FA4" w14:textId="77777777" w:rsidR="00BC1397" w:rsidRPr="00D2126A" w:rsidRDefault="000E5A86" w:rsidP="00B12D5B">
            <w:pPr>
              <w:keepNext/>
            </w:pPr>
            <w:r>
              <w:t>Retour ≥ 0,5 x 10</w:t>
            </w:r>
            <w:r>
              <w:rPr>
                <w:vertAlign w:val="superscript"/>
              </w:rPr>
              <w:t>9</w:t>
            </w:r>
            <w:r>
              <w:t>/l</w:t>
            </w:r>
          </w:p>
        </w:tc>
        <w:tc>
          <w:tcPr>
            <w:tcW w:w="2373" w:type="pct"/>
            <w:tcBorders>
              <w:top w:val="nil"/>
              <w:left w:val="single" w:sz="4" w:space="0" w:color="auto"/>
              <w:bottom w:val="single" w:sz="4" w:space="0" w:color="auto"/>
              <w:right w:val="nil"/>
            </w:tcBorders>
          </w:tcPr>
          <w:p w14:paraId="221BBDA6" w14:textId="77777777" w:rsidR="00BC1397" w:rsidRPr="00D2126A" w:rsidRDefault="000E5A86" w:rsidP="00967610">
            <w:r>
              <w:t>Reprendre le lénalidomide à la dose immédiatement inférieure en une prise par jour.</w:t>
            </w:r>
          </w:p>
        </w:tc>
      </w:tr>
    </w:tbl>
    <w:p w14:paraId="515551EE" w14:textId="77777777" w:rsidR="00BC1397" w:rsidRPr="00D2126A" w:rsidRDefault="000E5A86" w:rsidP="00C93C76">
      <w:r>
        <w:rPr>
          <w:sz w:val="16"/>
          <w:vertAlign w:val="superscript"/>
        </w:rPr>
        <w:t>a</w:t>
      </w:r>
      <w:r>
        <w:rPr>
          <w:sz w:val="16"/>
        </w:rPr>
        <w:t xml:space="preserve"> À l’appréciation du médecin, si la neutropénie est la seule toxicité quel que soit le palier de dose, ajouter un facteur de croissance granulocytaire (G CSF) et maintenir la dose de lénalidomide</w:t>
      </w:r>
    </w:p>
    <w:p w14:paraId="5134FE30" w14:textId="77777777" w:rsidR="0086792D" w:rsidRPr="00D2126A" w:rsidRDefault="0086792D" w:rsidP="00C93C76"/>
    <w:p w14:paraId="79085266" w14:textId="77777777" w:rsidR="0086792D" w:rsidRPr="00D2126A" w:rsidRDefault="000E5A86" w:rsidP="00C93C76">
      <w:pPr>
        <w:pStyle w:val="Date"/>
        <w:keepNext/>
        <w:rPr>
          <w:i/>
          <w:color w:val="000000"/>
          <w:u w:val="single"/>
        </w:rPr>
      </w:pPr>
      <w:r>
        <w:rPr>
          <w:i/>
          <w:color w:val="000000"/>
          <w:u w:val="single"/>
        </w:rPr>
        <w:t>Myélome multiple chez les patients ayant reçu au moins un traitement antérieur</w:t>
      </w:r>
    </w:p>
    <w:p w14:paraId="4F4E0086" w14:textId="77777777" w:rsidR="0086792D" w:rsidRPr="00D2126A" w:rsidRDefault="000E5A86" w:rsidP="00C93C76">
      <w:pPr>
        <w:rPr>
          <w:color w:val="000000"/>
        </w:rPr>
      </w:pPr>
      <w:r>
        <w:rPr>
          <w:color w:val="000000"/>
        </w:rPr>
        <w:t>Le traitement par le lénalidomide ne doit pas être initié si la numération des PNN est &lt; 1,0 x 10</w:t>
      </w:r>
      <w:r>
        <w:rPr>
          <w:color w:val="000000"/>
          <w:vertAlign w:val="superscript"/>
        </w:rPr>
        <w:t>9</w:t>
      </w:r>
      <w:r>
        <w:rPr>
          <w:color w:val="000000"/>
        </w:rPr>
        <w:t>/l et/ou si la numération plaquettaire est &lt; 75 x 10</w:t>
      </w:r>
      <w:r>
        <w:rPr>
          <w:color w:val="000000"/>
          <w:vertAlign w:val="superscript"/>
        </w:rPr>
        <w:t>9</w:t>
      </w:r>
      <w:r>
        <w:rPr>
          <w:color w:val="000000"/>
        </w:rPr>
        <w:t>/l, ou, selon le niveau d’infiltration des plasmocytes dans la moelle osseuse, si la numération plaquettaire est &lt; 30 x 10</w:t>
      </w:r>
      <w:r>
        <w:rPr>
          <w:color w:val="000000"/>
          <w:vertAlign w:val="superscript"/>
        </w:rPr>
        <w:t>9</w:t>
      </w:r>
      <w:r>
        <w:rPr>
          <w:color w:val="000000"/>
        </w:rPr>
        <w:t>/l.</w:t>
      </w:r>
    </w:p>
    <w:p w14:paraId="7E76FD0D" w14:textId="77777777" w:rsidR="00C74208" w:rsidRPr="00D2126A" w:rsidRDefault="00C74208" w:rsidP="00C93C76">
      <w:pPr>
        <w:pStyle w:val="Date"/>
      </w:pPr>
    </w:p>
    <w:p w14:paraId="35D6DCE6" w14:textId="77777777" w:rsidR="00375EAB" w:rsidRPr="00D2126A" w:rsidRDefault="000E5A86" w:rsidP="00C93C76">
      <w:pPr>
        <w:keepNext/>
        <w:rPr>
          <w:i/>
          <w:color w:val="000000"/>
        </w:rPr>
      </w:pPr>
      <w:r>
        <w:rPr>
          <w:i/>
          <w:color w:val="000000"/>
        </w:rPr>
        <w:t>Posologie recommandée</w:t>
      </w:r>
    </w:p>
    <w:p w14:paraId="0EE54317" w14:textId="7C69447C" w:rsidR="00BB2E76" w:rsidRPr="00D2126A" w:rsidRDefault="000E5A86" w:rsidP="0064116A">
      <w:r>
        <w:t>La dose initiale recommandée est de 25 mg de lénalidomide par voie orale en une prise par jour pendant les jours 1 à 21 de chaque cycle de 28 jours. La dose recommandée de dexaméthasone est de 40 mg en une prise par jour par voie orale les jours 1 à 4, 9 à 12 et 17 à 20 de chaque cycle de 28 jours pour les 4 premiers cycles de traitement, puis de 40 mg en une prise par jour les jours 1 à 4, tous les 28 jours pour les cycles suivants.</w:t>
      </w:r>
    </w:p>
    <w:p w14:paraId="7EB3F03D" w14:textId="77777777" w:rsidR="00FB5483" w:rsidRPr="00D2126A" w:rsidRDefault="00FB5483" w:rsidP="00C93C76">
      <w:pPr>
        <w:pStyle w:val="Date"/>
      </w:pPr>
    </w:p>
    <w:p w14:paraId="0C4B938A" w14:textId="77777777" w:rsidR="00375EAB" w:rsidRPr="00D2126A" w:rsidRDefault="000E5A86" w:rsidP="00C93C76">
      <w:pPr>
        <w:rPr>
          <w:color w:val="000000"/>
        </w:rPr>
      </w:pPr>
      <w:r>
        <w:rPr>
          <w:color w:val="000000"/>
        </w:rPr>
        <w:t>Les médecins prescripteurs doivent déterminer avec précaution la dose de dexaméthasone à utiliser, en tenant compte de la pathologie et du statut de la maladie du patient.</w:t>
      </w:r>
    </w:p>
    <w:p w14:paraId="4A67C1DD" w14:textId="77777777" w:rsidR="00375EAB" w:rsidRPr="00D2126A" w:rsidRDefault="00375EAB" w:rsidP="00C93C76">
      <w:pPr>
        <w:rPr>
          <w:bCs/>
          <w:color w:val="000000"/>
        </w:rPr>
      </w:pPr>
    </w:p>
    <w:p w14:paraId="098525FD" w14:textId="77777777" w:rsidR="00375EAB" w:rsidRPr="00D2126A" w:rsidRDefault="000E5A86" w:rsidP="00C93C76">
      <w:pPr>
        <w:pStyle w:val="Date"/>
        <w:keepNext/>
        <w:numPr>
          <w:ilvl w:val="0"/>
          <w:numId w:val="36"/>
        </w:numPr>
        <w:ind w:left="567" w:hanging="567"/>
        <w:rPr>
          <w:i/>
        </w:rPr>
      </w:pPr>
      <w:r>
        <w:rPr>
          <w:i/>
        </w:rPr>
        <w:t>Paliers de réduction de la posologie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064"/>
        <w:gridCol w:w="3222"/>
      </w:tblGrid>
      <w:tr w:rsidR="00D5485C" w:rsidRPr="00D2126A" w14:paraId="4DBA22D9" w14:textId="77777777" w:rsidTr="0060680F">
        <w:trPr>
          <w:cantSplit/>
          <w:trHeight w:val="57"/>
        </w:trPr>
        <w:tc>
          <w:tcPr>
            <w:tcW w:w="3265" w:type="pct"/>
            <w:shd w:val="clear" w:color="auto" w:fill="auto"/>
          </w:tcPr>
          <w:p w14:paraId="540F0133" w14:textId="77777777" w:rsidR="00375EAB" w:rsidRPr="00D2126A" w:rsidRDefault="000E5A86" w:rsidP="00C93C76">
            <w:pPr>
              <w:keepNext/>
              <w:rPr>
                <w:color w:val="000000"/>
              </w:rPr>
            </w:pPr>
            <w:r>
              <w:rPr>
                <w:color w:val="000000"/>
              </w:rPr>
              <w:t>Dose initiale</w:t>
            </w:r>
          </w:p>
        </w:tc>
        <w:tc>
          <w:tcPr>
            <w:tcW w:w="1735" w:type="pct"/>
            <w:shd w:val="clear" w:color="auto" w:fill="auto"/>
          </w:tcPr>
          <w:p w14:paraId="5EADD466" w14:textId="77777777" w:rsidR="00375EAB" w:rsidRPr="00D2126A" w:rsidRDefault="000E5A86" w:rsidP="00C93C76">
            <w:pPr>
              <w:keepNext/>
              <w:jc w:val="center"/>
              <w:rPr>
                <w:color w:val="000000"/>
              </w:rPr>
            </w:pPr>
            <w:r>
              <w:rPr>
                <w:color w:val="000000"/>
              </w:rPr>
              <w:t>25 mg</w:t>
            </w:r>
          </w:p>
        </w:tc>
      </w:tr>
      <w:tr w:rsidR="00D5485C" w:rsidRPr="00D2126A" w14:paraId="61D8FB32" w14:textId="77777777" w:rsidTr="0060680F">
        <w:trPr>
          <w:cantSplit/>
          <w:trHeight w:val="57"/>
        </w:trPr>
        <w:tc>
          <w:tcPr>
            <w:tcW w:w="3265" w:type="pct"/>
            <w:shd w:val="clear" w:color="auto" w:fill="auto"/>
          </w:tcPr>
          <w:p w14:paraId="78D7B7D8" w14:textId="57381640" w:rsidR="00375EAB" w:rsidRPr="00D2126A" w:rsidRDefault="000E5A86" w:rsidP="00C93C76">
            <w:pPr>
              <w:keepNext/>
              <w:rPr>
                <w:color w:val="000000"/>
              </w:rPr>
            </w:pPr>
            <w:r>
              <w:rPr>
                <w:color w:val="000000"/>
              </w:rPr>
              <w:t>Palier de dose -1</w:t>
            </w:r>
          </w:p>
        </w:tc>
        <w:tc>
          <w:tcPr>
            <w:tcW w:w="1735" w:type="pct"/>
            <w:shd w:val="clear" w:color="auto" w:fill="auto"/>
          </w:tcPr>
          <w:p w14:paraId="06B4D195" w14:textId="77777777" w:rsidR="00375EAB" w:rsidRPr="00D2126A" w:rsidRDefault="000E5A86" w:rsidP="00C93C76">
            <w:pPr>
              <w:keepNext/>
              <w:jc w:val="center"/>
              <w:rPr>
                <w:color w:val="000000"/>
              </w:rPr>
            </w:pPr>
            <w:r>
              <w:rPr>
                <w:color w:val="000000"/>
              </w:rPr>
              <w:t>15 mg</w:t>
            </w:r>
          </w:p>
        </w:tc>
      </w:tr>
      <w:tr w:rsidR="00D5485C" w:rsidRPr="00D2126A" w14:paraId="407FAC79" w14:textId="77777777" w:rsidTr="0060680F">
        <w:trPr>
          <w:cantSplit/>
          <w:trHeight w:val="57"/>
        </w:trPr>
        <w:tc>
          <w:tcPr>
            <w:tcW w:w="3265" w:type="pct"/>
            <w:shd w:val="clear" w:color="auto" w:fill="auto"/>
          </w:tcPr>
          <w:p w14:paraId="5C29A499" w14:textId="174F93FC" w:rsidR="00375EAB" w:rsidRPr="00D2126A" w:rsidRDefault="000E5A86" w:rsidP="00C93C76">
            <w:pPr>
              <w:keepNext/>
              <w:rPr>
                <w:color w:val="000000"/>
              </w:rPr>
            </w:pPr>
            <w:r>
              <w:rPr>
                <w:color w:val="000000"/>
              </w:rPr>
              <w:t>Palier de dose -2</w:t>
            </w:r>
          </w:p>
        </w:tc>
        <w:tc>
          <w:tcPr>
            <w:tcW w:w="1735" w:type="pct"/>
            <w:shd w:val="clear" w:color="auto" w:fill="auto"/>
          </w:tcPr>
          <w:p w14:paraId="449C6FF4" w14:textId="77777777" w:rsidR="00375EAB" w:rsidRPr="00D2126A" w:rsidRDefault="000E5A86" w:rsidP="00C93C76">
            <w:pPr>
              <w:keepNext/>
              <w:jc w:val="center"/>
              <w:rPr>
                <w:color w:val="000000"/>
              </w:rPr>
            </w:pPr>
            <w:r>
              <w:rPr>
                <w:color w:val="000000"/>
              </w:rPr>
              <w:t>10 mg</w:t>
            </w:r>
          </w:p>
        </w:tc>
      </w:tr>
      <w:tr w:rsidR="00D5485C" w:rsidRPr="00D2126A" w14:paraId="6869E91F" w14:textId="77777777" w:rsidTr="0060680F">
        <w:trPr>
          <w:cantSplit/>
          <w:trHeight w:val="57"/>
        </w:trPr>
        <w:tc>
          <w:tcPr>
            <w:tcW w:w="3265" w:type="pct"/>
            <w:shd w:val="clear" w:color="auto" w:fill="auto"/>
          </w:tcPr>
          <w:p w14:paraId="7D0866B6" w14:textId="33594600" w:rsidR="00375EAB" w:rsidRPr="00D2126A" w:rsidRDefault="000E5A86" w:rsidP="00C93C76">
            <w:pPr>
              <w:keepNext/>
              <w:rPr>
                <w:color w:val="000000"/>
              </w:rPr>
            </w:pPr>
            <w:r>
              <w:rPr>
                <w:color w:val="000000"/>
              </w:rPr>
              <w:t>Palier de dose -3</w:t>
            </w:r>
          </w:p>
        </w:tc>
        <w:tc>
          <w:tcPr>
            <w:tcW w:w="1735" w:type="pct"/>
            <w:shd w:val="clear" w:color="auto" w:fill="auto"/>
          </w:tcPr>
          <w:p w14:paraId="46593C44" w14:textId="77777777" w:rsidR="00375EAB" w:rsidRPr="00D2126A" w:rsidRDefault="000E5A86" w:rsidP="00C93C76">
            <w:pPr>
              <w:keepNext/>
              <w:jc w:val="center"/>
              <w:rPr>
                <w:color w:val="000000"/>
              </w:rPr>
            </w:pPr>
            <w:r>
              <w:rPr>
                <w:color w:val="000000"/>
              </w:rPr>
              <w:t>5 mg</w:t>
            </w:r>
          </w:p>
        </w:tc>
      </w:tr>
    </w:tbl>
    <w:p w14:paraId="42214418" w14:textId="77777777" w:rsidR="00375EAB" w:rsidRPr="00D2126A" w:rsidRDefault="00375EAB" w:rsidP="00C93C76">
      <w:pPr>
        <w:rPr>
          <w:color w:val="000000"/>
        </w:rPr>
      </w:pPr>
    </w:p>
    <w:p w14:paraId="113E33E6" w14:textId="77777777" w:rsidR="00375EAB" w:rsidRPr="00D2126A" w:rsidRDefault="000E5A86" w:rsidP="00C93C76">
      <w:pPr>
        <w:pStyle w:val="Date"/>
        <w:keepNext/>
        <w:numPr>
          <w:ilvl w:val="0"/>
          <w:numId w:val="36"/>
        </w:numPr>
        <w:ind w:left="567" w:hanging="567"/>
        <w:rPr>
          <w:i/>
        </w:rPr>
      </w:pPr>
      <w:r>
        <w:rPr>
          <w:i/>
        </w:rPr>
        <w:t>Thrombopénie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0170787D" w14:textId="77777777" w:rsidTr="0060680F">
        <w:trPr>
          <w:cantSplit/>
          <w:trHeight w:val="57"/>
        </w:trPr>
        <w:tc>
          <w:tcPr>
            <w:tcW w:w="2627" w:type="pct"/>
            <w:tcBorders>
              <w:left w:val="nil"/>
              <w:bottom w:val="single" w:sz="4" w:space="0" w:color="auto"/>
              <w:right w:val="nil"/>
            </w:tcBorders>
            <w:shd w:val="clear" w:color="auto" w:fill="auto"/>
          </w:tcPr>
          <w:p w14:paraId="1A59B69B" w14:textId="77777777" w:rsidR="00375EAB" w:rsidRPr="00D2126A" w:rsidRDefault="000E5A86" w:rsidP="00C93C76">
            <w:pPr>
              <w:rPr>
                <w:color w:val="000000"/>
              </w:rPr>
            </w:pPr>
            <w:r>
              <w:rPr>
                <w:color w:val="000000"/>
              </w:rPr>
              <w:t>Numération plaquettaire</w:t>
            </w:r>
          </w:p>
        </w:tc>
        <w:tc>
          <w:tcPr>
            <w:tcW w:w="2373" w:type="pct"/>
            <w:tcBorders>
              <w:left w:val="nil"/>
              <w:bottom w:val="single" w:sz="4" w:space="0" w:color="auto"/>
              <w:right w:val="nil"/>
            </w:tcBorders>
            <w:shd w:val="clear" w:color="auto" w:fill="auto"/>
          </w:tcPr>
          <w:p w14:paraId="7EBF06B0" w14:textId="77777777" w:rsidR="00375EAB" w:rsidRPr="00D2126A" w:rsidRDefault="000E5A86" w:rsidP="0064116A">
            <w:r>
              <w:t>Action recommandée</w:t>
            </w:r>
          </w:p>
        </w:tc>
      </w:tr>
      <w:tr w:rsidR="00D5485C" w:rsidRPr="00D2126A" w14:paraId="477E76F3" w14:textId="77777777" w:rsidTr="0060680F">
        <w:trPr>
          <w:cantSplit/>
          <w:trHeight w:val="57"/>
        </w:trPr>
        <w:tc>
          <w:tcPr>
            <w:tcW w:w="2627" w:type="pct"/>
            <w:tcBorders>
              <w:left w:val="nil"/>
              <w:bottom w:val="nil"/>
              <w:right w:val="nil"/>
            </w:tcBorders>
            <w:shd w:val="clear" w:color="auto" w:fill="auto"/>
          </w:tcPr>
          <w:p w14:paraId="52CB1246" w14:textId="77777777" w:rsidR="00375EAB" w:rsidRPr="00D2126A" w:rsidRDefault="000E5A86" w:rsidP="00C93C76">
            <w:pPr>
              <w:rPr>
                <w:color w:val="000000"/>
              </w:rPr>
            </w:pPr>
            <w:r>
              <w:rPr>
                <w:color w:val="000000"/>
              </w:rPr>
              <w:t>Première chute &lt;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5388F07B" w14:textId="77777777" w:rsidR="00375EAB" w:rsidRPr="00D2126A" w:rsidRDefault="000E5A86" w:rsidP="00C93C76">
            <w:pPr>
              <w:rPr>
                <w:color w:val="000000"/>
              </w:rPr>
            </w:pPr>
            <w:r>
              <w:rPr>
                <w:color w:val="000000"/>
              </w:rPr>
              <w:t>Interrompre le traitement par le lénalidomide</w:t>
            </w:r>
          </w:p>
        </w:tc>
      </w:tr>
      <w:tr w:rsidR="00D5485C" w:rsidRPr="00D2126A" w14:paraId="62FDB1F5" w14:textId="77777777" w:rsidTr="0060680F">
        <w:trPr>
          <w:cantSplit/>
          <w:trHeight w:val="57"/>
        </w:trPr>
        <w:tc>
          <w:tcPr>
            <w:tcW w:w="2627" w:type="pct"/>
            <w:tcBorders>
              <w:top w:val="nil"/>
              <w:left w:val="nil"/>
              <w:bottom w:val="single" w:sz="4" w:space="0" w:color="auto"/>
              <w:right w:val="nil"/>
            </w:tcBorders>
            <w:shd w:val="clear" w:color="auto" w:fill="auto"/>
          </w:tcPr>
          <w:p w14:paraId="59A62111" w14:textId="77777777" w:rsidR="00375EAB" w:rsidRPr="00D2126A" w:rsidRDefault="000E5A86" w:rsidP="00B12D5B">
            <w:r>
              <w:t>Retour ≥ 30 x 10</w:t>
            </w:r>
            <w:r>
              <w:rPr>
                <w:vertAlign w:val="superscript"/>
              </w:rPr>
              <w:t>9</w:t>
            </w:r>
            <w:r>
              <w:t>/l</w:t>
            </w:r>
          </w:p>
        </w:tc>
        <w:tc>
          <w:tcPr>
            <w:tcW w:w="2373" w:type="pct"/>
            <w:tcBorders>
              <w:top w:val="nil"/>
              <w:left w:val="nil"/>
              <w:bottom w:val="single" w:sz="4" w:space="0" w:color="auto"/>
              <w:right w:val="nil"/>
            </w:tcBorders>
            <w:shd w:val="clear" w:color="auto" w:fill="auto"/>
          </w:tcPr>
          <w:p w14:paraId="554F6C61" w14:textId="5BBA53F9" w:rsidR="00375EAB" w:rsidRPr="00D2126A" w:rsidRDefault="000E5A86" w:rsidP="00C93C76">
            <w:pPr>
              <w:rPr>
                <w:color w:val="000000"/>
              </w:rPr>
            </w:pPr>
            <w:r>
              <w:rPr>
                <w:color w:val="000000"/>
              </w:rPr>
              <w:t>Reprendre le lénalidomide au palier de dose -1</w:t>
            </w:r>
          </w:p>
        </w:tc>
      </w:tr>
      <w:tr w:rsidR="00D5485C" w:rsidRPr="00D2126A" w14:paraId="3603EA17" w14:textId="77777777" w:rsidTr="0060680F">
        <w:trPr>
          <w:cantSplit/>
          <w:trHeight w:val="57"/>
        </w:trPr>
        <w:tc>
          <w:tcPr>
            <w:tcW w:w="2627" w:type="pct"/>
            <w:tcBorders>
              <w:left w:val="nil"/>
              <w:bottom w:val="nil"/>
              <w:right w:val="nil"/>
            </w:tcBorders>
            <w:shd w:val="clear" w:color="auto" w:fill="auto"/>
          </w:tcPr>
          <w:p w14:paraId="39A0F359" w14:textId="77777777" w:rsidR="00375EAB" w:rsidRPr="00D2126A" w:rsidRDefault="000E5A86" w:rsidP="00C93C76">
            <w:pPr>
              <w:keepNext/>
              <w:rPr>
                <w:color w:val="000000"/>
              </w:rPr>
            </w:pPr>
            <w:r>
              <w:rPr>
                <w:color w:val="000000"/>
              </w:rPr>
              <w:t>Pour toute nouvelle rechute &lt; à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6EA47406" w14:textId="77777777" w:rsidR="00375EAB" w:rsidRPr="00D2126A" w:rsidRDefault="000E5A86" w:rsidP="00C93C76">
            <w:pPr>
              <w:rPr>
                <w:color w:val="000000"/>
              </w:rPr>
            </w:pPr>
            <w:r>
              <w:rPr>
                <w:color w:val="000000"/>
              </w:rPr>
              <w:t>Interrompre le traitement par le lénalidomide</w:t>
            </w:r>
          </w:p>
        </w:tc>
      </w:tr>
      <w:tr w:rsidR="00D5485C" w:rsidRPr="00D2126A" w14:paraId="25A8F820" w14:textId="77777777" w:rsidTr="0060680F">
        <w:trPr>
          <w:cantSplit/>
          <w:trHeight w:val="57"/>
        </w:trPr>
        <w:tc>
          <w:tcPr>
            <w:tcW w:w="2627" w:type="pct"/>
            <w:tcBorders>
              <w:top w:val="nil"/>
              <w:left w:val="nil"/>
              <w:right w:val="nil"/>
            </w:tcBorders>
            <w:shd w:val="clear" w:color="auto" w:fill="auto"/>
          </w:tcPr>
          <w:p w14:paraId="4F383B03" w14:textId="77777777" w:rsidR="00375EAB" w:rsidRPr="00D2126A" w:rsidRDefault="000E5A86" w:rsidP="00B12D5B">
            <w:r>
              <w:t>Retour ≥ 30 x 10</w:t>
            </w:r>
            <w:r>
              <w:rPr>
                <w:vertAlign w:val="superscript"/>
              </w:rPr>
              <w:t>9</w:t>
            </w:r>
            <w:r>
              <w:t>/l</w:t>
            </w:r>
          </w:p>
        </w:tc>
        <w:tc>
          <w:tcPr>
            <w:tcW w:w="2373" w:type="pct"/>
            <w:tcBorders>
              <w:top w:val="nil"/>
              <w:left w:val="nil"/>
              <w:right w:val="nil"/>
            </w:tcBorders>
            <w:shd w:val="clear" w:color="auto" w:fill="auto"/>
          </w:tcPr>
          <w:p w14:paraId="3B3CC6F2" w14:textId="6CD2B462" w:rsidR="00375EAB" w:rsidRPr="00D2126A" w:rsidRDefault="000E5A86" w:rsidP="00C93C76">
            <w:pPr>
              <w:rPr>
                <w:color w:val="000000"/>
              </w:rPr>
            </w:pPr>
            <w:r>
              <w:rPr>
                <w:color w:val="000000"/>
              </w:rPr>
              <w:t>Reprendre le lénalidomide à la dose immédiatement inférieure (palier de dose -2 ou -3) en une prise par jour. Ne pas descendre en dessous de 5 mg en une prise par jour.</w:t>
            </w:r>
          </w:p>
        </w:tc>
      </w:tr>
    </w:tbl>
    <w:p w14:paraId="5E439EAB" w14:textId="77777777" w:rsidR="00375EAB" w:rsidRPr="00D2126A" w:rsidRDefault="00375EAB" w:rsidP="00C93C76">
      <w:pPr>
        <w:rPr>
          <w:color w:val="000000"/>
        </w:rPr>
      </w:pPr>
    </w:p>
    <w:p w14:paraId="632AE50E" w14:textId="77777777" w:rsidR="00375EAB" w:rsidRPr="00D2126A" w:rsidRDefault="000E5A86" w:rsidP="00C93C76">
      <w:pPr>
        <w:pStyle w:val="Date"/>
        <w:keepNext/>
        <w:numPr>
          <w:ilvl w:val="0"/>
          <w:numId w:val="36"/>
        </w:numPr>
        <w:ind w:left="567" w:hanging="567"/>
        <w:rPr>
          <w:i/>
        </w:rPr>
      </w:pPr>
      <w:r>
        <w:rPr>
          <w:i/>
        </w:rPr>
        <w:t xml:space="preserve">Numération des polynucléaires neutrophiles (PNN) </w:t>
      </w:r>
      <w:r>
        <w:rPr>
          <w:i/>
        </w:rPr>
        <w:noBreakHyphen/>
        <w:t xml:space="preserve"> neutropénie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45031945" w14:textId="77777777" w:rsidTr="0060680F">
        <w:trPr>
          <w:cantSplit/>
          <w:trHeight w:val="57"/>
          <w:tblHeader/>
        </w:trPr>
        <w:tc>
          <w:tcPr>
            <w:tcW w:w="2627" w:type="pct"/>
            <w:tcBorders>
              <w:left w:val="nil"/>
              <w:bottom w:val="single" w:sz="4" w:space="0" w:color="auto"/>
              <w:right w:val="nil"/>
            </w:tcBorders>
            <w:shd w:val="clear" w:color="auto" w:fill="auto"/>
          </w:tcPr>
          <w:p w14:paraId="7FA2293E" w14:textId="77777777" w:rsidR="00375EAB" w:rsidRPr="00D2126A" w:rsidRDefault="000E5A86" w:rsidP="00C93C76">
            <w:pPr>
              <w:keepNext/>
              <w:rPr>
                <w:color w:val="000000"/>
              </w:rPr>
            </w:pPr>
            <w:r>
              <w:rPr>
                <w:color w:val="000000"/>
              </w:rPr>
              <w:t>Numération des PNN</w:t>
            </w:r>
          </w:p>
        </w:tc>
        <w:tc>
          <w:tcPr>
            <w:tcW w:w="2373" w:type="pct"/>
            <w:tcBorders>
              <w:left w:val="nil"/>
              <w:bottom w:val="single" w:sz="4" w:space="0" w:color="auto"/>
              <w:right w:val="nil"/>
            </w:tcBorders>
            <w:shd w:val="clear" w:color="auto" w:fill="auto"/>
          </w:tcPr>
          <w:p w14:paraId="0B152397" w14:textId="77777777" w:rsidR="00375EAB" w:rsidRPr="00D2126A" w:rsidRDefault="000E5A86" w:rsidP="0064116A">
            <w:r>
              <w:t>Action recommandée</w:t>
            </w:r>
            <w:r>
              <w:rPr>
                <w:vertAlign w:val="superscript"/>
              </w:rPr>
              <w:t>a</w:t>
            </w:r>
          </w:p>
        </w:tc>
      </w:tr>
      <w:tr w:rsidR="00D5485C" w:rsidRPr="00D2126A" w14:paraId="489821FA" w14:textId="77777777" w:rsidTr="0060680F">
        <w:trPr>
          <w:cantSplit/>
          <w:trHeight w:val="57"/>
        </w:trPr>
        <w:tc>
          <w:tcPr>
            <w:tcW w:w="2627" w:type="pct"/>
            <w:tcBorders>
              <w:left w:val="nil"/>
              <w:bottom w:val="nil"/>
              <w:right w:val="nil"/>
            </w:tcBorders>
            <w:shd w:val="clear" w:color="auto" w:fill="auto"/>
          </w:tcPr>
          <w:p w14:paraId="22ED3580" w14:textId="77777777" w:rsidR="00375EAB" w:rsidRPr="00D2126A" w:rsidRDefault="000E5A86" w:rsidP="00C93C76">
            <w:pPr>
              <w:rPr>
                <w:color w:val="000000"/>
              </w:rPr>
            </w:pPr>
            <w:r>
              <w:rPr>
                <w:color w:val="000000"/>
              </w:rPr>
              <w:t>Première chute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012A2348" w14:textId="77777777" w:rsidR="00375EAB" w:rsidRPr="00D2126A" w:rsidRDefault="000E5A86" w:rsidP="00C93C76">
            <w:pPr>
              <w:keepNext/>
              <w:rPr>
                <w:color w:val="000000"/>
              </w:rPr>
            </w:pPr>
            <w:r>
              <w:rPr>
                <w:color w:val="000000"/>
              </w:rPr>
              <w:t>Interrompre le traitement par le lénalidomide</w:t>
            </w:r>
          </w:p>
        </w:tc>
      </w:tr>
      <w:tr w:rsidR="00D5485C" w:rsidRPr="00D2126A" w14:paraId="70489C7C" w14:textId="77777777" w:rsidTr="0060680F">
        <w:trPr>
          <w:cantSplit/>
          <w:trHeight w:val="57"/>
        </w:trPr>
        <w:tc>
          <w:tcPr>
            <w:tcW w:w="2627" w:type="pct"/>
            <w:tcBorders>
              <w:top w:val="nil"/>
              <w:left w:val="nil"/>
              <w:right w:val="nil"/>
            </w:tcBorders>
            <w:shd w:val="clear" w:color="auto" w:fill="auto"/>
          </w:tcPr>
          <w:p w14:paraId="0F5C3CBB" w14:textId="77777777" w:rsidR="00375EAB" w:rsidRPr="00D2126A" w:rsidRDefault="000E5A86" w:rsidP="00C93C76">
            <w:pPr>
              <w:rPr>
                <w:color w:val="000000"/>
              </w:rPr>
            </w:pPr>
            <w:r>
              <w:rPr>
                <w:color w:val="000000"/>
              </w:rPr>
              <w:t>Retour ≥ 0,5 x 10</w:t>
            </w:r>
            <w:r>
              <w:rPr>
                <w:color w:val="000000"/>
                <w:vertAlign w:val="superscript"/>
              </w:rPr>
              <w:t>9</w:t>
            </w:r>
            <w:r>
              <w:rPr>
                <w:color w:val="000000"/>
              </w:rPr>
              <w:t>/l, la neutropénie étant la seule toxicité observée</w:t>
            </w:r>
          </w:p>
        </w:tc>
        <w:tc>
          <w:tcPr>
            <w:tcW w:w="2373" w:type="pct"/>
            <w:tcBorders>
              <w:top w:val="nil"/>
              <w:left w:val="nil"/>
              <w:right w:val="nil"/>
            </w:tcBorders>
            <w:shd w:val="clear" w:color="auto" w:fill="auto"/>
          </w:tcPr>
          <w:p w14:paraId="609286C2" w14:textId="77777777" w:rsidR="00375EAB" w:rsidRPr="00D2126A" w:rsidRDefault="000E5A86" w:rsidP="00C93C76">
            <w:pPr>
              <w:keepNext/>
              <w:rPr>
                <w:color w:val="000000"/>
              </w:rPr>
            </w:pPr>
            <w:r>
              <w:rPr>
                <w:color w:val="000000"/>
              </w:rPr>
              <w:t>Reprendre le lénalidomide à la dose initiale en une prise par jour</w:t>
            </w:r>
          </w:p>
        </w:tc>
      </w:tr>
      <w:tr w:rsidR="00D5485C" w:rsidRPr="00D2126A" w14:paraId="1C927CF0" w14:textId="77777777" w:rsidTr="0060680F">
        <w:trPr>
          <w:cantSplit/>
          <w:trHeight w:val="57"/>
        </w:trPr>
        <w:tc>
          <w:tcPr>
            <w:tcW w:w="2627" w:type="pct"/>
            <w:tcBorders>
              <w:left w:val="nil"/>
              <w:bottom w:val="single" w:sz="4" w:space="0" w:color="auto"/>
              <w:right w:val="nil"/>
            </w:tcBorders>
            <w:shd w:val="clear" w:color="auto" w:fill="auto"/>
          </w:tcPr>
          <w:p w14:paraId="2CA84359" w14:textId="77777777" w:rsidR="00375EAB" w:rsidRPr="00D2126A" w:rsidRDefault="000E5A86" w:rsidP="00C93C76">
            <w:pPr>
              <w:rPr>
                <w:color w:val="000000"/>
              </w:rPr>
            </w:pPr>
            <w:r>
              <w:rPr>
                <w:color w:val="000000"/>
              </w:rPr>
              <w:t>Retour ≥ 0,5 x 10</w:t>
            </w:r>
            <w:r>
              <w:rPr>
                <w:color w:val="000000"/>
                <w:vertAlign w:val="superscript"/>
              </w:rPr>
              <w:t>9</w:t>
            </w:r>
            <w:r>
              <w:rPr>
                <w:color w:val="000000"/>
              </w:rPr>
              <w:t>/l, en cas de toxicités hématologiques dépendantes de la dose autres que la neutropénie</w:t>
            </w:r>
          </w:p>
        </w:tc>
        <w:tc>
          <w:tcPr>
            <w:tcW w:w="2373" w:type="pct"/>
            <w:tcBorders>
              <w:left w:val="nil"/>
              <w:bottom w:val="single" w:sz="4" w:space="0" w:color="auto"/>
              <w:right w:val="nil"/>
            </w:tcBorders>
            <w:shd w:val="clear" w:color="auto" w:fill="auto"/>
          </w:tcPr>
          <w:p w14:paraId="4E2C8260" w14:textId="5AA4AD4F" w:rsidR="00375EAB" w:rsidRPr="00D2126A" w:rsidRDefault="000E5A86" w:rsidP="00C93C76">
            <w:pPr>
              <w:keepNext/>
              <w:rPr>
                <w:color w:val="000000"/>
              </w:rPr>
            </w:pPr>
            <w:r>
              <w:rPr>
                <w:color w:val="000000"/>
              </w:rPr>
              <w:t>Reprendre le lénalidomide au palier de dose -1 en une prise par jour</w:t>
            </w:r>
          </w:p>
        </w:tc>
      </w:tr>
      <w:tr w:rsidR="00D5485C" w:rsidRPr="00D2126A" w14:paraId="505B8601" w14:textId="77777777" w:rsidTr="0060680F">
        <w:trPr>
          <w:cantSplit/>
          <w:trHeight w:val="57"/>
        </w:trPr>
        <w:tc>
          <w:tcPr>
            <w:tcW w:w="2627" w:type="pct"/>
            <w:tcBorders>
              <w:left w:val="nil"/>
              <w:bottom w:val="nil"/>
              <w:right w:val="nil"/>
            </w:tcBorders>
            <w:shd w:val="clear" w:color="auto" w:fill="auto"/>
          </w:tcPr>
          <w:p w14:paraId="3ACFB16B" w14:textId="77777777" w:rsidR="00375EAB" w:rsidRPr="00D2126A" w:rsidRDefault="000E5A86" w:rsidP="00C93C76">
            <w:pPr>
              <w:keepNext/>
              <w:rPr>
                <w:color w:val="000000"/>
              </w:rPr>
            </w:pPr>
            <w:r>
              <w:rPr>
                <w:color w:val="000000"/>
              </w:rPr>
              <w:t>Pour toute nouvelle rechute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4CD6327B" w14:textId="77777777" w:rsidR="00375EAB" w:rsidRPr="00D2126A" w:rsidRDefault="000E5A86" w:rsidP="00C93C76">
            <w:pPr>
              <w:rPr>
                <w:color w:val="000000"/>
              </w:rPr>
            </w:pPr>
            <w:r>
              <w:rPr>
                <w:color w:val="000000"/>
              </w:rPr>
              <w:t>Interrompre le traitement par le lénalidomide</w:t>
            </w:r>
          </w:p>
        </w:tc>
      </w:tr>
      <w:tr w:rsidR="00D5485C" w:rsidRPr="00D2126A" w14:paraId="5F629CEF" w14:textId="77777777" w:rsidTr="0060680F">
        <w:trPr>
          <w:cantSplit/>
          <w:trHeight w:val="57"/>
        </w:trPr>
        <w:tc>
          <w:tcPr>
            <w:tcW w:w="2627" w:type="pct"/>
            <w:tcBorders>
              <w:top w:val="nil"/>
              <w:left w:val="nil"/>
              <w:right w:val="nil"/>
            </w:tcBorders>
            <w:shd w:val="clear" w:color="auto" w:fill="auto"/>
          </w:tcPr>
          <w:p w14:paraId="6230AEBA" w14:textId="77777777" w:rsidR="00375EAB" w:rsidRPr="00D2126A" w:rsidRDefault="000E5A86" w:rsidP="00B12D5B">
            <w:r>
              <w:t>Retour ≥ 0,5 x 10</w:t>
            </w:r>
            <w:r>
              <w:rPr>
                <w:vertAlign w:val="superscript"/>
              </w:rPr>
              <w:t>9</w:t>
            </w:r>
            <w:r>
              <w:t>/l</w:t>
            </w:r>
          </w:p>
        </w:tc>
        <w:tc>
          <w:tcPr>
            <w:tcW w:w="2373" w:type="pct"/>
            <w:tcBorders>
              <w:top w:val="nil"/>
              <w:left w:val="nil"/>
              <w:right w:val="nil"/>
            </w:tcBorders>
            <w:shd w:val="clear" w:color="auto" w:fill="auto"/>
          </w:tcPr>
          <w:p w14:paraId="00ABF1A9" w14:textId="7A375E78" w:rsidR="00375EAB" w:rsidRPr="00D2126A" w:rsidRDefault="000E5A86" w:rsidP="00C93C76">
            <w:pPr>
              <w:rPr>
                <w:color w:val="000000"/>
              </w:rPr>
            </w:pPr>
            <w:r>
              <w:rPr>
                <w:color w:val="000000"/>
              </w:rPr>
              <w:t>Reprendre le lénalidomide à la dose immédiatement inférieure (palier de dose -1, -2 ou -3) en une prise par jour. Ne pas descendre en dessous de 5 mg en une prise par jour.</w:t>
            </w:r>
          </w:p>
        </w:tc>
      </w:tr>
    </w:tbl>
    <w:p w14:paraId="652B7409" w14:textId="77777777" w:rsidR="00AC4694" w:rsidRPr="00D2126A" w:rsidRDefault="000E5A86" w:rsidP="00C93C76">
      <w:pPr>
        <w:keepNext/>
        <w:rPr>
          <w:sz w:val="16"/>
        </w:rPr>
      </w:pPr>
      <w:r>
        <w:rPr>
          <w:sz w:val="16"/>
          <w:vertAlign w:val="superscript"/>
        </w:rPr>
        <w:t>a</w:t>
      </w:r>
      <w:r>
        <w:rPr>
          <w:sz w:val="16"/>
        </w:rPr>
        <w:t xml:space="preserve"> À l’appréciation du médecin, si la neutropénie est la seule toxicité quel que soit le palier de dose, ajouter un facteur de croissance granulocytaire (G</w:t>
      </w:r>
      <w:r>
        <w:rPr>
          <w:sz w:val="16"/>
        </w:rPr>
        <w:noBreakHyphen/>
        <w:t>CSF) et maintenir la dose de lénalidomide.</w:t>
      </w:r>
    </w:p>
    <w:p w14:paraId="4F0F6233" w14:textId="77777777" w:rsidR="00375EAB" w:rsidRPr="00D2126A" w:rsidRDefault="00375EAB" w:rsidP="00C93C76">
      <w:pPr>
        <w:rPr>
          <w:color w:val="000000"/>
        </w:rPr>
      </w:pPr>
    </w:p>
    <w:p w14:paraId="1C370BB5" w14:textId="77777777" w:rsidR="00AC6C7C" w:rsidRPr="00D2126A" w:rsidRDefault="000E5A86" w:rsidP="00C93C76">
      <w:pPr>
        <w:pStyle w:val="Date"/>
        <w:keepNext/>
        <w:rPr>
          <w:i/>
          <w:color w:val="000000"/>
          <w:u w:val="single"/>
        </w:rPr>
      </w:pPr>
      <w:r>
        <w:rPr>
          <w:i/>
          <w:color w:val="000000"/>
          <w:u w:val="single"/>
        </w:rPr>
        <w:t>Syndromes myélodysplasiques (SMD)</w:t>
      </w:r>
    </w:p>
    <w:p w14:paraId="06C8D5AE" w14:textId="313C38D1" w:rsidR="00AC6C7C" w:rsidRPr="00D2126A" w:rsidRDefault="000E5A86" w:rsidP="007C237C">
      <w:pPr>
        <w:pStyle w:val="Date"/>
        <w:rPr>
          <w:color w:val="000000"/>
        </w:rPr>
      </w:pPr>
      <w:r>
        <w:rPr>
          <w:color w:val="000000"/>
        </w:rPr>
        <w:t>Le traitement par le lénalidomide ne doit pas être initié si la numération des polynucléaires neutrophiles est &lt; 0,5 x 10</w:t>
      </w:r>
      <w:r>
        <w:rPr>
          <w:color w:val="000000"/>
          <w:vertAlign w:val="superscript"/>
        </w:rPr>
        <w:t>9</w:t>
      </w:r>
      <w:r>
        <w:rPr>
          <w:color w:val="000000"/>
        </w:rPr>
        <w:t>/l et/ou si la numération plaquettaire est &lt; 25 x 10</w:t>
      </w:r>
      <w:r>
        <w:rPr>
          <w:color w:val="000000"/>
          <w:vertAlign w:val="superscript"/>
        </w:rPr>
        <w:t>9</w:t>
      </w:r>
      <w:r>
        <w:rPr>
          <w:color w:val="000000"/>
        </w:rPr>
        <w:t>/l.</w:t>
      </w:r>
    </w:p>
    <w:p w14:paraId="61BA2D28" w14:textId="77777777" w:rsidR="00AC6C7C" w:rsidRPr="00D2126A" w:rsidRDefault="00AC6C7C" w:rsidP="00C93C76">
      <w:pPr>
        <w:rPr>
          <w:color w:val="000000"/>
        </w:rPr>
      </w:pPr>
    </w:p>
    <w:p w14:paraId="3E63332B" w14:textId="77777777" w:rsidR="00AC6C7C" w:rsidRPr="00D2126A" w:rsidRDefault="000E5A86" w:rsidP="00C93C76">
      <w:pPr>
        <w:keepNext/>
        <w:rPr>
          <w:i/>
          <w:color w:val="000000"/>
        </w:rPr>
      </w:pPr>
      <w:r>
        <w:rPr>
          <w:i/>
          <w:color w:val="000000"/>
        </w:rPr>
        <w:t>Posologie recommandée</w:t>
      </w:r>
    </w:p>
    <w:p w14:paraId="6A1BAC21" w14:textId="61F84B8A" w:rsidR="00036363" w:rsidRPr="00D2126A" w:rsidRDefault="000E5A86" w:rsidP="0064116A">
      <w:r>
        <w:t>La dose initiale recommandée est de 10 mg de lénalidomide par voie orale en une prise par jour les jours 1 à 21 de chaque cycle de 28 jours.</w:t>
      </w:r>
    </w:p>
    <w:p w14:paraId="14A460D8" w14:textId="3C0A16DB" w:rsidR="00AC6C7C" w:rsidRPr="00D2126A" w:rsidRDefault="00AC6C7C" w:rsidP="00C93C76">
      <w:pPr>
        <w:pStyle w:val="Date"/>
        <w:rPr>
          <w:color w:val="000000"/>
        </w:rPr>
      </w:pPr>
    </w:p>
    <w:p w14:paraId="0123EF67" w14:textId="77777777" w:rsidR="00AC6C7C" w:rsidRPr="00D2126A" w:rsidRDefault="000E5A86" w:rsidP="00C93C76">
      <w:pPr>
        <w:pStyle w:val="Date"/>
        <w:keepNext/>
        <w:numPr>
          <w:ilvl w:val="0"/>
          <w:numId w:val="36"/>
        </w:numPr>
        <w:ind w:left="567" w:hanging="567"/>
        <w:rPr>
          <w:i/>
        </w:rPr>
      </w:pPr>
      <w:r>
        <w:rPr>
          <w:i/>
        </w:rPr>
        <w:t>Paliers de réduction de la posologie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494"/>
        <w:gridCol w:w="6792"/>
      </w:tblGrid>
      <w:tr w:rsidR="00D5485C" w:rsidRPr="00D2126A" w14:paraId="433969E6" w14:textId="77777777" w:rsidTr="0060680F">
        <w:trPr>
          <w:cantSplit/>
          <w:trHeight w:val="57"/>
        </w:trPr>
        <w:tc>
          <w:tcPr>
            <w:tcW w:w="1343" w:type="pct"/>
            <w:shd w:val="clear" w:color="auto" w:fill="auto"/>
          </w:tcPr>
          <w:p w14:paraId="5AA3E6FB" w14:textId="77777777" w:rsidR="00AC6C7C" w:rsidRPr="00D2126A" w:rsidRDefault="000E5A86" w:rsidP="00C93C76">
            <w:pPr>
              <w:keepNext/>
              <w:rPr>
                <w:color w:val="000000"/>
              </w:rPr>
            </w:pPr>
            <w:r>
              <w:rPr>
                <w:color w:val="000000"/>
              </w:rPr>
              <w:t>Dose initiale</w:t>
            </w:r>
          </w:p>
        </w:tc>
        <w:tc>
          <w:tcPr>
            <w:tcW w:w="3657" w:type="pct"/>
            <w:shd w:val="clear" w:color="auto" w:fill="auto"/>
          </w:tcPr>
          <w:p w14:paraId="5CE11D99" w14:textId="1590CE53" w:rsidR="00AC6C7C" w:rsidRPr="00D2126A" w:rsidRDefault="000E5A86" w:rsidP="00C93C76">
            <w:pPr>
              <w:keepNext/>
              <w:rPr>
                <w:color w:val="000000"/>
              </w:rPr>
            </w:pPr>
            <w:r>
              <w:rPr>
                <w:color w:val="000000"/>
              </w:rPr>
              <w:t>10 mg en une prise par jour les jours 1 à 21 de chaque cycle de 28 jours</w:t>
            </w:r>
          </w:p>
        </w:tc>
      </w:tr>
      <w:tr w:rsidR="00D5485C" w:rsidRPr="00D2126A" w14:paraId="277EB2A7" w14:textId="77777777" w:rsidTr="0060680F">
        <w:trPr>
          <w:cantSplit/>
          <w:trHeight w:val="57"/>
        </w:trPr>
        <w:tc>
          <w:tcPr>
            <w:tcW w:w="1343" w:type="pct"/>
            <w:shd w:val="clear" w:color="auto" w:fill="auto"/>
          </w:tcPr>
          <w:p w14:paraId="0CA064F0" w14:textId="72F6E18F" w:rsidR="00AC6C7C" w:rsidRPr="00D2126A" w:rsidRDefault="000E5A86" w:rsidP="00C93C76">
            <w:pPr>
              <w:keepNext/>
              <w:rPr>
                <w:color w:val="000000"/>
              </w:rPr>
            </w:pPr>
            <w:r>
              <w:rPr>
                <w:color w:val="000000"/>
              </w:rPr>
              <w:t>Palier de dose -1</w:t>
            </w:r>
          </w:p>
        </w:tc>
        <w:tc>
          <w:tcPr>
            <w:tcW w:w="3657" w:type="pct"/>
            <w:shd w:val="clear" w:color="auto" w:fill="auto"/>
          </w:tcPr>
          <w:p w14:paraId="004D1080" w14:textId="39BE8A73" w:rsidR="00AC6C7C" w:rsidRPr="00D2126A" w:rsidRDefault="000E5A86" w:rsidP="00C93C76">
            <w:pPr>
              <w:keepNext/>
              <w:rPr>
                <w:color w:val="000000"/>
              </w:rPr>
            </w:pPr>
            <w:r>
              <w:rPr>
                <w:color w:val="000000"/>
              </w:rPr>
              <w:t>5,0 mg en une prise par jour les jours 1 à 28 de chaque cycle de 28 jours</w:t>
            </w:r>
          </w:p>
        </w:tc>
      </w:tr>
      <w:tr w:rsidR="00D5485C" w:rsidRPr="00D2126A" w14:paraId="1F96BE7B" w14:textId="77777777" w:rsidTr="0060680F">
        <w:trPr>
          <w:cantSplit/>
          <w:trHeight w:val="57"/>
        </w:trPr>
        <w:tc>
          <w:tcPr>
            <w:tcW w:w="1343" w:type="pct"/>
            <w:shd w:val="clear" w:color="auto" w:fill="auto"/>
          </w:tcPr>
          <w:p w14:paraId="42987454" w14:textId="78C57588" w:rsidR="00AC6C7C" w:rsidRPr="00D2126A" w:rsidRDefault="000E5A86" w:rsidP="00C93C76">
            <w:pPr>
              <w:keepNext/>
              <w:rPr>
                <w:color w:val="000000"/>
              </w:rPr>
            </w:pPr>
            <w:r>
              <w:rPr>
                <w:color w:val="000000"/>
              </w:rPr>
              <w:t>Palier de dose -2</w:t>
            </w:r>
          </w:p>
        </w:tc>
        <w:tc>
          <w:tcPr>
            <w:tcW w:w="3657" w:type="pct"/>
            <w:shd w:val="clear" w:color="auto" w:fill="auto"/>
          </w:tcPr>
          <w:p w14:paraId="6DB3A390" w14:textId="657B70C2" w:rsidR="00AC6C7C" w:rsidRPr="00D2126A" w:rsidRDefault="000E5A86" w:rsidP="00C93C76">
            <w:pPr>
              <w:keepNext/>
              <w:rPr>
                <w:color w:val="000000"/>
              </w:rPr>
            </w:pPr>
            <w:r>
              <w:rPr>
                <w:color w:val="000000"/>
              </w:rPr>
              <w:t>2,5 mg en une prise par jour les jours 1 à 28 de chaque cycle de 28 jours</w:t>
            </w:r>
          </w:p>
        </w:tc>
      </w:tr>
      <w:tr w:rsidR="00D5485C" w:rsidRPr="00D2126A" w14:paraId="61523BC9" w14:textId="77777777" w:rsidTr="0060680F">
        <w:trPr>
          <w:cantSplit/>
          <w:trHeight w:val="57"/>
        </w:trPr>
        <w:tc>
          <w:tcPr>
            <w:tcW w:w="1343" w:type="pct"/>
            <w:shd w:val="clear" w:color="auto" w:fill="auto"/>
          </w:tcPr>
          <w:p w14:paraId="75162F33" w14:textId="4EC3FBA0" w:rsidR="00AC6C7C" w:rsidRPr="00D2126A" w:rsidRDefault="000E5A86" w:rsidP="00C93C76">
            <w:pPr>
              <w:keepNext/>
              <w:rPr>
                <w:color w:val="000000"/>
              </w:rPr>
            </w:pPr>
            <w:r>
              <w:rPr>
                <w:color w:val="000000"/>
              </w:rPr>
              <w:t>Palier de dose -3</w:t>
            </w:r>
          </w:p>
        </w:tc>
        <w:tc>
          <w:tcPr>
            <w:tcW w:w="3657" w:type="pct"/>
            <w:shd w:val="clear" w:color="auto" w:fill="auto"/>
          </w:tcPr>
          <w:p w14:paraId="6F1DB268" w14:textId="136C504A" w:rsidR="00AC6C7C" w:rsidRPr="00D2126A" w:rsidRDefault="000E5A86" w:rsidP="00C93C76">
            <w:pPr>
              <w:keepNext/>
              <w:rPr>
                <w:color w:val="000000"/>
              </w:rPr>
            </w:pPr>
            <w:r>
              <w:rPr>
                <w:color w:val="000000"/>
              </w:rPr>
              <w:t>2,5 mg un jour sur deux les jours 1 à 28 de chaque cycle de 28 jours</w:t>
            </w:r>
          </w:p>
        </w:tc>
      </w:tr>
    </w:tbl>
    <w:p w14:paraId="2ACC7F8A" w14:textId="77777777" w:rsidR="00F148D2" w:rsidRPr="00D2126A" w:rsidRDefault="00F148D2" w:rsidP="00C93C76"/>
    <w:p w14:paraId="02458BBB" w14:textId="77777777" w:rsidR="00AC6C7C" w:rsidRPr="00D2126A" w:rsidRDefault="000E5A86" w:rsidP="00C93C76">
      <w:pPr>
        <w:pStyle w:val="Date"/>
        <w:keepNext/>
        <w:numPr>
          <w:ilvl w:val="0"/>
          <w:numId w:val="36"/>
        </w:numPr>
        <w:ind w:left="567" w:hanging="567"/>
        <w:rPr>
          <w:i/>
        </w:rPr>
      </w:pPr>
      <w:r>
        <w:rPr>
          <w:i/>
        </w:rPr>
        <w:t>Thrombopénie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07088CEB" w14:textId="77777777" w:rsidTr="0060680F">
        <w:trPr>
          <w:cantSplit/>
          <w:trHeight w:val="57"/>
        </w:trPr>
        <w:tc>
          <w:tcPr>
            <w:tcW w:w="2627" w:type="pct"/>
            <w:tcBorders>
              <w:left w:val="nil"/>
              <w:bottom w:val="single" w:sz="4" w:space="0" w:color="auto"/>
              <w:right w:val="nil"/>
            </w:tcBorders>
            <w:shd w:val="clear" w:color="auto" w:fill="auto"/>
          </w:tcPr>
          <w:p w14:paraId="410E3A0F" w14:textId="77777777" w:rsidR="00AC6C7C" w:rsidRPr="00D2126A" w:rsidRDefault="000E5A86" w:rsidP="00C93C76">
            <w:pPr>
              <w:keepNext/>
              <w:rPr>
                <w:color w:val="000000"/>
              </w:rPr>
            </w:pPr>
            <w:r>
              <w:rPr>
                <w:color w:val="000000"/>
              </w:rPr>
              <w:t>Numération plaquettaire</w:t>
            </w:r>
          </w:p>
        </w:tc>
        <w:tc>
          <w:tcPr>
            <w:tcW w:w="2373" w:type="pct"/>
            <w:tcBorders>
              <w:left w:val="nil"/>
              <w:bottom w:val="single" w:sz="4" w:space="0" w:color="auto"/>
              <w:right w:val="nil"/>
            </w:tcBorders>
            <w:shd w:val="clear" w:color="auto" w:fill="auto"/>
          </w:tcPr>
          <w:p w14:paraId="59D622F9" w14:textId="77777777" w:rsidR="00AC6C7C" w:rsidRPr="00D2126A" w:rsidRDefault="000E5A86" w:rsidP="00C93C76">
            <w:pPr>
              <w:rPr>
                <w:color w:val="000000"/>
              </w:rPr>
            </w:pPr>
            <w:r>
              <w:rPr>
                <w:color w:val="000000"/>
              </w:rPr>
              <w:t>Action recommandée</w:t>
            </w:r>
          </w:p>
        </w:tc>
      </w:tr>
      <w:tr w:rsidR="00D5485C" w:rsidRPr="00D2126A" w14:paraId="369F3867" w14:textId="77777777" w:rsidTr="0060680F">
        <w:trPr>
          <w:cantSplit/>
          <w:trHeight w:val="57"/>
        </w:trPr>
        <w:tc>
          <w:tcPr>
            <w:tcW w:w="2627" w:type="pct"/>
            <w:tcBorders>
              <w:left w:val="nil"/>
              <w:bottom w:val="nil"/>
              <w:right w:val="nil"/>
            </w:tcBorders>
            <w:shd w:val="clear" w:color="auto" w:fill="auto"/>
          </w:tcPr>
          <w:p w14:paraId="6E12BA68" w14:textId="77777777" w:rsidR="00AC6C7C" w:rsidRPr="00D2126A" w:rsidRDefault="000E5A86" w:rsidP="00345C47">
            <w:pPr>
              <w:keepNext/>
              <w:rPr>
                <w:color w:val="000000"/>
              </w:rPr>
            </w:pPr>
            <w:r>
              <w:rPr>
                <w:color w:val="000000"/>
              </w:rPr>
              <w:t>Chute &lt; 25 x 10</w:t>
            </w:r>
            <w:r>
              <w:rPr>
                <w:color w:val="000000"/>
                <w:vertAlign w:val="superscript"/>
              </w:rPr>
              <w:t>9</w:t>
            </w:r>
            <w:r>
              <w:rPr>
                <w:color w:val="000000"/>
              </w:rPr>
              <w:t>/l</w:t>
            </w:r>
          </w:p>
        </w:tc>
        <w:tc>
          <w:tcPr>
            <w:tcW w:w="2373" w:type="pct"/>
            <w:tcBorders>
              <w:left w:val="nil"/>
              <w:bottom w:val="nil"/>
              <w:right w:val="nil"/>
            </w:tcBorders>
            <w:shd w:val="clear" w:color="auto" w:fill="auto"/>
          </w:tcPr>
          <w:p w14:paraId="5F8619F8" w14:textId="77777777" w:rsidR="00AC6C7C" w:rsidRPr="00D2126A" w:rsidRDefault="000E5A86" w:rsidP="00C93C76">
            <w:pPr>
              <w:rPr>
                <w:color w:val="000000"/>
              </w:rPr>
            </w:pPr>
            <w:r>
              <w:rPr>
                <w:color w:val="000000"/>
              </w:rPr>
              <w:t>Interrompre le traitement par le lénalidomide</w:t>
            </w:r>
          </w:p>
        </w:tc>
      </w:tr>
      <w:tr w:rsidR="00D5485C" w:rsidRPr="00D2126A" w14:paraId="5CF4056E" w14:textId="77777777" w:rsidTr="0060680F">
        <w:trPr>
          <w:cantSplit/>
          <w:trHeight w:val="57"/>
        </w:trPr>
        <w:tc>
          <w:tcPr>
            <w:tcW w:w="2627" w:type="pct"/>
            <w:tcBorders>
              <w:top w:val="nil"/>
              <w:left w:val="nil"/>
              <w:right w:val="nil"/>
            </w:tcBorders>
            <w:shd w:val="clear" w:color="auto" w:fill="auto"/>
          </w:tcPr>
          <w:p w14:paraId="1543A42F" w14:textId="0EFB68E2" w:rsidR="00AC6C7C" w:rsidRPr="00D2126A" w:rsidRDefault="000E5A86" w:rsidP="00345C47">
            <w:pPr>
              <w:keepNext/>
              <w:rPr>
                <w:color w:val="000000"/>
              </w:rPr>
            </w:pPr>
            <w:r>
              <w:rPr>
                <w:color w:val="000000"/>
              </w:rPr>
              <w:t>Retour ≥ 25 x 10</w:t>
            </w:r>
            <w:r>
              <w:rPr>
                <w:color w:val="000000"/>
                <w:vertAlign w:val="superscript"/>
              </w:rPr>
              <w:t>9</w:t>
            </w:r>
            <w:r>
              <w:rPr>
                <w:color w:val="000000"/>
              </w:rPr>
              <w:t>/l et &lt; 50 x 10</w:t>
            </w:r>
            <w:r>
              <w:rPr>
                <w:color w:val="000000"/>
                <w:vertAlign w:val="superscript"/>
              </w:rPr>
              <w:t>9</w:t>
            </w:r>
            <w:r>
              <w:rPr>
                <w:color w:val="000000"/>
              </w:rPr>
              <w:t>/l au moins à 2 reprises pendant ≥ 7 jours ou quand la récupération du taux de plaquettes est ≥ 50 x 10</w:t>
            </w:r>
            <w:r>
              <w:rPr>
                <w:color w:val="000000"/>
                <w:vertAlign w:val="superscript"/>
              </w:rPr>
              <w:t>9</w:t>
            </w:r>
            <w:r>
              <w:rPr>
                <w:color w:val="000000"/>
              </w:rPr>
              <w:t>/l à tout moment</w:t>
            </w:r>
          </w:p>
        </w:tc>
        <w:tc>
          <w:tcPr>
            <w:tcW w:w="2373" w:type="pct"/>
            <w:tcBorders>
              <w:top w:val="nil"/>
              <w:left w:val="nil"/>
              <w:right w:val="nil"/>
            </w:tcBorders>
            <w:shd w:val="clear" w:color="auto" w:fill="auto"/>
          </w:tcPr>
          <w:p w14:paraId="5EFE4D9A" w14:textId="5517660A" w:rsidR="00AC6C7C" w:rsidRPr="00D2126A" w:rsidRDefault="000E5A86" w:rsidP="00C93C76">
            <w:pPr>
              <w:rPr>
                <w:color w:val="000000"/>
              </w:rPr>
            </w:pPr>
            <w:r>
              <w:rPr>
                <w:color w:val="000000"/>
              </w:rPr>
              <w:t>Reprendre le lénalidomide à la dose immédiatement inférieure (palier de dose -1, -2 ou -3)</w:t>
            </w:r>
          </w:p>
        </w:tc>
      </w:tr>
    </w:tbl>
    <w:p w14:paraId="188129CD" w14:textId="77777777" w:rsidR="00AC6C7C" w:rsidRPr="00D2126A" w:rsidRDefault="00AC6C7C" w:rsidP="00C93C76">
      <w:pPr>
        <w:rPr>
          <w:color w:val="000000"/>
        </w:rPr>
      </w:pPr>
    </w:p>
    <w:p w14:paraId="2E2D52F9" w14:textId="77777777" w:rsidR="00AC6C7C" w:rsidRPr="00D2126A" w:rsidRDefault="000E5A86" w:rsidP="00C93C76">
      <w:pPr>
        <w:pStyle w:val="Date"/>
        <w:keepNext/>
        <w:numPr>
          <w:ilvl w:val="0"/>
          <w:numId w:val="36"/>
        </w:numPr>
        <w:ind w:left="567" w:hanging="567"/>
        <w:rPr>
          <w:i/>
        </w:rPr>
      </w:pPr>
      <w:r>
        <w:rPr>
          <w:i/>
        </w:rPr>
        <w:t xml:space="preserve">Numération des polynucléaires neutrophiles (PNN) </w:t>
      </w:r>
      <w:r>
        <w:rPr>
          <w:i/>
        </w:rPr>
        <w:noBreakHyphen/>
        <w:t xml:space="preserve"> neutropénie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19A31DD3" w14:textId="77777777" w:rsidTr="0009727D">
        <w:trPr>
          <w:cantSplit/>
          <w:trHeight w:val="57"/>
          <w:tblHeader/>
        </w:trPr>
        <w:tc>
          <w:tcPr>
            <w:tcW w:w="2627" w:type="pct"/>
            <w:tcBorders>
              <w:left w:val="nil"/>
              <w:bottom w:val="single" w:sz="4" w:space="0" w:color="auto"/>
              <w:right w:val="nil"/>
            </w:tcBorders>
            <w:shd w:val="clear" w:color="auto" w:fill="auto"/>
          </w:tcPr>
          <w:p w14:paraId="1BD4E876" w14:textId="77777777" w:rsidR="00AC6C7C" w:rsidRPr="00D2126A" w:rsidRDefault="000E5A86" w:rsidP="00C93C76">
            <w:pPr>
              <w:keepNext/>
              <w:rPr>
                <w:color w:val="000000"/>
              </w:rPr>
            </w:pPr>
            <w:r>
              <w:rPr>
                <w:color w:val="000000"/>
              </w:rPr>
              <w:t>Numération des PNN</w:t>
            </w:r>
          </w:p>
        </w:tc>
        <w:tc>
          <w:tcPr>
            <w:tcW w:w="2373" w:type="pct"/>
            <w:tcBorders>
              <w:left w:val="nil"/>
              <w:bottom w:val="single" w:sz="4" w:space="0" w:color="auto"/>
              <w:right w:val="nil"/>
            </w:tcBorders>
            <w:shd w:val="clear" w:color="auto" w:fill="auto"/>
          </w:tcPr>
          <w:p w14:paraId="51E6ADB7" w14:textId="77777777" w:rsidR="00AC6C7C" w:rsidRPr="00D2126A" w:rsidRDefault="000E5A86" w:rsidP="00C93C76">
            <w:pPr>
              <w:rPr>
                <w:color w:val="000000"/>
              </w:rPr>
            </w:pPr>
            <w:r>
              <w:rPr>
                <w:color w:val="000000"/>
              </w:rPr>
              <w:t>Action recommandée</w:t>
            </w:r>
          </w:p>
        </w:tc>
      </w:tr>
      <w:tr w:rsidR="00D5485C" w:rsidRPr="00D2126A" w14:paraId="2D74A426" w14:textId="77777777" w:rsidTr="0009727D">
        <w:trPr>
          <w:cantSplit/>
          <w:trHeight w:val="57"/>
        </w:trPr>
        <w:tc>
          <w:tcPr>
            <w:tcW w:w="2627" w:type="pct"/>
            <w:tcBorders>
              <w:left w:val="nil"/>
              <w:bottom w:val="nil"/>
              <w:right w:val="nil"/>
            </w:tcBorders>
            <w:shd w:val="clear" w:color="auto" w:fill="auto"/>
          </w:tcPr>
          <w:p w14:paraId="21BBE10D" w14:textId="77777777" w:rsidR="00AC6C7C" w:rsidRPr="00D2126A" w:rsidRDefault="000E5A86" w:rsidP="00345C47">
            <w:pPr>
              <w:keepNext/>
              <w:rPr>
                <w:color w:val="000000"/>
              </w:rPr>
            </w:pPr>
            <w:r>
              <w:rPr>
                <w:color w:val="000000"/>
              </w:rPr>
              <w:t>Chute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3FB56872" w14:textId="77777777" w:rsidR="00AC6C7C" w:rsidRPr="00D2126A" w:rsidRDefault="000E5A86" w:rsidP="00C93C76">
            <w:pPr>
              <w:rPr>
                <w:color w:val="000000"/>
              </w:rPr>
            </w:pPr>
            <w:r>
              <w:rPr>
                <w:color w:val="000000"/>
              </w:rPr>
              <w:t>Interrompre le traitement par le lénalidomide</w:t>
            </w:r>
          </w:p>
        </w:tc>
      </w:tr>
      <w:tr w:rsidR="00D5485C" w:rsidRPr="00D2126A" w14:paraId="362EB451" w14:textId="77777777" w:rsidTr="0009727D">
        <w:trPr>
          <w:cantSplit/>
          <w:trHeight w:val="57"/>
        </w:trPr>
        <w:tc>
          <w:tcPr>
            <w:tcW w:w="2627" w:type="pct"/>
            <w:tcBorders>
              <w:top w:val="nil"/>
              <w:left w:val="nil"/>
              <w:right w:val="nil"/>
            </w:tcBorders>
            <w:shd w:val="clear" w:color="auto" w:fill="auto"/>
          </w:tcPr>
          <w:p w14:paraId="6ECA0B43" w14:textId="77777777" w:rsidR="00AC6C7C" w:rsidRPr="00D2126A" w:rsidRDefault="000E5A86" w:rsidP="00B12D5B">
            <w:pPr>
              <w:keepNext/>
            </w:pPr>
            <w:r>
              <w:t>Retour ≥ 0,5 x 10</w:t>
            </w:r>
            <w:r>
              <w:rPr>
                <w:vertAlign w:val="superscript"/>
              </w:rPr>
              <w:t>9</w:t>
            </w:r>
            <w:r>
              <w:t>/l</w:t>
            </w:r>
          </w:p>
        </w:tc>
        <w:tc>
          <w:tcPr>
            <w:tcW w:w="2373" w:type="pct"/>
            <w:tcBorders>
              <w:top w:val="nil"/>
              <w:left w:val="nil"/>
              <w:right w:val="nil"/>
            </w:tcBorders>
            <w:shd w:val="clear" w:color="auto" w:fill="auto"/>
          </w:tcPr>
          <w:p w14:paraId="581EF1CA" w14:textId="60066519" w:rsidR="00AC6C7C" w:rsidRPr="00D2126A" w:rsidRDefault="000E5A86" w:rsidP="00C93C76">
            <w:pPr>
              <w:rPr>
                <w:color w:val="000000"/>
              </w:rPr>
            </w:pPr>
            <w:r>
              <w:rPr>
                <w:color w:val="000000"/>
              </w:rPr>
              <w:t>Reprendre le lénalidomide à la dose immédiatement inférieure (paliers de dose -1, -2 ou -3)</w:t>
            </w:r>
          </w:p>
        </w:tc>
      </w:tr>
    </w:tbl>
    <w:p w14:paraId="38C84A6A" w14:textId="77777777" w:rsidR="00AC6C7C" w:rsidRPr="00D2126A" w:rsidRDefault="00AC6C7C" w:rsidP="00C93C76">
      <w:pPr>
        <w:pStyle w:val="Date"/>
        <w:rPr>
          <w:color w:val="000000"/>
        </w:rPr>
      </w:pPr>
    </w:p>
    <w:p w14:paraId="76DB86D1" w14:textId="77777777" w:rsidR="00AC6C7C" w:rsidRPr="00D2126A" w:rsidRDefault="000E5A86" w:rsidP="00C93C76">
      <w:pPr>
        <w:pStyle w:val="C-BodyText"/>
        <w:keepNext/>
        <w:spacing w:before="0" w:after="0" w:line="240" w:lineRule="auto"/>
        <w:ind w:right="374"/>
        <w:rPr>
          <w:i/>
          <w:color w:val="000000"/>
          <w:sz w:val="22"/>
        </w:rPr>
      </w:pPr>
      <w:r>
        <w:rPr>
          <w:i/>
          <w:color w:val="000000"/>
          <w:sz w:val="22"/>
        </w:rPr>
        <w:t>Arrêt du traitement par le lénalidomide</w:t>
      </w:r>
    </w:p>
    <w:p w14:paraId="5ECFF69C" w14:textId="5DF36E42" w:rsidR="00AC6C7C" w:rsidRPr="00D2126A" w:rsidRDefault="000E5A86" w:rsidP="00C93C76">
      <w:pPr>
        <w:pStyle w:val="Date"/>
        <w:rPr>
          <w:color w:val="000000"/>
        </w:rPr>
      </w:pPr>
      <w:r>
        <w:rPr>
          <w:color w:val="000000"/>
        </w:rPr>
        <w:t>Le traitement par le lénalidomide doit être arrêté chez les patients ne présentant pas au moins une réponse érythroïde mineure dans les 4 mois suivant l’instauration du traitement, démontrée par une réduction d’au moins 50 % des besoins transfusionnels ou, en l’absence de transfusions, par une augmentation de 1 g/dl du taux d’hémoglobine.</w:t>
      </w:r>
    </w:p>
    <w:p w14:paraId="6B34B415" w14:textId="77777777" w:rsidR="00C77818" w:rsidRPr="00D2126A" w:rsidRDefault="00C77818" w:rsidP="00C93C76"/>
    <w:p w14:paraId="5FED7BAB" w14:textId="77777777" w:rsidR="00A022E0" w:rsidRPr="00D2126A" w:rsidRDefault="000E5A86" w:rsidP="00DF154F">
      <w:pPr>
        <w:pStyle w:val="Date"/>
        <w:keepNext/>
        <w:rPr>
          <w:i/>
          <w:color w:val="000000"/>
          <w:u w:val="single"/>
        </w:rPr>
      </w:pPr>
      <w:r>
        <w:rPr>
          <w:i/>
          <w:color w:val="000000"/>
          <w:u w:val="single"/>
        </w:rPr>
        <w:t>Lymphome à cellules du manteau (LCM)</w:t>
      </w:r>
    </w:p>
    <w:p w14:paraId="34AE3AA5" w14:textId="77777777" w:rsidR="007D7740" w:rsidRPr="00D2126A" w:rsidRDefault="000E5A86" w:rsidP="00DF154F">
      <w:pPr>
        <w:keepNext/>
        <w:rPr>
          <w:i/>
          <w:color w:val="000000"/>
        </w:rPr>
      </w:pPr>
      <w:r>
        <w:rPr>
          <w:i/>
          <w:color w:val="000000"/>
        </w:rPr>
        <w:t>Posologie recommandée</w:t>
      </w:r>
    </w:p>
    <w:p w14:paraId="2BBF8509" w14:textId="644BA718" w:rsidR="00036363" w:rsidRPr="00D2126A" w:rsidRDefault="000E5A86" w:rsidP="0064116A">
      <w:r>
        <w:t>La dose initiale recommandée est de 25 mg de lénalidomide par voie orale en une prise par jour pendant les jours 1 à 21 de chaque cycle de 28 jours.</w:t>
      </w:r>
    </w:p>
    <w:p w14:paraId="4D43F238" w14:textId="42A76AF8" w:rsidR="007D7740" w:rsidRPr="00D2126A" w:rsidRDefault="007D7740" w:rsidP="00C93C76">
      <w:pPr>
        <w:pStyle w:val="Date"/>
      </w:pPr>
    </w:p>
    <w:p w14:paraId="42B02842" w14:textId="77777777" w:rsidR="00A022E0" w:rsidRPr="00D2126A" w:rsidRDefault="000E5A86" w:rsidP="00C93C76">
      <w:pPr>
        <w:pStyle w:val="Date"/>
        <w:keepNext/>
        <w:numPr>
          <w:ilvl w:val="0"/>
          <w:numId w:val="36"/>
        </w:numPr>
        <w:ind w:left="567" w:hanging="567"/>
        <w:rPr>
          <w:i/>
        </w:rPr>
      </w:pPr>
      <w:r>
        <w:rPr>
          <w:i/>
        </w:rPr>
        <w:t>Paliers de réduction de la posologie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505"/>
        <w:gridCol w:w="6781"/>
      </w:tblGrid>
      <w:tr w:rsidR="00D5485C" w:rsidRPr="00D2126A" w14:paraId="190C0CE0" w14:textId="77777777" w:rsidTr="0009727D">
        <w:trPr>
          <w:cantSplit/>
          <w:trHeight w:val="57"/>
        </w:trPr>
        <w:tc>
          <w:tcPr>
            <w:tcW w:w="1349" w:type="pct"/>
            <w:shd w:val="clear" w:color="auto" w:fill="auto"/>
          </w:tcPr>
          <w:p w14:paraId="7B05449D" w14:textId="77777777" w:rsidR="00A022E0" w:rsidRPr="00D2126A" w:rsidRDefault="000E5A86" w:rsidP="00C93C76">
            <w:pPr>
              <w:keepNext/>
              <w:rPr>
                <w:color w:val="000000"/>
              </w:rPr>
            </w:pPr>
            <w:r>
              <w:rPr>
                <w:color w:val="000000"/>
              </w:rPr>
              <w:t>Dose initiale</w:t>
            </w:r>
          </w:p>
        </w:tc>
        <w:tc>
          <w:tcPr>
            <w:tcW w:w="3651" w:type="pct"/>
            <w:shd w:val="clear" w:color="auto" w:fill="auto"/>
          </w:tcPr>
          <w:p w14:paraId="142636AB" w14:textId="4D058E31" w:rsidR="00A022E0" w:rsidRPr="00D2126A" w:rsidRDefault="000E5A86" w:rsidP="00C93C76">
            <w:pPr>
              <w:keepNext/>
              <w:jc w:val="center"/>
              <w:rPr>
                <w:color w:val="000000"/>
              </w:rPr>
            </w:pPr>
            <w:r>
              <w:rPr>
                <w:color w:val="000000"/>
              </w:rPr>
              <w:t>25 mg en une prise par jour les jours 1 à 21 de chaque cycle de 28 jours</w:t>
            </w:r>
          </w:p>
        </w:tc>
      </w:tr>
      <w:tr w:rsidR="00D5485C" w:rsidRPr="00D2126A" w14:paraId="25C58579" w14:textId="77777777" w:rsidTr="0009727D">
        <w:trPr>
          <w:cantSplit/>
          <w:trHeight w:val="57"/>
        </w:trPr>
        <w:tc>
          <w:tcPr>
            <w:tcW w:w="1349" w:type="pct"/>
            <w:shd w:val="clear" w:color="auto" w:fill="auto"/>
          </w:tcPr>
          <w:p w14:paraId="7E569D2D" w14:textId="6BAE251A" w:rsidR="00A022E0" w:rsidRPr="00D2126A" w:rsidRDefault="000E5A86" w:rsidP="00C93C76">
            <w:pPr>
              <w:keepNext/>
              <w:rPr>
                <w:color w:val="000000"/>
              </w:rPr>
            </w:pPr>
            <w:r>
              <w:rPr>
                <w:color w:val="000000"/>
              </w:rPr>
              <w:t>Palier de dose -1</w:t>
            </w:r>
          </w:p>
        </w:tc>
        <w:tc>
          <w:tcPr>
            <w:tcW w:w="3651" w:type="pct"/>
            <w:shd w:val="clear" w:color="auto" w:fill="auto"/>
          </w:tcPr>
          <w:p w14:paraId="5BD8C334" w14:textId="78357641" w:rsidR="00A022E0" w:rsidRPr="00D2126A" w:rsidRDefault="000E5A86" w:rsidP="00C93C76">
            <w:pPr>
              <w:keepNext/>
              <w:jc w:val="center"/>
              <w:rPr>
                <w:color w:val="000000"/>
              </w:rPr>
            </w:pPr>
            <w:r>
              <w:rPr>
                <w:color w:val="000000"/>
              </w:rPr>
              <w:t>20 mg en une prise par jour les jours 1 à 21 de chaque cycle de 28 jours</w:t>
            </w:r>
          </w:p>
        </w:tc>
      </w:tr>
      <w:tr w:rsidR="00D5485C" w:rsidRPr="00D2126A" w14:paraId="4794789D" w14:textId="77777777" w:rsidTr="0009727D">
        <w:trPr>
          <w:cantSplit/>
          <w:trHeight w:val="57"/>
        </w:trPr>
        <w:tc>
          <w:tcPr>
            <w:tcW w:w="1349" w:type="pct"/>
            <w:shd w:val="clear" w:color="auto" w:fill="auto"/>
          </w:tcPr>
          <w:p w14:paraId="259E35CC" w14:textId="261A20AE" w:rsidR="00A022E0" w:rsidRPr="00D2126A" w:rsidRDefault="000E5A86" w:rsidP="00C93C76">
            <w:pPr>
              <w:keepNext/>
              <w:rPr>
                <w:color w:val="000000"/>
              </w:rPr>
            </w:pPr>
            <w:r>
              <w:rPr>
                <w:color w:val="000000"/>
              </w:rPr>
              <w:t>Palier de dose -2</w:t>
            </w:r>
          </w:p>
        </w:tc>
        <w:tc>
          <w:tcPr>
            <w:tcW w:w="3651" w:type="pct"/>
            <w:shd w:val="clear" w:color="auto" w:fill="auto"/>
          </w:tcPr>
          <w:p w14:paraId="4182877C" w14:textId="331C3AB6" w:rsidR="00A022E0" w:rsidRPr="00D2126A" w:rsidRDefault="000E5A86" w:rsidP="00C93C76">
            <w:pPr>
              <w:keepNext/>
              <w:jc w:val="center"/>
              <w:rPr>
                <w:color w:val="000000"/>
              </w:rPr>
            </w:pPr>
            <w:r>
              <w:rPr>
                <w:color w:val="000000"/>
              </w:rPr>
              <w:t>15 mg en une prise par jour les jours 1 à 21 de chaque cycle de 28 jours</w:t>
            </w:r>
          </w:p>
        </w:tc>
      </w:tr>
      <w:tr w:rsidR="00D5485C" w:rsidRPr="00D2126A" w14:paraId="1D54A197" w14:textId="77777777" w:rsidTr="0009727D">
        <w:trPr>
          <w:cantSplit/>
          <w:trHeight w:val="57"/>
        </w:trPr>
        <w:tc>
          <w:tcPr>
            <w:tcW w:w="1349" w:type="pct"/>
            <w:shd w:val="clear" w:color="auto" w:fill="auto"/>
          </w:tcPr>
          <w:p w14:paraId="25E3ED56" w14:textId="50FD3A7E" w:rsidR="00A022E0" w:rsidRPr="00D2126A" w:rsidRDefault="000E5A86" w:rsidP="00C93C76">
            <w:pPr>
              <w:keepNext/>
              <w:rPr>
                <w:color w:val="000000"/>
              </w:rPr>
            </w:pPr>
            <w:r>
              <w:rPr>
                <w:color w:val="000000"/>
              </w:rPr>
              <w:t>Palier de dose -3</w:t>
            </w:r>
          </w:p>
        </w:tc>
        <w:tc>
          <w:tcPr>
            <w:tcW w:w="3651" w:type="pct"/>
            <w:shd w:val="clear" w:color="auto" w:fill="auto"/>
          </w:tcPr>
          <w:p w14:paraId="3414CEF7" w14:textId="28BC93CF" w:rsidR="00A022E0" w:rsidRPr="00D2126A" w:rsidRDefault="000E5A86" w:rsidP="00C93C76">
            <w:pPr>
              <w:keepNext/>
              <w:jc w:val="center"/>
              <w:rPr>
                <w:color w:val="000000"/>
              </w:rPr>
            </w:pPr>
            <w:r>
              <w:rPr>
                <w:color w:val="000000"/>
              </w:rPr>
              <w:t>10 mg en une prise par jour les jours 1 à 21 de chaque cycle de 28 jours</w:t>
            </w:r>
          </w:p>
        </w:tc>
      </w:tr>
      <w:tr w:rsidR="00D5485C" w:rsidRPr="00D2126A" w14:paraId="56E99CC9" w14:textId="77777777" w:rsidTr="0009727D">
        <w:trPr>
          <w:cantSplit/>
          <w:trHeight w:val="57"/>
        </w:trPr>
        <w:tc>
          <w:tcPr>
            <w:tcW w:w="1349" w:type="pct"/>
            <w:shd w:val="clear" w:color="auto" w:fill="auto"/>
          </w:tcPr>
          <w:p w14:paraId="52C7D8C0" w14:textId="7CFAA73A" w:rsidR="00A022E0" w:rsidRPr="00D2126A" w:rsidRDefault="000E5A86" w:rsidP="00C93C76">
            <w:pPr>
              <w:keepNext/>
              <w:rPr>
                <w:color w:val="000000"/>
              </w:rPr>
            </w:pPr>
            <w:r>
              <w:rPr>
                <w:color w:val="000000"/>
              </w:rPr>
              <w:t>Palier de dose -4</w:t>
            </w:r>
          </w:p>
        </w:tc>
        <w:tc>
          <w:tcPr>
            <w:tcW w:w="3651" w:type="pct"/>
            <w:shd w:val="clear" w:color="auto" w:fill="auto"/>
          </w:tcPr>
          <w:p w14:paraId="57D30EBF" w14:textId="5EC89E24" w:rsidR="00A022E0" w:rsidRPr="00D2126A" w:rsidRDefault="000E5A86" w:rsidP="00C93C76">
            <w:pPr>
              <w:keepNext/>
              <w:jc w:val="center"/>
              <w:rPr>
                <w:color w:val="000000"/>
              </w:rPr>
            </w:pPr>
            <w:r>
              <w:rPr>
                <w:color w:val="000000"/>
              </w:rPr>
              <w:t>5 mg en une prise par jour les jours 1 à 21 de chaque cycle de 28 jours</w:t>
            </w:r>
          </w:p>
        </w:tc>
      </w:tr>
      <w:tr w:rsidR="00D5485C" w:rsidRPr="00D2126A" w14:paraId="319AD8EA" w14:textId="77777777" w:rsidTr="0009727D">
        <w:trPr>
          <w:cantSplit/>
          <w:trHeight w:val="57"/>
        </w:trPr>
        <w:tc>
          <w:tcPr>
            <w:tcW w:w="1349" w:type="pct"/>
            <w:shd w:val="clear" w:color="auto" w:fill="auto"/>
          </w:tcPr>
          <w:p w14:paraId="5B30BE55" w14:textId="72FD483D" w:rsidR="00A022E0" w:rsidRPr="00D2126A" w:rsidRDefault="000E5A86" w:rsidP="00C93C76">
            <w:pPr>
              <w:keepNext/>
              <w:rPr>
                <w:color w:val="000000"/>
              </w:rPr>
            </w:pPr>
            <w:r>
              <w:rPr>
                <w:color w:val="000000"/>
              </w:rPr>
              <w:t>Palier de dose -5</w:t>
            </w:r>
          </w:p>
        </w:tc>
        <w:tc>
          <w:tcPr>
            <w:tcW w:w="3651" w:type="pct"/>
            <w:shd w:val="clear" w:color="auto" w:fill="auto"/>
          </w:tcPr>
          <w:p w14:paraId="7802B19F" w14:textId="104E3BA0" w:rsidR="00A022E0" w:rsidRPr="00D2126A" w:rsidRDefault="000E5A86" w:rsidP="00C93C76">
            <w:pPr>
              <w:jc w:val="center"/>
              <w:rPr>
                <w:color w:val="000000"/>
              </w:rPr>
            </w:pPr>
            <w:r>
              <w:rPr>
                <w:color w:val="000000"/>
              </w:rPr>
              <w:t>2,5 mg en une prise par jour les jours 1 à 21 de chaque cycle de 28 jours</w:t>
            </w:r>
            <w:r>
              <w:rPr>
                <w:color w:val="000000"/>
                <w:vertAlign w:val="superscript"/>
              </w:rPr>
              <w:t>1</w:t>
            </w:r>
          </w:p>
          <w:p w14:paraId="1A650C70" w14:textId="7C037E6B" w:rsidR="00A022E0" w:rsidRPr="00D2126A" w:rsidRDefault="000E5A86" w:rsidP="00C93C76">
            <w:pPr>
              <w:jc w:val="center"/>
              <w:rPr>
                <w:color w:val="000000"/>
              </w:rPr>
            </w:pPr>
            <w:r>
              <w:rPr>
                <w:color w:val="000000"/>
              </w:rPr>
              <w:t>5 mg un jour sur deux les jours 1 à 21 de chaque cycle de 28 jours</w:t>
            </w:r>
          </w:p>
        </w:tc>
      </w:tr>
    </w:tbl>
    <w:p w14:paraId="1C8053A4" w14:textId="368B16AF" w:rsidR="00A022E0" w:rsidRPr="00D2126A" w:rsidRDefault="000E5A86" w:rsidP="00C93C76">
      <w:pPr>
        <w:rPr>
          <w:color w:val="000000"/>
          <w:sz w:val="16"/>
          <w:szCs w:val="16"/>
        </w:rPr>
      </w:pPr>
      <w:r>
        <w:rPr>
          <w:color w:val="000000"/>
          <w:sz w:val="16"/>
          <w:vertAlign w:val="superscript"/>
        </w:rPr>
        <w:t>1</w:t>
      </w:r>
      <w:r>
        <w:rPr>
          <w:color w:val="000000"/>
          <w:sz w:val="16"/>
        </w:rPr>
        <w:t xml:space="preserve"> Dans les pays où les gélules de 2,5 mg sont disponibles.</w:t>
      </w:r>
    </w:p>
    <w:p w14:paraId="02156AC3" w14:textId="77777777" w:rsidR="00A022E0" w:rsidRPr="00D2126A" w:rsidRDefault="00A022E0" w:rsidP="00C93C76">
      <w:pPr>
        <w:pStyle w:val="Date"/>
      </w:pPr>
    </w:p>
    <w:p w14:paraId="0AAD6674" w14:textId="77777777" w:rsidR="00A022E0" w:rsidRPr="00D2126A" w:rsidRDefault="000E5A86" w:rsidP="00C93C76">
      <w:pPr>
        <w:pStyle w:val="Date"/>
        <w:keepNext/>
        <w:numPr>
          <w:ilvl w:val="0"/>
          <w:numId w:val="36"/>
        </w:numPr>
        <w:ind w:left="567" w:hanging="567"/>
        <w:rPr>
          <w:i/>
        </w:rPr>
      </w:pPr>
      <w:r>
        <w:rPr>
          <w:i/>
        </w:rPr>
        <w:t>Thrombopénie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6BA7E22D" w14:textId="77777777" w:rsidTr="0009727D">
        <w:trPr>
          <w:cantSplit/>
          <w:trHeight w:val="57"/>
        </w:trPr>
        <w:tc>
          <w:tcPr>
            <w:tcW w:w="2627" w:type="pct"/>
            <w:tcBorders>
              <w:left w:val="nil"/>
              <w:bottom w:val="single" w:sz="4" w:space="0" w:color="auto"/>
              <w:right w:val="nil"/>
            </w:tcBorders>
            <w:shd w:val="clear" w:color="auto" w:fill="auto"/>
          </w:tcPr>
          <w:p w14:paraId="394018AE" w14:textId="77777777" w:rsidR="00A022E0" w:rsidRPr="00D2126A" w:rsidRDefault="000E5A86" w:rsidP="00C93C76">
            <w:pPr>
              <w:keepNext/>
              <w:rPr>
                <w:color w:val="000000"/>
              </w:rPr>
            </w:pPr>
            <w:r>
              <w:rPr>
                <w:color w:val="000000"/>
              </w:rPr>
              <w:t>Numération plaquettaire</w:t>
            </w:r>
          </w:p>
        </w:tc>
        <w:tc>
          <w:tcPr>
            <w:tcW w:w="2373" w:type="pct"/>
            <w:tcBorders>
              <w:left w:val="nil"/>
              <w:bottom w:val="single" w:sz="4" w:space="0" w:color="auto"/>
              <w:right w:val="nil"/>
            </w:tcBorders>
            <w:shd w:val="clear" w:color="auto" w:fill="auto"/>
          </w:tcPr>
          <w:p w14:paraId="6AFF9FF1" w14:textId="77777777" w:rsidR="00A022E0" w:rsidRPr="00D2126A" w:rsidRDefault="000E5A86" w:rsidP="00C93C76">
            <w:pPr>
              <w:rPr>
                <w:color w:val="000000"/>
              </w:rPr>
            </w:pPr>
            <w:r>
              <w:rPr>
                <w:color w:val="000000"/>
              </w:rPr>
              <w:t>Action recommandée</w:t>
            </w:r>
          </w:p>
        </w:tc>
      </w:tr>
      <w:tr w:rsidR="00D5485C" w:rsidRPr="00D2126A" w14:paraId="7E580EDF" w14:textId="77777777" w:rsidTr="0009727D">
        <w:trPr>
          <w:cantSplit/>
          <w:trHeight w:val="57"/>
        </w:trPr>
        <w:tc>
          <w:tcPr>
            <w:tcW w:w="2627" w:type="pct"/>
            <w:tcBorders>
              <w:left w:val="nil"/>
              <w:bottom w:val="single" w:sz="4" w:space="0" w:color="auto"/>
              <w:right w:val="nil"/>
            </w:tcBorders>
            <w:shd w:val="clear" w:color="auto" w:fill="auto"/>
          </w:tcPr>
          <w:p w14:paraId="229CBB7B" w14:textId="3B7C08FC" w:rsidR="00A022E0" w:rsidRPr="00D2126A" w:rsidRDefault="000E5A86" w:rsidP="00345C47">
            <w:r>
              <w:t>Chute &lt; 50 x 10</w:t>
            </w:r>
            <w:r>
              <w:rPr>
                <w:vertAlign w:val="superscript"/>
              </w:rPr>
              <w:t>9</w:t>
            </w:r>
            <w:r>
              <w:t>/l</w:t>
            </w:r>
          </w:p>
        </w:tc>
        <w:tc>
          <w:tcPr>
            <w:tcW w:w="2373" w:type="pct"/>
            <w:tcBorders>
              <w:left w:val="nil"/>
              <w:bottom w:val="single" w:sz="4" w:space="0" w:color="auto"/>
              <w:right w:val="nil"/>
            </w:tcBorders>
            <w:shd w:val="clear" w:color="auto" w:fill="auto"/>
          </w:tcPr>
          <w:p w14:paraId="71D11D25" w14:textId="77777777" w:rsidR="00A022E0" w:rsidRPr="00D2126A" w:rsidRDefault="000E5A86" w:rsidP="00C93C76">
            <w:pPr>
              <w:rPr>
                <w:color w:val="000000"/>
              </w:rPr>
            </w:pPr>
            <w:r>
              <w:rPr>
                <w:color w:val="000000"/>
              </w:rPr>
              <w:t>Interrompre le traitement par le lénalidomide et réaliser une numération formule sanguine (NFS) au moins tous les 7 jours</w:t>
            </w:r>
          </w:p>
        </w:tc>
      </w:tr>
      <w:tr w:rsidR="00D5485C" w:rsidRPr="00D2126A" w14:paraId="3CA11EDD" w14:textId="77777777" w:rsidTr="0009727D">
        <w:trPr>
          <w:cantSplit/>
          <w:trHeight w:val="57"/>
        </w:trPr>
        <w:tc>
          <w:tcPr>
            <w:tcW w:w="2627" w:type="pct"/>
            <w:tcBorders>
              <w:top w:val="single" w:sz="4" w:space="0" w:color="auto"/>
              <w:left w:val="nil"/>
              <w:bottom w:val="single" w:sz="4" w:space="0" w:color="auto"/>
              <w:right w:val="nil"/>
            </w:tcBorders>
            <w:shd w:val="clear" w:color="auto" w:fill="auto"/>
          </w:tcPr>
          <w:p w14:paraId="133F79B9" w14:textId="28B1DB64" w:rsidR="00A022E0" w:rsidRPr="00D2126A" w:rsidRDefault="000E5A86" w:rsidP="00B12D5B">
            <w:r>
              <w:t>Retour ≥ 60 x 10</w:t>
            </w:r>
            <w:r>
              <w:rPr>
                <w:vertAlign w:val="superscript"/>
              </w:rPr>
              <w:t>9</w:t>
            </w:r>
            <w:r>
              <w:t>/l</w:t>
            </w:r>
          </w:p>
        </w:tc>
        <w:tc>
          <w:tcPr>
            <w:tcW w:w="2373" w:type="pct"/>
            <w:tcBorders>
              <w:top w:val="single" w:sz="4" w:space="0" w:color="auto"/>
              <w:left w:val="nil"/>
              <w:bottom w:val="single" w:sz="4" w:space="0" w:color="auto"/>
              <w:right w:val="nil"/>
            </w:tcBorders>
            <w:shd w:val="clear" w:color="auto" w:fill="auto"/>
          </w:tcPr>
          <w:p w14:paraId="052D79AA" w14:textId="3716DE4B" w:rsidR="00A022E0" w:rsidRPr="00D2126A" w:rsidRDefault="000E5A86" w:rsidP="0064116A">
            <w:r>
              <w:t>Reprendre le lénalidomide à la dose immédiatement inférieure (palier de dose -1)</w:t>
            </w:r>
          </w:p>
        </w:tc>
      </w:tr>
      <w:tr w:rsidR="00D5485C" w:rsidRPr="00D2126A" w14:paraId="79E65927" w14:textId="77777777" w:rsidTr="0009727D">
        <w:trPr>
          <w:cantSplit/>
          <w:trHeight w:val="57"/>
        </w:trPr>
        <w:tc>
          <w:tcPr>
            <w:tcW w:w="2627" w:type="pct"/>
            <w:tcBorders>
              <w:left w:val="nil"/>
              <w:bottom w:val="nil"/>
              <w:right w:val="nil"/>
            </w:tcBorders>
            <w:shd w:val="clear" w:color="auto" w:fill="auto"/>
          </w:tcPr>
          <w:p w14:paraId="5B1BADA5" w14:textId="7A24217F" w:rsidR="00A022E0" w:rsidRPr="00D2126A" w:rsidRDefault="000E5A86" w:rsidP="00345C47">
            <w:pPr>
              <w:keepNext/>
            </w:pPr>
            <w:r>
              <w:t>Pour toute nouvelle rechute &lt; 50 x 10</w:t>
            </w:r>
            <w:r>
              <w:rPr>
                <w:vertAlign w:val="superscript"/>
              </w:rPr>
              <w:t>9</w:t>
            </w:r>
            <w:r>
              <w:t>/l</w:t>
            </w:r>
          </w:p>
        </w:tc>
        <w:tc>
          <w:tcPr>
            <w:tcW w:w="2373" w:type="pct"/>
            <w:tcBorders>
              <w:left w:val="nil"/>
              <w:bottom w:val="nil"/>
              <w:right w:val="nil"/>
            </w:tcBorders>
            <w:shd w:val="clear" w:color="auto" w:fill="auto"/>
          </w:tcPr>
          <w:p w14:paraId="1A7AF3C4" w14:textId="27015B9B" w:rsidR="00A022E0" w:rsidRPr="00D2126A" w:rsidRDefault="000E5A86" w:rsidP="0009727D">
            <w:pPr>
              <w:keepNext/>
              <w:rPr>
                <w:color w:val="000000"/>
              </w:rPr>
            </w:pPr>
            <w:r>
              <w:rPr>
                <w:color w:val="000000"/>
              </w:rPr>
              <w:t>Interrompre le traitement par le lénalidomide et réaliser une NFS au moins tous les 7 jours</w:t>
            </w:r>
          </w:p>
        </w:tc>
      </w:tr>
      <w:tr w:rsidR="0009727D" w:rsidRPr="00D2126A" w14:paraId="628AD4F1" w14:textId="77777777" w:rsidTr="0009727D">
        <w:trPr>
          <w:cantSplit/>
          <w:trHeight w:val="57"/>
        </w:trPr>
        <w:tc>
          <w:tcPr>
            <w:tcW w:w="2627" w:type="pct"/>
            <w:tcBorders>
              <w:top w:val="nil"/>
              <w:left w:val="nil"/>
              <w:right w:val="nil"/>
            </w:tcBorders>
            <w:shd w:val="clear" w:color="auto" w:fill="auto"/>
          </w:tcPr>
          <w:p w14:paraId="5A9802D1" w14:textId="17509F3D" w:rsidR="0009727D" w:rsidRPr="00D2126A" w:rsidRDefault="0009727D" w:rsidP="00B12D5B">
            <w:pPr>
              <w:keepNext/>
            </w:pPr>
            <w:r>
              <w:t>Retour ≥ 60 x 10</w:t>
            </w:r>
            <w:r>
              <w:rPr>
                <w:vertAlign w:val="superscript"/>
              </w:rPr>
              <w:t>9</w:t>
            </w:r>
            <w:r>
              <w:t>/l</w:t>
            </w:r>
          </w:p>
        </w:tc>
        <w:tc>
          <w:tcPr>
            <w:tcW w:w="2373" w:type="pct"/>
            <w:tcBorders>
              <w:top w:val="nil"/>
              <w:left w:val="nil"/>
              <w:right w:val="nil"/>
            </w:tcBorders>
            <w:shd w:val="clear" w:color="auto" w:fill="auto"/>
          </w:tcPr>
          <w:p w14:paraId="14B0ED43" w14:textId="31CFF874" w:rsidR="0009727D" w:rsidRPr="00D2126A" w:rsidRDefault="0009727D" w:rsidP="0064116A">
            <w:r>
              <w:t>Reprendre le lénalidomide à la dose immédiatement inférieure (palier de dose -2, -3, -4 ou -5). Ne pas descendre en dessous du palier de dose 5</w:t>
            </w:r>
          </w:p>
        </w:tc>
      </w:tr>
    </w:tbl>
    <w:p w14:paraId="14F71ACB" w14:textId="77777777" w:rsidR="00A022E0" w:rsidRPr="00D2126A" w:rsidRDefault="00A022E0" w:rsidP="00C93C76">
      <w:pPr>
        <w:rPr>
          <w:color w:val="000000"/>
        </w:rPr>
      </w:pPr>
    </w:p>
    <w:p w14:paraId="66CB8754" w14:textId="77777777" w:rsidR="00A022E0" w:rsidRPr="00D2126A" w:rsidRDefault="000E5A86" w:rsidP="00D3352B">
      <w:pPr>
        <w:pStyle w:val="Date"/>
        <w:keepNext/>
        <w:numPr>
          <w:ilvl w:val="0"/>
          <w:numId w:val="36"/>
        </w:numPr>
        <w:ind w:left="567" w:hanging="567"/>
        <w:rPr>
          <w:i/>
        </w:rPr>
      </w:pPr>
      <w:r>
        <w:rPr>
          <w:i/>
        </w:rPr>
        <w:t xml:space="preserve">Numération des polynucléaires neutrophiles (PNN) </w:t>
      </w:r>
      <w:r>
        <w:rPr>
          <w:i/>
        </w:rPr>
        <w:noBreakHyphen/>
        <w:t xml:space="preserve"> neutropénie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9"/>
        <w:gridCol w:w="4407"/>
      </w:tblGrid>
      <w:tr w:rsidR="00D5485C" w:rsidRPr="00D2126A" w14:paraId="0C3D3EF4" w14:textId="77777777" w:rsidTr="00CE1A4F">
        <w:trPr>
          <w:tblHeader/>
        </w:trPr>
        <w:tc>
          <w:tcPr>
            <w:tcW w:w="2627" w:type="pct"/>
            <w:tcBorders>
              <w:left w:val="nil"/>
              <w:bottom w:val="single" w:sz="4" w:space="0" w:color="auto"/>
              <w:right w:val="nil"/>
            </w:tcBorders>
          </w:tcPr>
          <w:p w14:paraId="29139A74" w14:textId="77777777" w:rsidR="00A022E0" w:rsidRPr="00D2126A" w:rsidRDefault="000E5A86" w:rsidP="00D3352B">
            <w:pPr>
              <w:keepNext/>
              <w:outlineLvl w:val="0"/>
              <w:rPr>
                <w:color w:val="000000"/>
              </w:rPr>
            </w:pPr>
            <w:r>
              <w:rPr>
                <w:color w:val="000000"/>
              </w:rPr>
              <w:t>Numération des PNN</w:t>
            </w:r>
          </w:p>
        </w:tc>
        <w:tc>
          <w:tcPr>
            <w:tcW w:w="2373" w:type="pct"/>
            <w:tcBorders>
              <w:left w:val="nil"/>
              <w:bottom w:val="single" w:sz="4" w:space="0" w:color="auto"/>
              <w:right w:val="nil"/>
            </w:tcBorders>
          </w:tcPr>
          <w:p w14:paraId="70190E0F" w14:textId="77777777" w:rsidR="00A022E0" w:rsidRPr="00D2126A" w:rsidRDefault="000E5A86" w:rsidP="00D3352B">
            <w:pPr>
              <w:keepNext/>
              <w:outlineLvl w:val="0"/>
              <w:rPr>
                <w:color w:val="000000"/>
              </w:rPr>
            </w:pPr>
            <w:r>
              <w:rPr>
                <w:color w:val="000000"/>
              </w:rPr>
              <w:t>Action recommandée</w:t>
            </w:r>
          </w:p>
        </w:tc>
      </w:tr>
      <w:tr w:rsidR="00D5485C" w:rsidRPr="00D2126A" w14:paraId="199BA6C2" w14:textId="77777777" w:rsidTr="00CE1A4F">
        <w:tc>
          <w:tcPr>
            <w:tcW w:w="2627" w:type="pct"/>
            <w:tcBorders>
              <w:left w:val="nil"/>
              <w:bottom w:val="nil"/>
              <w:right w:val="nil"/>
            </w:tcBorders>
          </w:tcPr>
          <w:p w14:paraId="021A31D8" w14:textId="2A26DE0E" w:rsidR="00036363" w:rsidRPr="00D2126A" w:rsidRDefault="000E5A86" w:rsidP="00D3352B">
            <w:pPr>
              <w:keepNext/>
            </w:pPr>
            <w:r>
              <w:t>Chute &lt; 1 x 10</w:t>
            </w:r>
            <w:r>
              <w:rPr>
                <w:vertAlign w:val="superscript"/>
              </w:rPr>
              <w:t>9</w:t>
            </w:r>
            <w:r>
              <w:t>/l pendant au moins 7 jours ou</w:t>
            </w:r>
          </w:p>
          <w:p w14:paraId="346C9744" w14:textId="67CECF61" w:rsidR="00036363" w:rsidRPr="00D2126A" w:rsidRDefault="000E5A86" w:rsidP="00D3352B">
            <w:pPr>
              <w:keepNext/>
            </w:pPr>
            <w:r>
              <w:t>Chute &lt; 1 x 10</w:t>
            </w:r>
            <w:r>
              <w:rPr>
                <w:vertAlign w:val="superscript"/>
              </w:rPr>
              <w:t>9</w:t>
            </w:r>
            <w:r>
              <w:t>/l accompagnée de fièvre (température ≥ 38,5 °C) ou</w:t>
            </w:r>
          </w:p>
          <w:p w14:paraId="039C726D" w14:textId="541B59B0" w:rsidR="00A022E0" w:rsidRPr="00D2126A" w:rsidRDefault="000E5A86" w:rsidP="00D3352B">
            <w:pPr>
              <w:keepNext/>
            </w:pPr>
            <w:r>
              <w:t>Chute &lt; 0,5 x 10</w:t>
            </w:r>
            <w:r>
              <w:rPr>
                <w:vertAlign w:val="superscript"/>
              </w:rPr>
              <w:t>9</w:t>
            </w:r>
            <w:r>
              <w:t>/l</w:t>
            </w:r>
          </w:p>
        </w:tc>
        <w:tc>
          <w:tcPr>
            <w:tcW w:w="2373" w:type="pct"/>
            <w:tcBorders>
              <w:left w:val="nil"/>
              <w:bottom w:val="nil"/>
              <w:right w:val="nil"/>
            </w:tcBorders>
          </w:tcPr>
          <w:p w14:paraId="23DE843C" w14:textId="2BB28D80" w:rsidR="00A022E0" w:rsidRPr="00D2126A" w:rsidRDefault="000E5A86" w:rsidP="00D3352B">
            <w:pPr>
              <w:keepNext/>
              <w:outlineLvl w:val="0"/>
              <w:rPr>
                <w:color w:val="000000"/>
              </w:rPr>
            </w:pPr>
            <w:r>
              <w:rPr>
                <w:color w:val="000000"/>
              </w:rPr>
              <w:t>Interrompre le traitement par le lénalidomide et réaliser une NFS au moins tous les 7 jours</w:t>
            </w:r>
          </w:p>
          <w:p w14:paraId="2A83B3F6" w14:textId="77777777" w:rsidR="00A022E0" w:rsidRPr="00D2126A" w:rsidRDefault="00A022E0" w:rsidP="00D3352B">
            <w:pPr>
              <w:pStyle w:val="Date"/>
              <w:keepNext/>
              <w:outlineLvl w:val="0"/>
            </w:pPr>
          </w:p>
        </w:tc>
      </w:tr>
      <w:tr w:rsidR="00D5485C" w:rsidRPr="00D2126A" w14:paraId="3C324B2C" w14:textId="77777777" w:rsidTr="00CE1A4F">
        <w:tc>
          <w:tcPr>
            <w:tcW w:w="2627" w:type="pct"/>
            <w:tcBorders>
              <w:left w:val="nil"/>
              <w:bottom w:val="single" w:sz="4" w:space="0" w:color="auto"/>
              <w:right w:val="nil"/>
            </w:tcBorders>
          </w:tcPr>
          <w:p w14:paraId="03591169" w14:textId="44DC43A2" w:rsidR="00A022E0" w:rsidRPr="00D2126A" w:rsidRDefault="000E5A86" w:rsidP="005265C9">
            <w:r>
              <w:t>Retour ≥ 1 x 10</w:t>
            </w:r>
            <w:r>
              <w:rPr>
                <w:vertAlign w:val="superscript"/>
              </w:rPr>
              <w:t>9</w:t>
            </w:r>
            <w:r>
              <w:t>/l</w:t>
            </w:r>
          </w:p>
        </w:tc>
        <w:tc>
          <w:tcPr>
            <w:tcW w:w="2373" w:type="pct"/>
            <w:tcBorders>
              <w:left w:val="nil"/>
              <w:bottom w:val="single" w:sz="4" w:space="0" w:color="auto"/>
              <w:right w:val="nil"/>
            </w:tcBorders>
          </w:tcPr>
          <w:p w14:paraId="0AFD8DB7" w14:textId="3B9DB4B5" w:rsidR="00A022E0" w:rsidRPr="00D2126A" w:rsidRDefault="000E5A86" w:rsidP="005265C9">
            <w:r>
              <w:t>Reprendre le lénalidomide à la dose immédiatement inférieure (palier de dose -1)</w:t>
            </w:r>
          </w:p>
        </w:tc>
      </w:tr>
      <w:tr w:rsidR="00D5485C" w:rsidRPr="00D2126A" w14:paraId="47BDBB27" w14:textId="77777777" w:rsidTr="00CE1A4F">
        <w:tc>
          <w:tcPr>
            <w:tcW w:w="2627" w:type="pct"/>
            <w:tcBorders>
              <w:left w:val="nil"/>
              <w:bottom w:val="nil"/>
              <w:right w:val="nil"/>
            </w:tcBorders>
          </w:tcPr>
          <w:p w14:paraId="707A9878" w14:textId="68B1BE3C" w:rsidR="00A022E0" w:rsidRPr="00D2126A" w:rsidRDefault="000E5A86" w:rsidP="005265C9">
            <w:r>
              <w:t>Pour toute nouvelle rechute &lt; 1 x 10</w:t>
            </w:r>
            <w:r>
              <w:rPr>
                <w:vertAlign w:val="superscript"/>
              </w:rPr>
              <w:t>9</w:t>
            </w:r>
            <w:r>
              <w:t>/l pendant au moins 7 jours ou rechute &lt; 1 x 10</w:t>
            </w:r>
            <w:r>
              <w:rPr>
                <w:vertAlign w:val="superscript"/>
              </w:rPr>
              <w:t>9</w:t>
            </w:r>
            <w:r>
              <w:t>/l accompagnée de fièvre (température ≥ 38,5 °C) ou rechute &lt; 0,5 x 10</w:t>
            </w:r>
            <w:r>
              <w:rPr>
                <w:vertAlign w:val="superscript"/>
              </w:rPr>
              <w:t>9</w:t>
            </w:r>
            <w:r>
              <w:t>/l</w:t>
            </w:r>
          </w:p>
        </w:tc>
        <w:tc>
          <w:tcPr>
            <w:tcW w:w="2373" w:type="pct"/>
            <w:tcBorders>
              <w:left w:val="nil"/>
              <w:bottom w:val="nil"/>
              <w:right w:val="nil"/>
            </w:tcBorders>
          </w:tcPr>
          <w:p w14:paraId="2A382A5B" w14:textId="77777777" w:rsidR="00A022E0" w:rsidRPr="00D2126A" w:rsidRDefault="000E5A86" w:rsidP="005265C9">
            <w:r>
              <w:t>Interrompre le traitement par le lénalidomide</w:t>
            </w:r>
          </w:p>
        </w:tc>
      </w:tr>
      <w:tr w:rsidR="00D5485C" w:rsidRPr="00D2126A" w14:paraId="74AFFBF3" w14:textId="77777777" w:rsidTr="00CE1A4F">
        <w:tc>
          <w:tcPr>
            <w:tcW w:w="2627" w:type="pct"/>
            <w:tcBorders>
              <w:top w:val="nil"/>
              <w:left w:val="nil"/>
              <w:bottom w:val="single" w:sz="4" w:space="0" w:color="auto"/>
              <w:right w:val="nil"/>
            </w:tcBorders>
          </w:tcPr>
          <w:p w14:paraId="54C195B1" w14:textId="4C4C0CCE" w:rsidR="00A022E0" w:rsidRPr="00D2126A" w:rsidRDefault="000E5A86" w:rsidP="005265C9">
            <w:r>
              <w:t>Retour ≥ 1 x 10</w:t>
            </w:r>
            <w:r>
              <w:rPr>
                <w:vertAlign w:val="superscript"/>
              </w:rPr>
              <w:t>9</w:t>
            </w:r>
            <w:r>
              <w:t>/l</w:t>
            </w:r>
          </w:p>
        </w:tc>
        <w:tc>
          <w:tcPr>
            <w:tcW w:w="2373" w:type="pct"/>
            <w:tcBorders>
              <w:top w:val="nil"/>
              <w:left w:val="nil"/>
              <w:bottom w:val="single" w:sz="4" w:space="0" w:color="auto"/>
              <w:right w:val="nil"/>
            </w:tcBorders>
          </w:tcPr>
          <w:p w14:paraId="21988EEE" w14:textId="0EB260A9" w:rsidR="00A022E0" w:rsidRPr="00D2126A" w:rsidRDefault="000E5A86" w:rsidP="005265C9">
            <w:r>
              <w:t>Reprendre le lénalidomide à la dose immédiatement inférieure (palier de dose -2, -3, -4 ou -5). Ne pas descendre en dessous du palier de dose -5.</w:t>
            </w:r>
          </w:p>
        </w:tc>
      </w:tr>
    </w:tbl>
    <w:p w14:paraId="1E61A206" w14:textId="77777777" w:rsidR="00A022E0" w:rsidRPr="00D2126A" w:rsidRDefault="00A022E0" w:rsidP="00C93C76"/>
    <w:p w14:paraId="229186B0" w14:textId="77777777" w:rsidR="003A2FD6" w:rsidRPr="00D2126A" w:rsidRDefault="000E5A86" w:rsidP="00DF154F">
      <w:pPr>
        <w:pStyle w:val="Date"/>
        <w:keepNext/>
        <w:rPr>
          <w:rFonts w:eastAsia="Yu Gothic"/>
          <w:i/>
        </w:rPr>
      </w:pPr>
      <w:r>
        <w:rPr>
          <w:i/>
          <w:u w:val="single"/>
        </w:rPr>
        <w:t>Lymphome folliculaire (LF)</w:t>
      </w:r>
    </w:p>
    <w:p w14:paraId="594A133B" w14:textId="279DF7C6" w:rsidR="00036363" w:rsidRPr="00D2126A" w:rsidRDefault="000E5A86" w:rsidP="00C93C76">
      <w:pPr>
        <w:autoSpaceDE w:val="0"/>
        <w:autoSpaceDN w:val="0"/>
        <w:adjustRightInd w:val="0"/>
        <w:ind w:right="-68"/>
      </w:pPr>
      <w:r>
        <w:t>Le traitement par le lénalidomide ne doit pas être initié si la numération des PNN est &lt; 1 x 10</w:t>
      </w:r>
      <w:r>
        <w:rPr>
          <w:vertAlign w:val="superscript"/>
        </w:rPr>
        <w:t>9</w:t>
      </w:r>
      <w:r>
        <w:t>/l et/ou si la numération plaquettaire est &lt; 50 x 10</w:t>
      </w:r>
      <w:r>
        <w:rPr>
          <w:vertAlign w:val="superscript"/>
        </w:rPr>
        <w:t>9</w:t>
      </w:r>
      <w:r>
        <w:t>/l, à moins que ces diminutions soient secondaires à un envahissement médullaire induites par le lymphome.</w:t>
      </w:r>
    </w:p>
    <w:p w14:paraId="58A07402" w14:textId="44F3D548" w:rsidR="003A2FD6" w:rsidRPr="00D2126A" w:rsidRDefault="003A2FD6" w:rsidP="00C93C76">
      <w:pPr>
        <w:pStyle w:val="Date"/>
      </w:pPr>
    </w:p>
    <w:p w14:paraId="1E8F5163" w14:textId="77777777" w:rsidR="003A2FD6" w:rsidRPr="00D2126A" w:rsidRDefault="000E5A86" w:rsidP="00DF154F">
      <w:pPr>
        <w:keepNext/>
        <w:rPr>
          <w:i/>
        </w:rPr>
      </w:pPr>
      <w:r>
        <w:rPr>
          <w:i/>
        </w:rPr>
        <w:t>Posologie recommandée</w:t>
      </w:r>
    </w:p>
    <w:p w14:paraId="7B320293" w14:textId="186B5258" w:rsidR="003A2FD6" w:rsidRPr="00D2126A" w:rsidRDefault="000E5A86" w:rsidP="00C93C76">
      <w:pPr>
        <w:autoSpaceDE w:val="0"/>
        <w:autoSpaceDN w:val="0"/>
        <w:adjustRightInd w:val="0"/>
      </w:pPr>
      <w:r>
        <w:t>La dose initiale recommandée est de 20 mg de lénalidomide par voie orale en une prise par jour les jours 1 à 21 de chaque cycle de 28 jours, pendant 12 cycles de traitement au maximum. La dose initiale recommandée de rituximab est de 375 mg/m</w:t>
      </w:r>
      <w:r>
        <w:rPr>
          <w:vertAlign w:val="superscript"/>
        </w:rPr>
        <w:t xml:space="preserve">2 </w:t>
      </w:r>
      <w:r>
        <w:t>par voie intraveineuse (IV) chaque semaine au cours du cycle 1 (jours 1, 8, 15 et 22) et le jour 1 de chaque cycle de 28 jours pendant les cycles 2 à 5.</w:t>
      </w:r>
    </w:p>
    <w:p w14:paraId="4899C9C6" w14:textId="77777777" w:rsidR="003A2FD6" w:rsidRPr="00D2126A" w:rsidRDefault="003A2FD6" w:rsidP="00C93C76"/>
    <w:p w14:paraId="4EDE7AE2" w14:textId="77777777" w:rsidR="003A2FD6" w:rsidRPr="00D2126A" w:rsidRDefault="000E5A86" w:rsidP="00C93C76">
      <w:pPr>
        <w:pStyle w:val="Date"/>
        <w:keepNext/>
        <w:numPr>
          <w:ilvl w:val="0"/>
          <w:numId w:val="36"/>
        </w:numPr>
        <w:ind w:left="567" w:hanging="567"/>
        <w:rPr>
          <w:i/>
        </w:rPr>
      </w:pPr>
      <w:r>
        <w:rPr>
          <w:i/>
        </w:rPr>
        <w:t>Paliers de réduction de la posologie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927"/>
        <w:gridCol w:w="4928"/>
      </w:tblGrid>
      <w:tr w:rsidR="00D5485C" w:rsidRPr="00D2126A" w14:paraId="1E1C6E77" w14:textId="77777777" w:rsidTr="0009727D">
        <w:trPr>
          <w:cantSplit/>
          <w:trHeight w:val="57"/>
        </w:trPr>
        <w:tc>
          <w:tcPr>
            <w:tcW w:w="4927" w:type="dxa"/>
            <w:shd w:val="clear" w:color="auto" w:fill="auto"/>
          </w:tcPr>
          <w:p w14:paraId="481D14A8" w14:textId="16567C6E" w:rsidR="003A2FD6" w:rsidRPr="00D2126A" w:rsidRDefault="000E5A86" w:rsidP="00C93C76">
            <w:pPr>
              <w:keepNext/>
              <w:autoSpaceDE w:val="0"/>
              <w:autoSpaceDN w:val="0"/>
              <w:adjustRightInd w:val="0"/>
            </w:pPr>
            <w:r>
              <w:t>Dose initiale</w:t>
            </w:r>
          </w:p>
        </w:tc>
        <w:tc>
          <w:tcPr>
            <w:tcW w:w="4928" w:type="dxa"/>
            <w:shd w:val="clear" w:color="auto" w:fill="auto"/>
          </w:tcPr>
          <w:p w14:paraId="1EAE41BB" w14:textId="4B6ED3D5" w:rsidR="003A2FD6" w:rsidRPr="00D2126A" w:rsidRDefault="000E5A86" w:rsidP="00C93C76">
            <w:pPr>
              <w:keepNext/>
              <w:autoSpaceDE w:val="0"/>
              <w:autoSpaceDN w:val="0"/>
              <w:adjustRightInd w:val="0"/>
            </w:pPr>
            <w:r>
              <w:t>20 mg en une prise par jour les jours 1 à 21 de chaque cycle de 28 jours</w:t>
            </w:r>
          </w:p>
        </w:tc>
      </w:tr>
      <w:tr w:rsidR="00D5485C" w:rsidRPr="00D2126A" w14:paraId="577884BD" w14:textId="77777777" w:rsidTr="0009727D">
        <w:trPr>
          <w:cantSplit/>
          <w:trHeight w:val="57"/>
        </w:trPr>
        <w:tc>
          <w:tcPr>
            <w:tcW w:w="4927" w:type="dxa"/>
            <w:shd w:val="clear" w:color="auto" w:fill="auto"/>
          </w:tcPr>
          <w:p w14:paraId="43C6824E" w14:textId="32420B7F" w:rsidR="003A2FD6" w:rsidRPr="00D2126A" w:rsidRDefault="000E5A86" w:rsidP="00C93C76">
            <w:pPr>
              <w:keepNext/>
              <w:autoSpaceDE w:val="0"/>
              <w:autoSpaceDN w:val="0"/>
              <w:adjustRightInd w:val="0"/>
            </w:pPr>
            <w:r>
              <w:t>Palier de dose -1</w:t>
            </w:r>
          </w:p>
        </w:tc>
        <w:tc>
          <w:tcPr>
            <w:tcW w:w="4928" w:type="dxa"/>
            <w:shd w:val="clear" w:color="auto" w:fill="auto"/>
          </w:tcPr>
          <w:p w14:paraId="3181B138" w14:textId="1AD70CB3" w:rsidR="003A2FD6" w:rsidRPr="00D2126A" w:rsidRDefault="000E5A86" w:rsidP="00C93C76">
            <w:pPr>
              <w:keepNext/>
              <w:autoSpaceDE w:val="0"/>
              <w:autoSpaceDN w:val="0"/>
              <w:adjustRightInd w:val="0"/>
            </w:pPr>
            <w:r>
              <w:t>15 mg en une prise par jour les jours 1 à 21 de chaque cycle de 28 jours</w:t>
            </w:r>
          </w:p>
        </w:tc>
      </w:tr>
      <w:tr w:rsidR="00D5485C" w:rsidRPr="00D2126A" w14:paraId="085EBA15" w14:textId="77777777" w:rsidTr="0009727D">
        <w:trPr>
          <w:cantSplit/>
          <w:trHeight w:val="57"/>
        </w:trPr>
        <w:tc>
          <w:tcPr>
            <w:tcW w:w="4927" w:type="dxa"/>
            <w:shd w:val="clear" w:color="auto" w:fill="auto"/>
          </w:tcPr>
          <w:p w14:paraId="458926DE" w14:textId="41848647" w:rsidR="003A2FD6" w:rsidRPr="00D2126A" w:rsidRDefault="000E5A86" w:rsidP="00C93C76">
            <w:pPr>
              <w:keepNext/>
              <w:autoSpaceDE w:val="0"/>
              <w:autoSpaceDN w:val="0"/>
              <w:adjustRightInd w:val="0"/>
            </w:pPr>
            <w:r>
              <w:t>Palier de dose -2</w:t>
            </w:r>
          </w:p>
        </w:tc>
        <w:tc>
          <w:tcPr>
            <w:tcW w:w="4928" w:type="dxa"/>
            <w:shd w:val="clear" w:color="auto" w:fill="auto"/>
          </w:tcPr>
          <w:p w14:paraId="39A4F52E" w14:textId="2261B189" w:rsidR="003A2FD6" w:rsidRPr="00D2126A" w:rsidRDefault="000E5A86" w:rsidP="00C93C76">
            <w:pPr>
              <w:keepNext/>
              <w:autoSpaceDE w:val="0"/>
              <w:autoSpaceDN w:val="0"/>
              <w:adjustRightInd w:val="0"/>
            </w:pPr>
            <w:r>
              <w:t>10 mg en une prise par jour les jours 1 à 21 de chaque cycle de 28 jours</w:t>
            </w:r>
          </w:p>
        </w:tc>
      </w:tr>
      <w:tr w:rsidR="00D5485C" w:rsidRPr="00D2126A" w14:paraId="1221428E" w14:textId="77777777" w:rsidTr="0009727D">
        <w:trPr>
          <w:cantSplit/>
          <w:trHeight w:val="57"/>
        </w:trPr>
        <w:tc>
          <w:tcPr>
            <w:tcW w:w="4927" w:type="dxa"/>
            <w:shd w:val="clear" w:color="auto" w:fill="auto"/>
          </w:tcPr>
          <w:p w14:paraId="35157F56" w14:textId="25FEE03A" w:rsidR="003A2FD6" w:rsidRPr="00D2126A" w:rsidRDefault="000E5A86" w:rsidP="00C93C76">
            <w:pPr>
              <w:keepNext/>
              <w:autoSpaceDE w:val="0"/>
              <w:autoSpaceDN w:val="0"/>
              <w:adjustRightInd w:val="0"/>
            </w:pPr>
            <w:r>
              <w:t>Palier de dose -3</w:t>
            </w:r>
          </w:p>
        </w:tc>
        <w:tc>
          <w:tcPr>
            <w:tcW w:w="4928" w:type="dxa"/>
            <w:shd w:val="clear" w:color="auto" w:fill="auto"/>
          </w:tcPr>
          <w:p w14:paraId="14C2D991" w14:textId="1553C7A5" w:rsidR="003A2FD6" w:rsidRPr="00D2126A" w:rsidRDefault="000E5A86" w:rsidP="00C93C76">
            <w:pPr>
              <w:keepNext/>
              <w:autoSpaceDE w:val="0"/>
              <w:autoSpaceDN w:val="0"/>
              <w:adjustRightInd w:val="0"/>
            </w:pPr>
            <w:r>
              <w:t>5 mg en une prise par jour les jours 1 à 21 de chaque cycle de 28 jours</w:t>
            </w:r>
          </w:p>
        </w:tc>
      </w:tr>
    </w:tbl>
    <w:p w14:paraId="210301E0" w14:textId="77777777" w:rsidR="003A2FD6" w:rsidRPr="00D2126A" w:rsidRDefault="003A2FD6" w:rsidP="00C93C76">
      <w:pPr>
        <w:pStyle w:val="Date"/>
      </w:pPr>
    </w:p>
    <w:p w14:paraId="0B6BC260" w14:textId="77777777" w:rsidR="003A2FD6" w:rsidRPr="00D2126A" w:rsidRDefault="000E5A86" w:rsidP="00C93C76">
      <w:pPr>
        <w:pStyle w:val="Date"/>
      </w:pPr>
      <w:r>
        <w:t>Pour les ajustements de la posologie en raison de la toxicité du rituximab, se référer au Résumé des Caractéristiques du Produit de ce médicament.</w:t>
      </w:r>
    </w:p>
    <w:p w14:paraId="400C81BD" w14:textId="77777777" w:rsidR="003A2FD6" w:rsidRPr="00D2126A" w:rsidRDefault="003A2FD6" w:rsidP="00C93C76"/>
    <w:p w14:paraId="3ADA1796" w14:textId="77777777" w:rsidR="003A2FD6" w:rsidRPr="00D2126A" w:rsidRDefault="000E5A86" w:rsidP="00C93C76">
      <w:pPr>
        <w:pStyle w:val="Date"/>
        <w:keepNext/>
        <w:numPr>
          <w:ilvl w:val="0"/>
          <w:numId w:val="36"/>
        </w:numPr>
        <w:ind w:left="426" w:hanging="426"/>
        <w:rPr>
          <w:i/>
        </w:rPr>
      </w:pPr>
      <w:r>
        <w:rPr>
          <w:i/>
        </w:rPr>
        <w:t>Thrombopénie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14665139" w14:textId="77777777" w:rsidTr="0009727D">
        <w:trPr>
          <w:cantSplit/>
          <w:trHeight w:val="57"/>
        </w:trPr>
        <w:tc>
          <w:tcPr>
            <w:tcW w:w="2627" w:type="pct"/>
            <w:tcBorders>
              <w:left w:val="nil"/>
              <w:bottom w:val="single" w:sz="4" w:space="0" w:color="auto"/>
              <w:right w:val="nil"/>
            </w:tcBorders>
            <w:shd w:val="clear" w:color="auto" w:fill="auto"/>
          </w:tcPr>
          <w:p w14:paraId="5BC7ACDB" w14:textId="77777777" w:rsidR="003A2FD6" w:rsidRPr="00D2126A" w:rsidRDefault="000E5A86" w:rsidP="00C93C76">
            <w:pPr>
              <w:keepNext/>
              <w:rPr>
                <w:color w:val="000000"/>
              </w:rPr>
            </w:pPr>
            <w:r>
              <w:rPr>
                <w:color w:val="000000"/>
              </w:rPr>
              <w:t>Numération plaquettaire</w:t>
            </w:r>
          </w:p>
        </w:tc>
        <w:tc>
          <w:tcPr>
            <w:tcW w:w="2373" w:type="pct"/>
            <w:tcBorders>
              <w:left w:val="nil"/>
              <w:bottom w:val="single" w:sz="4" w:space="0" w:color="auto"/>
              <w:right w:val="nil"/>
            </w:tcBorders>
            <w:shd w:val="clear" w:color="auto" w:fill="auto"/>
          </w:tcPr>
          <w:p w14:paraId="163F45D2" w14:textId="77777777" w:rsidR="003A2FD6" w:rsidRPr="00D2126A" w:rsidRDefault="000E5A86" w:rsidP="00C93C76">
            <w:pPr>
              <w:keepNext/>
              <w:rPr>
                <w:color w:val="000000"/>
              </w:rPr>
            </w:pPr>
            <w:r>
              <w:t>Action recommandée</w:t>
            </w:r>
          </w:p>
        </w:tc>
      </w:tr>
      <w:tr w:rsidR="00D5485C" w:rsidRPr="00D2126A" w14:paraId="659312C8" w14:textId="77777777" w:rsidTr="0009727D">
        <w:trPr>
          <w:cantSplit/>
          <w:trHeight w:val="57"/>
        </w:trPr>
        <w:tc>
          <w:tcPr>
            <w:tcW w:w="2627" w:type="pct"/>
            <w:tcBorders>
              <w:left w:val="nil"/>
              <w:bottom w:val="nil"/>
              <w:right w:val="nil"/>
            </w:tcBorders>
            <w:shd w:val="clear" w:color="auto" w:fill="auto"/>
          </w:tcPr>
          <w:p w14:paraId="3446B992" w14:textId="795B6835" w:rsidR="003A2FD6" w:rsidRPr="00D2126A" w:rsidRDefault="000E5A86" w:rsidP="00345C47">
            <w:r>
              <w:t>Chute &lt; 50 x 10</w:t>
            </w:r>
            <w:r>
              <w:rPr>
                <w:vertAlign w:val="superscript"/>
              </w:rPr>
              <w:t>9</w:t>
            </w:r>
            <w:r>
              <w:t>/l</w:t>
            </w:r>
          </w:p>
        </w:tc>
        <w:tc>
          <w:tcPr>
            <w:tcW w:w="2373" w:type="pct"/>
            <w:tcBorders>
              <w:left w:val="nil"/>
              <w:bottom w:val="nil"/>
              <w:right w:val="nil"/>
            </w:tcBorders>
            <w:shd w:val="clear" w:color="auto" w:fill="auto"/>
          </w:tcPr>
          <w:p w14:paraId="1849E2EB" w14:textId="7824C7C0" w:rsidR="003A2FD6" w:rsidRPr="00D2126A" w:rsidRDefault="000E5A86" w:rsidP="00C93C76">
            <w:pPr>
              <w:rPr>
                <w:color w:val="000000"/>
              </w:rPr>
            </w:pPr>
            <w:r>
              <w:rPr>
                <w:color w:val="000000"/>
              </w:rPr>
              <w:t>Interrompre le traitement par le lénalidomide et réaliser une NFS au moins tous les 7 jours</w:t>
            </w:r>
          </w:p>
        </w:tc>
      </w:tr>
      <w:tr w:rsidR="00D5485C" w:rsidRPr="00D2126A" w14:paraId="3E23218E" w14:textId="77777777" w:rsidTr="0009727D">
        <w:trPr>
          <w:cantSplit/>
          <w:trHeight w:val="57"/>
        </w:trPr>
        <w:tc>
          <w:tcPr>
            <w:tcW w:w="2627" w:type="pct"/>
            <w:tcBorders>
              <w:top w:val="nil"/>
              <w:left w:val="nil"/>
              <w:bottom w:val="single" w:sz="4" w:space="0" w:color="auto"/>
              <w:right w:val="nil"/>
            </w:tcBorders>
            <w:shd w:val="clear" w:color="auto" w:fill="auto"/>
          </w:tcPr>
          <w:p w14:paraId="56447273" w14:textId="7CF81A33" w:rsidR="003A2FD6" w:rsidRPr="00D2126A" w:rsidRDefault="000E5A86" w:rsidP="00345C47">
            <w:r>
              <w:t>Retour ≥ 50 x 10</w:t>
            </w:r>
            <w:r>
              <w:rPr>
                <w:vertAlign w:val="superscript"/>
              </w:rPr>
              <w:t>9</w:t>
            </w:r>
            <w:r>
              <w:t>/l</w:t>
            </w:r>
          </w:p>
        </w:tc>
        <w:tc>
          <w:tcPr>
            <w:tcW w:w="2373" w:type="pct"/>
            <w:tcBorders>
              <w:top w:val="nil"/>
              <w:left w:val="nil"/>
              <w:bottom w:val="single" w:sz="4" w:space="0" w:color="auto"/>
              <w:right w:val="nil"/>
            </w:tcBorders>
            <w:shd w:val="clear" w:color="auto" w:fill="auto"/>
          </w:tcPr>
          <w:p w14:paraId="1AE77FEB" w14:textId="68D94C77" w:rsidR="003A2FD6" w:rsidRPr="00D2126A" w:rsidRDefault="000E5A86" w:rsidP="00C93C76">
            <w:pPr>
              <w:rPr>
                <w:color w:val="000000"/>
              </w:rPr>
            </w:pPr>
            <w:r>
              <w:rPr>
                <w:color w:val="000000"/>
              </w:rPr>
              <w:t>Reprendre le lénalidomide à la dose immédiatement inférieure (palier de dose -1)</w:t>
            </w:r>
          </w:p>
        </w:tc>
      </w:tr>
      <w:tr w:rsidR="00D5485C" w:rsidRPr="00D2126A" w14:paraId="34A6A6BA" w14:textId="77777777" w:rsidTr="0009727D">
        <w:trPr>
          <w:cantSplit/>
          <w:trHeight w:val="57"/>
        </w:trPr>
        <w:tc>
          <w:tcPr>
            <w:tcW w:w="2627" w:type="pct"/>
            <w:tcBorders>
              <w:left w:val="nil"/>
              <w:bottom w:val="nil"/>
              <w:right w:val="nil"/>
            </w:tcBorders>
            <w:shd w:val="clear" w:color="auto" w:fill="auto"/>
          </w:tcPr>
          <w:p w14:paraId="44622DE7" w14:textId="4C40BE09" w:rsidR="003A2FD6" w:rsidRPr="00D2126A" w:rsidRDefault="00BC15C7" w:rsidP="00D3352B">
            <w:pPr>
              <w:widowControl w:val="0"/>
            </w:pPr>
            <w:r>
              <w:t>Pour toute nouvelle rechute &lt; 50 x 10</w:t>
            </w:r>
            <w:r>
              <w:rPr>
                <w:vertAlign w:val="superscript"/>
              </w:rPr>
              <w:t>9</w:t>
            </w:r>
            <w:r>
              <w:t>/l</w:t>
            </w:r>
          </w:p>
        </w:tc>
        <w:tc>
          <w:tcPr>
            <w:tcW w:w="2373" w:type="pct"/>
            <w:tcBorders>
              <w:left w:val="nil"/>
              <w:bottom w:val="nil"/>
              <w:right w:val="nil"/>
            </w:tcBorders>
            <w:shd w:val="clear" w:color="auto" w:fill="auto"/>
          </w:tcPr>
          <w:p w14:paraId="0EB0EDFC" w14:textId="761FA9CC" w:rsidR="003A2FD6" w:rsidRPr="00D2126A" w:rsidRDefault="000E5A86" w:rsidP="00D3352B">
            <w:pPr>
              <w:widowControl w:val="0"/>
              <w:autoSpaceDE w:val="0"/>
              <w:autoSpaceDN w:val="0"/>
              <w:adjustRightInd w:val="0"/>
              <w:rPr>
                <w:rFonts w:eastAsia="Yu Gothic"/>
              </w:rPr>
            </w:pPr>
            <w:r>
              <w:t>Interrompre le traitement par le lénalidomide et réaliser une NFS au moins tous les 7 jours</w:t>
            </w:r>
          </w:p>
        </w:tc>
      </w:tr>
      <w:tr w:rsidR="00FB5483" w:rsidRPr="00D2126A" w14:paraId="504D8AB3" w14:textId="77777777" w:rsidTr="0009727D">
        <w:trPr>
          <w:cantSplit/>
          <w:trHeight w:val="57"/>
        </w:trPr>
        <w:tc>
          <w:tcPr>
            <w:tcW w:w="2627" w:type="pct"/>
            <w:tcBorders>
              <w:top w:val="nil"/>
              <w:left w:val="nil"/>
              <w:right w:val="nil"/>
            </w:tcBorders>
            <w:shd w:val="clear" w:color="auto" w:fill="auto"/>
          </w:tcPr>
          <w:p w14:paraId="3029AE89" w14:textId="3069DAA4" w:rsidR="00FB5483" w:rsidRPr="00D2126A" w:rsidRDefault="00FB5483" w:rsidP="00D3352B">
            <w:pPr>
              <w:widowControl w:val="0"/>
              <w:rPr>
                <w:rFonts w:eastAsia="Yu Gothic"/>
              </w:rPr>
            </w:pPr>
            <w:r>
              <w:t>Retour ≥ 50 x 10</w:t>
            </w:r>
            <w:r>
              <w:rPr>
                <w:vertAlign w:val="superscript"/>
              </w:rPr>
              <w:t>9</w:t>
            </w:r>
            <w:r>
              <w:t>/l</w:t>
            </w:r>
          </w:p>
        </w:tc>
        <w:tc>
          <w:tcPr>
            <w:tcW w:w="2373" w:type="pct"/>
            <w:tcBorders>
              <w:top w:val="nil"/>
              <w:left w:val="nil"/>
              <w:right w:val="nil"/>
            </w:tcBorders>
            <w:shd w:val="clear" w:color="auto" w:fill="auto"/>
          </w:tcPr>
          <w:p w14:paraId="4A198699" w14:textId="59E25387" w:rsidR="00FB5483" w:rsidRPr="00D2126A" w:rsidRDefault="00FB5483" w:rsidP="00D3352B">
            <w:pPr>
              <w:widowControl w:val="0"/>
              <w:rPr>
                <w:rFonts w:eastAsia="Yu Gothic"/>
              </w:rPr>
            </w:pPr>
            <w:r>
              <w:t>Reprendre le lénalidomide à la dose immédiatement inférieure (palier de dose -2 ou -3). Ne pas descendre en dessous du palier de dose -3</w:t>
            </w:r>
          </w:p>
        </w:tc>
      </w:tr>
    </w:tbl>
    <w:p w14:paraId="04684E2D" w14:textId="77777777" w:rsidR="00B66DC4" w:rsidRDefault="00B66DC4" w:rsidP="00D3352B">
      <w:pPr>
        <w:pStyle w:val="Date"/>
        <w:widowControl w:val="0"/>
        <w:rPr>
          <w:i/>
        </w:rPr>
      </w:pPr>
    </w:p>
    <w:p w14:paraId="3CC16475" w14:textId="2AA12DD7" w:rsidR="003A2FD6" w:rsidRPr="00D2126A" w:rsidRDefault="000E5A86" w:rsidP="00C93C76">
      <w:pPr>
        <w:pStyle w:val="Date"/>
        <w:keepNext/>
        <w:numPr>
          <w:ilvl w:val="0"/>
          <w:numId w:val="36"/>
        </w:numPr>
        <w:ind w:left="567" w:hanging="567"/>
        <w:rPr>
          <w:i/>
        </w:rPr>
      </w:pPr>
      <w:r>
        <w:rPr>
          <w:i/>
        </w:rPr>
        <w:t xml:space="preserve">Numération des polynucléaires neutrophiles (PNN) </w:t>
      </w:r>
      <w:r>
        <w:rPr>
          <w:i/>
        </w:rPr>
        <w:noBreakHyphen/>
        <w:t xml:space="preserve"> neutropénie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942"/>
        <w:gridCol w:w="4344"/>
      </w:tblGrid>
      <w:tr w:rsidR="00D5485C" w:rsidRPr="00D2126A" w14:paraId="0870E337" w14:textId="77777777" w:rsidTr="0009727D">
        <w:trPr>
          <w:cantSplit/>
          <w:trHeight w:val="57"/>
          <w:tblHeader/>
        </w:trPr>
        <w:tc>
          <w:tcPr>
            <w:tcW w:w="2661" w:type="pct"/>
            <w:tcBorders>
              <w:left w:val="nil"/>
              <w:right w:val="nil"/>
            </w:tcBorders>
            <w:shd w:val="clear" w:color="auto" w:fill="auto"/>
          </w:tcPr>
          <w:p w14:paraId="6237A927" w14:textId="473498A2" w:rsidR="003A2FD6" w:rsidRPr="00D2126A" w:rsidRDefault="000E5A86" w:rsidP="00C93C76">
            <w:pPr>
              <w:keepNext/>
              <w:rPr>
                <w:color w:val="000000"/>
              </w:rPr>
            </w:pPr>
            <w:r>
              <w:rPr>
                <w:color w:val="000000"/>
              </w:rPr>
              <w:t>Numération des PNN</w:t>
            </w:r>
          </w:p>
        </w:tc>
        <w:tc>
          <w:tcPr>
            <w:tcW w:w="2339" w:type="pct"/>
            <w:tcBorders>
              <w:left w:val="nil"/>
              <w:right w:val="nil"/>
            </w:tcBorders>
            <w:shd w:val="clear" w:color="auto" w:fill="auto"/>
          </w:tcPr>
          <w:p w14:paraId="0C613668" w14:textId="22034207" w:rsidR="003A2FD6" w:rsidRPr="00D2126A" w:rsidRDefault="000E5A86" w:rsidP="00C93C76">
            <w:pPr>
              <w:keepNext/>
              <w:outlineLvl w:val="0"/>
              <w:rPr>
                <w:color w:val="000000"/>
              </w:rPr>
            </w:pPr>
            <w:r>
              <w:t>Action recommandéeª</w:t>
            </w:r>
          </w:p>
        </w:tc>
      </w:tr>
      <w:tr w:rsidR="00D5485C" w:rsidRPr="00D2126A" w14:paraId="3146D20D" w14:textId="77777777" w:rsidTr="0009727D">
        <w:trPr>
          <w:cantSplit/>
          <w:trHeight w:val="57"/>
        </w:trPr>
        <w:tc>
          <w:tcPr>
            <w:tcW w:w="2661" w:type="pct"/>
            <w:tcBorders>
              <w:left w:val="nil"/>
              <w:right w:val="nil"/>
            </w:tcBorders>
            <w:shd w:val="clear" w:color="auto" w:fill="auto"/>
          </w:tcPr>
          <w:p w14:paraId="6DC967A1" w14:textId="51FF0EF9" w:rsidR="009147F2" w:rsidRPr="00D2126A" w:rsidRDefault="000E5A86" w:rsidP="00A07D82">
            <w:r>
              <w:t>Chute &lt; 1 x 10</w:t>
            </w:r>
            <w:r>
              <w:rPr>
                <w:vertAlign w:val="superscript"/>
              </w:rPr>
              <w:t>9</w:t>
            </w:r>
            <w:r>
              <w:t>/l pendant au moins 7 jours ou</w:t>
            </w:r>
          </w:p>
          <w:p w14:paraId="24265351" w14:textId="54B6E061" w:rsidR="00036363" w:rsidRPr="00D2126A" w:rsidRDefault="000E5A86" w:rsidP="00A07D82">
            <w:pPr>
              <w:rPr>
                <w:rFonts w:eastAsia="Yu Gothic"/>
              </w:rPr>
            </w:pPr>
            <w:r>
              <w:t>Chute &lt; 1 x 10</w:t>
            </w:r>
            <w:r>
              <w:rPr>
                <w:vertAlign w:val="superscript"/>
              </w:rPr>
              <w:t>9</w:t>
            </w:r>
            <w:r>
              <w:t>/l accompagnée de fièvre (température ≥ 38,5 °C) ou</w:t>
            </w:r>
          </w:p>
          <w:p w14:paraId="365A6504" w14:textId="48BCFE0B" w:rsidR="009147F2" w:rsidRPr="00D2126A" w:rsidRDefault="000E5A86" w:rsidP="00A07D82">
            <w:r>
              <w:t>Chute &lt; 0,5 x 10</w:t>
            </w:r>
            <w:r>
              <w:rPr>
                <w:vertAlign w:val="superscript"/>
              </w:rPr>
              <w:t>9</w:t>
            </w:r>
            <w:r>
              <w:t>/l</w:t>
            </w:r>
          </w:p>
        </w:tc>
        <w:tc>
          <w:tcPr>
            <w:tcW w:w="2339" w:type="pct"/>
            <w:tcBorders>
              <w:left w:val="nil"/>
              <w:right w:val="nil"/>
            </w:tcBorders>
            <w:shd w:val="clear" w:color="auto" w:fill="auto"/>
          </w:tcPr>
          <w:p w14:paraId="44E21B87" w14:textId="475F71D2" w:rsidR="009147F2" w:rsidRPr="00D2126A" w:rsidRDefault="000E5A86" w:rsidP="00C93C76">
            <w:pPr>
              <w:keepNext/>
            </w:pPr>
            <w:r>
              <w:rPr>
                <w:color w:val="000000"/>
              </w:rPr>
              <w:t>Interrompre le traitement par le lénalidomide et réaliser une NFS au moins tous les 7 jours</w:t>
            </w:r>
          </w:p>
        </w:tc>
      </w:tr>
      <w:tr w:rsidR="00D5485C" w:rsidRPr="00D2126A" w14:paraId="08EBAEC2" w14:textId="77777777" w:rsidTr="0009727D">
        <w:trPr>
          <w:cantSplit/>
          <w:trHeight w:val="57"/>
        </w:trPr>
        <w:tc>
          <w:tcPr>
            <w:tcW w:w="2661" w:type="pct"/>
            <w:tcBorders>
              <w:left w:val="nil"/>
              <w:bottom w:val="single" w:sz="4" w:space="0" w:color="auto"/>
              <w:right w:val="nil"/>
            </w:tcBorders>
            <w:shd w:val="clear" w:color="auto" w:fill="auto"/>
          </w:tcPr>
          <w:p w14:paraId="04F5058F" w14:textId="2F1817A5" w:rsidR="009147F2" w:rsidRPr="00D2126A" w:rsidRDefault="000E5A86" w:rsidP="00345C47">
            <w:r>
              <w:t>Retour ≥ 1 x 10</w:t>
            </w:r>
            <w:r>
              <w:rPr>
                <w:vertAlign w:val="superscript"/>
              </w:rPr>
              <w:t>9</w:t>
            </w:r>
            <w:r>
              <w:t>/l</w:t>
            </w:r>
          </w:p>
        </w:tc>
        <w:tc>
          <w:tcPr>
            <w:tcW w:w="2339" w:type="pct"/>
            <w:tcBorders>
              <w:left w:val="nil"/>
              <w:bottom w:val="single" w:sz="4" w:space="0" w:color="auto"/>
              <w:right w:val="nil"/>
            </w:tcBorders>
            <w:shd w:val="clear" w:color="auto" w:fill="auto"/>
          </w:tcPr>
          <w:p w14:paraId="46E2E157" w14:textId="2B4570C0" w:rsidR="009147F2" w:rsidRPr="00D2126A" w:rsidRDefault="000E5A86" w:rsidP="00C93C76">
            <w:pPr>
              <w:rPr>
                <w:color w:val="000000"/>
              </w:rPr>
            </w:pPr>
            <w:r>
              <w:rPr>
                <w:color w:val="000000"/>
              </w:rPr>
              <w:t>Reprendre le lénalidomide à la dose immédiatement inférieure (palier de dose -1)</w:t>
            </w:r>
          </w:p>
        </w:tc>
      </w:tr>
      <w:tr w:rsidR="00D5485C" w:rsidRPr="00D2126A" w14:paraId="11107DC2" w14:textId="77777777" w:rsidTr="0009727D">
        <w:trPr>
          <w:cantSplit/>
          <w:trHeight w:val="57"/>
        </w:trPr>
        <w:tc>
          <w:tcPr>
            <w:tcW w:w="2661" w:type="pct"/>
            <w:tcBorders>
              <w:left w:val="nil"/>
              <w:bottom w:val="nil"/>
              <w:right w:val="nil"/>
            </w:tcBorders>
            <w:shd w:val="clear" w:color="auto" w:fill="auto"/>
          </w:tcPr>
          <w:p w14:paraId="2406448F" w14:textId="633ED3AD" w:rsidR="009147F2" w:rsidRPr="00D2126A" w:rsidRDefault="000E5A86" w:rsidP="0064116A">
            <w:pPr>
              <w:keepNext/>
              <w:rPr>
                <w:rFonts w:eastAsia="Yu Gothic"/>
              </w:rPr>
            </w:pPr>
            <w:r>
              <w:t>Pour toute nouvelle rechute &lt; 1 x 10</w:t>
            </w:r>
            <w:r>
              <w:rPr>
                <w:vertAlign w:val="superscript"/>
              </w:rPr>
              <w:t>9</w:t>
            </w:r>
            <w:r>
              <w:t>/l pendant au moins 7 jours ou rechute &lt; 1 x 10</w:t>
            </w:r>
            <w:r>
              <w:rPr>
                <w:vertAlign w:val="superscript"/>
              </w:rPr>
              <w:t>9</w:t>
            </w:r>
            <w:r>
              <w:t>/l accompagnée de fièvre (température ≥ 38,5 °C) ou rechute &lt; 0,5 x 10</w:t>
            </w:r>
            <w:r>
              <w:rPr>
                <w:vertAlign w:val="superscript"/>
              </w:rPr>
              <w:t>9</w:t>
            </w:r>
            <w:r>
              <w:t>/l</w:t>
            </w:r>
          </w:p>
        </w:tc>
        <w:tc>
          <w:tcPr>
            <w:tcW w:w="2339" w:type="pct"/>
            <w:tcBorders>
              <w:left w:val="nil"/>
              <w:bottom w:val="nil"/>
              <w:right w:val="nil"/>
            </w:tcBorders>
            <w:shd w:val="clear" w:color="auto" w:fill="auto"/>
          </w:tcPr>
          <w:p w14:paraId="05EA8582" w14:textId="687AD582" w:rsidR="009147F2" w:rsidRPr="00D2126A" w:rsidRDefault="000E5A86" w:rsidP="00C93C76">
            <w:pPr>
              <w:outlineLvl w:val="0"/>
              <w:rPr>
                <w:color w:val="000000"/>
              </w:rPr>
            </w:pPr>
            <w:r>
              <w:rPr>
                <w:color w:val="000000"/>
              </w:rPr>
              <w:t>Interrompre le traitement par le lénalidomide et réaliser une NFS au moins tous les 7 jours</w:t>
            </w:r>
          </w:p>
        </w:tc>
      </w:tr>
      <w:tr w:rsidR="00692DF2" w:rsidRPr="00D2126A" w14:paraId="1D5B7EA5" w14:textId="77777777" w:rsidTr="0009727D">
        <w:trPr>
          <w:cantSplit/>
          <w:trHeight w:val="57"/>
        </w:trPr>
        <w:tc>
          <w:tcPr>
            <w:tcW w:w="2661" w:type="pct"/>
            <w:tcBorders>
              <w:top w:val="nil"/>
              <w:left w:val="nil"/>
              <w:right w:val="nil"/>
            </w:tcBorders>
            <w:shd w:val="clear" w:color="auto" w:fill="auto"/>
          </w:tcPr>
          <w:p w14:paraId="5A64CE08" w14:textId="4CD21BD9" w:rsidR="00692DF2" w:rsidRPr="00D2126A" w:rsidRDefault="00692DF2" w:rsidP="000C6A57">
            <w:pPr>
              <w:keepNext/>
              <w:rPr>
                <w:rFonts w:eastAsia="Yu Gothic"/>
              </w:rPr>
            </w:pPr>
            <w:r>
              <w:t>Retour ≥ 1 x 10</w:t>
            </w:r>
            <w:r>
              <w:rPr>
                <w:vertAlign w:val="superscript"/>
              </w:rPr>
              <w:t>9</w:t>
            </w:r>
            <w:r>
              <w:t>/l</w:t>
            </w:r>
          </w:p>
        </w:tc>
        <w:tc>
          <w:tcPr>
            <w:tcW w:w="2339" w:type="pct"/>
            <w:tcBorders>
              <w:top w:val="nil"/>
              <w:left w:val="nil"/>
              <w:right w:val="nil"/>
            </w:tcBorders>
            <w:shd w:val="clear" w:color="auto" w:fill="auto"/>
          </w:tcPr>
          <w:p w14:paraId="6840E9F0" w14:textId="3F11D6DE" w:rsidR="00692DF2" w:rsidRPr="00D2126A" w:rsidRDefault="00692DF2" w:rsidP="00C93C76">
            <w:pPr>
              <w:outlineLvl w:val="0"/>
              <w:rPr>
                <w:color w:val="000000"/>
              </w:rPr>
            </w:pPr>
            <w:r>
              <w:t>Reprendre le lénalidomide à la dose immédiatement inférieure (palier de dose -2, -3). Ne pas descendre en dessous du palier de dose -3.</w:t>
            </w:r>
          </w:p>
        </w:tc>
      </w:tr>
    </w:tbl>
    <w:p w14:paraId="40B5316D" w14:textId="77777777" w:rsidR="003A2FD6" w:rsidRPr="00D2126A" w:rsidRDefault="000E5A86" w:rsidP="00C93C76">
      <w:pPr>
        <w:autoSpaceDE w:val="0"/>
        <w:autoSpaceDN w:val="0"/>
        <w:adjustRightInd w:val="0"/>
        <w:rPr>
          <w:sz w:val="16"/>
          <w:szCs w:val="16"/>
        </w:rPr>
      </w:pPr>
      <w:r>
        <w:rPr>
          <w:sz w:val="16"/>
        </w:rPr>
        <w:t>ª À l’appréciation du médecin, si la neutropénie est la seule toxicité quel que soit le palier de dose, ajouter un facteur de croissance granulocytaire (G</w:t>
      </w:r>
      <w:r>
        <w:rPr>
          <w:sz w:val="16"/>
        </w:rPr>
        <w:noBreakHyphen/>
        <w:t>CSF).</w:t>
      </w:r>
    </w:p>
    <w:p w14:paraId="0235F40C" w14:textId="77777777" w:rsidR="003A2FD6" w:rsidRPr="00D2126A" w:rsidRDefault="003A2FD6" w:rsidP="00C93C76">
      <w:pPr>
        <w:pStyle w:val="Date"/>
      </w:pPr>
    </w:p>
    <w:p w14:paraId="2E01325E" w14:textId="77777777" w:rsidR="00036363" w:rsidRPr="00D2126A" w:rsidRDefault="000E5A86" w:rsidP="00A07D82">
      <w:pPr>
        <w:pStyle w:val="Style21"/>
      </w:pPr>
      <w:r>
        <w:t>Lymphome à cellules du manteau (LCM) ou lymphome folliculaire (LF)</w:t>
      </w:r>
    </w:p>
    <w:p w14:paraId="3FB4EE96" w14:textId="77777777" w:rsidR="00036363" w:rsidRPr="00D2126A" w:rsidRDefault="000E5A86" w:rsidP="00C93C76">
      <w:pPr>
        <w:keepNext/>
        <w:autoSpaceDE w:val="0"/>
        <w:autoSpaceDN w:val="0"/>
        <w:adjustRightInd w:val="0"/>
        <w:rPr>
          <w:i/>
          <w:color w:val="000000"/>
        </w:rPr>
      </w:pPr>
      <w:r>
        <w:rPr>
          <w:i/>
          <w:color w:val="000000"/>
        </w:rPr>
        <w:t>Syndrome de lyse tumorale (SLT)</w:t>
      </w:r>
    </w:p>
    <w:p w14:paraId="6D5FAA14" w14:textId="7EF6089A" w:rsidR="003A2FD6" w:rsidRPr="00D2126A" w:rsidRDefault="000E5A86" w:rsidP="00C93C76">
      <w:pPr>
        <w:autoSpaceDE w:val="0"/>
        <w:autoSpaceDN w:val="0"/>
        <w:adjustRightInd w:val="0"/>
        <w:rPr>
          <w:rFonts w:eastAsia="Yu Gothic"/>
        </w:rPr>
      </w:pPr>
      <w:r>
        <w:t>Tous les patients doivent recevoir une prophylaxie du SLT (allopurinol, rasburicase ou équivalent selon le protocole utilisé dans l’établissement) et doivent être correctement hydratés (par voie orale) pendant la première semaine du premier cycle ou pendant une durée plus longue, en fonction du tableau clinique. Un bilan biochimique doit être réalisé chaque semaine pendant le premier cycle ou en fonction du tableau clinique afin de détecter la survenue d’un SLT.</w:t>
      </w:r>
    </w:p>
    <w:p w14:paraId="1E23C8A0" w14:textId="77777777" w:rsidR="002945E4" w:rsidRPr="00D2126A" w:rsidRDefault="002945E4" w:rsidP="00C93C76">
      <w:pPr>
        <w:pStyle w:val="Date"/>
        <w:rPr>
          <w:rFonts w:eastAsia="Yu Gothic"/>
        </w:rPr>
      </w:pPr>
    </w:p>
    <w:p w14:paraId="0A0CB51C" w14:textId="5910A739" w:rsidR="003A2FD6" w:rsidRPr="00D2126A" w:rsidRDefault="000E5A86" w:rsidP="00C93C76">
      <w:pPr>
        <w:autoSpaceDE w:val="0"/>
        <w:autoSpaceDN w:val="0"/>
        <w:adjustRightInd w:val="0"/>
      </w:pPr>
      <w:r>
        <w:t>Le traitement par le lénalidomide peut être poursuivi (maintien de la dose) chez les patients présentant un SLT biologique ou un SLT clinique de grade 1, ou à l’appréciation du médecin, le traitement par le lénalidomide peut être poursuivi à une dose réduite d’un palier. Une hydratation intensive par voie intraveineuse doit être mise en place et doit s’accompagner d’une prise en charge médicale appropriée selon le protocole de soins de l’établissement, jusqu’à la correction des troubles électrolytiques. Un traitement par la rasburicase peut être nécessaire pour réduire l’hyperuricémie. La décision d’hospitalisation du patient relève de l’appréciation du médecin.</w:t>
      </w:r>
    </w:p>
    <w:p w14:paraId="3671A048" w14:textId="77777777" w:rsidR="002945E4" w:rsidRPr="00D2126A" w:rsidRDefault="002945E4" w:rsidP="00C93C76">
      <w:pPr>
        <w:pStyle w:val="Date"/>
      </w:pPr>
    </w:p>
    <w:p w14:paraId="248C9FC2" w14:textId="4CF6CB47" w:rsidR="003A2FD6" w:rsidRPr="00D2126A" w:rsidRDefault="000E5A86" w:rsidP="00C93C76">
      <w:pPr>
        <w:pStyle w:val="Date"/>
      </w:pPr>
      <w:r>
        <w:t>Chez les patients présentant un SLT clinique de grades 2 à 4, le traitement par le lénalidomide doit être interrompu et un bilan biochimique doit être effectué chaque semaine ou en fonction du tableau clinique. Une hydratation intensive par voie intraveineuse doit être mise en place et doit s’accompagner d’une prise en charge médicale appropriée selon le protocole de soins de l’établissement, jusqu’à la correction des troubles électrolytiques. Le traitement par la rasburicase et la décision d’hospitalisation relèvent de l’appréciation du médecin. Après résolution du SLT (grade 0), le traitement par le lénalidomide est repris à la dose immédiatement inférieure, à l’appréciation du médecin (voir rubrique 4.4).</w:t>
      </w:r>
    </w:p>
    <w:p w14:paraId="41D98BE0" w14:textId="77777777" w:rsidR="003A2FD6" w:rsidRPr="00D2126A" w:rsidRDefault="003A2FD6" w:rsidP="00DF154F">
      <w:pPr>
        <w:rPr>
          <w:color w:val="000000"/>
        </w:rPr>
      </w:pPr>
    </w:p>
    <w:p w14:paraId="51D7E545" w14:textId="77777777" w:rsidR="00A022E0" w:rsidRPr="00D2126A" w:rsidRDefault="000E5A86" w:rsidP="00DF154F">
      <w:pPr>
        <w:keepNext/>
        <w:rPr>
          <w:i/>
          <w:color w:val="000000"/>
        </w:rPr>
      </w:pPr>
      <w:r>
        <w:rPr>
          <w:i/>
          <w:color w:val="000000"/>
        </w:rPr>
        <w:t>Réaction de poussée tumorale</w:t>
      </w:r>
    </w:p>
    <w:p w14:paraId="5FAD763D" w14:textId="7C77C88E" w:rsidR="00036363" w:rsidRPr="00D2126A" w:rsidRDefault="000E5A86" w:rsidP="000C6A57">
      <w:r>
        <w:t>À l’appréciation du médecin, le traitement par le lénalidomide peut être poursuivi sans interruption ni modification chez les patients qui présentent une réaction de poussée tumorale (RPT) de grade 1 ou 2. À l’appréciation du médecin, un traitement par anti</w:t>
      </w:r>
      <w:r>
        <w:noBreakHyphen/>
        <w:t>inflammatoires non stéroïdiens (AINS), corticoïdes d’action courte et/ou analgésiques opioïdes peut être administré. Chez les patients présentant une RPT de grade 3 ou 4, le traitement par le lénalidomide doit être suspendu et un traitement par AINS, corticoïdes et/ou analgésiques opioïdes doit être instauré. Après résolution de la RPT à un grade ≤ 1, reprendre le traitement par le lénalidomide à la même dose jusqu’à la fin du cycle. Un traitement symptomatique peut être administré conformément aux recommandations pour le traitement des RPT de grades 1 et 2 (voir rubrique 4.4).</w:t>
      </w:r>
    </w:p>
    <w:p w14:paraId="6427C046" w14:textId="1B31C709" w:rsidR="00A022E0" w:rsidRPr="00D2126A" w:rsidRDefault="00A022E0" w:rsidP="00C93C76"/>
    <w:p w14:paraId="6408194A" w14:textId="77777777" w:rsidR="00C77818" w:rsidRPr="00D2126A" w:rsidRDefault="000E5A86" w:rsidP="00C93C76">
      <w:pPr>
        <w:keepNext/>
        <w:rPr>
          <w:i/>
          <w:u w:val="single"/>
        </w:rPr>
      </w:pPr>
      <w:r>
        <w:rPr>
          <w:i/>
          <w:u w:val="single"/>
        </w:rPr>
        <w:t>Toutes indications</w:t>
      </w:r>
    </w:p>
    <w:p w14:paraId="25BF2040" w14:textId="77A67939" w:rsidR="00C77818" w:rsidRPr="00D2126A" w:rsidRDefault="000E5A86" w:rsidP="00A07D82">
      <w:r>
        <w:t>En cas d’autres toxicités de grade 3 ou 4 jugées comme étant liées au lénalidomide, le traitement doit être interrompu et ne doit être repris à la dose immédiatement inférieure que lorsque la toxicité a atteint un grade ≤ 2 et selon l’appréciation du médecin.</w:t>
      </w:r>
    </w:p>
    <w:p w14:paraId="3044EE19" w14:textId="77777777" w:rsidR="00C77818" w:rsidRPr="00D2126A" w:rsidRDefault="00C77818" w:rsidP="00C93C76">
      <w:pPr>
        <w:rPr>
          <w:color w:val="000000"/>
        </w:rPr>
      </w:pPr>
    </w:p>
    <w:p w14:paraId="5F6F0D6C" w14:textId="7916A51F" w:rsidR="00C77818" w:rsidRPr="00D2126A" w:rsidRDefault="000E5A86" w:rsidP="00A07D82">
      <w:r>
        <w:t>Il convient d’envisager d’interrompre ou d’arrêter définitivement le traitement par le lénalidomide en cas d’éruption cutanée de grade 2 ou 3. Le traitement par le lénalidomide doit être suspendu en cas d’angiœdème, de réaction anaphylactique, d’éruption cutanée de grade 4, d’éruption exfoliatrice ou bulleuse ou de suspicion de nécrolyse épidermique toxique (NET), de syndrome de Stevens</w:t>
      </w:r>
      <w:r>
        <w:noBreakHyphen/>
        <w:t>Johnson (SJS) ou d’une réaction médicamenteuse accompagnée d’une éosinophilie et de symptômes systémiques (DRESS) et ne doit pas être repris après la résolution de ces réactions.</w:t>
      </w:r>
    </w:p>
    <w:p w14:paraId="4262C7FE" w14:textId="77777777" w:rsidR="00B158BA" w:rsidRPr="00D2126A" w:rsidRDefault="00B158BA" w:rsidP="00C93C76">
      <w:pPr>
        <w:pStyle w:val="Date"/>
      </w:pPr>
    </w:p>
    <w:p w14:paraId="629F3A5B" w14:textId="77777777" w:rsidR="00375EAB" w:rsidRPr="00D2126A" w:rsidRDefault="000E5A86" w:rsidP="00C93C76">
      <w:pPr>
        <w:keepNext/>
        <w:rPr>
          <w:i/>
          <w:color w:val="000000"/>
          <w:u w:val="single"/>
        </w:rPr>
      </w:pPr>
      <w:r>
        <w:rPr>
          <w:i/>
          <w:color w:val="000000"/>
          <w:u w:val="single"/>
        </w:rPr>
        <w:t>Populations particulières</w:t>
      </w:r>
    </w:p>
    <w:p w14:paraId="118EA228" w14:textId="77777777" w:rsidR="00375EAB" w:rsidRPr="00D2126A" w:rsidRDefault="000E5A86" w:rsidP="00C93C76">
      <w:pPr>
        <w:keepNext/>
        <w:numPr>
          <w:ilvl w:val="0"/>
          <w:numId w:val="36"/>
        </w:numPr>
        <w:ind w:left="567" w:hanging="567"/>
        <w:rPr>
          <w:color w:val="000000"/>
          <w:u w:val="single"/>
        </w:rPr>
      </w:pPr>
      <w:r>
        <w:rPr>
          <w:color w:val="000000"/>
          <w:u w:val="single"/>
        </w:rPr>
        <w:t>Population pédiatrique</w:t>
      </w:r>
    </w:p>
    <w:p w14:paraId="719327F2" w14:textId="77777777" w:rsidR="003F3983" w:rsidRPr="00D2126A" w:rsidRDefault="003F3983" w:rsidP="003F3983">
      <w:pPr>
        <w:keepNext/>
      </w:pPr>
    </w:p>
    <w:p w14:paraId="7329CE56" w14:textId="4FAF8B9F" w:rsidR="00036363" w:rsidRPr="00D2126A" w:rsidRDefault="000E5A86" w:rsidP="00A07D82">
      <w:r>
        <w:t>Revlimid ne doit pas être utilisé chez les enfants et adolescents de la naissance à moins de 18 ans en raison de problème(s) de sécurité (voir rubrique 5.1).</w:t>
      </w:r>
    </w:p>
    <w:p w14:paraId="2E8CDB5D" w14:textId="1C9DF76D" w:rsidR="00375EAB" w:rsidRPr="00D2126A" w:rsidRDefault="00375EAB" w:rsidP="00C93C76">
      <w:pPr>
        <w:rPr>
          <w:color w:val="000000"/>
        </w:rPr>
      </w:pPr>
    </w:p>
    <w:p w14:paraId="6CC83A33" w14:textId="77777777" w:rsidR="00375EAB" w:rsidRPr="00D2126A" w:rsidRDefault="000E5A86" w:rsidP="00C93C76">
      <w:pPr>
        <w:keepNext/>
        <w:numPr>
          <w:ilvl w:val="0"/>
          <w:numId w:val="36"/>
        </w:numPr>
        <w:ind w:left="567" w:hanging="567"/>
        <w:rPr>
          <w:color w:val="000000"/>
          <w:u w:val="single"/>
        </w:rPr>
      </w:pPr>
      <w:r>
        <w:rPr>
          <w:color w:val="000000"/>
          <w:u w:val="single"/>
        </w:rPr>
        <w:t>Sujets âgés</w:t>
      </w:r>
    </w:p>
    <w:p w14:paraId="443D31E3" w14:textId="05B76D07" w:rsidR="00036363" w:rsidRPr="00D2126A" w:rsidRDefault="000E5A86" w:rsidP="00C93C76">
      <w:pPr>
        <w:rPr>
          <w:color w:val="000000"/>
        </w:rPr>
      </w:pPr>
      <w:r>
        <w:rPr>
          <w:color w:val="000000"/>
        </w:rPr>
        <w:t>Les données pharmacocinétiques disponibles actuellement sont présentées à la rubrique 5.2. Lors des études cliniques, le lénalidomide a été administré chez des patients atteints de myélomes multiples et âgés jusqu’à 91 ans, chez des patients présentant un syndrome myélodysplasique et âgés jusqu’à 95 ans et chez des patients présentant un lymphome à cellules du manteau âgés jusqu’à 88 ans (voir rubrique 5.1).</w:t>
      </w:r>
    </w:p>
    <w:p w14:paraId="044452E5" w14:textId="25DDACDC" w:rsidR="00037582" w:rsidRPr="00D2126A" w:rsidRDefault="00037582" w:rsidP="00C93C76"/>
    <w:p w14:paraId="4C2CC467" w14:textId="77777777" w:rsidR="00037582" w:rsidRPr="00D2126A" w:rsidRDefault="000E5A86" w:rsidP="00C93C76">
      <w:pPr>
        <w:rPr>
          <w:color w:val="000000"/>
        </w:rPr>
      </w:pPr>
      <w:r>
        <w:rPr>
          <w:color w:val="000000"/>
        </w:rPr>
        <w:t>Une diminution de la fonction rénale étant plus fréquente chez les patients âgés, le choix de la posologie devra être fait avec précaution chez ces patients et il est recommandé de surveiller leur fonction rénale.</w:t>
      </w:r>
    </w:p>
    <w:p w14:paraId="6C777982" w14:textId="77777777" w:rsidR="007E137D" w:rsidRPr="00D2126A" w:rsidRDefault="007E137D" w:rsidP="00C93C76">
      <w:pPr>
        <w:rPr>
          <w:color w:val="000000"/>
        </w:rPr>
      </w:pPr>
    </w:p>
    <w:p w14:paraId="3E7D651D" w14:textId="77777777" w:rsidR="00C77818" w:rsidRPr="00D2126A" w:rsidRDefault="000E5A86" w:rsidP="00DF154F">
      <w:pPr>
        <w:keepNext/>
        <w:rPr>
          <w:i/>
          <w:color w:val="000000"/>
        </w:rPr>
      </w:pPr>
      <w:r>
        <w:rPr>
          <w:i/>
          <w:color w:val="000000"/>
        </w:rPr>
        <w:t>Myélome multiple non préalablement traité : patients non éligibles à une greffe</w:t>
      </w:r>
    </w:p>
    <w:p w14:paraId="6B9CF129" w14:textId="5FA12D89" w:rsidR="00E45929" w:rsidRPr="00D2126A" w:rsidRDefault="000E5A86" w:rsidP="00A07D82">
      <w:r>
        <w:t>Les patients présentant un myélome multiple non préalablement traité âgés de 75 ans et plus doivent être évalués attentivement avant d’envisager le traitement (voir rubrique 4.4).</w:t>
      </w:r>
    </w:p>
    <w:p w14:paraId="7EDC93BF" w14:textId="77777777" w:rsidR="00E45929" w:rsidRPr="00D2126A" w:rsidRDefault="00E45929" w:rsidP="00C93C76"/>
    <w:p w14:paraId="6F1D0F47" w14:textId="33A8D128" w:rsidR="00B158BA" w:rsidRPr="00D2126A" w:rsidRDefault="000E5A86" w:rsidP="00C93C76">
      <w:r>
        <w:t>Chez les patients âgés de plus de 75 ans traités par le lénalidomide en association avec la dexaméthasone, la dose initiale de dexaméthasone est de 20 mg par jour les jours 1, 8, 15 et 22 de chaque cycle de 28 jours.</w:t>
      </w:r>
    </w:p>
    <w:p w14:paraId="48E0119A" w14:textId="77777777" w:rsidR="003B0F89" w:rsidRPr="00D2126A" w:rsidRDefault="003B0F89" w:rsidP="00C93C76"/>
    <w:p w14:paraId="57100FB2" w14:textId="5B7E1A78" w:rsidR="00B158BA" w:rsidRPr="00D2126A" w:rsidRDefault="000E5A86" w:rsidP="00C93C76">
      <w:r>
        <w:t>Aucun ajustement de la posologie n’est recommandé chez les patients âgés de plus de 75 ans traités par le lénalidomide en association avec le melphalan et la prednisone.</w:t>
      </w:r>
    </w:p>
    <w:p w14:paraId="1E36F5D6" w14:textId="77777777" w:rsidR="00B158BA" w:rsidRPr="00D2126A" w:rsidRDefault="00B158BA" w:rsidP="00C93C76"/>
    <w:p w14:paraId="3D81C1DF" w14:textId="61E9138A" w:rsidR="009C74E4" w:rsidRPr="00D2126A" w:rsidRDefault="000E5A86" w:rsidP="00C93C76">
      <w:r>
        <w:t>Chez les patients présentant un myélome multiple non préalablement traité âgés de 75 ans et plus, traités par le lénalidomide, il a été observé une incidence plus élevée d’effets indésirables graves et d’effets indésirables ayant entraîné l’arrêt du traitement.</w:t>
      </w:r>
    </w:p>
    <w:p w14:paraId="35F76B84" w14:textId="77777777" w:rsidR="002C3570" w:rsidRPr="00D2126A" w:rsidRDefault="002C3570" w:rsidP="00C93C76">
      <w:pPr>
        <w:pStyle w:val="Date"/>
      </w:pPr>
    </w:p>
    <w:p w14:paraId="6FE4892E" w14:textId="6ACE7D9C" w:rsidR="00C74208" w:rsidRPr="00D2126A" w:rsidRDefault="000E5A86" w:rsidP="00C93C76">
      <w:pPr>
        <w:pStyle w:val="Date"/>
      </w:pPr>
      <w:r>
        <w:t>Le traitement par le lénalidomide en association a été moins bien toléré chez les patients présentant un myélome multiple non préalablement traité âgés de plus de 75 ans que dans la population plus jeune. Chez ces patients, le taux d’arrêts du traitement en raison d’une intolérance (événements indésirables de grade 3 ou 4 et événements indésirables graves) a été plus élevé que chez les patients âgés de moins de 75 ans (voir rubrique 4.4).</w:t>
      </w:r>
    </w:p>
    <w:p w14:paraId="2D6FAEEF" w14:textId="77777777" w:rsidR="002C3570" w:rsidRPr="00D2126A" w:rsidRDefault="002C3570" w:rsidP="00C93C76"/>
    <w:p w14:paraId="418AB2A7" w14:textId="77777777" w:rsidR="00036363" w:rsidRPr="00D2126A" w:rsidRDefault="000E5A86" w:rsidP="00DF154F">
      <w:pPr>
        <w:keepNext/>
        <w:rPr>
          <w:i/>
          <w:color w:val="000000"/>
        </w:rPr>
      </w:pPr>
      <w:r>
        <w:rPr>
          <w:i/>
          <w:color w:val="000000"/>
        </w:rPr>
        <w:t>Myélome multiple chez les patients ayant reçu au moins un traitement antérieur</w:t>
      </w:r>
    </w:p>
    <w:p w14:paraId="40D42A80" w14:textId="16692B0E" w:rsidR="00036363" w:rsidRPr="00D2126A" w:rsidRDefault="000E5A86" w:rsidP="00C93C76">
      <w:pPr>
        <w:rPr>
          <w:color w:val="000000"/>
        </w:rPr>
      </w:pPr>
      <w:r>
        <w:rPr>
          <w:color w:val="000000"/>
        </w:rPr>
        <w:t>Le pourcentage de patients atteints d’un myélome multiple âgés de 65 ans ou plus était non significativement différent dans les groupes lénalidomide/dexaméthasone et placebo/dexaméthasone. Aucune différence n’a été observée entre ces patients et les patients plus jeunes en termes de sécurité d’emploi et d’efficacité, mais on ne peut exclure une plus grande prédisposition des sujets âgés.</w:t>
      </w:r>
    </w:p>
    <w:p w14:paraId="337E2E8A" w14:textId="00F48D0F" w:rsidR="002B4A96" w:rsidRPr="00D2126A" w:rsidRDefault="002B4A96" w:rsidP="00C93C76">
      <w:pPr>
        <w:rPr>
          <w:color w:val="000000"/>
        </w:rPr>
      </w:pPr>
    </w:p>
    <w:p w14:paraId="0ACC2ADE" w14:textId="77777777" w:rsidR="00AE5FB3" w:rsidRPr="00D2126A" w:rsidRDefault="000E5A86" w:rsidP="00DF154F">
      <w:pPr>
        <w:keepNext/>
        <w:rPr>
          <w:i/>
          <w:color w:val="000000"/>
        </w:rPr>
      </w:pPr>
      <w:r>
        <w:rPr>
          <w:i/>
          <w:color w:val="000000"/>
        </w:rPr>
        <w:t>Syndromes myélodysplasiques</w:t>
      </w:r>
    </w:p>
    <w:p w14:paraId="55954C1B" w14:textId="605E4FE6" w:rsidR="002B4A96" w:rsidRPr="00D2126A" w:rsidRDefault="000E5A86" w:rsidP="00C93C76">
      <w:pPr>
        <w:rPr>
          <w:color w:val="000000"/>
        </w:rPr>
      </w:pPr>
      <w:r>
        <w:rPr>
          <w:color w:val="000000"/>
        </w:rPr>
        <w:t>Chez les patients atteints d’un syndrome myélodysplasique traités par le lénalidomide, aucune différence en termes de sécurité et d’efficacité n’a été observée entre les patients âgés de plus de 65 ans et les patients plus jeunes.</w:t>
      </w:r>
    </w:p>
    <w:p w14:paraId="5B959042" w14:textId="77777777" w:rsidR="002B4A96" w:rsidRPr="00D2126A" w:rsidRDefault="002B4A96" w:rsidP="00C93C76">
      <w:pPr>
        <w:rPr>
          <w:color w:val="000000"/>
        </w:rPr>
      </w:pPr>
    </w:p>
    <w:p w14:paraId="13CC15C3" w14:textId="77777777" w:rsidR="00E901B3" w:rsidRPr="00D2126A" w:rsidRDefault="000E5A86" w:rsidP="00DF154F">
      <w:pPr>
        <w:keepNext/>
        <w:rPr>
          <w:i/>
          <w:color w:val="000000"/>
        </w:rPr>
      </w:pPr>
      <w:r>
        <w:rPr>
          <w:i/>
          <w:color w:val="000000"/>
        </w:rPr>
        <w:t>Lymphome à cellules du manteau</w:t>
      </w:r>
    </w:p>
    <w:p w14:paraId="18723280" w14:textId="45191A31" w:rsidR="00036363" w:rsidRPr="00D2126A" w:rsidRDefault="000E5A86" w:rsidP="00C93C76">
      <w:r>
        <w:t>Chez les patients atteints d’un lymphome à cellules du manteau traités par le lénalidomide, aucune différence en termes de sécurité et d’efficacité n’a été observée entre les patients âgés de plus de 65 ans et les patients de moins de 65 ans.</w:t>
      </w:r>
    </w:p>
    <w:p w14:paraId="14558B63" w14:textId="266F573B" w:rsidR="004412A2" w:rsidRPr="00D2126A" w:rsidRDefault="004412A2" w:rsidP="00C93C76">
      <w:pPr>
        <w:pStyle w:val="Date"/>
      </w:pPr>
    </w:p>
    <w:p w14:paraId="30D0FE2D" w14:textId="77777777" w:rsidR="00091DD0" w:rsidRPr="00D2126A" w:rsidRDefault="000E5A86" w:rsidP="00C93C76">
      <w:pPr>
        <w:keepNext/>
        <w:rPr>
          <w:i/>
        </w:rPr>
      </w:pPr>
      <w:r>
        <w:rPr>
          <w:i/>
        </w:rPr>
        <w:t>Lymphome folliculaire</w:t>
      </w:r>
    </w:p>
    <w:p w14:paraId="5CB3DA70" w14:textId="555CEB39" w:rsidR="00091DD0" w:rsidRPr="00D2126A" w:rsidRDefault="000E5A86" w:rsidP="00C93C76">
      <w:r>
        <w:t>Chez les patients atteints d’un lymphome folliculaire traités par le lénalidomide en association avec le rituximab, le taux global des événements indésirables observé chez les patients âgés de 65 ans ou plus est comparable à celui observé chez les patients âgés de moins de 65 ans. Globalement, aucune différence en termes d’efficacité n’a été observée entre les deux tranches d’âge.</w:t>
      </w:r>
    </w:p>
    <w:p w14:paraId="7ACFEF93" w14:textId="77777777" w:rsidR="003E634D" w:rsidRPr="00D2126A" w:rsidRDefault="003E634D" w:rsidP="00C93C76"/>
    <w:p w14:paraId="1626C208" w14:textId="77777777" w:rsidR="00375EAB" w:rsidRPr="00D2126A" w:rsidRDefault="000E5A86" w:rsidP="00C93C76">
      <w:pPr>
        <w:keepNext/>
        <w:numPr>
          <w:ilvl w:val="0"/>
          <w:numId w:val="36"/>
        </w:numPr>
        <w:ind w:left="567" w:hanging="567"/>
        <w:rPr>
          <w:color w:val="000000"/>
          <w:u w:val="single"/>
        </w:rPr>
      </w:pPr>
      <w:r>
        <w:rPr>
          <w:color w:val="000000"/>
          <w:u w:val="single"/>
        </w:rPr>
        <w:t>Patients présentant une insuffisance rénale</w:t>
      </w:r>
    </w:p>
    <w:p w14:paraId="67EE6879" w14:textId="437A0C95" w:rsidR="00375EAB" w:rsidRPr="00D2126A" w:rsidRDefault="000E5A86" w:rsidP="00C93C76">
      <w:pPr>
        <w:rPr>
          <w:color w:val="000000"/>
        </w:rPr>
      </w:pPr>
      <w:r>
        <w:rPr>
          <w:color w:val="000000"/>
        </w:rPr>
        <w:t>Le lénalidomide est essentiellement excrété par les reins ; la tolérance du traitement peut être diminuée chez les patients présentant un degré élevé d’insuffisance rénale (voir rubrique 4.4). Le choix de la posologie devra être fait avec précaution et il est recommandé que la fonction rénale soit surveillée.</w:t>
      </w:r>
    </w:p>
    <w:p w14:paraId="402AD34E" w14:textId="77777777" w:rsidR="00375EAB" w:rsidRPr="00D2126A" w:rsidRDefault="00375EAB" w:rsidP="00C93C76">
      <w:pPr>
        <w:rPr>
          <w:color w:val="000000"/>
        </w:rPr>
      </w:pPr>
    </w:p>
    <w:p w14:paraId="45F94003" w14:textId="77777777" w:rsidR="002136F9" w:rsidRPr="00D2126A" w:rsidRDefault="000E5A86" w:rsidP="00C93C76">
      <w:pPr>
        <w:rPr>
          <w:color w:val="000000"/>
        </w:rPr>
      </w:pPr>
      <w:r>
        <w:rPr>
          <w:color w:val="000000"/>
        </w:rPr>
        <w:t>Aucun ajustement de la posologie n’est nécessaire chez les patients atteints d’un myélome multiple, d’un syndrome myélodysplasique, d’un lymphome à cellules du manteau ou d’un lymphome folliculaire présentant une insuffisance rénale légère.</w:t>
      </w:r>
    </w:p>
    <w:p w14:paraId="76698A78" w14:textId="77777777" w:rsidR="002945E4" w:rsidRPr="00D2126A" w:rsidRDefault="002945E4" w:rsidP="00C93C76">
      <w:pPr>
        <w:pStyle w:val="Date"/>
      </w:pPr>
    </w:p>
    <w:p w14:paraId="0619836B" w14:textId="77777777" w:rsidR="00375EAB" w:rsidRPr="00D2126A" w:rsidRDefault="000E5A86" w:rsidP="00C93C76">
      <w:pPr>
        <w:rPr>
          <w:color w:val="000000"/>
        </w:rPr>
      </w:pPr>
      <w:r>
        <w:rPr>
          <w:color w:val="000000"/>
        </w:rPr>
        <w:t>Les ajustements de posologie suivants sont recommandés en début de traitement et pendant tout le traitement en cas d’insuffisance rénale modérée ou sévère ou en cas d’insuffisance rénale terminale.</w:t>
      </w:r>
    </w:p>
    <w:p w14:paraId="683D0F21" w14:textId="77777777" w:rsidR="002945E4" w:rsidRPr="00D2126A" w:rsidRDefault="002945E4" w:rsidP="00C93C76">
      <w:pPr>
        <w:pStyle w:val="Date"/>
      </w:pPr>
    </w:p>
    <w:p w14:paraId="1BD3488F" w14:textId="2E1D97E8" w:rsidR="00D428B6" w:rsidRPr="00D2126A" w:rsidRDefault="000E5A86" w:rsidP="00C93C76">
      <w:pPr>
        <w:pStyle w:val="Date"/>
        <w:rPr>
          <w:color w:val="000000"/>
        </w:rPr>
      </w:pPr>
      <w:r>
        <w:rPr>
          <w:color w:val="000000"/>
        </w:rPr>
        <w:t>Il n’existe pas de données d’étude de phase 3 chez les patients atteints d’insuffisance rénale terminale (IRT) (ClCr &lt; 30 ml/min, nécessitant une dialyse).</w:t>
      </w:r>
    </w:p>
    <w:p w14:paraId="139361A1" w14:textId="77777777" w:rsidR="00C77818" w:rsidRPr="00D2126A" w:rsidRDefault="00C77818" w:rsidP="00C93C76"/>
    <w:p w14:paraId="18152280" w14:textId="77777777" w:rsidR="00D428B6" w:rsidRPr="00D2126A" w:rsidRDefault="000E5A86" w:rsidP="00DF154F">
      <w:pPr>
        <w:keepNext/>
        <w:rPr>
          <w:i/>
          <w:color w:val="000000"/>
        </w:rPr>
      </w:pPr>
      <w:r>
        <w:rPr>
          <w:i/>
          <w:color w:val="000000"/>
        </w:rPr>
        <w:t>Myélome multiple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064"/>
        <w:gridCol w:w="3222"/>
      </w:tblGrid>
      <w:tr w:rsidR="00D5485C" w:rsidRPr="00D2126A" w14:paraId="572DD7F2" w14:textId="77777777" w:rsidTr="00FF732E">
        <w:trPr>
          <w:cantSplit/>
          <w:trHeight w:val="57"/>
          <w:tblHeader/>
        </w:trPr>
        <w:tc>
          <w:tcPr>
            <w:tcW w:w="3265" w:type="pct"/>
            <w:tcBorders>
              <w:top w:val="single" w:sz="12" w:space="0" w:color="auto"/>
              <w:bottom w:val="single" w:sz="12" w:space="0" w:color="auto"/>
            </w:tcBorders>
            <w:shd w:val="clear" w:color="auto" w:fill="auto"/>
          </w:tcPr>
          <w:p w14:paraId="7DD94723" w14:textId="77777777" w:rsidR="00375EAB" w:rsidRPr="00D2126A" w:rsidRDefault="000E5A86" w:rsidP="00C93C76">
            <w:pPr>
              <w:pStyle w:val="C-TableText"/>
              <w:keepNext/>
              <w:spacing w:before="0" w:after="0"/>
              <w:rPr>
                <w:b/>
                <w:color w:val="000000"/>
                <w:szCs w:val="22"/>
              </w:rPr>
            </w:pPr>
            <w:r>
              <w:rPr>
                <w:b/>
                <w:color w:val="000000"/>
              </w:rPr>
              <w:t>Fonction rénale (ClCr)</w:t>
            </w:r>
          </w:p>
        </w:tc>
        <w:tc>
          <w:tcPr>
            <w:tcW w:w="1735" w:type="pct"/>
            <w:tcBorders>
              <w:top w:val="single" w:sz="12" w:space="0" w:color="auto"/>
              <w:bottom w:val="single" w:sz="12" w:space="0" w:color="auto"/>
            </w:tcBorders>
            <w:shd w:val="clear" w:color="auto" w:fill="auto"/>
          </w:tcPr>
          <w:p w14:paraId="138B043A" w14:textId="77777777" w:rsidR="00375EAB" w:rsidRPr="00D2126A" w:rsidRDefault="000E5A86" w:rsidP="00C93C76">
            <w:pPr>
              <w:pStyle w:val="C-TableText"/>
              <w:spacing w:before="0" w:after="0"/>
              <w:rPr>
                <w:b/>
                <w:color w:val="000000"/>
                <w:szCs w:val="22"/>
              </w:rPr>
            </w:pPr>
            <w:r>
              <w:rPr>
                <w:b/>
                <w:color w:val="000000"/>
              </w:rPr>
              <w:t>Ajustement de la posologie</w:t>
            </w:r>
          </w:p>
        </w:tc>
      </w:tr>
      <w:tr w:rsidR="00D5485C" w:rsidRPr="00D2126A" w14:paraId="015BB20C" w14:textId="77777777" w:rsidTr="00FF732E">
        <w:trPr>
          <w:cantSplit/>
          <w:trHeight w:val="57"/>
        </w:trPr>
        <w:tc>
          <w:tcPr>
            <w:tcW w:w="3265" w:type="pct"/>
            <w:tcBorders>
              <w:top w:val="single" w:sz="12" w:space="0" w:color="auto"/>
            </w:tcBorders>
            <w:shd w:val="clear" w:color="auto" w:fill="auto"/>
          </w:tcPr>
          <w:p w14:paraId="14C24592" w14:textId="77777777" w:rsidR="00375EAB" w:rsidRPr="00D2126A" w:rsidRDefault="000E5A86" w:rsidP="00C93C76">
            <w:pPr>
              <w:pStyle w:val="C-TableText"/>
              <w:spacing w:before="0" w:after="0"/>
              <w:rPr>
                <w:color w:val="000000"/>
                <w:szCs w:val="22"/>
              </w:rPr>
            </w:pPr>
            <w:r>
              <w:rPr>
                <w:color w:val="000000"/>
              </w:rPr>
              <w:t>Insuffisance rénale modérée</w:t>
            </w:r>
          </w:p>
          <w:p w14:paraId="7BF39FAB" w14:textId="3F966111" w:rsidR="00375EAB" w:rsidRPr="00D2126A" w:rsidRDefault="000E5A86" w:rsidP="00A07D82">
            <w:r>
              <w:t>(30 ≤ ClCr &lt; 50 ml/min)</w:t>
            </w:r>
          </w:p>
        </w:tc>
        <w:tc>
          <w:tcPr>
            <w:tcW w:w="1735" w:type="pct"/>
            <w:tcBorders>
              <w:top w:val="single" w:sz="12" w:space="0" w:color="auto"/>
            </w:tcBorders>
            <w:shd w:val="clear" w:color="auto" w:fill="auto"/>
          </w:tcPr>
          <w:p w14:paraId="4C4154B6" w14:textId="77777777" w:rsidR="00375EAB" w:rsidRPr="00D2126A" w:rsidRDefault="000E5A86" w:rsidP="00C93C76">
            <w:pPr>
              <w:pStyle w:val="C-TableText"/>
              <w:spacing w:before="0" w:after="0"/>
              <w:rPr>
                <w:color w:val="000000"/>
                <w:szCs w:val="22"/>
              </w:rPr>
            </w:pPr>
            <w:r>
              <w:rPr>
                <w:color w:val="000000"/>
              </w:rPr>
              <w:t>10 mg en une prise par jour</w:t>
            </w:r>
            <w:r>
              <w:rPr>
                <w:color w:val="000000"/>
                <w:vertAlign w:val="superscript"/>
              </w:rPr>
              <w:t>1</w:t>
            </w:r>
          </w:p>
        </w:tc>
      </w:tr>
      <w:tr w:rsidR="00D5485C" w:rsidRPr="00D2126A" w14:paraId="244F1682" w14:textId="77777777" w:rsidTr="00FF732E">
        <w:trPr>
          <w:cantSplit/>
          <w:trHeight w:val="57"/>
        </w:trPr>
        <w:tc>
          <w:tcPr>
            <w:tcW w:w="3265" w:type="pct"/>
            <w:shd w:val="clear" w:color="auto" w:fill="auto"/>
          </w:tcPr>
          <w:p w14:paraId="35CA275D" w14:textId="77777777" w:rsidR="00375EAB" w:rsidRPr="00D2126A" w:rsidRDefault="000E5A86" w:rsidP="00C93C76">
            <w:pPr>
              <w:pStyle w:val="C-TableText"/>
              <w:keepNext/>
              <w:spacing w:before="0" w:after="0"/>
              <w:rPr>
                <w:color w:val="000000"/>
                <w:szCs w:val="22"/>
              </w:rPr>
            </w:pPr>
            <w:r>
              <w:rPr>
                <w:color w:val="000000"/>
              </w:rPr>
              <w:t>Insuffisance rénale sévère</w:t>
            </w:r>
          </w:p>
          <w:p w14:paraId="2754ECAF" w14:textId="77777777" w:rsidR="00375EAB" w:rsidRPr="00D2126A" w:rsidRDefault="000E5A86" w:rsidP="00C93C76">
            <w:pPr>
              <w:pStyle w:val="C-TableText"/>
              <w:spacing w:before="0" w:after="0"/>
              <w:rPr>
                <w:color w:val="000000"/>
                <w:szCs w:val="22"/>
              </w:rPr>
            </w:pPr>
            <w:r>
              <w:rPr>
                <w:color w:val="000000"/>
              </w:rPr>
              <w:t>(ClCr &lt; 30 ml/min, ne nécessitant pas de dialyse)</w:t>
            </w:r>
          </w:p>
        </w:tc>
        <w:tc>
          <w:tcPr>
            <w:tcW w:w="1735" w:type="pct"/>
            <w:shd w:val="clear" w:color="auto" w:fill="auto"/>
          </w:tcPr>
          <w:p w14:paraId="0008C8F9" w14:textId="77777777" w:rsidR="00604DE4" w:rsidRPr="00D2126A" w:rsidRDefault="000E5A86" w:rsidP="00C93C76">
            <w:pPr>
              <w:pStyle w:val="C-TableText"/>
              <w:spacing w:before="0" w:after="0"/>
              <w:rPr>
                <w:color w:val="000000"/>
                <w:szCs w:val="22"/>
              </w:rPr>
            </w:pPr>
            <w:r>
              <w:rPr>
                <w:color w:val="000000"/>
              </w:rPr>
              <w:t>7,5 mg en une prise par jour</w:t>
            </w:r>
            <w:r>
              <w:rPr>
                <w:color w:val="000000"/>
                <w:vertAlign w:val="superscript"/>
              </w:rPr>
              <w:t>2</w:t>
            </w:r>
          </w:p>
          <w:p w14:paraId="6C12B24D" w14:textId="77777777" w:rsidR="00375EAB" w:rsidRPr="00D2126A" w:rsidRDefault="000E5A86" w:rsidP="00C93C76">
            <w:pPr>
              <w:pStyle w:val="C-TableText"/>
              <w:spacing w:before="0" w:after="0"/>
              <w:rPr>
                <w:color w:val="000000"/>
                <w:szCs w:val="22"/>
              </w:rPr>
            </w:pPr>
            <w:r>
              <w:rPr>
                <w:color w:val="000000"/>
              </w:rPr>
              <w:t>15 mg un jour sur deux</w:t>
            </w:r>
          </w:p>
        </w:tc>
      </w:tr>
      <w:tr w:rsidR="00D5485C" w:rsidRPr="00D2126A" w14:paraId="11DC316C" w14:textId="77777777" w:rsidTr="00FF732E">
        <w:trPr>
          <w:cantSplit/>
          <w:trHeight w:val="57"/>
        </w:trPr>
        <w:tc>
          <w:tcPr>
            <w:tcW w:w="3265" w:type="pct"/>
            <w:shd w:val="clear" w:color="auto" w:fill="auto"/>
          </w:tcPr>
          <w:p w14:paraId="091F34F3" w14:textId="77777777" w:rsidR="00375EAB" w:rsidRPr="00D2126A" w:rsidRDefault="000E5A86" w:rsidP="00C93C76">
            <w:pPr>
              <w:pStyle w:val="C-TableText"/>
              <w:spacing w:before="0" w:after="0"/>
              <w:rPr>
                <w:color w:val="000000"/>
                <w:szCs w:val="22"/>
              </w:rPr>
            </w:pPr>
            <w:r>
              <w:rPr>
                <w:color w:val="000000"/>
              </w:rPr>
              <w:t>Insuffisance rénale terminale (IRT)</w:t>
            </w:r>
          </w:p>
          <w:p w14:paraId="0D3EF8D7" w14:textId="77777777" w:rsidR="00375EAB" w:rsidRPr="00D2126A" w:rsidRDefault="000E5A86" w:rsidP="00C93C76">
            <w:pPr>
              <w:pStyle w:val="C-TableText"/>
              <w:spacing w:before="0" w:after="0"/>
              <w:rPr>
                <w:color w:val="000000"/>
                <w:szCs w:val="22"/>
              </w:rPr>
            </w:pPr>
            <w:r>
              <w:rPr>
                <w:color w:val="000000"/>
              </w:rPr>
              <w:t>(ClCr &lt; 30 ml/min, nécessitant une dialyse)</w:t>
            </w:r>
          </w:p>
        </w:tc>
        <w:tc>
          <w:tcPr>
            <w:tcW w:w="1735" w:type="pct"/>
            <w:shd w:val="clear" w:color="auto" w:fill="auto"/>
          </w:tcPr>
          <w:p w14:paraId="43DD0A2D" w14:textId="12862B4B" w:rsidR="00375EAB" w:rsidRPr="00D2126A" w:rsidRDefault="000E5A86" w:rsidP="00C93C76">
            <w:pPr>
              <w:pStyle w:val="C-TableText"/>
              <w:spacing w:before="0" w:after="0"/>
              <w:rPr>
                <w:color w:val="000000"/>
                <w:szCs w:val="22"/>
              </w:rPr>
            </w:pPr>
            <w:r>
              <w:rPr>
                <w:color w:val="000000"/>
              </w:rPr>
              <w:t>5 mg en une prise par jour. Les jours de dialyse, la dose doit être administrée après la dialyse.</w:t>
            </w:r>
          </w:p>
        </w:tc>
      </w:tr>
    </w:tbl>
    <w:p w14:paraId="4760C43E" w14:textId="77777777" w:rsidR="00375EAB"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t>1</w:t>
      </w:r>
      <w:r>
        <w:rPr>
          <w:color w:val="000000"/>
          <w:sz w:val="16"/>
        </w:rPr>
        <w:t xml:space="preserve"> La dose pourra être augmentée à 15 mg en une prise par jour au bout de 2 cycles si le patient ne répond pas au traitement et s’il le tolère.</w:t>
      </w:r>
    </w:p>
    <w:p w14:paraId="6655475A" w14:textId="77777777" w:rsidR="00604DE4" w:rsidRPr="00D2126A" w:rsidRDefault="000E5A86" w:rsidP="00C93C76">
      <w:pPr>
        <w:ind w:left="144" w:hanging="144"/>
        <w:rPr>
          <w:color w:val="000000"/>
          <w:sz w:val="16"/>
          <w:szCs w:val="16"/>
        </w:rPr>
      </w:pPr>
      <w:r>
        <w:rPr>
          <w:color w:val="000000"/>
          <w:sz w:val="16"/>
          <w:vertAlign w:val="superscript"/>
        </w:rPr>
        <w:t>2</w:t>
      </w:r>
      <w:r>
        <w:rPr>
          <w:color w:val="000000"/>
          <w:sz w:val="16"/>
        </w:rPr>
        <w:t xml:space="preserve"> Dans les pays où les gélules de 7,5 mg sont commercialisées.</w:t>
      </w:r>
    </w:p>
    <w:p w14:paraId="709F36D0" w14:textId="77777777" w:rsidR="00375EAB" w:rsidRPr="00D2126A" w:rsidRDefault="00375EAB" w:rsidP="00C93C76">
      <w:pPr>
        <w:rPr>
          <w:color w:val="000000"/>
        </w:rPr>
      </w:pPr>
    </w:p>
    <w:p w14:paraId="2706B1B7" w14:textId="77777777" w:rsidR="00133639" w:rsidRPr="00D2126A" w:rsidRDefault="000E5A86" w:rsidP="00DF154F">
      <w:pPr>
        <w:keepNext/>
        <w:rPr>
          <w:i/>
          <w:color w:val="000000"/>
        </w:rPr>
      </w:pPr>
      <w:r>
        <w:rPr>
          <w:i/>
          <w:color w:val="000000"/>
        </w:rPr>
        <w:t>Syndromes myélodysplasiques</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4138"/>
        <w:gridCol w:w="1471"/>
        <w:gridCol w:w="3677"/>
      </w:tblGrid>
      <w:tr w:rsidR="00D5485C" w:rsidRPr="00D2126A" w14:paraId="1D588F20" w14:textId="77777777" w:rsidTr="00EF7BD9">
        <w:trPr>
          <w:cantSplit/>
          <w:trHeight w:val="57"/>
          <w:tblHeader/>
        </w:trPr>
        <w:tc>
          <w:tcPr>
            <w:tcW w:w="2228" w:type="pct"/>
            <w:tcBorders>
              <w:top w:val="single" w:sz="12" w:space="0" w:color="auto"/>
              <w:bottom w:val="single" w:sz="12" w:space="0" w:color="auto"/>
            </w:tcBorders>
            <w:shd w:val="clear" w:color="auto" w:fill="auto"/>
          </w:tcPr>
          <w:p w14:paraId="46DC7F8A" w14:textId="77777777" w:rsidR="00133639" w:rsidRPr="00D2126A" w:rsidRDefault="000E5A86" w:rsidP="00C93C76">
            <w:pPr>
              <w:pStyle w:val="C-TableText"/>
              <w:keepNext/>
              <w:spacing w:before="0" w:after="0"/>
              <w:rPr>
                <w:b/>
                <w:color w:val="000000"/>
                <w:szCs w:val="22"/>
              </w:rPr>
            </w:pPr>
            <w:r>
              <w:rPr>
                <w:b/>
                <w:color w:val="000000"/>
              </w:rPr>
              <w:t>Fonction rénale (ClCr)</w:t>
            </w:r>
          </w:p>
        </w:tc>
        <w:tc>
          <w:tcPr>
            <w:tcW w:w="2772" w:type="pct"/>
            <w:gridSpan w:val="2"/>
            <w:tcBorders>
              <w:top w:val="single" w:sz="12" w:space="0" w:color="auto"/>
              <w:bottom w:val="single" w:sz="12" w:space="0" w:color="auto"/>
            </w:tcBorders>
            <w:shd w:val="clear" w:color="auto" w:fill="auto"/>
          </w:tcPr>
          <w:p w14:paraId="1415A49B" w14:textId="77777777" w:rsidR="00133639" w:rsidRPr="00D2126A" w:rsidRDefault="000E5A86" w:rsidP="00C93C76">
            <w:pPr>
              <w:pStyle w:val="C-TableText"/>
              <w:keepNext/>
              <w:spacing w:before="0" w:after="0"/>
              <w:jc w:val="center"/>
              <w:rPr>
                <w:b/>
                <w:color w:val="000000"/>
                <w:szCs w:val="22"/>
              </w:rPr>
            </w:pPr>
            <w:r>
              <w:rPr>
                <w:b/>
                <w:color w:val="000000"/>
              </w:rPr>
              <w:t>Ajustement de la posologie</w:t>
            </w:r>
          </w:p>
        </w:tc>
      </w:tr>
      <w:tr w:rsidR="00D5485C" w:rsidRPr="00D2126A" w14:paraId="20C5A05F" w14:textId="77777777" w:rsidTr="00FF732E">
        <w:trPr>
          <w:cantSplit/>
          <w:trHeight w:val="57"/>
        </w:trPr>
        <w:tc>
          <w:tcPr>
            <w:tcW w:w="2228" w:type="pct"/>
            <w:vMerge w:val="restart"/>
            <w:tcBorders>
              <w:top w:val="single" w:sz="12" w:space="0" w:color="auto"/>
            </w:tcBorders>
            <w:shd w:val="clear" w:color="auto" w:fill="auto"/>
          </w:tcPr>
          <w:p w14:paraId="697776AB" w14:textId="77777777" w:rsidR="00133639" w:rsidRPr="00D2126A" w:rsidRDefault="000E5A86" w:rsidP="00C93C76">
            <w:pPr>
              <w:pStyle w:val="C-TableText"/>
              <w:keepNext/>
              <w:spacing w:before="0" w:after="0"/>
              <w:rPr>
                <w:color w:val="000000"/>
                <w:szCs w:val="22"/>
              </w:rPr>
            </w:pPr>
            <w:r>
              <w:rPr>
                <w:color w:val="000000"/>
              </w:rPr>
              <w:t>Insuffisance rénale modérée</w:t>
            </w:r>
          </w:p>
          <w:p w14:paraId="2710793B" w14:textId="08425B9B" w:rsidR="00133639" w:rsidRPr="00D2126A" w:rsidRDefault="000E5A86" w:rsidP="00A07D82">
            <w:r>
              <w:t>(30 ≤ ClCr &lt; 50 ml/min)</w:t>
            </w:r>
          </w:p>
        </w:tc>
        <w:tc>
          <w:tcPr>
            <w:tcW w:w="792" w:type="pct"/>
            <w:tcBorders>
              <w:top w:val="single" w:sz="12" w:space="0" w:color="auto"/>
            </w:tcBorders>
            <w:shd w:val="clear" w:color="auto" w:fill="auto"/>
          </w:tcPr>
          <w:p w14:paraId="3E07909E" w14:textId="77777777" w:rsidR="00133639" w:rsidRPr="00D2126A" w:rsidRDefault="000E5A86" w:rsidP="003F3983">
            <w:pPr>
              <w:pStyle w:val="C-TableText"/>
              <w:keepNext/>
              <w:spacing w:before="0" w:after="0"/>
              <w:rPr>
                <w:color w:val="000000"/>
                <w:szCs w:val="22"/>
              </w:rPr>
            </w:pPr>
            <w:r>
              <w:rPr>
                <w:color w:val="000000"/>
              </w:rPr>
              <w:t>Dose initiale</w:t>
            </w:r>
          </w:p>
        </w:tc>
        <w:tc>
          <w:tcPr>
            <w:tcW w:w="1980" w:type="pct"/>
            <w:tcBorders>
              <w:top w:val="single" w:sz="12" w:space="0" w:color="auto"/>
            </w:tcBorders>
            <w:shd w:val="clear" w:color="auto" w:fill="auto"/>
          </w:tcPr>
          <w:p w14:paraId="4343E27A" w14:textId="31DAB0C9" w:rsidR="00133639" w:rsidRPr="00D2126A" w:rsidRDefault="000E5A86" w:rsidP="00A07D82">
            <w:r>
              <w:t>5 mg en une prise par jour</w:t>
            </w:r>
          </w:p>
          <w:p w14:paraId="1E543D6F" w14:textId="77777777" w:rsidR="00133639" w:rsidRPr="00D2126A" w:rsidRDefault="000E5A86" w:rsidP="00A07D82">
            <w:r>
              <w:t>(jours 1 à 21 de chaque cycle de 28 jours)</w:t>
            </w:r>
          </w:p>
        </w:tc>
      </w:tr>
      <w:tr w:rsidR="00D5485C" w:rsidRPr="00D2126A" w14:paraId="2C9BFAE0" w14:textId="77777777" w:rsidTr="00FF732E">
        <w:trPr>
          <w:cantSplit/>
          <w:trHeight w:val="57"/>
        </w:trPr>
        <w:tc>
          <w:tcPr>
            <w:tcW w:w="2228" w:type="pct"/>
            <w:vMerge/>
            <w:shd w:val="clear" w:color="auto" w:fill="auto"/>
          </w:tcPr>
          <w:p w14:paraId="58A61635" w14:textId="77777777" w:rsidR="00133639" w:rsidRPr="00AB0414" w:rsidRDefault="00133639" w:rsidP="00C93C76">
            <w:pPr>
              <w:pStyle w:val="C-TableText"/>
              <w:keepNext/>
              <w:spacing w:before="0" w:after="0"/>
              <w:rPr>
                <w:color w:val="000000"/>
                <w:szCs w:val="22"/>
              </w:rPr>
            </w:pPr>
          </w:p>
        </w:tc>
        <w:tc>
          <w:tcPr>
            <w:tcW w:w="792" w:type="pct"/>
            <w:shd w:val="clear" w:color="auto" w:fill="auto"/>
          </w:tcPr>
          <w:p w14:paraId="76AEC3D8" w14:textId="7D341F39" w:rsidR="00133639" w:rsidRPr="00D2126A" w:rsidRDefault="000E5A86" w:rsidP="003F3983">
            <w:pPr>
              <w:pStyle w:val="C-TableText"/>
              <w:keepNext/>
              <w:spacing w:before="0" w:after="0"/>
              <w:rPr>
                <w:color w:val="000000"/>
                <w:szCs w:val="22"/>
              </w:rPr>
            </w:pPr>
            <w:r>
              <w:rPr>
                <w:color w:val="000000"/>
              </w:rPr>
              <w:t>Palier de dose -1*</w:t>
            </w:r>
          </w:p>
        </w:tc>
        <w:tc>
          <w:tcPr>
            <w:tcW w:w="1980" w:type="pct"/>
            <w:shd w:val="clear" w:color="auto" w:fill="auto"/>
          </w:tcPr>
          <w:p w14:paraId="299C3872" w14:textId="74654D20" w:rsidR="00133639" w:rsidRPr="00D2126A" w:rsidRDefault="000E5A86" w:rsidP="00A07D82">
            <w:r>
              <w:t>2,5 mg en une prise par jour</w:t>
            </w:r>
          </w:p>
          <w:p w14:paraId="692E345E" w14:textId="6F79EA47" w:rsidR="00133639" w:rsidRPr="00D2126A" w:rsidRDefault="000E5A86" w:rsidP="00A07D82">
            <w:r>
              <w:t>(jours 1 à 28 de chaque cycle de 28 jours)</w:t>
            </w:r>
          </w:p>
        </w:tc>
      </w:tr>
      <w:tr w:rsidR="00D5485C" w:rsidRPr="00D2126A" w14:paraId="3394A6AC" w14:textId="77777777" w:rsidTr="00FF732E">
        <w:trPr>
          <w:cantSplit/>
          <w:trHeight w:val="57"/>
        </w:trPr>
        <w:tc>
          <w:tcPr>
            <w:tcW w:w="2228" w:type="pct"/>
            <w:vMerge/>
            <w:shd w:val="clear" w:color="auto" w:fill="auto"/>
          </w:tcPr>
          <w:p w14:paraId="76F43F75" w14:textId="77777777" w:rsidR="00133639" w:rsidRPr="00AB0414" w:rsidRDefault="00133639" w:rsidP="00C93C76">
            <w:pPr>
              <w:pStyle w:val="C-TableText"/>
              <w:spacing w:before="0" w:after="0"/>
              <w:rPr>
                <w:color w:val="000000"/>
                <w:szCs w:val="22"/>
              </w:rPr>
            </w:pPr>
          </w:p>
        </w:tc>
        <w:tc>
          <w:tcPr>
            <w:tcW w:w="792" w:type="pct"/>
            <w:shd w:val="clear" w:color="auto" w:fill="auto"/>
          </w:tcPr>
          <w:p w14:paraId="133374C7" w14:textId="47376D67" w:rsidR="00133639" w:rsidRPr="00D2126A" w:rsidRDefault="000E5A86" w:rsidP="003F3983">
            <w:pPr>
              <w:pStyle w:val="C-TableText"/>
              <w:spacing w:before="0" w:after="0"/>
              <w:rPr>
                <w:color w:val="000000"/>
                <w:szCs w:val="22"/>
              </w:rPr>
            </w:pPr>
            <w:r>
              <w:rPr>
                <w:color w:val="000000"/>
              </w:rPr>
              <w:t>Palier de dose -2*</w:t>
            </w:r>
          </w:p>
        </w:tc>
        <w:tc>
          <w:tcPr>
            <w:tcW w:w="1980" w:type="pct"/>
            <w:shd w:val="clear" w:color="auto" w:fill="auto"/>
          </w:tcPr>
          <w:p w14:paraId="3813A0C7" w14:textId="41D3E1E4" w:rsidR="00133639" w:rsidRPr="00D2126A" w:rsidRDefault="000E5A86" w:rsidP="00A07D82">
            <w:r>
              <w:t>2,5 mg tous les 2 jours</w:t>
            </w:r>
          </w:p>
          <w:p w14:paraId="640BCBC1" w14:textId="6E8E2E59" w:rsidR="00133639" w:rsidRPr="00D2126A" w:rsidRDefault="000E5A86" w:rsidP="00A07D82">
            <w:r>
              <w:t>(jours 1 à 28 de chaque cycle de 28 jours)</w:t>
            </w:r>
          </w:p>
        </w:tc>
      </w:tr>
      <w:tr w:rsidR="00D5485C" w:rsidRPr="00D2126A" w14:paraId="3E980994" w14:textId="77777777" w:rsidTr="00FF732E">
        <w:trPr>
          <w:cantSplit/>
          <w:trHeight w:val="57"/>
        </w:trPr>
        <w:tc>
          <w:tcPr>
            <w:tcW w:w="2228" w:type="pct"/>
            <w:vMerge w:val="restart"/>
            <w:shd w:val="clear" w:color="auto" w:fill="auto"/>
          </w:tcPr>
          <w:p w14:paraId="68CADC1D" w14:textId="77777777" w:rsidR="00133639" w:rsidRPr="00D2126A" w:rsidRDefault="000E5A86" w:rsidP="00C93C76">
            <w:pPr>
              <w:pStyle w:val="C-TableText"/>
              <w:keepNext/>
              <w:spacing w:before="0" w:after="0"/>
              <w:rPr>
                <w:color w:val="000000"/>
                <w:szCs w:val="22"/>
              </w:rPr>
            </w:pPr>
            <w:r>
              <w:rPr>
                <w:color w:val="000000"/>
              </w:rPr>
              <w:t>Insuffisance rénale sévère</w:t>
            </w:r>
          </w:p>
          <w:p w14:paraId="496B3740" w14:textId="77777777" w:rsidR="00133639" w:rsidRPr="00D2126A" w:rsidRDefault="000E5A86" w:rsidP="00C93C76">
            <w:pPr>
              <w:pStyle w:val="C-TableText"/>
              <w:keepNext/>
              <w:spacing w:before="0" w:after="0"/>
              <w:rPr>
                <w:color w:val="000000"/>
                <w:szCs w:val="22"/>
              </w:rPr>
            </w:pPr>
            <w:r>
              <w:rPr>
                <w:color w:val="000000"/>
              </w:rPr>
              <w:t>(ClCr &lt; 30 ml/min, ne nécessitant pas de dialyse)</w:t>
            </w:r>
          </w:p>
        </w:tc>
        <w:tc>
          <w:tcPr>
            <w:tcW w:w="792" w:type="pct"/>
            <w:shd w:val="clear" w:color="auto" w:fill="auto"/>
          </w:tcPr>
          <w:p w14:paraId="31336F9D" w14:textId="77777777" w:rsidR="00133639" w:rsidRPr="00D2126A" w:rsidRDefault="000E5A86" w:rsidP="003F3983">
            <w:pPr>
              <w:pStyle w:val="C-TableText"/>
              <w:keepNext/>
              <w:spacing w:before="0" w:after="0"/>
              <w:rPr>
                <w:color w:val="000000"/>
                <w:szCs w:val="22"/>
              </w:rPr>
            </w:pPr>
            <w:r>
              <w:rPr>
                <w:color w:val="000000"/>
              </w:rPr>
              <w:t>Dose initiale</w:t>
            </w:r>
          </w:p>
        </w:tc>
        <w:tc>
          <w:tcPr>
            <w:tcW w:w="1980" w:type="pct"/>
            <w:shd w:val="clear" w:color="auto" w:fill="auto"/>
          </w:tcPr>
          <w:p w14:paraId="1D4D99F4" w14:textId="4BC0C28B" w:rsidR="00133639" w:rsidRPr="00D2126A" w:rsidRDefault="000E5A86" w:rsidP="00A07D82">
            <w:r>
              <w:t>2,5 mg en une prise par jour</w:t>
            </w:r>
          </w:p>
          <w:p w14:paraId="4517D6CB" w14:textId="77777777" w:rsidR="00133639" w:rsidRPr="00D2126A" w:rsidRDefault="000E5A86" w:rsidP="00A07D82">
            <w:r>
              <w:t>(jours 1 à 21 de chaque cycle de 28 jours)</w:t>
            </w:r>
          </w:p>
        </w:tc>
      </w:tr>
      <w:tr w:rsidR="00D5485C" w:rsidRPr="00D2126A" w14:paraId="18A25764" w14:textId="77777777" w:rsidTr="00FF732E">
        <w:trPr>
          <w:cantSplit/>
          <w:trHeight w:val="57"/>
        </w:trPr>
        <w:tc>
          <w:tcPr>
            <w:tcW w:w="2228" w:type="pct"/>
            <w:vMerge/>
            <w:shd w:val="clear" w:color="auto" w:fill="auto"/>
          </w:tcPr>
          <w:p w14:paraId="69B458D1" w14:textId="77777777" w:rsidR="00133639" w:rsidRPr="00AB0414" w:rsidRDefault="00133639" w:rsidP="00C93C76">
            <w:pPr>
              <w:pStyle w:val="C-TableText"/>
              <w:keepNext/>
              <w:spacing w:before="0" w:after="0"/>
              <w:rPr>
                <w:color w:val="000000"/>
                <w:szCs w:val="22"/>
              </w:rPr>
            </w:pPr>
          </w:p>
        </w:tc>
        <w:tc>
          <w:tcPr>
            <w:tcW w:w="792" w:type="pct"/>
            <w:shd w:val="clear" w:color="auto" w:fill="auto"/>
          </w:tcPr>
          <w:p w14:paraId="46C032E6" w14:textId="4C9F4AFC" w:rsidR="00133639" w:rsidRPr="00D2126A" w:rsidRDefault="000E5A86" w:rsidP="003F3983">
            <w:pPr>
              <w:pStyle w:val="C-TableText"/>
              <w:keepNext/>
              <w:spacing w:before="0" w:after="0"/>
              <w:rPr>
                <w:color w:val="000000"/>
                <w:szCs w:val="22"/>
              </w:rPr>
            </w:pPr>
            <w:r>
              <w:rPr>
                <w:color w:val="000000"/>
              </w:rPr>
              <w:t>Palier de dose -1*</w:t>
            </w:r>
          </w:p>
        </w:tc>
        <w:tc>
          <w:tcPr>
            <w:tcW w:w="1980" w:type="pct"/>
            <w:shd w:val="clear" w:color="auto" w:fill="auto"/>
          </w:tcPr>
          <w:p w14:paraId="566D8DC0" w14:textId="1DDE3529" w:rsidR="00133639" w:rsidRPr="00D2126A" w:rsidRDefault="000E5A86" w:rsidP="00A07D82">
            <w:r>
              <w:t>2,5 mg tous les 2 jours</w:t>
            </w:r>
          </w:p>
          <w:p w14:paraId="43E3E3AE" w14:textId="13731997" w:rsidR="00133639" w:rsidRPr="00D2126A" w:rsidRDefault="000E5A86" w:rsidP="00A07D82">
            <w:r>
              <w:t>(jours 1 à 28 de chaque cycle de 28 jours)</w:t>
            </w:r>
          </w:p>
        </w:tc>
      </w:tr>
      <w:tr w:rsidR="00D5485C" w:rsidRPr="00D2126A" w14:paraId="6F7FF5D9" w14:textId="77777777" w:rsidTr="00FF732E">
        <w:trPr>
          <w:cantSplit/>
          <w:trHeight w:val="57"/>
        </w:trPr>
        <w:tc>
          <w:tcPr>
            <w:tcW w:w="2228" w:type="pct"/>
            <w:vMerge/>
            <w:tcBorders>
              <w:bottom w:val="single" w:sz="6" w:space="0" w:color="auto"/>
            </w:tcBorders>
            <w:shd w:val="clear" w:color="auto" w:fill="auto"/>
          </w:tcPr>
          <w:p w14:paraId="26FF4E41" w14:textId="77777777" w:rsidR="00133639" w:rsidRPr="00AB0414" w:rsidRDefault="00133639" w:rsidP="00C93C76">
            <w:pPr>
              <w:pStyle w:val="C-TableText"/>
              <w:spacing w:before="0" w:after="0"/>
              <w:rPr>
                <w:color w:val="000000"/>
                <w:szCs w:val="22"/>
              </w:rPr>
            </w:pPr>
          </w:p>
        </w:tc>
        <w:tc>
          <w:tcPr>
            <w:tcW w:w="792" w:type="pct"/>
            <w:tcBorders>
              <w:bottom w:val="single" w:sz="6" w:space="0" w:color="auto"/>
            </w:tcBorders>
            <w:shd w:val="clear" w:color="auto" w:fill="auto"/>
          </w:tcPr>
          <w:p w14:paraId="2B69CC8F" w14:textId="43A8F30C" w:rsidR="00133639" w:rsidRPr="00D2126A" w:rsidRDefault="000E5A86" w:rsidP="003F3983">
            <w:pPr>
              <w:pStyle w:val="C-TableText"/>
              <w:spacing w:before="0" w:after="0"/>
              <w:rPr>
                <w:color w:val="000000"/>
                <w:szCs w:val="22"/>
              </w:rPr>
            </w:pPr>
            <w:r>
              <w:rPr>
                <w:color w:val="000000"/>
              </w:rPr>
              <w:t>Palier de dose -2*</w:t>
            </w:r>
          </w:p>
        </w:tc>
        <w:tc>
          <w:tcPr>
            <w:tcW w:w="1980" w:type="pct"/>
            <w:tcBorders>
              <w:bottom w:val="single" w:sz="6" w:space="0" w:color="auto"/>
            </w:tcBorders>
            <w:shd w:val="clear" w:color="auto" w:fill="auto"/>
          </w:tcPr>
          <w:p w14:paraId="14D96597" w14:textId="33352F95" w:rsidR="00133639" w:rsidRPr="00D2126A" w:rsidRDefault="000E5A86" w:rsidP="00A07D82">
            <w:r>
              <w:t>2,5 mg deux fois par semaine</w:t>
            </w:r>
          </w:p>
          <w:p w14:paraId="731B0AF3" w14:textId="4CE351E9" w:rsidR="00133639" w:rsidRPr="00D2126A" w:rsidRDefault="000E5A86" w:rsidP="00A07D82">
            <w:r>
              <w:t>(jours 1 à 28 de chaque cycle de 28 jours)</w:t>
            </w:r>
          </w:p>
        </w:tc>
      </w:tr>
      <w:tr w:rsidR="00D5485C" w:rsidRPr="00D2126A" w14:paraId="5C6D9BC8" w14:textId="77777777" w:rsidTr="00FF732E">
        <w:trPr>
          <w:cantSplit/>
          <w:trHeight w:val="57"/>
        </w:trPr>
        <w:tc>
          <w:tcPr>
            <w:tcW w:w="2228" w:type="pct"/>
            <w:vMerge w:val="restart"/>
            <w:tcBorders>
              <w:top w:val="single" w:sz="6" w:space="0" w:color="auto"/>
              <w:bottom w:val="single" w:sz="6" w:space="0" w:color="auto"/>
            </w:tcBorders>
            <w:shd w:val="clear" w:color="auto" w:fill="auto"/>
          </w:tcPr>
          <w:p w14:paraId="1B07837D" w14:textId="77777777" w:rsidR="00133639" w:rsidRPr="00D2126A" w:rsidRDefault="000E5A86" w:rsidP="00C93C76">
            <w:pPr>
              <w:pStyle w:val="C-TableText"/>
              <w:keepNext/>
              <w:spacing w:before="0" w:after="0"/>
              <w:rPr>
                <w:color w:val="000000"/>
                <w:szCs w:val="22"/>
              </w:rPr>
            </w:pPr>
            <w:r>
              <w:rPr>
                <w:color w:val="000000"/>
              </w:rPr>
              <w:t>Insuffisance rénale terminale (IRT)</w:t>
            </w:r>
          </w:p>
          <w:p w14:paraId="0A4C1D6B" w14:textId="77777777" w:rsidR="00133639" w:rsidRPr="00D2126A" w:rsidRDefault="000E5A86" w:rsidP="00C93C76">
            <w:pPr>
              <w:pStyle w:val="C-TableText"/>
              <w:keepNext/>
              <w:spacing w:before="0" w:after="0"/>
              <w:rPr>
                <w:color w:val="000000"/>
                <w:szCs w:val="22"/>
              </w:rPr>
            </w:pPr>
            <w:r>
              <w:rPr>
                <w:color w:val="000000"/>
              </w:rPr>
              <w:t>(ClCr &lt; 30 ml/min, nécessitant une dialyse)</w:t>
            </w:r>
          </w:p>
          <w:p w14:paraId="25113E88" w14:textId="77777777" w:rsidR="00133639" w:rsidRPr="00AB0414" w:rsidRDefault="00133639" w:rsidP="00C93C76">
            <w:pPr>
              <w:pStyle w:val="C-TableText"/>
              <w:keepNext/>
              <w:spacing w:before="0" w:after="0"/>
              <w:rPr>
                <w:color w:val="000000"/>
                <w:szCs w:val="22"/>
              </w:rPr>
            </w:pPr>
          </w:p>
          <w:p w14:paraId="2198A4C6" w14:textId="77777777" w:rsidR="00133639" w:rsidRPr="00D2126A" w:rsidRDefault="000E5A86" w:rsidP="00C93C76">
            <w:pPr>
              <w:pStyle w:val="C-TableText"/>
              <w:keepNext/>
              <w:spacing w:before="0" w:after="0"/>
              <w:rPr>
                <w:color w:val="000000"/>
                <w:szCs w:val="22"/>
              </w:rPr>
            </w:pPr>
            <w:r>
              <w:rPr>
                <w:color w:val="000000"/>
              </w:rPr>
              <w:t>Les jours de dialyse, la dose doit être administrée après la dialyse.</w:t>
            </w:r>
          </w:p>
        </w:tc>
        <w:tc>
          <w:tcPr>
            <w:tcW w:w="792" w:type="pct"/>
            <w:tcBorders>
              <w:top w:val="single" w:sz="6" w:space="0" w:color="auto"/>
              <w:bottom w:val="single" w:sz="6" w:space="0" w:color="auto"/>
            </w:tcBorders>
            <w:shd w:val="clear" w:color="auto" w:fill="auto"/>
          </w:tcPr>
          <w:p w14:paraId="77F610B3" w14:textId="77777777" w:rsidR="00133639" w:rsidRPr="00D2126A" w:rsidRDefault="000E5A86" w:rsidP="003F3983">
            <w:pPr>
              <w:pStyle w:val="C-TableText"/>
              <w:keepNext/>
              <w:spacing w:before="0" w:after="0"/>
              <w:rPr>
                <w:color w:val="000000"/>
                <w:szCs w:val="22"/>
              </w:rPr>
            </w:pPr>
            <w:r>
              <w:rPr>
                <w:color w:val="000000"/>
              </w:rPr>
              <w:t>Dose initiale</w:t>
            </w:r>
          </w:p>
        </w:tc>
        <w:tc>
          <w:tcPr>
            <w:tcW w:w="1980" w:type="pct"/>
            <w:tcBorders>
              <w:top w:val="single" w:sz="6" w:space="0" w:color="auto"/>
              <w:bottom w:val="single" w:sz="6" w:space="0" w:color="auto"/>
            </w:tcBorders>
            <w:shd w:val="clear" w:color="auto" w:fill="auto"/>
          </w:tcPr>
          <w:p w14:paraId="35EB9BE3" w14:textId="36871983" w:rsidR="00133639" w:rsidRPr="00D2126A" w:rsidRDefault="000E5A86" w:rsidP="00A07D82">
            <w:r>
              <w:t>2,5 mg en une prise par jour</w:t>
            </w:r>
          </w:p>
          <w:p w14:paraId="2AC82CDB" w14:textId="3DE5AA39" w:rsidR="00133639" w:rsidRPr="00D2126A" w:rsidRDefault="000E5A86" w:rsidP="00A07D82">
            <w:r>
              <w:t>(jours 1 à 21 de chaque cycle de 28 jours)</w:t>
            </w:r>
          </w:p>
        </w:tc>
      </w:tr>
      <w:tr w:rsidR="00D5485C" w:rsidRPr="00D2126A" w14:paraId="29C80797" w14:textId="77777777" w:rsidTr="00FF732E">
        <w:trPr>
          <w:cantSplit/>
          <w:trHeight w:val="57"/>
        </w:trPr>
        <w:tc>
          <w:tcPr>
            <w:tcW w:w="2228" w:type="pct"/>
            <w:vMerge/>
            <w:tcBorders>
              <w:top w:val="single" w:sz="6" w:space="0" w:color="auto"/>
              <w:bottom w:val="single" w:sz="6" w:space="0" w:color="auto"/>
            </w:tcBorders>
            <w:shd w:val="clear" w:color="auto" w:fill="auto"/>
          </w:tcPr>
          <w:p w14:paraId="73FE39C5" w14:textId="77777777" w:rsidR="00133639" w:rsidRPr="00AB0414" w:rsidRDefault="00133639" w:rsidP="00C93C76">
            <w:pPr>
              <w:pStyle w:val="C-TableText"/>
              <w:keepNext/>
              <w:spacing w:before="0" w:after="0"/>
              <w:rPr>
                <w:color w:val="000000"/>
                <w:szCs w:val="22"/>
              </w:rPr>
            </w:pPr>
          </w:p>
        </w:tc>
        <w:tc>
          <w:tcPr>
            <w:tcW w:w="792" w:type="pct"/>
            <w:tcBorders>
              <w:top w:val="single" w:sz="6" w:space="0" w:color="auto"/>
              <w:bottom w:val="single" w:sz="6" w:space="0" w:color="auto"/>
            </w:tcBorders>
            <w:shd w:val="clear" w:color="auto" w:fill="auto"/>
          </w:tcPr>
          <w:p w14:paraId="7AFB2CE7" w14:textId="2C9369F3" w:rsidR="00133639" w:rsidRPr="00D2126A" w:rsidRDefault="000E5A86" w:rsidP="003F3983">
            <w:pPr>
              <w:pStyle w:val="C-TableText"/>
              <w:keepNext/>
              <w:spacing w:before="0" w:after="0"/>
              <w:rPr>
                <w:color w:val="000000"/>
                <w:szCs w:val="22"/>
              </w:rPr>
            </w:pPr>
            <w:r>
              <w:rPr>
                <w:color w:val="000000"/>
              </w:rPr>
              <w:t>Palier de dose -1*</w:t>
            </w:r>
          </w:p>
        </w:tc>
        <w:tc>
          <w:tcPr>
            <w:tcW w:w="1980" w:type="pct"/>
            <w:tcBorders>
              <w:top w:val="single" w:sz="6" w:space="0" w:color="auto"/>
              <w:bottom w:val="single" w:sz="6" w:space="0" w:color="auto"/>
            </w:tcBorders>
            <w:shd w:val="clear" w:color="auto" w:fill="auto"/>
          </w:tcPr>
          <w:p w14:paraId="10F6A151" w14:textId="7AF331CE" w:rsidR="00133639" w:rsidRPr="00D2126A" w:rsidRDefault="000E5A86" w:rsidP="00A07D82">
            <w:r>
              <w:t>2,5 mg tous les 2 jours</w:t>
            </w:r>
          </w:p>
          <w:p w14:paraId="60975C97" w14:textId="12E6B7BC" w:rsidR="00133639" w:rsidRPr="00D2126A" w:rsidRDefault="000E5A86" w:rsidP="00A07D82">
            <w:r>
              <w:t>(jours 1 à 28 de chaque cycle de 28 jours)</w:t>
            </w:r>
          </w:p>
        </w:tc>
      </w:tr>
      <w:tr w:rsidR="00D5485C" w:rsidRPr="00D2126A" w14:paraId="7F32DBAA" w14:textId="77777777" w:rsidTr="00FF732E">
        <w:trPr>
          <w:cantSplit/>
          <w:trHeight w:val="57"/>
        </w:trPr>
        <w:tc>
          <w:tcPr>
            <w:tcW w:w="2228" w:type="pct"/>
            <w:vMerge/>
            <w:tcBorders>
              <w:top w:val="single" w:sz="6" w:space="0" w:color="auto"/>
              <w:bottom w:val="single" w:sz="12" w:space="0" w:color="auto"/>
            </w:tcBorders>
            <w:shd w:val="clear" w:color="auto" w:fill="auto"/>
          </w:tcPr>
          <w:p w14:paraId="79D7F38F" w14:textId="77777777" w:rsidR="00133639" w:rsidRPr="00AB0414" w:rsidRDefault="00133639" w:rsidP="00C93C76">
            <w:pPr>
              <w:pStyle w:val="C-TableText"/>
              <w:keepNext/>
              <w:spacing w:before="0" w:after="0"/>
              <w:rPr>
                <w:color w:val="000000"/>
                <w:szCs w:val="22"/>
              </w:rPr>
            </w:pPr>
          </w:p>
        </w:tc>
        <w:tc>
          <w:tcPr>
            <w:tcW w:w="792" w:type="pct"/>
            <w:tcBorders>
              <w:top w:val="single" w:sz="6" w:space="0" w:color="auto"/>
              <w:bottom w:val="single" w:sz="12" w:space="0" w:color="auto"/>
            </w:tcBorders>
            <w:shd w:val="clear" w:color="auto" w:fill="auto"/>
          </w:tcPr>
          <w:p w14:paraId="6CA7AEA1" w14:textId="3332FB86" w:rsidR="00133639" w:rsidRPr="00D2126A" w:rsidRDefault="000E5A86" w:rsidP="003F3983">
            <w:pPr>
              <w:pStyle w:val="C-TableText"/>
              <w:keepNext/>
              <w:spacing w:before="0" w:after="0"/>
              <w:rPr>
                <w:color w:val="000000"/>
                <w:szCs w:val="22"/>
              </w:rPr>
            </w:pPr>
            <w:r>
              <w:rPr>
                <w:color w:val="000000"/>
              </w:rPr>
              <w:t>Palier de dose -2*</w:t>
            </w:r>
          </w:p>
        </w:tc>
        <w:tc>
          <w:tcPr>
            <w:tcW w:w="1980" w:type="pct"/>
            <w:tcBorders>
              <w:top w:val="single" w:sz="6" w:space="0" w:color="auto"/>
              <w:bottom w:val="single" w:sz="12" w:space="0" w:color="auto"/>
            </w:tcBorders>
            <w:shd w:val="clear" w:color="auto" w:fill="auto"/>
          </w:tcPr>
          <w:p w14:paraId="77E35617" w14:textId="1EC6DDF0" w:rsidR="00133639" w:rsidRPr="00D2126A" w:rsidRDefault="000E5A86" w:rsidP="00A07D82">
            <w:r>
              <w:t>2,5 mg deux fois par semaine</w:t>
            </w:r>
          </w:p>
          <w:p w14:paraId="676A9715" w14:textId="419FF59B" w:rsidR="00133639" w:rsidRPr="00D2126A" w:rsidRDefault="000E5A86" w:rsidP="00A07D82">
            <w:r>
              <w:t>(jours 1 à 28 de chaque cycle de 28 jours)</w:t>
            </w:r>
          </w:p>
        </w:tc>
      </w:tr>
    </w:tbl>
    <w:p w14:paraId="5D21FD32" w14:textId="66287F31" w:rsidR="00133639" w:rsidRPr="00D2126A" w:rsidRDefault="000E5A86" w:rsidP="000C6A57">
      <w:pPr>
        <w:pStyle w:val="StyleTablenotes8"/>
      </w:pPr>
      <w:r>
        <w:t>* Paliers de réduction de la posologie recommandés en cours de traitement et lors de la reprise du traitement pour prendre en charge les thrombopénies ou neutropénies de grade 3 ou 4, ou autres effets toxiques de grade 3 ou 4 jugés en rapport avec le lénalidomide, tels que présentés ci</w:t>
      </w:r>
      <w:r>
        <w:noBreakHyphen/>
        <w:t>dessus.</w:t>
      </w:r>
    </w:p>
    <w:p w14:paraId="7BFB4B7D" w14:textId="77777777" w:rsidR="00133639" w:rsidRPr="00D2126A" w:rsidRDefault="00133639" w:rsidP="00C93C76">
      <w:pPr>
        <w:rPr>
          <w:i/>
          <w:color w:val="000000"/>
          <w:u w:val="single"/>
        </w:rPr>
      </w:pPr>
    </w:p>
    <w:p w14:paraId="728C02ED" w14:textId="77777777" w:rsidR="002975F5" w:rsidRPr="00D2126A" w:rsidRDefault="000E5A86" w:rsidP="00DF154F">
      <w:pPr>
        <w:keepNext/>
        <w:rPr>
          <w:i/>
          <w:color w:val="000000"/>
        </w:rPr>
      </w:pPr>
      <w:r>
        <w:rPr>
          <w:i/>
          <w:color w:val="000000"/>
        </w:rPr>
        <w:t>Lymphome à cellules du manteau</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064"/>
        <w:gridCol w:w="3222"/>
      </w:tblGrid>
      <w:tr w:rsidR="00D5485C" w:rsidRPr="00D2126A" w14:paraId="252D8E84" w14:textId="77777777" w:rsidTr="00EF7BD9">
        <w:trPr>
          <w:cantSplit/>
          <w:trHeight w:val="57"/>
          <w:tblHeader/>
        </w:trPr>
        <w:tc>
          <w:tcPr>
            <w:tcW w:w="3265" w:type="pct"/>
            <w:tcBorders>
              <w:top w:val="single" w:sz="12" w:space="0" w:color="auto"/>
              <w:bottom w:val="single" w:sz="12" w:space="0" w:color="auto"/>
            </w:tcBorders>
            <w:shd w:val="clear" w:color="auto" w:fill="auto"/>
          </w:tcPr>
          <w:p w14:paraId="00593C82" w14:textId="77777777" w:rsidR="002975F5" w:rsidRPr="00D2126A" w:rsidRDefault="000E5A86" w:rsidP="00C93C76">
            <w:pPr>
              <w:pStyle w:val="C-TableText"/>
              <w:keepNext/>
              <w:spacing w:before="0" w:after="0"/>
              <w:rPr>
                <w:b/>
                <w:color w:val="000000"/>
                <w:szCs w:val="22"/>
              </w:rPr>
            </w:pPr>
            <w:r>
              <w:rPr>
                <w:b/>
                <w:color w:val="000000"/>
              </w:rPr>
              <w:t>Fonction rénale (ClCr)</w:t>
            </w:r>
          </w:p>
        </w:tc>
        <w:tc>
          <w:tcPr>
            <w:tcW w:w="1735" w:type="pct"/>
            <w:tcBorders>
              <w:top w:val="single" w:sz="12" w:space="0" w:color="auto"/>
              <w:bottom w:val="single" w:sz="12" w:space="0" w:color="auto"/>
            </w:tcBorders>
            <w:shd w:val="clear" w:color="auto" w:fill="auto"/>
          </w:tcPr>
          <w:p w14:paraId="7A72E4D2" w14:textId="77777777" w:rsidR="002975F5" w:rsidRPr="00D2126A" w:rsidRDefault="000E5A86" w:rsidP="00A12FE6">
            <w:pPr>
              <w:rPr>
                <w:b/>
                <w:bCs/>
              </w:rPr>
            </w:pPr>
            <w:r>
              <w:rPr>
                <w:b/>
              </w:rPr>
              <w:t>Ajustement de la posologie</w:t>
            </w:r>
          </w:p>
          <w:p w14:paraId="24C142D4" w14:textId="29285A17" w:rsidR="002975F5" w:rsidRPr="00D2126A" w:rsidRDefault="000E5A86" w:rsidP="00A12FE6">
            <w:r>
              <w:t>(jours 1 à 21 de chaque cycle de 28 jours)</w:t>
            </w:r>
          </w:p>
        </w:tc>
      </w:tr>
      <w:tr w:rsidR="00D5485C" w:rsidRPr="00D2126A" w14:paraId="513A1D92" w14:textId="77777777" w:rsidTr="00FF732E">
        <w:trPr>
          <w:cantSplit/>
          <w:trHeight w:val="57"/>
        </w:trPr>
        <w:tc>
          <w:tcPr>
            <w:tcW w:w="3265" w:type="pct"/>
            <w:tcBorders>
              <w:top w:val="single" w:sz="12" w:space="0" w:color="auto"/>
            </w:tcBorders>
            <w:shd w:val="clear" w:color="auto" w:fill="auto"/>
          </w:tcPr>
          <w:p w14:paraId="5FC12D13" w14:textId="77777777" w:rsidR="002975F5" w:rsidRPr="00D2126A" w:rsidRDefault="000E5A86" w:rsidP="00A07D82">
            <w:r>
              <w:t>Insuffisance rénale modérée</w:t>
            </w:r>
          </w:p>
          <w:p w14:paraId="10EB2AEA" w14:textId="2B8BD2BC" w:rsidR="002975F5" w:rsidRPr="00D2126A" w:rsidRDefault="000E5A86" w:rsidP="00A07D82">
            <w:r>
              <w:t>(30 ≤ ClCr &lt; 50 ml/min)</w:t>
            </w:r>
          </w:p>
        </w:tc>
        <w:tc>
          <w:tcPr>
            <w:tcW w:w="1735" w:type="pct"/>
            <w:tcBorders>
              <w:top w:val="single" w:sz="12" w:space="0" w:color="auto"/>
            </w:tcBorders>
            <w:shd w:val="clear" w:color="auto" w:fill="auto"/>
          </w:tcPr>
          <w:p w14:paraId="28DA13E6" w14:textId="77777777" w:rsidR="002975F5" w:rsidRPr="00D2126A" w:rsidRDefault="000E5A86" w:rsidP="00A12FE6">
            <w:r>
              <w:t>10 mg en une prise par jour</w:t>
            </w:r>
            <w:r>
              <w:rPr>
                <w:vertAlign w:val="superscript"/>
              </w:rPr>
              <w:t>1</w:t>
            </w:r>
          </w:p>
        </w:tc>
      </w:tr>
      <w:tr w:rsidR="00D5485C" w:rsidRPr="00D2126A" w14:paraId="0C5685C0" w14:textId="77777777" w:rsidTr="00FF732E">
        <w:trPr>
          <w:cantSplit/>
          <w:trHeight w:val="57"/>
        </w:trPr>
        <w:tc>
          <w:tcPr>
            <w:tcW w:w="3265" w:type="pct"/>
            <w:shd w:val="clear" w:color="auto" w:fill="auto"/>
          </w:tcPr>
          <w:p w14:paraId="3D8D3AAA" w14:textId="77777777" w:rsidR="002975F5" w:rsidRPr="00D2126A" w:rsidRDefault="000E5A86" w:rsidP="00A07D82">
            <w:r>
              <w:t>Insuffisance rénale sévère</w:t>
            </w:r>
          </w:p>
          <w:p w14:paraId="6E105051" w14:textId="77777777" w:rsidR="002975F5" w:rsidRPr="00D2126A" w:rsidRDefault="000E5A86" w:rsidP="00A07D82">
            <w:r>
              <w:t>(ClCr &lt; 30 ml/min, ne nécessitant pas de dialyse)</w:t>
            </w:r>
          </w:p>
        </w:tc>
        <w:tc>
          <w:tcPr>
            <w:tcW w:w="1735" w:type="pct"/>
            <w:shd w:val="clear" w:color="auto" w:fill="auto"/>
          </w:tcPr>
          <w:p w14:paraId="02E614FD" w14:textId="77777777" w:rsidR="002975F5" w:rsidRPr="00D2126A" w:rsidRDefault="000E5A86" w:rsidP="00A12FE6">
            <w:r>
              <w:t>7,5 mg en une prise par jour</w:t>
            </w:r>
            <w:r>
              <w:rPr>
                <w:vertAlign w:val="superscript"/>
              </w:rPr>
              <w:t>2</w:t>
            </w:r>
          </w:p>
          <w:p w14:paraId="4FBFCE34" w14:textId="77777777" w:rsidR="002975F5" w:rsidRPr="00D2126A" w:rsidRDefault="000E5A86" w:rsidP="00A12FE6">
            <w:r>
              <w:t>15 mg un jour sur deux</w:t>
            </w:r>
          </w:p>
        </w:tc>
      </w:tr>
      <w:tr w:rsidR="00D5485C" w:rsidRPr="00D2126A" w14:paraId="7E1277CD" w14:textId="77777777" w:rsidTr="00FF732E">
        <w:trPr>
          <w:cantSplit/>
          <w:trHeight w:val="57"/>
        </w:trPr>
        <w:tc>
          <w:tcPr>
            <w:tcW w:w="3265" w:type="pct"/>
            <w:shd w:val="clear" w:color="auto" w:fill="auto"/>
          </w:tcPr>
          <w:p w14:paraId="6E55CD98" w14:textId="77777777" w:rsidR="002975F5" w:rsidRPr="00D2126A" w:rsidRDefault="000E5A86" w:rsidP="00A07D82">
            <w:r>
              <w:t>Insuffisance rénale terminale (IRT)</w:t>
            </w:r>
          </w:p>
          <w:p w14:paraId="6CBD3EEC" w14:textId="77777777" w:rsidR="002975F5" w:rsidRPr="00D2126A" w:rsidRDefault="000E5A86" w:rsidP="00A07D82">
            <w:r>
              <w:t>(ClCr &lt; 30 ml/min, nécessitant une dialyse)</w:t>
            </w:r>
          </w:p>
        </w:tc>
        <w:tc>
          <w:tcPr>
            <w:tcW w:w="1735" w:type="pct"/>
            <w:shd w:val="clear" w:color="auto" w:fill="auto"/>
          </w:tcPr>
          <w:p w14:paraId="3323C392" w14:textId="00437033" w:rsidR="002975F5" w:rsidRPr="00D2126A" w:rsidRDefault="000E5A86" w:rsidP="00A12FE6">
            <w:r>
              <w:t>5 mg en une prise par jour. Les jours de dialyse, la dose doit être administrée après la dialyse</w:t>
            </w:r>
          </w:p>
        </w:tc>
      </w:tr>
    </w:tbl>
    <w:p w14:paraId="258AE36B" w14:textId="369C4031" w:rsidR="002975F5"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t>1</w:t>
      </w:r>
      <w:r>
        <w:rPr>
          <w:color w:val="000000"/>
          <w:sz w:val="16"/>
        </w:rPr>
        <w:t xml:space="preserve"> La dose pourra être augmentée à 15 mg en une prise par jour au bout de 2 cycles si le patient ne répond pas au traitement et s’il le tolère.</w:t>
      </w:r>
    </w:p>
    <w:p w14:paraId="5C4341BB" w14:textId="6D368C2B" w:rsidR="002975F5" w:rsidRPr="00D2126A" w:rsidRDefault="000E5A86" w:rsidP="00DF154F">
      <w:pPr>
        <w:rPr>
          <w:color w:val="000000"/>
          <w:sz w:val="16"/>
          <w:szCs w:val="16"/>
        </w:rPr>
      </w:pPr>
      <w:r>
        <w:rPr>
          <w:color w:val="000000"/>
          <w:sz w:val="16"/>
          <w:vertAlign w:val="superscript"/>
        </w:rPr>
        <w:t>2</w:t>
      </w:r>
      <w:r>
        <w:rPr>
          <w:color w:val="000000"/>
          <w:sz w:val="16"/>
        </w:rPr>
        <w:t xml:space="preserve"> Dans les pays où les gélules de 7,5 mg sont commercialisées.</w:t>
      </w:r>
    </w:p>
    <w:p w14:paraId="1B3D962D" w14:textId="77777777" w:rsidR="002975F5" w:rsidRPr="00D2126A" w:rsidRDefault="002975F5" w:rsidP="00C93C76">
      <w:pPr>
        <w:rPr>
          <w:i/>
          <w:color w:val="000000"/>
          <w:u w:val="single"/>
        </w:rPr>
      </w:pPr>
    </w:p>
    <w:p w14:paraId="24B6FDC3" w14:textId="77777777" w:rsidR="00632F15" w:rsidRPr="00D2126A" w:rsidRDefault="000E5A86" w:rsidP="00DF154F">
      <w:pPr>
        <w:keepNext/>
        <w:rPr>
          <w:i/>
          <w:color w:val="000000"/>
        </w:rPr>
      </w:pPr>
      <w:r>
        <w:rPr>
          <w:i/>
          <w:color w:val="000000"/>
        </w:rPr>
        <w:t>Lymphome folliculaire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064"/>
        <w:gridCol w:w="3222"/>
      </w:tblGrid>
      <w:tr w:rsidR="00D5485C" w:rsidRPr="00D2126A" w14:paraId="30E87998" w14:textId="77777777" w:rsidTr="00EF7BD9">
        <w:trPr>
          <w:cantSplit/>
          <w:trHeight w:val="57"/>
          <w:tblHeader/>
        </w:trPr>
        <w:tc>
          <w:tcPr>
            <w:tcW w:w="3265" w:type="pct"/>
            <w:tcBorders>
              <w:top w:val="single" w:sz="12" w:space="0" w:color="auto"/>
              <w:bottom w:val="single" w:sz="12" w:space="0" w:color="auto"/>
            </w:tcBorders>
            <w:shd w:val="clear" w:color="auto" w:fill="auto"/>
          </w:tcPr>
          <w:p w14:paraId="1B31EB46" w14:textId="77777777" w:rsidR="00632F15" w:rsidRPr="00D2126A" w:rsidRDefault="000E5A86" w:rsidP="00C93C76">
            <w:pPr>
              <w:pStyle w:val="C-TableText"/>
              <w:keepNext/>
              <w:spacing w:before="0" w:after="0"/>
              <w:rPr>
                <w:b/>
                <w:color w:val="000000"/>
                <w:szCs w:val="22"/>
              </w:rPr>
            </w:pPr>
            <w:r>
              <w:rPr>
                <w:b/>
                <w:color w:val="000000"/>
              </w:rPr>
              <w:t>Fonction rénale (ClCr)</w:t>
            </w:r>
          </w:p>
        </w:tc>
        <w:tc>
          <w:tcPr>
            <w:tcW w:w="1735" w:type="pct"/>
            <w:tcBorders>
              <w:top w:val="single" w:sz="12" w:space="0" w:color="auto"/>
              <w:bottom w:val="single" w:sz="12" w:space="0" w:color="auto"/>
            </w:tcBorders>
            <w:shd w:val="clear" w:color="auto" w:fill="auto"/>
          </w:tcPr>
          <w:p w14:paraId="651B9034" w14:textId="77777777" w:rsidR="00632F15" w:rsidRPr="00D2126A" w:rsidRDefault="000E5A86" w:rsidP="000C6A57">
            <w:pPr>
              <w:rPr>
                <w:b/>
                <w:bCs/>
              </w:rPr>
            </w:pPr>
            <w:r>
              <w:rPr>
                <w:b/>
              </w:rPr>
              <w:t>Ajustement de la posologie</w:t>
            </w:r>
          </w:p>
          <w:p w14:paraId="6D78086F" w14:textId="058B5B62" w:rsidR="00632F15" w:rsidRPr="00D2126A" w:rsidRDefault="000E5A86" w:rsidP="000C6A57">
            <w:r>
              <w:t>(jours 1 à 21 de chaque cycle de 28 jours)</w:t>
            </w:r>
          </w:p>
        </w:tc>
      </w:tr>
      <w:tr w:rsidR="00D5485C" w:rsidRPr="00D2126A" w14:paraId="0397E6BA" w14:textId="77777777" w:rsidTr="00FF732E">
        <w:trPr>
          <w:cantSplit/>
          <w:trHeight w:val="57"/>
        </w:trPr>
        <w:tc>
          <w:tcPr>
            <w:tcW w:w="3265" w:type="pct"/>
            <w:tcBorders>
              <w:top w:val="single" w:sz="12" w:space="0" w:color="auto"/>
            </w:tcBorders>
            <w:shd w:val="clear" w:color="auto" w:fill="auto"/>
          </w:tcPr>
          <w:p w14:paraId="618D8C04" w14:textId="77777777" w:rsidR="00632F15" w:rsidRPr="00D2126A" w:rsidRDefault="000E5A86" w:rsidP="00C93C76">
            <w:pPr>
              <w:pStyle w:val="C-TableText"/>
              <w:spacing w:before="0" w:after="0"/>
              <w:rPr>
                <w:color w:val="000000"/>
                <w:szCs w:val="22"/>
              </w:rPr>
            </w:pPr>
            <w:r>
              <w:rPr>
                <w:color w:val="000000"/>
              </w:rPr>
              <w:t>Insuffisance rénale modérée</w:t>
            </w:r>
          </w:p>
          <w:p w14:paraId="0E416074" w14:textId="63A26CC1" w:rsidR="00632F15" w:rsidRPr="00D2126A" w:rsidRDefault="000E5A86" w:rsidP="00C93C76">
            <w:pPr>
              <w:pStyle w:val="C-TableText"/>
              <w:keepNext/>
              <w:spacing w:before="0" w:after="0"/>
              <w:rPr>
                <w:color w:val="000000"/>
                <w:szCs w:val="22"/>
              </w:rPr>
            </w:pPr>
            <w:r>
              <w:rPr>
                <w:color w:val="000000"/>
              </w:rPr>
              <w:t>(30 ≤ ClCr &lt; 60 ml/min)</w:t>
            </w:r>
          </w:p>
        </w:tc>
        <w:tc>
          <w:tcPr>
            <w:tcW w:w="1735" w:type="pct"/>
            <w:tcBorders>
              <w:top w:val="single" w:sz="12" w:space="0" w:color="auto"/>
            </w:tcBorders>
            <w:shd w:val="clear" w:color="auto" w:fill="auto"/>
          </w:tcPr>
          <w:p w14:paraId="7D1E044D" w14:textId="77777777" w:rsidR="00632F15" w:rsidRPr="00D2126A" w:rsidRDefault="000E5A86" w:rsidP="000C6A57">
            <w:r>
              <w:t>10 mg en une prise par jour</w:t>
            </w:r>
            <w:r>
              <w:rPr>
                <w:vertAlign w:val="superscript"/>
              </w:rPr>
              <w:t>1, 2</w:t>
            </w:r>
          </w:p>
        </w:tc>
      </w:tr>
      <w:tr w:rsidR="00D5485C" w:rsidRPr="00D2126A" w14:paraId="64180577" w14:textId="77777777" w:rsidTr="00FF732E">
        <w:trPr>
          <w:cantSplit/>
          <w:trHeight w:val="57"/>
        </w:trPr>
        <w:tc>
          <w:tcPr>
            <w:tcW w:w="3265" w:type="pct"/>
            <w:shd w:val="clear" w:color="auto" w:fill="auto"/>
          </w:tcPr>
          <w:p w14:paraId="757B1EA5" w14:textId="77777777" w:rsidR="00632F15" w:rsidRPr="00D2126A" w:rsidRDefault="000E5A86" w:rsidP="00C93C76">
            <w:pPr>
              <w:keepNext/>
              <w:rPr>
                <w:color w:val="000000"/>
              </w:rPr>
            </w:pPr>
            <w:r>
              <w:rPr>
                <w:color w:val="000000"/>
              </w:rPr>
              <w:t>Insuffisance rénale sévère</w:t>
            </w:r>
          </w:p>
          <w:p w14:paraId="0F539F2C" w14:textId="77777777" w:rsidR="00632F15" w:rsidRPr="00D2126A" w:rsidRDefault="000E5A86" w:rsidP="00C93C76">
            <w:pPr>
              <w:pStyle w:val="C-TableText"/>
              <w:keepNext/>
              <w:spacing w:before="0" w:after="0"/>
              <w:rPr>
                <w:color w:val="000000"/>
                <w:szCs w:val="22"/>
              </w:rPr>
            </w:pPr>
            <w:r>
              <w:rPr>
                <w:color w:val="000000"/>
              </w:rPr>
              <w:t>(ClCr &lt; 30 ml/min, ne nécessitant pas de dialyse)</w:t>
            </w:r>
          </w:p>
        </w:tc>
        <w:tc>
          <w:tcPr>
            <w:tcW w:w="1735" w:type="pct"/>
            <w:shd w:val="clear" w:color="auto" w:fill="auto"/>
          </w:tcPr>
          <w:p w14:paraId="36C5FA17" w14:textId="60AC4B80" w:rsidR="00632F15" w:rsidRPr="00D2126A" w:rsidRDefault="000E5A86" w:rsidP="000C6A57">
            <w:r>
              <w:t>5 mg en une prise par jour.</w:t>
            </w:r>
          </w:p>
        </w:tc>
      </w:tr>
      <w:tr w:rsidR="00D5485C" w:rsidRPr="00D2126A" w14:paraId="2206622C" w14:textId="77777777" w:rsidTr="00FF732E">
        <w:trPr>
          <w:cantSplit/>
          <w:trHeight w:val="57"/>
        </w:trPr>
        <w:tc>
          <w:tcPr>
            <w:tcW w:w="3265" w:type="pct"/>
            <w:shd w:val="clear" w:color="auto" w:fill="auto"/>
          </w:tcPr>
          <w:p w14:paraId="0896A084" w14:textId="77777777" w:rsidR="00632F15" w:rsidRPr="00D2126A" w:rsidRDefault="000E5A86" w:rsidP="00C93C76">
            <w:pPr>
              <w:pStyle w:val="C-TableText"/>
              <w:keepNext/>
              <w:spacing w:before="0" w:after="0"/>
              <w:rPr>
                <w:color w:val="000000"/>
                <w:szCs w:val="22"/>
              </w:rPr>
            </w:pPr>
            <w:r>
              <w:rPr>
                <w:color w:val="000000"/>
              </w:rPr>
              <w:t>Insuffisance rénale terminale (IRT)</w:t>
            </w:r>
          </w:p>
          <w:p w14:paraId="1598AC37" w14:textId="77777777" w:rsidR="00632F15" w:rsidRPr="00D2126A" w:rsidRDefault="000E5A86" w:rsidP="00C93C76">
            <w:pPr>
              <w:pStyle w:val="C-TableText"/>
              <w:keepNext/>
              <w:spacing w:before="0" w:after="0"/>
              <w:rPr>
                <w:color w:val="000000"/>
                <w:szCs w:val="22"/>
              </w:rPr>
            </w:pPr>
            <w:r>
              <w:rPr>
                <w:color w:val="000000"/>
              </w:rPr>
              <w:t>(ClCr &lt; 30 ml/min, nécessitant une dialyse)</w:t>
            </w:r>
          </w:p>
        </w:tc>
        <w:tc>
          <w:tcPr>
            <w:tcW w:w="1735" w:type="pct"/>
            <w:shd w:val="clear" w:color="auto" w:fill="auto"/>
          </w:tcPr>
          <w:p w14:paraId="101573C1" w14:textId="4CD94D55" w:rsidR="00632F15" w:rsidRPr="00D2126A" w:rsidRDefault="000E5A86" w:rsidP="000C6A57">
            <w:r>
              <w:t>5 mg en une prise par jour. Les jours de dialyse, la dose doit être administrée après la dialyse</w:t>
            </w:r>
          </w:p>
        </w:tc>
      </w:tr>
    </w:tbl>
    <w:p w14:paraId="69F0E828" w14:textId="5F13A3C1" w:rsidR="00632F15" w:rsidRPr="00D2126A" w:rsidRDefault="000E5A86" w:rsidP="00C93C76">
      <w:pPr>
        <w:pStyle w:val="Date"/>
        <w:keepNext/>
        <w:rPr>
          <w:color w:val="000000"/>
          <w:sz w:val="16"/>
        </w:rPr>
      </w:pPr>
      <w:r>
        <w:rPr>
          <w:color w:val="000000"/>
          <w:sz w:val="16"/>
        </w:rPr>
        <w:t>¹ La dose pourra être augmentée à 15 mg en une prise par jour au bout de 2 cycles si le patient tolère le traitement.</w:t>
      </w:r>
    </w:p>
    <w:p w14:paraId="5A072CE2" w14:textId="76F81697" w:rsidR="00091DD0" w:rsidRPr="00D2126A" w:rsidRDefault="000E5A86" w:rsidP="001C0FF1">
      <w:pPr>
        <w:pStyle w:val="StyleTablenotes8"/>
        <w:keepNext/>
      </w:pPr>
      <w:r>
        <w:rPr>
          <w:vertAlign w:val="superscript"/>
        </w:rPr>
        <w:t>2</w:t>
      </w:r>
      <w:r>
        <w:t xml:space="preserve"> Chez les patients recevant une dose initiale de 10 mg, en cas de diminution de la dose dans le cadre de la prise en charge d’une neutropénie ou d’une thrombopénie de grade 3 ou 4, ou autres effets toxiques de grade 3 ou 4 jugés en rapport avec le lénalidomide, ne pas administrer une dose inférieure à 5 mg un jour sur deux ou 2,5 mg en une prise par jour.</w:t>
      </w:r>
    </w:p>
    <w:p w14:paraId="3A232E35" w14:textId="77777777" w:rsidR="00632F15" w:rsidRPr="00D2126A" w:rsidRDefault="00632F15" w:rsidP="00C93C76">
      <w:pPr>
        <w:pStyle w:val="Date"/>
      </w:pPr>
    </w:p>
    <w:p w14:paraId="72B06751" w14:textId="77777777" w:rsidR="002975F5" w:rsidRPr="00D2126A" w:rsidRDefault="000E5A86" w:rsidP="00C93C76">
      <w:pPr>
        <w:pStyle w:val="Date"/>
        <w:rPr>
          <w:color w:val="000000"/>
        </w:rPr>
      </w:pPr>
      <w:r>
        <w:rPr>
          <w:color w:val="000000"/>
        </w:rPr>
        <w:t>Après l’instauration du traitement par le lénalidomide, toute modification ultérieure de la dose de lénalidomide chez les patients présentant une insuffisance rénale doit reposer sur la tolérance au traitement de chaque individu, telle que décrite ci</w:t>
      </w:r>
      <w:r>
        <w:rPr>
          <w:color w:val="000000"/>
        </w:rPr>
        <w:noBreakHyphen/>
        <w:t>dessus.</w:t>
      </w:r>
    </w:p>
    <w:p w14:paraId="747873E0" w14:textId="77777777" w:rsidR="002975F5" w:rsidRPr="00D2126A" w:rsidRDefault="002975F5" w:rsidP="00C93C76"/>
    <w:p w14:paraId="4C02567B" w14:textId="77777777" w:rsidR="00375EAB" w:rsidRPr="00D2126A" w:rsidRDefault="000E5A86" w:rsidP="00C93C76">
      <w:pPr>
        <w:keepNext/>
        <w:numPr>
          <w:ilvl w:val="0"/>
          <w:numId w:val="36"/>
        </w:numPr>
        <w:ind w:left="567" w:hanging="567"/>
        <w:rPr>
          <w:color w:val="000000"/>
          <w:u w:val="single"/>
        </w:rPr>
      </w:pPr>
      <w:r>
        <w:rPr>
          <w:color w:val="000000"/>
          <w:u w:val="single"/>
        </w:rPr>
        <w:t>Patients présentant une insuffisance hépatique</w:t>
      </w:r>
    </w:p>
    <w:p w14:paraId="7902E26F" w14:textId="77777777" w:rsidR="002945E4" w:rsidRPr="00D2126A" w:rsidRDefault="002945E4" w:rsidP="00C93C76">
      <w:pPr>
        <w:pStyle w:val="Date"/>
        <w:keepNext/>
      </w:pPr>
    </w:p>
    <w:p w14:paraId="10BC7B23" w14:textId="77777777" w:rsidR="00375EAB" w:rsidRPr="00D2126A" w:rsidRDefault="000E5A86" w:rsidP="00C93C76">
      <w:pPr>
        <w:rPr>
          <w:color w:val="000000"/>
        </w:rPr>
      </w:pPr>
      <w:r>
        <w:rPr>
          <w:color w:val="000000"/>
        </w:rPr>
        <w:t>L’utilisation du lénalidomide chez le sujet présentant une insuffisance hépatique n’a pas fait l’objet d’études formelles et aucune adaptation de la posologie particulière ne peut être recommandée.</w:t>
      </w:r>
    </w:p>
    <w:p w14:paraId="29CCA803" w14:textId="77777777" w:rsidR="00375EAB" w:rsidRPr="00D2126A" w:rsidRDefault="00375EAB" w:rsidP="00C93C76">
      <w:pPr>
        <w:ind w:left="567" w:hanging="567"/>
        <w:rPr>
          <w:color w:val="000000"/>
        </w:rPr>
      </w:pPr>
    </w:p>
    <w:p w14:paraId="017DD373" w14:textId="77777777" w:rsidR="00036363" w:rsidRPr="00D2126A" w:rsidRDefault="000E5A86" w:rsidP="00C93C76">
      <w:pPr>
        <w:keepNext/>
        <w:rPr>
          <w:color w:val="000000"/>
          <w:u w:val="single"/>
        </w:rPr>
      </w:pPr>
      <w:r>
        <w:rPr>
          <w:color w:val="000000"/>
          <w:u w:val="single"/>
        </w:rPr>
        <w:t>Mode d’administration</w:t>
      </w:r>
    </w:p>
    <w:p w14:paraId="65F636C8" w14:textId="77777777" w:rsidR="00036363" w:rsidRPr="00D2126A" w:rsidRDefault="000E5A86" w:rsidP="00C93C76">
      <w:pPr>
        <w:pStyle w:val="Date"/>
        <w:rPr>
          <w:color w:val="000000"/>
        </w:rPr>
      </w:pPr>
      <w:r>
        <w:rPr>
          <w:color w:val="000000"/>
        </w:rPr>
        <w:t>Voie orale.</w:t>
      </w:r>
    </w:p>
    <w:p w14:paraId="1A0EDB3F" w14:textId="77777777" w:rsidR="002945E4" w:rsidRPr="00D2126A" w:rsidRDefault="002945E4" w:rsidP="00C93C76"/>
    <w:p w14:paraId="589E2C02" w14:textId="5325A34A" w:rsidR="00375EAB" w:rsidRPr="00D2126A" w:rsidRDefault="000E5A86" w:rsidP="00C93C76">
      <w:pPr>
        <w:pStyle w:val="Date"/>
        <w:rPr>
          <w:color w:val="000000"/>
        </w:rPr>
      </w:pPr>
      <w:r>
        <w:rPr>
          <w:color w:val="000000"/>
        </w:rPr>
        <w:t>Les gélules de Revlimid doivent être prises par voie orale environ à la même heure les jours prévus de chaque cycle. Les gélules ne doivent être ni ouvertes, ni cassées, ni mâchées. Elles doivent être avalées entières, de préférence avec de l’eau, au cours ou en dehors des repas</w:t>
      </w:r>
    </w:p>
    <w:p w14:paraId="470B2D48" w14:textId="77777777" w:rsidR="00375EAB" w:rsidRPr="00D2126A" w:rsidRDefault="00375EAB" w:rsidP="00C93C76">
      <w:pPr>
        <w:rPr>
          <w:color w:val="000000"/>
        </w:rPr>
      </w:pPr>
    </w:p>
    <w:p w14:paraId="12D4F3DB" w14:textId="77777777" w:rsidR="00540730" w:rsidRPr="00D2126A" w:rsidRDefault="000E5A86" w:rsidP="00C93C76">
      <w:pPr>
        <w:pStyle w:val="Date"/>
        <w:rPr>
          <w:color w:val="000000"/>
        </w:rPr>
      </w:pPr>
      <w:r>
        <w:rPr>
          <w:color w:val="000000"/>
        </w:rPr>
        <w:t>Il est recommandé d’appuyer sur une extrémité seulement de la gélule pour la sortir de la plaquette, ce qui réduit le risque de déformation ou de rupture de la gélule.</w:t>
      </w:r>
    </w:p>
    <w:p w14:paraId="0E9BE417" w14:textId="77777777" w:rsidR="00540730" w:rsidRPr="00D2126A" w:rsidRDefault="00540730" w:rsidP="00C93C76">
      <w:pPr>
        <w:pStyle w:val="Date"/>
      </w:pPr>
    </w:p>
    <w:p w14:paraId="0D89FD6E" w14:textId="77777777" w:rsidR="00375EAB" w:rsidRPr="00D2126A" w:rsidRDefault="000E5A86" w:rsidP="00C93C76">
      <w:pPr>
        <w:keepNext/>
        <w:ind w:left="567" w:hanging="567"/>
        <w:rPr>
          <w:b/>
          <w:color w:val="000000"/>
        </w:rPr>
      </w:pPr>
      <w:r>
        <w:rPr>
          <w:b/>
          <w:color w:val="000000"/>
        </w:rPr>
        <w:t>4.3</w:t>
      </w:r>
      <w:r>
        <w:rPr>
          <w:b/>
          <w:color w:val="000000"/>
        </w:rPr>
        <w:tab/>
        <w:t>Contre</w:t>
      </w:r>
      <w:r>
        <w:rPr>
          <w:b/>
          <w:color w:val="000000"/>
        </w:rPr>
        <w:noBreakHyphen/>
        <w:t>indications</w:t>
      </w:r>
    </w:p>
    <w:p w14:paraId="01CC2BD9" w14:textId="77777777" w:rsidR="00375EAB" w:rsidRPr="00D2126A" w:rsidRDefault="00375EAB" w:rsidP="00C93C76">
      <w:pPr>
        <w:keepNext/>
        <w:ind w:left="567" w:hanging="567"/>
        <w:rPr>
          <w:color w:val="000000"/>
        </w:rPr>
      </w:pPr>
    </w:p>
    <w:p w14:paraId="10BAD0DE" w14:textId="11B39BF9" w:rsidR="00C77818" w:rsidRPr="00D2126A" w:rsidRDefault="000E5A86" w:rsidP="00C93C76">
      <w:pPr>
        <w:numPr>
          <w:ilvl w:val="0"/>
          <w:numId w:val="17"/>
        </w:numPr>
        <w:tabs>
          <w:tab w:val="clear" w:pos="720"/>
        </w:tabs>
        <w:ind w:left="567" w:hanging="567"/>
        <w:rPr>
          <w:color w:val="000000"/>
        </w:rPr>
      </w:pPr>
      <w:r>
        <w:rPr>
          <w:color w:val="000000"/>
        </w:rPr>
        <w:t>Hypersensibilité à la substance active ou à l’un des excipients mentionnés à la rubrique 6.1.</w:t>
      </w:r>
    </w:p>
    <w:p w14:paraId="7675425C" w14:textId="77777777" w:rsidR="00036363" w:rsidRPr="00D2126A" w:rsidRDefault="000E5A86" w:rsidP="00C93C76">
      <w:pPr>
        <w:keepNext/>
        <w:numPr>
          <w:ilvl w:val="0"/>
          <w:numId w:val="17"/>
        </w:numPr>
        <w:tabs>
          <w:tab w:val="clear" w:pos="720"/>
        </w:tabs>
        <w:ind w:left="567" w:hanging="567"/>
        <w:rPr>
          <w:color w:val="000000"/>
        </w:rPr>
      </w:pPr>
      <w:r>
        <w:rPr>
          <w:color w:val="000000"/>
        </w:rPr>
        <w:t>Femmes enceintes.</w:t>
      </w:r>
    </w:p>
    <w:p w14:paraId="0CC67150" w14:textId="31A08759" w:rsidR="00375EAB" w:rsidRPr="00D2126A" w:rsidRDefault="000E5A86" w:rsidP="00C93C76">
      <w:pPr>
        <w:numPr>
          <w:ilvl w:val="0"/>
          <w:numId w:val="17"/>
        </w:numPr>
        <w:tabs>
          <w:tab w:val="clear" w:pos="720"/>
        </w:tabs>
        <w:ind w:left="567" w:hanging="567"/>
        <w:rPr>
          <w:color w:val="000000"/>
        </w:rPr>
      </w:pPr>
      <w:r>
        <w:rPr>
          <w:color w:val="000000"/>
        </w:rPr>
        <w:t>Femmes en âge de procréer, à moins que toutes les conditions requises par le programme de prévention de la grossesse soient remplies (voir rubriques 4.4 et 4.6).</w:t>
      </w:r>
    </w:p>
    <w:p w14:paraId="33F5AF01" w14:textId="77777777" w:rsidR="00375EAB" w:rsidRPr="00D2126A" w:rsidRDefault="00375EAB" w:rsidP="00C93C76">
      <w:pPr>
        <w:rPr>
          <w:color w:val="000000"/>
        </w:rPr>
      </w:pPr>
    </w:p>
    <w:p w14:paraId="734781E4" w14:textId="77777777" w:rsidR="00375EAB" w:rsidRPr="00D2126A" w:rsidRDefault="000E5A86" w:rsidP="00C93C76">
      <w:pPr>
        <w:keepNext/>
        <w:ind w:left="567" w:hanging="567"/>
        <w:rPr>
          <w:color w:val="000000"/>
        </w:rPr>
      </w:pPr>
      <w:r>
        <w:rPr>
          <w:b/>
          <w:color w:val="000000"/>
        </w:rPr>
        <w:t>4.4</w:t>
      </w:r>
      <w:r>
        <w:rPr>
          <w:b/>
          <w:color w:val="000000"/>
        </w:rPr>
        <w:tab/>
        <w:t>Mises en garde spéciales et précautions d’emploi</w:t>
      </w:r>
    </w:p>
    <w:p w14:paraId="194F0170" w14:textId="77777777" w:rsidR="00AB7ACC" w:rsidRPr="00D2126A" w:rsidRDefault="00AB7ACC" w:rsidP="00C93C76">
      <w:pPr>
        <w:pStyle w:val="Date"/>
        <w:keepNext/>
        <w:rPr>
          <w:b/>
          <w:color w:val="000000"/>
        </w:rPr>
      </w:pPr>
    </w:p>
    <w:p w14:paraId="40CB3413" w14:textId="77777777" w:rsidR="00036363" w:rsidRPr="00D2126A" w:rsidRDefault="000E5A86" w:rsidP="00C93C76">
      <w:pPr>
        <w:pStyle w:val="Date"/>
        <w:rPr>
          <w:b/>
          <w:color w:val="000000"/>
        </w:rPr>
      </w:pPr>
      <w:r>
        <w:rPr>
          <w:b/>
          <w:color w:val="000000"/>
        </w:rPr>
        <w:t>Lorsque le lénalidomide est administré en association avec d’autres médicaments, le Résumé des Caractéristiques du Produit de chaque médicament doit être consulté avant l’instauration du traitement.</w:t>
      </w:r>
    </w:p>
    <w:p w14:paraId="4B963CA6" w14:textId="0B7FCC3F" w:rsidR="00375EAB" w:rsidRPr="00D2126A" w:rsidRDefault="00375EAB" w:rsidP="00C93C76">
      <w:pPr>
        <w:rPr>
          <w:color w:val="000000"/>
        </w:rPr>
      </w:pPr>
    </w:p>
    <w:p w14:paraId="5DA17BCD" w14:textId="77777777" w:rsidR="00375EAB" w:rsidRPr="00D2126A" w:rsidRDefault="000E5A86" w:rsidP="00C93C76">
      <w:pPr>
        <w:keepNext/>
        <w:rPr>
          <w:color w:val="000000"/>
          <w:u w:val="single"/>
        </w:rPr>
      </w:pPr>
      <w:r>
        <w:rPr>
          <w:color w:val="000000"/>
          <w:u w:val="single"/>
        </w:rPr>
        <w:t>Mise en garde relative à la grossesse</w:t>
      </w:r>
    </w:p>
    <w:p w14:paraId="17175CF7" w14:textId="0D752A2C" w:rsidR="00375EAB" w:rsidRPr="00D2126A" w:rsidRDefault="000E5A86" w:rsidP="00C93C76">
      <w:pPr>
        <w:rPr>
          <w:color w:val="000000"/>
        </w:rPr>
      </w:pPr>
      <w:r>
        <w:rPr>
          <w:color w:val="000000"/>
        </w:rPr>
        <w:t>Le lénalidomide est structurellement proche du thalidomide. Le thalidomide est un tératogène humain connu, provoquant des anomalies congénitales graves, potentiellement létales chez l’enfant à naître. Le lénalidomide induit chez les singes des malformations similaires à celles décrites avec le thalidomide (voir rubriques 4.6 et 5.3). Si le lénalidomide est pris pendant la grossesse, un effet tératogène du lénalidomide est attendu chez l’être humain.</w:t>
      </w:r>
    </w:p>
    <w:p w14:paraId="76561C03" w14:textId="77777777" w:rsidR="00375EAB" w:rsidRPr="00D2126A" w:rsidRDefault="00375EAB" w:rsidP="00C93C76">
      <w:pPr>
        <w:rPr>
          <w:bCs/>
          <w:color w:val="000000"/>
        </w:rPr>
      </w:pPr>
    </w:p>
    <w:p w14:paraId="607D8657" w14:textId="77777777" w:rsidR="00375EAB" w:rsidRPr="00D2126A" w:rsidRDefault="000E5A86" w:rsidP="00C93C76">
      <w:pPr>
        <w:rPr>
          <w:color w:val="000000"/>
        </w:rPr>
      </w:pPr>
      <w:r>
        <w:rPr>
          <w:color w:val="000000"/>
        </w:rPr>
        <w:t>Les conditions du programme de prévention de la grossesse doivent être remplies par toutes les patientes, à moins de pouvoir affirmer avec certitude que la patiente est dans l’impossibilité de procréer.</w:t>
      </w:r>
    </w:p>
    <w:p w14:paraId="4A979D22" w14:textId="77777777" w:rsidR="00375EAB" w:rsidRPr="00D2126A" w:rsidRDefault="00375EAB" w:rsidP="00C93C76">
      <w:pPr>
        <w:rPr>
          <w:color w:val="000000"/>
        </w:rPr>
      </w:pPr>
    </w:p>
    <w:p w14:paraId="3573FFE9" w14:textId="77777777" w:rsidR="00375EAB" w:rsidRPr="00D2126A" w:rsidRDefault="000E5A86" w:rsidP="00C93C76">
      <w:pPr>
        <w:keepNext/>
        <w:rPr>
          <w:color w:val="000000"/>
          <w:u w:val="single"/>
        </w:rPr>
      </w:pPr>
      <w:r>
        <w:rPr>
          <w:color w:val="000000"/>
          <w:u w:val="single"/>
        </w:rPr>
        <w:t>Critères permettant de définir qu’une femme est dans l’impossibilité de procréer</w:t>
      </w:r>
    </w:p>
    <w:p w14:paraId="3E2D7053" w14:textId="77777777" w:rsidR="00375EAB" w:rsidRPr="00D2126A" w:rsidRDefault="000E5A86" w:rsidP="00C93C76">
      <w:pPr>
        <w:keepNext/>
        <w:rPr>
          <w:color w:val="000000"/>
        </w:rPr>
      </w:pPr>
      <w:r>
        <w:rPr>
          <w:color w:val="000000"/>
        </w:rPr>
        <w:t>Toute patiente ou partenaire de patient est considérée comme en âge de procréer, sauf si elle présente au moins l’un des critères suivants :</w:t>
      </w:r>
    </w:p>
    <w:p w14:paraId="703B0275" w14:textId="77777777" w:rsidR="00375EAB" w:rsidRPr="00D2126A" w:rsidRDefault="000E5A86" w:rsidP="000C6A57">
      <w:pPr>
        <w:pStyle w:val="StyleBullets"/>
      </w:pPr>
      <w:r>
        <w:t>âge ≥ 50 ans et aménorrhée naturelle depuis au moins 1 an (l’aménorrhée faisant suite au traitement d’un cancer ou pendant l’allaitement ne suffit pas à exclure un risque de grossesse)</w:t>
      </w:r>
    </w:p>
    <w:p w14:paraId="22DA2855" w14:textId="77777777" w:rsidR="00375EAB" w:rsidRPr="00D2126A" w:rsidRDefault="000E5A86" w:rsidP="00C93C76">
      <w:pPr>
        <w:numPr>
          <w:ilvl w:val="0"/>
          <w:numId w:val="12"/>
        </w:numPr>
        <w:tabs>
          <w:tab w:val="clear" w:pos="720"/>
          <w:tab w:val="num" w:pos="567"/>
          <w:tab w:val="right" w:leader="dot" w:pos="8222"/>
        </w:tabs>
        <w:ind w:left="567" w:hanging="567"/>
        <w:rPr>
          <w:color w:val="000000"/>
        </w:rPr>
      </w:pPr>
      <w:r>
        <w:rPr>
          <w:color w:val="000000"/>
        </w:rPr>
        <w:t>ménopause précoce confirmée par un gynécologue spécialisé</w:t>
      </w:r>
    </w:p>
    <w:p w14:paraId="264A1906" w14:textId="77777777" w:rsidR="00375EAB" w:rsidRPr="00D2126A" w:rsidRDefault="000E5A86" w:rsidP="00C93C76">
      <w:pPr>
        <w:keepNext/>
        <w:numPr>
          <w:ilvl w:val="0"/>
          <w:numId w:val="12"/>
        </w:numPr>
        <w:tabs>
          <w:tab w:val="clear" w:pos="720"/>
          <w:tab w:val="num" w:pos="567"/>
          <w:tab w:val="right" w:leader="dot" w:pos="8222"/>
        </w:tabs>
        <w:ind w:left="567" w:hanging="567"/>
        <w:rPr>
          <w:color w:val="000000"/>
        </w:rPr>
      </w:pPr>
      <w:r>
        <w:rPr>
          <w:color w:val="000000"/>
        </w:rPr>
        <w:t>salpingo</w:t>
      </w:r>
      <w:r>
        <w:rPr>
          <w:color w:val="000000"/>
        </w:rPr>
        <w:noBreakHyphen/>
        <w:t>ovariectomie bilatérale ou hystérectomie</w:t>
      </w:r>
    </w:p>
    <w:p w14:paraId="03AED459" w14:textId="77777777" w:rsidR="00375EAB" w:rsidRPr="00156723" w:rsidRDefault="000E5A86" w:rsidP="00C93C76">
      <w:pPr>
        <w:numPr>
          <w:ilvl w:val="0"/>
          <w:numId w:val="12"/>
        </w:numPr>
        <w:tabs>
          <w:tab w:val="clear" w:pos="720"/>
          <w:tab w:val="num" w:pos="567"/>
          <w:tab w:val="right" w:leader="dot" w:pos="8222"/>
        </w:tabs>
        <w:ind w:left="567" w:hanging="567"/>
        <w:rPr>
          <w:color w:val="000000"/>
        </w:rPr>
      </w:pPr>
      <w:r>
        <w:rPr>
          <w:color w:val="000000"/>
        </w:rPr>
        <w:t>génotype XY, syndrome de Turner, agénésie utérine.</w:t>
      </w:r>
    </w:p>
    <w:p w14:paraId="651513A6" w14:textId="77777777" w:rsidR="00375EAB" w:rsidRPr="00156723" w:rsidRDefault="00375EAB" w:rsidP="00C93C76">
      <w:pPr>
        <w:tabs>
          <w:tab w:val="right" w:leader="dot" w:pos="8222"/>
        </w:tabs>
        <w:rPr>
          <w:color w:val="000000"/>
          <w:lang w:val="da-DK"/>
        </w:rPr>
      </w:pPr>
    </w:p>
    <w:p w14:paraId="749FC5C8" w14:textId="77777777" w:rsidR="00375EAB" w:rsidRPr="00D2126A" w:rsidRDefault="000E5A86" w:rsidP="00C93C76">
      <w:pPr>
        <w:keepNext/>
        <w:rPr>
          <w:color w:val="000000"/>
          <w:u w:val="single"/>
        </w:rPr>
      </w:pPr>
      <w:r>
        <w:rPr>
          <w:color w:val="000000"/>
          <w:u w:val="single"/>
        </w:rPr>
        <w:t>Information des patients</w:t>
      </w:r>
    </w:p>
    <w:p w14:paraId="30737AE0" w14:textId="77777777" w:rsidR="00375EAB" w:rsidRPr="00D2126A" w:rsidRDefault="000E5A86" w:rsidP="00C93C76">
      <w:pPr>
        <w:keepNext/>
        <w:rPr>
          <w:color w:val="000000"/>
        </w:rPr>
      </w:pPr>
      <w:r>
        <w:rPr>
          <w:color w:val="000000"/>
        </w:rPr>
        <w:t>Chez la femme en âge de procréer, l’utilisation du lénalidomide est contre</w:t>
      </w:r>
      <w:r>
        <w:rPr>
          <w:color w:val="000000"/>
        </w:rPr>
        <w:noBreakHyphen/>
        <w:t>indiquée à moins que toutes les conditions suivantes soient remplies :</w:t>
      </w:r>
    </w:p>
    <w:p w14:paraId="593DA888"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la patiente comprend les risques tératogènes attendus pour l’enfant à naître en cas d’exposition au cours de la grossesse</w:t>
      </w:r>
    </w:p>
    <w:p w14:paraId="2D775C59"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elle comprend la nécessité d’une contraception efficace, sans interruption, commencée au moins 4 semaines avant le traitement, poursuivie pendant toute sa durée et pendant au moins 4 semaines après la fin de celui</w:t>
      </w:r>
      <w:r>
        <w:rPr>
          <w:color w:val="000000"/>
        </w:rPr>
        <w:noBreakHyphen/>
        <w:t>ci</w:t>
      </w:r>
    </w:p>
    <w:p w14:paraId="571E8E3C"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même en cas d’aménorrhée, toute femme en âge de procréer doit suivre toutes les mesures de contraception efficace</w:t>
      </w:r>
    </w:p>
    <w:p w14:paraId="4A436DB6"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elle doit être en mesure de respecter des mesures de contraception efficace</w:t>
      </w:r>
    </w:p>
    <w:p w14:paraId="17D4B7C3"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elle est informée et comprend les conséquences potentielles d’une grossesse et la nécessité de consulter rapidement un médecin s’il existe un risque de grossesse</w:t>
      </w:r>
    </w:p>
    <w:p w14:paraId="569A62BE" w14:textId="77777777" w:rsidR="00375EAB" w:rsidRPr="00D2126A" w:rsidRDefault="000E5A86" w:rsidP="00C93C76">
      <w:pPr>
        <w:numPr>
          <w:ilvl w:val="0"/>
          <w:numId w:val="13"/>
        </w:numPr>
        <w:tabs>
          <w:tab w:val="clear" w:pos="360"/>
          <w:tab w:val="num" w:pos="567"/>
        </w:tabs>
        <w:ind w:left="567" w:hanging="567"/>
        <w:rPr>
          <w:color w:val="000000"/>
        </w:rPr>
      </w:pPr>
      <w:r>
        <w:rPr>
          <w:color w:val="000000"/>
        </w:rPr>
        <w:t>elle comprend la nécessité de commencer le traitement dès que le lénalidomide lui a été délivré suite à un test de grossesse négatif</w:t>
      </w:r>
    </w:p>
    <w:p w14:paraId="7BCB07FC" w14:textId="77777777" w:rsidR="00375EAB" w:rsidRPr="00D2126A" w:rsidRDefault="000E5A86" w:rsidP="00C93C76">
      <w:pPr>
        <w:keepNext/>
        <w:numPr>
          <w:ilvl w:val="0"/>
          <w:numId w:val="13"/>
        </w:numPr>
        <w:tabs>
          <w:tab w:val="clear" w:pos="360"/>
          <w:tab w:val="num" w:pos="567"/>
        </w:tabs>
        <w:ind w:left="567" w:hanging="567"/>
        <w:rPr>
          <w:color w:val="000000"/>
        </w:rPr>
      </w:pPr>
      <w:r>
        <w:rPr>
          <w:color w:val="000000"/>
        </w:rPr>
        <w:t>elle comprend la nécessité et accepte de faire un test de grossesse au moins toutes les 4 semaines durant le traitement, sauf en cas de stérilisation tubaire confirmée</w:t>
      </w:r>
    </w:p>
    <w:p w14:paraId="36FE3D24"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elle confirme avoir bien compris les risques et les mesures de précaution nécessaires pour l’utilisation du lénalidomide.</w:t>
      </w:r>
    </w:p>
    <w:p w14:paraId="527C6BD0" w14:textId="77777777" w:rsidR="00375EAB" w:rsidRPr="00D2126A" w:rsidRDefault="00375EAB" w:rsidP="00C93C76">
      <w:pPr>
        <w:rPr>
          <w:color w:val="000000"/>
        </w:rPr>
      </w:pPr>
    </w:p>
    <w:p w14:paraId="0A40ED52" w14:textId="286FD9C6" w:rsidR="00375EAB" w:rsidRPr="00D2126A" w:rsidRDefault="000E5A86" w:rsidP="00C93C76">
      <w:pPr>
        <w:keepNext/>
        <w:rPr>
          <w:color w:val="000000"/>
        </w:rPr>
      </w:pPr>
      <w:r>
        <w:rPr>
          <w:color w:val="000000"/>
        </w:rPr>
        <w:t>Pour les hommes traités par le lénalidomide, les données pharmacocinétiques ont montré que le lénalidomide était présent dans le sperme humain à des concentrations extrêmement faibles pendant le traitement et qu’il était indétectable 3 jours après l’arrêt du médicament chez les sujets sains (voir rubrique 5.2). À titre de précaution et en tenant compte de l’allongement du temps d’élimination dans les populations particulières telles que les patients présentant une insuffisance rénale, tous les hommes traités par le lénalidomide doivent :</w:t>
      </w:r>
    </w:p>
    <w:p w14:paraId="77DD25B2"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comprendre les risques tératogènes attendus en cas de rapport sexuel avec une femme enceinte ou en âge de procréer</w:t>
      </w:r>
    </w:p>
    <w:p w14:paraId="79FC25BB" w14:textId="77777777" w:rsidR="0083738B" w:rsidRPr="00D2126A" w:rsidRDefault="000E5A86" w:rsidP="00C93C76">
      <w:pPr>
        <w:keepNext/>
        <w:numPr>
          <w:ilvl w:val="0"/>
          <w:numId w:val="14"/>
        </w:numPr>
        <w:tabs>
          <w:tab w:val="clear" w:pos="360"/>
          <w:tab w:val="num" w:pos="567"/>
        </w:tabs>
        <w:ind w:left="567" w:hanging="567"/>
        <w:rPr>
          <w:color w:val="000000"/>
        </w:rPr>
      </w:pPr>
      <w:r>
        <w:rPr>
          <w:color w:val="000000"/>
        </w:rPr>
        <w:t>comprendre qu’il est nécessaire d’utiliser des préservatifs en cas de rapport sexuel avec une femme enceinte ou une femme en âge de procréer n’utilisant pas une contraception efficace, pendant le traitement et pendant au moins 7 jours après l’interruption et/ou l’arrêt du traitement (même si le patient a subi une vasectomie).</w:t>
      </w:r>
    </w:p>
    <w:p w14:paraId="594071BD" w14:textId="77777777" w:rsidR="0083738B" w:rsidRPr="00D2126A" w:rsidRDefault="000E5A86" w:rsidP="00C93C76">
      <w:pPr>
        <w:numPr>
          <w:ilvl w:val="0"/>
          <w:numId w:val="14"/>
        </w:numPr>
        <w:tabs>
          <w:tab w:val="clear" w:pos="360"/>
          <w:tab w:val="num" w:pos="567"/>
        </w:tabs>
        <w:ind w:left="567" w:hanging="567"/>
        <w:rPr>
          <w:color w:val="000000"/>
        </w:rPr>
      </w:pPr>
      <w:r>
        <w:rPr>
          <w:color w:val="000000"/>
        </w:rPr>
        <w:t>comprendre qu’en cas de survenue d’une grossesse chez leur partenaire pendant le traitement par Revlimid ou peu après l’arrêt de celui</w:t>
      </w:r>
      <w:r>
        <w:rPr>
          <w:color w:val="000000"/>
        </w:rPr>
        <w:noBreakHyphen/>
        <w:t>ci, ils doivent informer immédiatement leur médecin traitant et qu’il est recommandé d’adresser la partenaire à un médecin spécialiste ou expérimenté en tératologie pour évaluation et conseil.</w:t>
      </w:r>
    </w:p>
    <w:p w14:paraId="185854C7" w14:textId="77777777" w:rsidR="00375EAB" w:rsidRPr="00D2126A" w:rsidRDefault="00375EAB" w:rsidP="00C93C76">
      <w:pPr>
        <w:rPr>
          <w:color w:val="000000"/>
        </w:rPr>
      </w:pPr>
    </w:p>
    <w:p w14:paraId="0FB9061A" w14:textId="77777777" w:rsidR="00375EAB" w:rsidRPr="00D2126A" w:rsidRDefault="000E5A86" w:rsidP="00C93C76">
      <w:pPr>
        <w:keepNext/>
        <w:rPr>
          <w:color w:val="000000"/>
        </w:rPr>
      </w:pPr>
      <w:r>
        <w:rPr>
          <w:color w:val="000000"/>
        </w:rPr>
        <w:t>Pour les femmes en âge de procréer, le médecin prescripteur doit s’assurer que :</w:t>
      </w:r>
    </w:p>
    <w:p w14:paraId="482BC293" w14:textId="77777777" w:rsidR="00375EAB" w:rsidRPr="00D2126A" w:rsidRDefault="000E5A86" w:rsidP="00C93C76">
      <w:pPr>
        <w:keepNext/>
        <w:numPr>
          <w:ilvl w:val="0"/>
          <w:numId w:val="14"/>
        </w:numPr>
        <w:tabs>
          <w:tab w:val="clear" w:pos="360"/>
          <w:tab w:val="num" w:pos="567"/>
        </w:tabs>
        <w:ind w:left="567" w:hanging="567"/>
        <w:rPr>
          <w:color w:val="000000"/>
        </w:rPr>
      </w:pPr>
      <w:r>
        <w:rPr>
          <w:color w:val="000000"/>
        </w:rPr>
        <w:t>la patiente remplit les conditions requises par le programme de prévention de la grossesse, y compris une bonne compréhension du risque</w:t>
      </w:r>
    </w:p>
    <w:p w14:paraId="51D464E8"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la patiente confirme avoir compris les conditions susmentionnées.</w:t>
      </w:r>
    </w:p>
    <w:p w14:paraId="5C2FFA83" w14:textId="77777777" w:rsidR="00375EAB" w:rsidRPr="00D2126A" w:rsidRDefault="00375EAB" w:rsidP="00C93C76">
      <w:pPr>
        <w:rPr>
          <w:color w:val="000000"/>
        </w:rPr>
      </w:pPr>
    </w:p>
    <w:p w14:paraId="37AA5273" w14:textId="77777777" w:rsidR="00375EAB" w:rsidRPr="00D2126A" w:rsidRDefault="000E5A86" w:rsidP="00C93C76">
      <w:pPr>
        <w:keepNext/>
        <w:rPr>
          <w:color w:val="000000"/>
          <w:u w:val="single"/>
        </w:rPr>
      </w:pPr>
      <w:r>
        <w:rPr>
          <w:color w:val="000000"/>
          <w:u w:val="single"/>
        </w:rPr>
        <w:t>Contraception</w:t>
      </w:r>
    </w:p>
    <w:p w14:paraId="7535E8D2" w14:textId="77777777" w:rsidR="00036363" w:rsidRPr="00D2126A" w:rsidRDefault="000E5A86" w:rsidP="00C93C76">
      <w:pPr>
        <w:rPr>
          <w:color w:val="000000"/>
        </w:rPr>
      </w:pPr>
      <w:r>
        <w:rPr>
          <w:color w:val="000000"/>
        </w:rPr>
        <w:t>Les femmes en âge de procréer doivent utiliser au moins une méthode de contraception efficace pendant au moins 4 semaines avant le début du traitement, pendant toute la durée de celui</w:t>
      </w:r>
      <w:r>
        <w:rPr>
          <w:color w:val="000000"/>
        </w:rPr>
        <w:noBreakHyphen/>
        <w:t>ci et pendant au moins 4 semaines après l’arrêt du lénalidomide, même en cas d’interruption du traitement, à moins qu’elles ne déclarent une abstinence totale et continue, qui sera confirmée de façon mensuelle. Si la patiente n’utilise aucun moyen de contraception efficace, elle devra être orientée vers un médecin compétent pour être conseillée et afin qu’une contraception adaptée soit instaurée.</w:t>
      </w:r>
    </w:p>
    <w:p w14:paraId="0D3544EB" w14:textId="4E9996AA" w:rsidR="00375EAB" w:rsidRPr="00D2126A" w:rsidRDefault="00375EAB" w:rsidP="00C93C76">
      <w:pPr>
        <w:rPr>
          <w:color w:val="000000"/>
        </w:rPr>
      </w:pPr>
    </w:p>
    <w:p w14:paraId="4FA1AC55" w14:textId="77777777" w:rsidR="00375EAB" w:rsidRPr="00D2126A" w:rsidRDefault="000E5A86" w:rsidP="00C93C76">
      <w:pPr>
        <w:keepNext/>
        <w:rPr>
          <w:color w:val="000000"/>
        </w:rPr>
      </w:pPr>
      <w:r>
        <w:rPr>
          <w:color w:val="000000"/>
        </w:rPr>
        <w:t>Voici des exemples de méthodes de contraception adaptées :</w:t>
      </w:r>
    </w:p>
    <w:p w14:paraId="085D253B"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implant contraceptif</w:t>
      </w:r>
    </w:p>
    <w:p w14:paraId="7869EE92"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dispositif intra</w:t>
      </w:r>
      <w:r>
        <w:rPr>
          <w:color w:val="000000"/>
        </w:rPr>
        <w:noBreakHyphen/>
        <w:t>utérin (DIU) au lévonorgestrel</w:t>
      </w:r>
    </w:p>
    <w:p w14:paraId="12F24257"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acétate de médroxyprogestérone retard</w:t>
      </w:r>
    </w:p>
    <w:p w14:paraId="72E7BB46"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stérilisation tubaire</w:t>
      </w:r>
    </w:p>
    <w:p w14:paraId="3F086B0F" w14:textId="77777777" w:rsidR="00375EAB" w:rsidRPr="00D2126A" w:rsidRDefault="000E5A86" w:rsidP="00C93C76">
      <w:pPr>
        <w:keepNext/>
        <w:numPr>
          <w:ilvl w:val="0"/>
          <w:numId w:val="15"/>
        </w:numPr>
        <w:tabs>
          <w:tab w:val="clear" w:pos="360"/>
          <w:tab w:val="num" w:pos="567"/>
          <w:tab w:val="right" w:leader="dot" w:pos="8222"/>
        </w:tabs>
        <w:ind w:left="567" w:hanging="567"/>
        <w:rPr>
          <w:color w:val="000000"/>
        </w:rPr>
      </w:pPr>
      <w:r>
        <w:rPr>
          <w:color w:val="000000"/>
        </w:rPr>
        <w:t>rapports sexuels exclusivement avec un partenaire vasectomisé ; la vasectomie doit avoir été confirmée par deux spermogrammes négatifs</w:t>
      </w:r>
    </w:p>
    <w:p w14:paraId="40FFF764"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pilule progestative inhibant l’ovulation (c’est</w:t>
      </w:r>
      <w:r>
        <w:rPr>
          <w:color w:val="000000"/>
        </w:rPr>
        <w:noBreakHyphen/>
        <w:t>à</w:t>
      </w:r>
      <w:r>
        <w:rPr>
          <w:color w:val="000000"/>
        </w:rPr>
        <w:noBreakHyphen/>
        <w:t>dire désogestrel)</w:t>
      </w:r>
    </w:p>
    <w:p w14:paraId="36C2821C" w14:textId="77777777" w:rsidR="00375EAB" w:rsidRPr="00D2126A" w:rsidRDefault="00375EAB" w:rsidP="00C93C76">
      <w:pPr>
        <w:rPr>
          <w:color w:val="000000"/>
        </w:rPr>
      </w:pPr>
    </w:p>
    <w:p w14:paraId="5F062A49" w14:textId="77777777" w:rsidR="00375EAB" w:rsidRPr="00D2126A" w:rsidRDefault="000E5A86" w:rsidP="00C93C76">
      <w:pPr>
        <w:rPr>
          <w:color w:val="000000"/>
        </w:rPr>
      </w:pPr>
      <w:r>
        <w:rPr>
          <w:color w:val="000000"/>
        </w:rPr>
        <w:t>En raison du risque accru d’accidents thrombo</w:t>
      </w:r>
      <w:r>
        <w:rPr>
          <w:color w:val="000000"/>
        </w:rPr>
        <w:noBreakHyphen/>
        <w:t>emboliques veineux chez les patients atteints de myélome multiple et traités par le lénalidomide en association et, dans une moindre mesure, chez les patients présentant un myélome multiple, un syndrome myélodysplasique ou un lymphome à cellules du manteau traités par le lénalidomide en monothérapie, l’utilisation de pilules contraceptives orales combinées n’est pas recommandée (voir également rubrique 4.5). Si la patiente est sous contraceptif oral combiné, elle devra utiliser une des autres méthodes contraceptives efficaces citées ci</w:t>
      </w:r>
      <w:r>
        <w:rPr>
          <w:color w:val="000000"/>
        </w:rPr>
        <w:noBreakHyphen/>
        <w:t>dessus. Le risque thrombo</w:t>
      </w:r>
      <w:r>
        <w:rPr>
          <w:color w:val="000000"/>
        </w:rPr>
        <w:noBreakHyphen/>
        <w:t>embolique persiste pendant 4 à 6 semaines après l’arrêt du contraceptif oral œstroprogestatif. L’efficacité des contraceptifs stéroïdiens peut être diminuée en cas de traitement concomitant par la dexaméthasone (voir rubrique 4.5).</w:t>
      </w:r>
    </w:p>
    <w:p w14:paraId="0A91229E" w14:textId="77777777" w:rsidR="00375EAB" w:rsidRPr="00D2126A" w:rsidRDefault="00375EAB" w:rsidP="00C93C76">
      <w:pPr>
        <w:rPr>
          <w:color w:val="000000"/>
        </w:rPr>
      </w:pPr>
    </w:p>
    <w:p w14:paraId="7CE9B0AE" w14:textId="77777777" w:rsidR="00375EAB" w:rsidRPr="00D2126A" w:rsidRDefault="000E5A86" w:rsidP="00C93C76">
      <w:pPr>
        <w:rPr>
          <w:color w:val="000000"/>
        </w:rPr>
      </w:pPr>
      <w:r>
        <w:rPr>
          <w:color w:val="000000"/>
        </w:rPr>
        <w:t>Les implants contraceptifs et les dispositifs intra</w:t>
      </w:r>
      <w:r>
        <w:rPr>
          <w:color w:val="000000"/>
        </w:rPr>
        <w:noBreakHyphen/>
        <w:t>utérins au lévonorgestrel sont associés à un risque accru d’infection lors de leur insertion et à des saignements vaginaux irréguliers. Le recours aux antibiotiques à titre prophylactique devra être envisagé lors de leur mise en place, en particulier en cas de neutropénie associée.</w:t>
      </w:r>
    </w:p>
    <w:p w14:paraId="2C2C06A3" w14:textId="77777777" w:rsidR="00375EAB" w:rsidRPr="00D2126A" w:rsidRDefault="00375EAB" w:rsidP="00C93C76">
      <w:pPr>
        <w:rPr>
          <w:color w:val="000000"/>
        </w:rPr>
      </w:pPr>
    </w:p>
    <w:p w14:paraId="300765C5" w14:textId="77777777" w:rsidR="00375EAB" w:rsidRPr="00D2126A" w:rsidRDefault="000E5A86" w:rsidP="00C93C76">
      <w:pPr>
        <w:rPr>
          <w:color w:val="000000"/>
        </w:rPr>
      </w:pPr>
      <w:r>
        <w:rPr>
          <w:color w:val="000000"/>
        </w:rPr>
        <w:t>L’utilisation de dispositifs intra</w:t>
      </w:r>
      <w:r>
        <w:rPr>
          <w:color w:val="000000"/>
        </w:rPr>
        <w:noBreakHyphen/>
        <w:t>utérins au cuivre n’est de manière générale pas recommandée en raison des risques d’infection lors de leur insertion et des règles abondantes qu’elle peut entraîner, susceptibles de mettre en danger les patientes présentant une neutropénie ou une thrombopénie.</w:t>
      </w:r>
    </w:p>
    <w:p w14:paraId="26D80624" w14:textId="77777777" w:rsidR="00375EAB" w:rsidRPr="00D2126A" w:rsidRDefault="00375EAB" w:rsidP="00C93C76">
      <w:pPr>
        <w:rPr>
          <w:color w:val="000000"/>
        </w:rPr>
      </w:pPr>
    </w:p>
    <w:p w14:paraId="4870692C" w14:textId="77777777" w:rsidR="00375EAB" w:rsidRPr="00D2126A" w:rsidRDefault="000E5A86" w:rsidP="00C93C76">
      <w:pPr>
        <w:keepNext/>
        <w:rPr>
          <w:color w:val="000000"/>
        </w:rPr>
      </w:pPr>
      <w:r>
        <w:rPr>
          <w:color w:val="000000"/>
          <w:u w:val="single"/>
        </w:rPr>
        <w:t>Tests de grossesse</w:t>
      </w:r>
    </w:p>
    <w:p w14:paraId="1B7F8B83" w14:textId="77777777" w:rsidR="00375EAB" w:rsidRPr="00D2126A" w:rsidRDefault="000E5A86" w:rsidP="00C93C76">
      <w:pPr>
        <w:rPr>
          <w:color w:val="000000"/>
        </w:rPr>
      </w:pPr>
      <w:r>
        <w:rPr>
          <w:color w:val="000000"/>
        </w:rPr>
        <w:t>Le type de test utilisé est fonction des pratiques locales mais il doit être d’une sensibilité d’au moins 25 mUI/ml et pratiqué chez les femmes en âge de procréer, sous la responsabilité d’un médecin comme indiqué ci</w:t>
      </w:r>
      <w:r>
        <w:rPr>
          <w:color w:val="000000"/>
        </w:rPr>
        <w:noBreakHyphen/>
        <w:t>dessous. Cette obligation s’applique également aux femmes en âge de procréer pratiquant une abstinence totale et continue. Si possible, le test de grossesse, la prescription et la délivrance du médicament auront lieu le même jour. La délivrance du lénalidomide aux femmes en âge de procréer doit avoir lieu dans les 7 jours suivant la prescription.</w:t>
      </w:r>
    </w:p>
    <w:p w14:paraId="0717E1DB" w14:textId="77777777" w:rsidR="00375EAB" w:rsidRPr="00D2126A" w:rsidRDefault="00375EAB" w:rsidP="00C93C76">
      <w:pPr>
        <w:rPr>
          <w:color w:val="000000"/>
        </w:rPr>
      </w:pPr>
    </w:p>
    <w:p w14:paraId="3A404A0D" w14:textId="77777777" w:rsidR="00375EAB" w:rsidRPr="00D2126A" w:rsidRDefault="000E5A86" w:rsidP="00C93C76">
      <w:pPr>
        <w:keepNext/>
        <w:ind w:left="1293" w:hanging="1293"/>
        <w:rPr>
          <w:i/>
          <w:color w:val="000000"/>
        </w:rPr>
      </w:pPr>
      <w:r>
        <w:rPr>
          <w:i/>
          <w:color w:val="000000"/>
        </w:rPr>
        <w:t>Avant de commencer le traitement</w:t>
      </w:r>
    </w:p>
    <w:p w14:paraId="4F65B71A" w14:textId="77777777" w:rsidR="00375EAB" w:rsidRPr="00D2126A" w:rsidRDefault="000E5A86" w:rsidP="00C93C76">
      <w:pPr>
        <w:rPr>
          <w:color w:val="000000"/>
        </w:rPr>
      </w:pPr>
      <w:r>
        <w:rPr>
          <w:color w:val="000000"/>
        </w:rPr>
        <w:t>Un test de grossesse doit être fait sous contrôle médical lors de la consultation ou dans les 3 jours précédant la consultation où le lénalidomide est prescrit si la patiente utilise une contraception efficace depuis au moins 4 semaines. Le test doit confirmer que la patiente n’est pas enceinte au moment où elle débute le traitement par le lénalidomide.</w:t>
      </w:r>
    </w:p>
    <w:p w14:paraId="0C2E4D3F" w14:textId="77777777" w:rsidR="00375EAB" w:rsidRPr="00D2126A" w:rsidRDefault="00375EAB" w:rsidP="00C93C76">
      <w:pPr>
        <w:rPr>
          <w:color w:val="000000"/>
        </w:rPr>
      </w:pPr>
    </w:p>
    <w:p w14:paraId="67561378" w14:textId="77777777" w:rsidR="00375EAB" w:rsidRPr="00D2126A" w:rsidRDefault="000E5A86" w:rsidP="00C93C76">
      <w:pPr>
        <w:keepNext/>
        <w:rPr>
          <w:i/>
          <w:color w:val="000000"/>
        </w:rPr>
      </w:pPr>
      <w:r>
        <w:rPr>
          <w:i/>
          <w:color w:val="000000"/>
        </w:rPr>
        <w:t>Suivi et arrêt du traitement</w:t>
      </w:r>
    </w:p>
    <w:p w14:paraId="6C35DB87" w14:textId="77777777" w:rsidR="00375EAB" w:rsidRPr="00D2126A" w:rsidRDefault="000E5A86" w:rsidP="00C93C76">
      <w:pPr>
        <w:rPr>
          <w:color w:val="000000"/>
        </w:rPr>
      </w:pPr>
      <w:r>
        <w:rPr>
          <w:color w:val="000000"/>
        </w:rPr>
        <w:t>Un nouveau test de grossesse sous contrôle médical doit être effectué au moins toutes les 4 semaines et au moins 4 semaines après l’arrêt du traitement, sauf en cas de stérilisation tubaire confirmée. Ces tests de grossesse doivent être faits le jour de la consultation dédiée à la prescription ou dans les 3 jours précédents.</w:t>
      </w:r>
    </w:p>
    <w:p w14:paraId="6933AA53" w14:textId="77777777" w:rsidR="00375EAB" w:rsidRPr="00D2126A" w:rsidRDefault="00375EAB" w:rsidP="00C93C76">
      <w:pPr>
        <w:rPr>
          <w:color w:val="000000"/>
        </w:rPr>
      </w:pPr>
    </w:p>
    <w:p w14:paraId="7E1A1BB9" w14:textId="77777777" w:rsidR="00375EAB" w:rsidRPr="00D2126A" w:rsidRDefault="000E5A86" w:rsidP="00C93C76">
      <w:pPr>
        <w:keepNext/>
        <w:rPr>
          <w:color w:val="000000"/>
          <w:u w:val="single"/>
        </w:rPr>
      </w:pPr>
      <w:r>
        <w:rPr>
          <w:color w:val="000000"/>
          <w:u w:val="single"/>
        </w:rPr>
        <w:t>Précautions supplémentaires</w:t>
      </w:r>
    </w:p>
    <w:p w14:paraId="4AA685C9" w14:textId="77777777" w:rsidR="00E901F1" w:rsidRPr="00D2126A" w:rsidRDefault="000E5A86" w:rsidP="00C93C76">
      <w:pPr>
        <w:pStyle w:val="Date"/>
      </w:pPr>
      <w:r>
        <w:rPr>
          <w:color w:val="000000"/>
        </w:rPr>
        <w:t>Les patients doivent être informés de ne jamais donner leur médicament à quelqu’un d’autre et de rapporter les gélules non utilisées à leur pharmacien en fin de traitement pour une élimination en toute sécurité.</w:t>
      </w:r>
    </w:p>
    <w:p w14:paraId="71675A57" w14:textId="77777777" w:rsidR="00375EAB" w:rsidRPr="00D2126A" w:rsidRDefault="00375EAB" w:rsidP="00C93C76">
      <w:pPr>
        <w:rPr>
          <w:color w:val="000000"/>
        </w:rPr>
      </w:pPr>
    </w:p>
    <w:p w14:paraId="2501B225" w14:textId="5FB53703" w:rsidR="00375EAB" w:rsidRPr="00D2126A" w:rsidRDefault="000E5A86" w:rsidP="00C93C76">
      <w:pPr>
        <w:rPr>
          <w:color w:val="000000"/>
        </w:rPr>
      </w:pPr>
      <w:r>
        <w:rPr>
          <w:color w:val="000000"/>
        </w:rPr>
        <w:t>Les patients ne doivent pas faire de don de sang ou de sperme pendant la prise de lénalidomide (y compris pendant les interruptions de traitement) et pendant au moins 7 jours après la fin du traitement.</w:t>
      </w:r>
    </w:p>
    <w:p w14:paraId="4D1BF6B4" w14:textId="77777777" w:rsidR="00C839B6" w:rsidRPr="00D2126A" w:rsidRDefault="00C839B6" w:rsidP="00C93C76">
      <w:pPr>
        <w:pStyle w:val="Date"/>
      </w:pPr>
    </w:p>
    <w:p w14:paraId="44D4393F" w14:textId="77777777" w:rsidR="00C839B6" w:rsidRPr="00D2126A" w:rsidRDefault="000E5A86" w:rsidP="00C93C76">
      <w:r>
        <w:t>Les professionnels de santé et les aidants doivent porter des gants jetables pour manipuler la plaquette ou la gélule.</w:t>
      </w:r>
    </w:p>
    <w:p w14:paraId="1CA50845" w14:textId="00280E5C" w:rsidR="00C839B6" w:rsidRPr="00D2126A" w:rsidRDefault="000E5A86" w:rsidP="00C93C76">
      <w:pPr>
        <w:pStyle w:val="Date"/>
      </w:pPr>
      <w:r>
        <w:t>Les femmes enceintes ou qui pensent l'être ne doivent pas manipuler la plaquette ou la gélule (voir rubrique 6.6).</w:t>
      </w:r>
    </w:p>
    <w:p w14:paraId="023B0581" w14:textId="77777777" w:rsidR="00375EAB" w:rsidRPr="00D2126A" w:rsidRDefault="00375EAB" w:rsidP="00C93C76">
      <w:pPr>
        <w:pStyle w:val="Date"/>
        <w:rPr>
          <w:color w:val="000000"/>
        </w:rPr>
      </w:pPr>
    </w:p>
    <w:p w14:paraId="2D4ECF73" w14:textId="77777777" w:rsidR="00375EAB" w:rsidRPr="00D2126A" w:rsidRDefault="000E5A86" w:rsidP="00C93C76">
      <w:pPr>
        <w:keepNext/>
        <w:rPr>
          <w:color w:val="000000"/>
          <w:u w:val="single"/>
        </w:rPr>
      </w:pPr>
      <w:r>
        <w:rPr>
          <w:color w:val="000000"/>
          <w:u w:val="single"/>
        </w:rPr>
        <w:t>Guide d’aide à la prescription, restrictions de prescription et de délivrance</w:t>
      </w:r>
    </w:p>
    <w:p w14:paraId="4379415A" w14:textId="04F3FF42" w:rsidR="00375EAB" w:rsidRPr="00D2126A" w:rsidRDefault="000E5A86" w:rsidP="001C0FF1">
      <w:r>
        <w:t>Afin d’aider les patients à éviter toute exposition fœtale au lénalidomide, le titulaire de l’autorisation de mise sur le marché (AMM) fournira aux professionnels de santé des documents explicatifs visant à renforcer les mises en garde relatives à la tératogénicité attendue du lénalidomide, à donner des conseils pour la mise en place d’une contraception préalable au traitement et à fournir des explications sur les tests de grossesse nécessaires. Le prescripteur doit informer le patient du risque tératogène attendu et des mesures contraceptives strictes définies dans le programme de prévention de la grossesse et lui remettre la brochure appropriée d’information destinée aux patients, la carte</w:t>
      </w:r>
      <w:r>
        <w:noBreakHyphen/>
        <w:t>patient et/ou un document équivalent, comme défini avec chaque autorité compétente nationale. En collaboration avec chaque autorité compétente nationale, un programme d’accès contrôlé a été mis en place qui inclut l’utilisation d’une carte patient et/ou d’un document équivalent pour le contrôle des prescriptions et/ou des délivrances et le recueil d’information relatives à l’indication afin de surveiller l’utilisation hors AMM sur le territoire national. Dans l’idéal, le test de grossesse, la prescription et la délivrance du médicament doivent avoir lieu le même jour. La délivrance du lénalidomide aux femmes en âge de procréer doit avoir lieu dans les 7 jours suivant la prescription et après un test de grossesse négatif effectué sous contrôle médical. La prescription doit être limitée à une durée de traitement de 4 semaines au maximum conformément aux schémas posologiques dans les indications autorisées (voir rubrique 4.2) chez les femmes en âge de procréer et de 12 semaines au maximum chez tous les autres patients.</w:t>
      </w:r>
      <w:r>
        <w:cr/>
      </w:r>
    </w:p>
    <w:p w14:paraId="1DCCEA9F" w14:textId="77777777" w:rsidR="00375EAB" w:rsidRPr="00D2126A" w:rsidRDefault="000E5A86" w:rsidP="00C93C76">
      <w:pPr>
        <w:keepNext/>
        <w:rPr>
          <w:color w:val="000000"/>
          <w:u w:val="single"/>
        </w:rPr>
      </w:pPr>
      <w:r>
        <w:rPr>
          <w:color w:val="000000"/>
          <w:u w:val="single"/>
        </w:rPr>
        <w:t>Autres mises en garde spéciales et précautions d’emploi</w:t>
      </w:r>
    </w:p>
    <w:p w14:paraId="59518FD4" w14:textId="77777777" w:rsidR="00375EAB" w:rsidRPr="00D2126A" w:rsidRDefault="000E5A86" w:rsidP="00C93C76">
      <w:pPr>
        <w:pStyle w:val="Date"/>
        <w:keepNext/>
        <w:rPr>
          <w:color w:val="000000"/>
          <w:u w:val="single"/>
        </w:rPr>
      </w:pPr>
      <w:r>
        <w:rPr>
          <w:i/>
          <w:color w:val="000000"/>
          <w:u w:val="single"/>
        </w:rPr>
        <w:t>Infarctus du myocarde</w:t>
      </w:r>
    </w:p>
    <w:p w14:paraId="2907AF74" w14:textId="359335EB" w:rsidR="00375EAB" w:rsidRPr="00D2126A" w:rsidRDefault="000E5A86" w:rsidP="0094597D">
      <w:r>
        <w:t>Des cas d’infarctus du myocarde ont été rapportés chez les patients recevant du lénalidomide, particulièrement chez ceux qui présentent des facteurs de risque connus et au cours des 12 premiers mois de traitement lorsque le lénalidomide est utilisé en association avec la dexaméthasone. Une surveillance étroite s’impose chez les patients présentant des facteurs de risque connus – y compris un antécédent de thrombose – et des mesures doivent être prises pour essayer de réduire au minimum tous les facteurs de risque modifiables (par exemple le tabagisme, l’hypertension et l’hyperlipidémie).</w:t>
      </w:r>
    </w:p>
    <w:p w14:paraId="26E2BD26" w14:textId="77777777" w:rsidR="00C1777A" w:rsidRPr="00D2126A" w:rsidRDefault="00C1777A" w:rsidP="00C93C76">
      <w:pPr>
        <w:pStyle w:val="Date"/>
      </w:pPr>
    </w:p>
    <w:p w14:paraId="637F23A2" w14:textId="77777777" w:rsidR="00375EAB" w:rsidRPr="00D2126A" w:rsidRDefault="000E5A86" w:rsidP="00C93C76">
      <w:pPr>
        <w:keepNext/>
        <w:rPr>
          <w:i/>
          <w:color w:val="000000"/>
          <w:u w:val="single"/>
        </w:rPr>
      </w:pPr>
      <w:r>
        <w:rPr>
          <w:i/>
          <w:color w:val="000000"/>
          <w:u w:val="single"/>
        </w:rPr>
        <w:t>Événements thrombo</w:t>
      </w:r>
      <w:r>
        <w:rPr>
          <w:i/>
          <w:color w:val="000000"/>
          <w:u w:val="single"/>
        </w:rPr>
        <w:noBreakHyphen/>
        <w:t>emboliques artériels et veineux</w:t>
      </w:r>
    </w:p>
    <w:p w14:paraId="003F4D1D" w14:textId="77777777" w:rsidR="00036363" w:rsidRPr="00D2126A" w:rsidRDefault="000E5A86" w:rsidP="00C93C76">
      <w:pPr>
        <w:autoSpaceDE w:val="0"/>
        <w:autoSpaceDN w:val="0"/>
        <w:adjustRightInd w:val="0"/>
        <w:rPr>
          <w:color w:val="000000"/>
        </w:rPr>
      </w:pPr>
      <w:r>
        <w:rPr>
          <w:color w:val="000000"/>
        </w:rPr>
        <w:t>Chez les patients atteints de myélome multiple, l’utilisation concomitante du lénalidomide et de la dexaméthasone est associée à un risque accru de thrombo</w:t>
      </w:r>
      <w:r>
        <w:rPr>
          <w:color w:val="000000"/>
        </w:rPr>
        <w:noBreakHyphen/>
        <w:t>embolie veineuse (essentiellement thrombose veineuse profonde et embolie pulmonaire). Le risque de thrombo</w:t>
      </w:r>
      <w:r>
        <w:rPr>
          <w:color w:val="000000"/>
        </w:rPr>
        <w:noBreakHyphen/>
        <w:t>embolie veineuse a été observé dans une moindre mesure avec le lénalidomide en association avec le melphalan et la prednisone.</w:t>
      </w:r>
    </w:p>
    <w:p w14:paraId="163DCE3F" w14:textId="3031C42A" w:rsidR="00EA0065" w:rsidRPr="00D2126A" w:rsidRDefault="00EA0065" w:rsidP="00C93C76">
      <w:pPr>
        <w:pStyle w:val="Date"/>
        <w:rPr>
          <w:color w:val="000000"/>
        </w:rPr>
      </w:pPr>
    </w:p>
    <w:p w14:paraId="5C1E0CCB" w14:textId="67A9F495" w:rsidR="00EA0065" w:rsidRPr="00D2126A" w:rsidRDefault="000E5A86" w:rsidP="00C93C76">
      <w:pPr>
        <w:pStyle w:val="Date"/>
        <w:rPr>
          <w:color w:val="000000"/>
        </w:rPr>
      </w:pPr>
      <w:r>
        <w:rPr>
          <w:color w:val="000000"/>
        </w:rPr>
        <w:t>Chez les patients présentant un myélome multiple, un syndrome myélodysplasique ou un lymphome à cellules du manteau, le traitement par le lénalidomide en monothérapie est associé à un risque plus faible de thrombo</w:t>
      </w:r>
      <w:r>
        <w:rPr>
          <w:color w:val="000000"/>
        </w:rPr>
        <w:noBreakHyphen/>
        <w:t>embolie veineuse (essentiellement thrombose veineuse profonde et embolie pulmonaire) que chez les patients atteints d’un myélome multiple traités par le lénalidomide en association (voir rubriques 4.5 et 4.8).</w:t>
      </w:r>
    </w:p>
    <w:p w14:paraId="07DDB3A6" w14:textId="77777777" w:rsidR="00EF3593" w:rsidRPr="00D2126A" w:rsidRDefault="00EF3593" w:rsidP="00C93C76">
      <w:pPr>
        <w:autoSpaceDE w:val="0"/>
        <w:autoSpaceDN w:val="0"/>
      </w:pPr>
    </w:p>
    <w:p w14:paraId="5F4189FF" w14:textId="77777777" w:rsidR="00EF3593" w:rsidRPr="00D2126A" w:rsidRDefault="000E5A86" w:rsidP="00C93C76">
      <w:pPr>
        <w:autoSpaceDE w:val="0"/>
        <w:autoSpaceDN w:val="0"/>
      </w:pPr>
      <w:r>
        <w:t>Chez les patients atteints d’un myélome multiple, l’utilisation concomitante du lénalidomide et de la dexaméthasone est associée à un risque accru de thrombo</w:t>
      </w:r>
      <w:r>
        <w:noBreakHyphen/>
        <w:t>embolie artérielle (essentiellement infarctus du myocarde et accident vasculaire cérébral) qui a été observé dans une moindre mesure avec le lénalidomide administré en association avec le melphalan et la prednisone. Le risque de thrombo</w:t>
      </w:r>
      <w:r>
        <w:noBreakHyphen/>
        <w:t>embolie artérielle est plus faible chez les patients atteints de myélome multiple traités par le lénalidomide en monothérapie que chez les patients traités par le lénalidomide en association.</w:t>
      </w:r>
    </w:p>
    <w:p w14:paraId="7057D94B" w14:textId="77777777" w:rsidR="00375EAB" w:rsidRPr="00D2126A" w:rsidRDefault="00375EAB" w:rsidP="00C93C76">
      <w:pPr>
        <w:autoSpaceDE w:val="0"/>
        <w:autoSpaceDN w:val="0"/>
        <w:adjustRightInd w:val="0"/>
        <w:rPr>
          <w:bCs/>
          <w:color w:val="000000"/>
        </w:rPr>
      </w:pPr>
    </w:p>
    <w:p w14:paraId="75381465" w14:textId="77777777" w:rsidR="00375EAB" w:rsidRPr="00D2126A" w:rsidRDefault="000E5A86" w:rsidP="00C93C76">
      <w:pPr>
        <w:autoSpaceDE w:val="0"/>
        <w:autoSpaceDN w:val="0"/>
        <w:adjustRightInd w:val="0"/>
        <w:rPr>
          <w:bCs/>
          <w:color w:val="000000"/>
        </w:rPr>
      </w:pPr>
      <w:r>
        <w:rPr>
          <w:color w:val="000000"/>
        </w:rPr>
        <w:t>Par conséquent, une surveillance étroite s’impose chez les patients présentant des facteurs de risque connus (parmi lesquels un antécédent de thrombose). Des mesures doivent être prises pour essayer de réduire au minimum tous les facteurs de risque modifiables (par exemple le tabagisme, l’hypertension et l’hyperlipidémie). L’administration concomitante d’érythropoïétine ou des antécédents d’événements thrombo</w:t>
      </w:r>
      <w:r>
        <w:rPr>
          <w:color w:val="000000"/>
        </w:rPr>
        <w:noBreakHyphen/>
        <w:t>emboliques peuvent également augmenter les risques de thrombose veineuse chez ces patients. Par conséquent, l’érythropoïétine et les autres médicaments pouvant accroître les risques de thrombose, comme les traitements hormonaux substitutifs, doivent être utilisés avec précaution chez les patients atteints de myélome multiple traités par le lénalidomide et la dexaméthasone. Un taux d’hémoglobine supérieur à 12 g/dl doit conduire à l’arrêt de l’érythropoïétine.</w:t>
      </w:r>
    </w:p>
    <w:p w14:paraId="0373542A" w14:textId="77777777" w:rsidR="00375EAB" w:rsidRPr="00D2126A" w:rsidRDefault="00375EAB" w:rsidP="00C93C76">
      <w:pPr>
        <w:autoSpaceDE w:val="0"/>
        <w:autoSpaceDN w:val="0"/>
        <w:adjustRightInd w:val="0"/>
        <w:rPr>
          <w:bCs/>
          <w:color w:val="000000"/>
        </w:rPr>
      </w:pPr>
    </w:p>
    <w:p w14:paraId="7A709144" w14:textId="77777777" w:rsidR="00375EAB" w:rsidRPr="00D2126A" w:rsidRDefault="000E5A86" w:rsidP="00C93C76">
      <w:pPr>
        <w:autoSpaceDE w:val="0"/>
        <w:autoSpaceDN w:val="0"/>
        <w:adjustRightInd w:val="0"/>
        <w:rPr>
          <w:color w:val="000000"/>
        </w:rPr>
      </w:pPr>
      <w:r>
        <w:rPr>
          <w:color w:val="000000"/>
        </w:rPr>
        <w:t>Il est conseillé aux patients et à leurs médecins d’être attentifs aux signes et symptômes de thrombo</w:t>
      </w:r>
      <w:r>
        <w:rPr>
          <w:color w:val="000000"/>
        </w:rPr>
        <w:noBreakHyphen/>
        <w:t>embolie. Il doit être recommandé aux patients de consulter un médecin en cas de survenue de symptômes tels qu’essoufflement, douleur thoracique, gonflement des bras ou jambes. La prescription d’antithrombotiques en prophylaxie est recommandée, en particulier chez les patients présentant des facteurs de risque de thrombose supplémentaires. La décision de mettre en place des mesures prophylactiques antithrombotiques devra être prise au cas par cas en fonction des facteurs de risque sous</w:t>
      </w:r>
      <w:r>
        <w:rPr>
          <w:color w:val="000000"/>
        </w:rPr>
        <w:noBreakHyphen/>
        <w:t>jacents propres à chaque patient.</w:t>
      </w:r>
    </w:p>
    <w:p w14:paraId="4B81DEE1" w14:textId="77777777" w:rsidR="00375EAB" w:rsidRPr="00D2126A" w:rsidRDefault="00375EAB" w:rsidP="00C93C76">
      <w:pPr>
        <w:rPr>
          <w:color w:val="000000"/>
        </w:rPr>
      </w:pPr>
    </w:p>
    <w:p w14:paraId="50503D45" w14:textId="77777777" w:rsidR="00375EAB" w:rsidRPr="00D2126A" w:rsidRDefault="000E5A86" w:rsidP="00C93C76">
      <w:pPr>
        <w:rPr>
          <w:color w:val="000000"/>
        </w:rPr>
      </w:pPr>
      <w:r>
        <w:rPr>
          <w:color w:val="000000"/>
        </w:rPr>
        <w:t>En cas d’événements thrombo</w:t>
      </w:r>
      <w:r>
        <w:rPr>
          <w:color w:val="000000"/>
        </w:rPr>
        <w:noBreakHyphen/>
        <w:t>emboliques, le traitement du patient doit être interrompu et une thérapie anticoagulante standard doit être mise en œuvre. Une fois le patient stabilisé sous traitement anticoagulant et toute complication éventuelle de l’événement thrombo</w:t>
      </w:r>
      <w:r>
        <w:rPr>
          <w:color w:val="000000"/>
        </w:rPr>
        <w:noBreakHyphen/>
        <w:t>embolique écartée, le traitement par le lénalidomide peut être repris à la dose d’origine, en fonction de l’évaluation du rapport bénéfice</w:t>
      </w:r>
      <w:r>
        <w:rPr>
          <w:color w:val="000000"/>
        </w:rPr>
        <w:noBreakHyphen/>
        <w:t>risque. Le patient doit poursuivre son traitement anticoagulant pendant toute la durée du traitement par le lénalidomide.</w:t>
      </w:r>
    </w:p>
    <w:p w14:paraId="314B709C" w14:textId="77777777" w:rsidR="00455742" w:rsidRPr="00D2126A" w:rsidRDefault="00455742" w:rsidP="00C93C76">
      <w:pPr>
        <w:pStyle w:val="Date"/>
      </w:pPr>
    </w:p>
    <w:p w14:paraId="362BE3C5" w14:textId="77777777" w:rsidR="00455742" w:rsidRPr="00D2126A" w:rsidRDefault="000E5A86" w:rsidP="00C93C76">
      <w:pPr>
        <w:keepNext/>
        <w:rPr>
          <w:i/>
          <w:iCs/>
          <w:u w:val="single"/>
        </w:rPr>
      </w:pPr>
      <w:r>
        <w:rPr>
          <w:i/>
          <w:u w:val="single"/>
        </w:rPr>
        <w:t>Hypertension pulmonaire</w:t>
      </w:r>
    </w:p>
    <w:p w14:paraId="4CCDC0E7" w14:textId="77777777" w:rsidR="00455742" w:rsidRPr="00D2126A" w:rsidRDefault="000E5A86" w:rsidP="00C93C76">
      <w:pPr>
        <w:pStyle w:val="Date"/>
      </w:pPr>
      <w:r>
        <w:t>Des cas d’hypertension pulmonaire, parfois d’issue fatale, ont été rapportés chez des patients traités par le lénalidomide. Les signes et symptômes de maladie cardiopulmonaire sous</w:t>
      </w:r>
      <w:r>
        <w:noBreakHyphen/>
        <w:t>jacente doivent être évalués avant l’instauration du traitement et pendant le traitement par le lénalidomide.</w:t>
      </w:r>
    </w:p>
    <w:p w14:paraId="0C6E2A93" w14:textId="77777777" w:rsidR="00375EAB" w:rsidRPr="00D2126A" w:rsidRDefault="00375EAB" w:rsidP="00C93C76">
      <w:pPr>
        <w:rPr>
          <w:color w:val="000000"/>
        </w:rPr>
      </w:pPr>
    </w:p>
    <w:p w14:paraId="7963F5E8" w14:textId="77777777" w:rsidR="00375EAB" w:rsidRPr="00D2126A" w:rsidRDefault="000E5A86" w:rsidP="00C93C76">
      <w:pPr>
        <w:keepNext/>
        <w:rPr>
          <w:i/>
          <w:color w:val="000000"/>
          <w:szCs w:val="24"/>
          <w:u w:val="single"/>
        </w:rPr>
      </w:pPr>
      <w:r>
        <w:rPr>
          <w:i/>
          <w:color w:val="000000"/>
          <w:u w:val="single"/>
        </w:rPr>
        <w:t>Neutropénie et thrombopénie</w:t>
      </w:r>
    </w:p>
    <w:p w14:paraId="56FDC7FF" w14:textId="7A9C8D9B" w:rsidR="00036363" w:rsidRPr="00D2126A" w:rsidRDefault="000E5A86" w:rsidP="00C93C76">
      <w:pPr>
        <w:rPr>
          <w:color w:val="000000"/>
          <w:szCs w:val="24"/>
        </w:rPr>
      </w:pPr>
      <w:r>
        <w:rPr>
          <w:color w:val="000000"/>
        </w:rPr>
        <w:t>Les principales toxicités dose</w:t>
      </w:r>
      <w:r>
        <w:rPr>
          <w:color w:val="000000"/>
        </w:rPr>
        <w:noBreakHyphen/>
        <w:t>limitantes du lénalidomide sont la neutropénie et la thrombopénie. Un hémogramme complet, avec formule leucocytaire, numération plaquettaire, hémoglobine et hématocrite, doit être réalisé avant le traitement, une fois par semaine pendant les 8 premières semaines de traitement par le lénalidomide, puis une fois par mois pour surveiller l’apparition de cytopénies. Chez les patients présentant un lymphome à cellules du manteau, les contrôles doivent être réalisés toutes les deux semaines pendant les cycles 3 et 4, puis au début de chaque cycle. Chez les patients atteints d’un lymphome folliculaire, les contrôles doivent être réalisés une fois par semaine pendant les trois premières semaines du cycle 1 (28 jours), toutes les deux semaines au cours des cycles 2 à 4, puis au début de chaque cycle suivant. Une interruption du traitement et/ou une réduction de la dose peut s’avérer nécessaire (voir rubrique 4.2).</w:t>
      </w:r>
    </w:p>
    <w:p w14:paraId="1997E4A1" w14:textId="77777777" w:rsidR="002945E4" w:rsidRPr="00D2126A" w:rsidRDefault="002945E4" w:rsidP="00C93C76">
      <w:pPr>
        <w:pStyle w:val="Date"/>
      </w:pPr>
    </w:p>
    <w:p w14:paraId="3625AF4A" w14:textId="77777777" w:rsidR="00036363" w:rsidRPr="00D2126A" w:rsidRDefault="000E5A86" w:rsidP="00C93C76">
      <w:pPr>
        <w:rPr>
          <w:color w:val="000000"/>
          <w:szCs w:val="24"/>
        </w:rPr>
      </w:pPr>
      <w:r>
        <w:rPr>
          <w:color w:val="000000"/>
        </w:rPr>
        <w:t>En cas de neutropénie, le médecin devra envisager l’utilisation de facteurs de croissance. Les patients doivent être informés de la nécessité de signaler rapidement tout épisode fébrile.</w:t>
      </w:r>
    </w:p>
    <w:p w14:paraId="49AADBAC" w14:textId="77777777" w:rsidR="002945E4" w:rsidRPr="00D2126A" w:rsidRDefault="002945E4" w:rsidP="00C93C76">
      <w:pPr>
        <w:pStyle w:val="Date"/>
      </w:pPr>
    </w:p>
    <w:p w14:paraId="196DB103" w14:textId="6564A943" w:rsidR="005B5384" w:rsidRPr="00D2126A" w:rsidRDefault="000E5A86" w:rsidP="00C93C76">
      <w:pPr>
        <w:pStyle w:val="Date"/>
        <w:rPr>
          <w:color w:val="000000"/>
          <w:szCs w:val="24"/>
        </w:rPr>
      </w:pPr>
      <w:r>
        <w:rPr>
          <w:color w:val="000000"/>
        </w:rPr>
        <w:t>Il est conseillé aux patients et à leurs médecins d’être attentifs aux signes et symptômes évocateurs d’une hémorragie, y compris les pétéchies et épistaxis, notamment chez les patients recevant un traitement concomitant susceptible d’induire des saignements (voir rubrique 4.8 Troubles hémorragiques).</w:t>
      </w:r>
    </w:p>
    <w:p w14:paraId="167F34C1" w14:textId="77777777" w:rsidR="002945E4" w:rsidRPr="00D2126A" w:rsidRDefault="002945E4" w:rsidP="00C93C76"/>
    <w:p w14:paraId="202C75F7" w14:textId="77777777" w:rsidR="00FE4765" w:rsidRPr="00D2126A" w:rsidRDefault="000E5A86" w:rsidP="00C93C76">
      <w:pPr>
        <w:rPr>
          <w:color w:val="000000"/>
        </w:rPr>
      </w:pPr>
      <w:r>
        <w:rPr>
          <w:color w:val="000000"/>
        </w:rPr>
        <w:t>L’administration concomitante de lénalidomide avec d’autres myélosuppresseurs doit être entreprise avec précaution.</w:t>
      </w:r>
    </w:p>
    <w:p w14:paraId="64B64F35" w14:textId="77777777" w:rsidR="00AB7ACC" w:rsidRPr="00D2126A" w:rsidRDefault="00AB7ACC" w:rsidP="00C93C76"/>
    <w:p w14:paraId="41099339" w14:textId="77777777" w:rsidR="00EF3593" w:rsidRPr="00D2126A" w:rsidRDefault="000E5A86" w:rsidP="00C93C76">
      <w:pPr>
        <w:keepNext/>
        <w:numPr>
          <w:ilvl w:val="0"/>
          <w:numId w:val="37"/>
        </w:numPr>
        <w:ind w:left="567" w:hanging="567"/>
        <w:rPr>
          <w:u w:val="single"/>
        </w:rPr>
      </w:pPr>
      <w:r>
        <w:rPr>
          <w:u w:val="single"/>
        </w:rPr>
        <w:t>Myélome multiple non préalablement traité : patients recevant le lénalidomide en traitement d’entretien après une AGCS</w:t>
      </w:r>
    </w:p>
    <w:p w14:paraId="081FB283" w14:textId="77777777" w:rsidR="002945E4" w:rsidRPr="00D2126A" w:rsidRDefault="002945E4" w:rsidP="00C93C76">
      <w:pPr>
        <w:keepNext/>
      </w:pPr>
    </w:p>
    <w:p w14:paraId="2761CBEC" w14:textId="19A75435" w:rsidR="00EF3593" w:rsidRPr="00D2126A" w:rsidRDefault="000E5A86" w:rsidP="00C93C76">
      <w:r>
        <w:t>Les effets indésirables observés dans l’étude CALGB 100104 incluaient les événements rapportés après un traitement par melphalan à forte dose et une AGCS (MFD/AGCS), ainsi que les événements survenus au cours de la période de traitement d’entretien. Une deuxième analyse a permis d’identifier les événements survenus après le début du traitement d’entretien.</w:t>
      </w:r>
      <w:r>
        <w:rPr>
          <w:color w:val="FF0000"/>
        </w:rPr>
        <w:t xml:space="preserve"> </w:t>
      </w:r>
      <w:r>
        <w:t>Dans l’étude IFM 2005</w:t>
      </w:r>
      <w:r>
        <w:noBreakHyphen/>
        <w:t>02, les effets indésirables ne concernaient que la période de traitement d’entretien.</w:t>
      </w:r>
    </w:p>
    <w:p w14:paraId="6DD8EAE2" w14:textId="77777777" w:rsidR="00EF3593" w:rsidRPr="00D2126A" w:rsidRDefault="00EF3593" w:rsidP="00C93C76">
      <w:pPr>
        <w:pStyle w:val="Date"/>
      </w:pPr>
    </w:p>
    <w:p w14:paraId="35B7CB40" w14:textId="11418404" w:rsidR="00EF3593" w:rsidRPr="00D2126A" w:rsidRDefault="000E5A86" w:rsidP="00C93C76">
      <w:r>
        <w:t xml:space="preserve">Globalement, la fréquence des neutropénies de grade 4 a été plus élevée dans les bras lénalidomide en traitement d’entretien que dans les bras placebo en traitement d’entretien dans les 2 études évaluant le lénalidomide en traitement d’entretien chez des patients atteints d’un myélome multiple non préalablement traité ayant reçu une AGCS (32,1 % </w:t>
      </w:r>
      <w:r>
        <w:rPr>
          <w:i/>
        </w:rPr>
        <w:t>versus</w:t>
      </w:r>
      <w:r>
        <w:t xml:space="preserve"> 26,7 % [16,1 % </w:t>
      </w:r>
      <w:r>
        <w:rPr>
          <w:i/>
        </w:rPr>
        <w:t>versus</w:t>
      </w:r>
      <w:r>
        <w:t xml:space="preserve"> 1,8 % après le début du traitement d’entretien] dans l’étude CALGB 100104 et 16,4 % </w:t>
      </w:r>
      <w:r>
        <w:rPr>
          <w:i/>
        </w:rPr>
        <w:t>versus</w:t>
      </w:r>
      <w:r>
        <w:t xml:space="preserve"> 0,7 % dans l’étude IFM 2005</w:t>
      </w:r>
      <w:r>
        <w:noBreakHyphen/>
        <w:t>02). Des effets indésirables de type neutropénie apparus sous traitement entraînant l’arrêt du lénalidomide ont été rapportés chez 2,2 % des patients dans l’étude CALGB 100104 et 2,4 % des patients dans l’étude IFM 2005</w:t>
      </w:r>
      <w:r>
        <w:noBreakHyphen/>
        <w:t xml:space="preserve">02. Dans les deux études, des neutropénies fébriles de grade 4 ont été rapportées avec des fréquences similaires dans les bras lénalidomide en traitement d’entretien et placebo en traitement d’entretien (0,4 % </w:t>
      </w:r>
      <w:r>
        <w:rPr>
          <w:i/>
        </w:rPr>
        <w:t>versus</w:t>
      </w:r>
      <w:r>
        <w:t xml:space="preserve"> 0,5 % [0,4 % </w:t>
      </w:r>
      <w:r>
        <w:rPr>
          <w:i/>
        </w:rPr>
        <w:t>versus</w:t>
      </w:r>
      <w:r>
        <w:t xml:space="preserve"> 0,5 % après le début du traitement d’entretien] dans l’étude CALGB 100104 et 0,3 % </w:t>
      </w:r>
      <w:r>
        <w:rPr>
          <w:i/>
        </w:rPr>
        <w:t>versus</w:t>
      </w:r>
      <w:r>
        <w:t xml:space="preserve"> 0 % dans l’étude IFM 2005</w:t>
      </w:r>
      <w:r>
        <w:noBreakHyphen/>
        <w:t>02, respectivement). Les patients doivent être informés de la nécessité de signaler rapidement tout épisode fébrile, une interruption du traitement et/ou une réduction de la dose peuvent être nécessaires (voir rubrique 4.2).</w:t>
      </w:r>
    </w:p>
    <w:p w14:paraId="66FD267F" w14:textId="77777777" w:rsidR="00EF3593" w:rsidRPr="00D2126A" w:rsidRDefault="00EF3593" w:rsidP="00C93C76">
      <w:pPr>
        <w:pStyle w:val="Date"/>
      </w:pPr>
    </w:p>
    <w:p w14:paraId="18BAC495" w14:textId="2170C245" w:rsidR="00EF3593" w:rsidRPr="00D2126A" w:rsidRDefault="000E5A86" w:rsidP="00C93C76">
      <w:pPr>
        <w:pStyle w:val="Date"/>
      </w:pPr>
      <w:r>
        <w:t xml:space="preserve">La fréquence des thrombopénies de grades 3 et 4 a été plus élevée dans les bras lénalidomide en traitement d’entretien que dans les bras placebo dans les études évaluant le lénalidomide en traitement d’entretien chez des patients atteints d’un myélome multiple non préalablement traité ayant reçu une AGCS (37,5 % </w:t>
      </w:r>
      <w:r>
        <w:rPr>
          <w:i/>
        </w:rPr>
        <w:t>versus</w:t>
      </w:r>
      <w:r>
        <w:t xml:space="preserve"> 30,3 % [17,9 % </w:t>
      </w:r>
      <w:r>
        <w:rPr>
          <w:i/>
        </w:rPr>
        <w:t>versus</w:t>
      </w:r>
      <w:r>
        <w:t xml:space="preserve"> 4,1 % après le début du traitement d’entretien] dans l’étude CALGB 100104 et 13,0 % </w:t>
      </w:r>
      <w:r>
        <w:rPr>
          <w:i/>
        </w:rPr>
        <w:t>versus</w:t>
      </w:r>
      <w:r>
        <w:t xml:space="preserve"> 2,9 % dans l’étude IFM 2005</w:t>
      </w:r>
      <w:r>
        <w:noBreakHyphen/>
        <w:t>02, respectivement). Il est conseillé aux patients et à leurs médecins d’être attentifs aux signes et symptômes évocateurs d’un saignement, y compris les pétéchies et l’épistaxis, notamment chez les patients recevant un traitement concomitant susceptible d’induire des saignements (voir rubrique 4.8, Troubles hémorragiques).</w:t>
      </w:r>
    </w:p>
    <w:p w14:paraId="501457ED" w14:textId="77777777" w:rsidR="004C6968" w:rsidRPr="00D2126A" w:rsidRDefault="004C6968" w:rsidP="00C93C76"/>
    <w:p w14:paraId="377E0A19" w14:textId="77777777" w:rsidR="009F36C7" w:rsidRPr="00D2126A" w:rsidRDefault="000E5A86" w:rsidP="00C93C76">
      <w:pPr>
        <w:pStyle w:val="Date"/>
        <w:keepNext/>
        <w:numPr>
          <w:ilvl w:val="0"/>
          <w:numId w:val="37"/>
        </w:numPr>
        <w:ind w:left="567" w:hanging="567"/>
        <w:rPr>
          <w:u w:val="single"/>
        </w:rPr>
      </w:pPr>
      <w:r>
        <w:rPr>
          <w:u w:val="single"/>
        </w:rPr>
        <w:t>Myélome multiple non préalablement traité : patients non éligibles à une greffe traités par le lénalidomide en association avec le bortézomib et la dexaméthasone</w:t>
      </w:r>
    </w:p>
    <w:p w14:paraId="5D8C7BDD" w14:textId="77777777" w:rsidR="00DF15F2" w:rsidRPr="00D2126A" w:rsidRDefault="00DF15F2" w:rsidP="00C93C76">
      <w:pPr>
        <w:pStyle w:val="Date"/>
        <w:keepNext/>
      </w:pPr>
    </w:p>
    <w:p w14:paraId="7956233E" w14:textId="46267A58" w:rsidR="00AB7ACC" w:rsidRPr="00D2126A" w:rsidRDefault="000E5A86" w:rsidP="00C93C76">
      <w:pPr>
        <w:pStyle w:val="Date"/>
      </w:pPr>
      <w:r>
        <w:t xml:space="preserve">La fréquence des neutropénies de grade 4 a été plus faible dans le bras lénalidomide en association avec le bortézomib et la dexaméthasone (RVd) que dans le bras comparateur Rd (2,7 % </w:t>
      </w:r>
      <w:r>
        <w:rPr>
          <w:i/>
        </w:rPr>
        <w:t>versus</w:t>
      </w:r>
      <w:r>
        <w:t xml:space="preserve"> 5,9 %) de l’étude SWOG SO777. La fréquence des neutropénies fébriles de grade 4 a été comparable dans le bras RVd et dans le bras Rd (0,0 % </w:t>
      </w:r>
      <w:r>
        <w:rPr>
          <w:i/>
        </w:rPr>
        <w:t>versus</w:t>
      </w:r>
      <w:r>
        <w:t xml:space="preserve"> 0,4 %). Les patients doivent être informés de la nécessité de signaler rapidement tout épisode fébrile ; une interruption du traitement et/ou une réduction de la dose peuvent être nécessaires (voir rubrique 4.2).</w:t>
      </w:r>
    </w:p>
    <w:p w14:paraId="7892EA45" w14:textId="77777777" w:rsidR="00AB7ACC" w:rsidRPr="00D2126A" w:rsidRDefault="00AB7ACC" w:rsidP="00C93C76">
      <w:pPr>
        <w:pStyle w:val="Date"/>
      </w:pPr>
    </w:p>
    <w:p w14:paraId="373256DF" w14:textId="347F0A99" w:rsidR="00AB7ACC" w:rsidRPr="00D2126A" w:rsidRDefault="000E5A86" w:rsidP="00C93C76">
      <w:pPr>
        <w:pStyle w:val="Date"/>
      </w:pPr>
      <w:r>
        <w:t xml:space="preserve">La fréquence des thrombopénies de grade 3 ou 4 a été plus élevée dans le bras RVd que dans le bras comparateur Rd (17,2 % </w:t>
      </w:r>
      <w:r>
        <w:rPr>
          <w:i/>
        </w:rPr>
        <w:t>versus</w:t>
      </w:r>
      <w:r>
        <w:t xml:space="preserve"> 9,4 %).</w:t>
      </w:r>
    </w:p>
    <w:p w14:paraId="213B81F4" w14:textId="77777777" w:rsidR="00231E2B" w:rsidRPr="00D2126A" w:rsidRDefault="00231E2B" w:rsidP="00C93C76"/>
    <w:p w14:paraId="02F5386C" w14:textId="77777777" w:rsidR="00DC6A75" w:rsidRPr="00D2126A" w:rsidRDefault="000E5A86" w:rsidP="00C93C76">
      <w:pPr>
        <w:pStyle w:val="Date"/>
        <w:keepNext/>
        <w:numPr>
          <w:ilvl w:val="0"/>
          <w:numId w:val="37"/>
        </w:numPr>
        <w:ind w:left="567" w:hanging="567"/>
        <w:rPr>
          <w:u w:val="single"/>
        </w:rPr>
      </w:pPr>
      <w:r>
        <w:rPr>
          <w:u w:val="single"/>
        </w:rPr>
        <w:t>Myélome multiple non préalablement traité : patients non éligibles à une greffe traités par le lénalidomide en association avec la dexaméthasone à faible dose</w:t>
      </w:r>
    </w:p>
    <w:p w14:paraId="3CC46764" w14:textId="77777777" w:rsidR="00DF15F2" w:rsidRPr="00D2126A" w:rsidRDefault="00DF15F2" w:rsidP="00C93C76">
      <w:pPr>
        <w:pStyle w:val="Date"/>
        <w:keepNext/>
      </w:pPr>
    </w:p>
    <w:p w14:paraId="1482455A" w14:textId="67430F7E" w:rsidR="00DC6A75" w:rsidRPr="00D2126A" w:rsidRDefault="000E5A86" w:rsidP="00C93C76">
      <w:pPr>
        <w:pStyle w:val="Date"/>
      </w:pPr>
      <w:r>
        <w:t>La fréquence des neutropénies de grade 4 a été plus faible dans les bras lénalidomide en association avec la dexaméthasone que dans le bras comparateur (8,5 % chez les patients traités par lénalidomide/dexaméthasone dans les bras Rd [traitement continu] et Rd18 [traitement pendant 18 cycles de 4 semaines] contre 15 % dans le bras melphalan/dexaméthasone/lénalidomide, voir rubrique 4.8). La fréquence des épisodes de neutropénie fébrile de grade 4 a été similaire à celle observée dans le bras comparateur (0,6 % chez les patients traités par lénalidomide/dexaméthasone dans les bras Rd et Rd18 contre 0,7 % dans le bras melphalan/dexaméthasone/lénalidomide, voir rubrique 4.8).</w:t>
      </w:r>
    </w:p>
    <w:p w14:paraId="64AB576D" w14:textId="77777777" w:rsidR="00DC6A75" w:rsidRPr="00D2126A" w:rsidRDefault="00DC6A75" w:rsidP="00C93C76"/>
    <w:p w14:paraId="6766A053" w14:textId="77E10CBF" w:rsidR="00036363" w:rsidRPr="00D2126A" w:rsidRDefault="000E5A86" w:rsidP="00C93C76">
      <w:pPr>
        <w:rPr>
          <w:bCs/>
          <w:color w:val="000000"/>
        </w:rPr>
      </w:pPr>
      <w:r>
        <w:rPr>
          <w:color w:val="000000"/>
        </w:rPr>
        <w:t>La fréquence des thrombopénies de grade 3 ou 4 a été plus faible dans les bras Rd et Rd18 que dans le bras comparateur (8,1 % contre 11,1 % respectivement).</w:t>
      </w:r>
    </w:p>
    <w:p w14:paraId="3E5F863F" w14:textId="5EC2849F" w:rsidR="00DC6A75" w:rsidRPr="00D2126A" w:rsidRDefault="00DC6A75" w:rsidP="00C93C76">
      <w:pPr>
        <w:pStyle w:val="Date"/>
      </w:pPr>
    </w:p>
    <w:p w14:paraId="71ADEA1D" w14:textId="77777777" w:rsidR="00DC6A75" w:rsidRPr="00D2126A" w:rsidRDefault="000E5A86" w:rsidP="00C93C76">
      <w:pPr>
        <w:pStyle w:val="Date"/>
        <w:keepNext/>
        <w:numPr>
          <w:ilvl w:val="0"/>
          <w:numId w:val="37"/>
        </w:numPr>
        <w:ind w:left="567" w:hanging="567"/>
        <w:rPr>
          <w:u w:val="single"/>
        </w:rPr>
      </w:pPr>
      <w:r>
        <w:rPr>
          <w:u w:val="single"/>
        </w:rPr>
        <w:t>Myélome multiple non préalablement traité : patients non éligibles à une greffe traités par le lénalidomide en association avec le melphalan et la prednisone</w:t>
      </w:r>
    </w:p>
    <w:p w14:paraId="26929084" w14:textId="77777777" w:rsidR="00DF15F2" w:rsidRPr="00D2126A" w:rsidRDefault="00DF15F2" w:rsidP="00C93C76">
      <w:pPr>
        <w:keepNext/>
        <w:rPr>
          <w:color w:val="000000"/>
          <w:szCs w:val="24"/>
        </w:rPr>
      </w:pPr>
    </w:p>
    <w:p w14:paraId="37FB4276" w14:textId="4E00D2AE" w:rsidR="00DC6A75" w:rsidRPr="00D2126A" w:rsidRDefault="000E5A86" w:rsidP="00C93C76">
      <w:pPr>
        <w:rPr>
          <w:color w:val="000000"/>
          <w:szCs w:val="24"/>
        </w:rPr>
      </w:pPr>
      <w:r>
        <w:rPr>
          <w:color w:val="000000"/>
        </w:rPr>
        <w:t>Dans les études cliniques menées chez les patients atteints d’un myélome multiple non préalablement traité, l’association du lénalidomide avec le melphalan et la prednisone est associée à une fréquence accrue de neutropénies de grade 4 (34,1 % dans les bras melphalan, prednisone et lénalidomide suivis du lénalidomide [MPR+R] et melphalan, prednisone et lénalidomide suivis du placebo [MPR+p] contre 7,8 % dans le bras MPp+p ; voir rubrique 4.8). Des épisodes de neutropénie fébrile de grade 4 ont été observés peu fréquemment (1,7 % chez les patients traités par MPR+R/MPR+p contre 0,0 % chez les patients traités par MPp+p ; voir rubrique 4.8).</w:t>
      </w:r>
    </w:p>
    <w:p w14:paraId="3D31804F" w14:textId="77777777" w:rsidR="00DC6A75" w:rsidRPr="00D2126A" w:rsidRDefault="00DC6A75" w:rsidP="00C93C76"/>
    <w:p w14:paraId="2F142F91" w14:textId="4851B0E9" w:rsidR="00DC6A75" w:rsidRPr="00D2126A" w:rsidRDefault="000E5A86" w:rsidP="00C93C76">
      <w:pPr>
        <w:pStyle w:val="Date"/>
        <w:rPr>
          <w:color w:val="000000"/>
          <w:szCs w:val="24"/>
        </w:rPr>
      </w:pPr>
      <w:r>
        <w:rPr>
          <w:color w:val="000000"/>
        </w:rPr>
        <w:t>L’association du lénalidomide avec le melphalan et la prednisone chez les patients atteints d’un myélome multiple non préalablement traité est associée à une fréquence accrue de thrombopénies de grade 3 et 4 (40,4 % chez les patients traités par MPR+R/MPR+p contre 13,7 % chez les patients traités par MPp+p ; voir rubrique 4.8).</w:t>
      </w:r>
    </w:p>
    <w:p w14:paraId="3471917D" w14:textId="77777777" w:rsidR="00DC6A75" w:rsidRPr="00D2126A" w:rsidRDefault="00DC6A75" w:rsidP="00C93C76"/>
    <w:p w14:paraId="03E72AA7" w14:textId="77777777" w:rsidR="00FE4765" w:rsidRPr="00D2126A" w:rsidRDefault="000E5A86" w:rsidP="00C93C76">
      <w:pPr>
        <w:pStyle w:val="Date"/>
        <w:keepNext/>
        <w:numPr>
          <w:ilvl w:val="0"/>
          <w:numId w:val="32"/>
        </w:numPr>
        <w:ind w:left="567" w:hanging="567"/>
        <w:rPr>
          <w:color w:val="000000"/>
          <w:u w:val="single"/>
        </w:rPr>
      </w:pPr>
      <w:r>
        <w:rPr>
          <w:color w:val="000000"/>
          <w:u w:val="single"/>
        </w:rPr>
        <w:t>Myélome multiple : patients ayant reçu au moins un traitement antérieur</w:t>
      </w:r>
    </w:p>
    <w:p w14:paraId="3AA2522E" w14:textId="77777777" w:rsidR="00DF15F2" w:rsidRPr="00D2126A" w:rsidRDefault="00DF15F2" w:rsidP="00C93C76">
      <w:pPr>
        <w:keepNext/>
        <w:rPr>
          <w:color w:val="000000"/>
          <w:szCs w:val="24"/>
        </w:rPr>
      </w:pPr>
    </w:p>
    <w:p w14:paraId="565BEBA9" w14:textId="5FBEED4B" w:rsidR="00375EAB" w:rsidRPr="00D2126A" w:rsidRDefault="000E5A86" w:rsidP="00C93C76">
      <w:pPr>
        <w:rPr>
          <w:color w:val="000000"/>
          <w:szCs w:val="24"/>
        </w:rPr>
      </w:pPr>
      <w:r>
        <w:rPr>
          <w:color w:val="000000"/>
        </w:rPr>
        <w:t>L’association du lénalidomide et de la dexaméthasone chez les patients atteints de myélomes multiples ayant reçu au moins un traitement antérieur est associée à une incidence accrue des neutropénies de grade 4 (5,1 % des patients traités par lénalidomide/dexaméthasone contre 0,6 % des patients traités par placebo/dexaméthasone ; voir rubrique 4.8). Des épisodes neutropéniques fébriles de grade 4 ont plus rarement été observés (0,6 % des patients traités par lénalidomide/dexaméthasone contre 0,0 % des patients traités par placebo/dexaméthasone ; voir rubrique 4.8).</w:t>
      </w:r>
    </w:p>
    <w:p w14:paraId="1F6C8591" w14:textId="77777777" w:rsidR="00375EAB" w:rsidRPr="00D2126A" w:rsidRDefault="00375EAB" w:rsidP="00C93C76">
      <w:pPr>
        <w:rPr>
          <w:color w:val="000000"/>
          <w:szCs w:val="24"/>
        </w:rPr>
      </w:pPr>
    </w:p>
    <w:p w14:paraId="214CD6FB" w14:textId="77777777" w:rsidR="00375EAB" w:rsidRPr="00D2126A" w:rsidRDefault="000E5A86" w:rsidP="00C93C76">
      <w:pPr>
        <w:rPr>
          <w:color w:val="000000"/>
        </w:rPr>
      </w:pPr>
      <w:r>
        <w:rPr>
          <w:color w:val="000000"/>
        </w:rPr>
        <w:t>L’association du lénalidomide et de la dexaméthasone chez les patients atteints de myélome multiple est associée à une incidence accrue des thrombopénies de grade 3 et de grade 4 (respectivement 9,9 % et 1,4 % chez les patients traités par lénalidomide/dexaméthasone contre 2,3 % et 0,0 % chez les patients traités par placebo/dexaméthasone ; voir rubrique 4.8).</w:t>
      </w:r>
    </w:p>
    <w:p w14:paraId="1BE023B7" w14:textId="77777777" w:rsidR="00375EAB" w:rsidRPr="00D2126A" w:rsidRDefault="00375EAB" w:rsidP="00C93C76">
      <w:pPr>
        <w:rPr>
          <w:color w:val="000000"/>
          <w:szCs w:val="24"/>
        </w:rPr>
      </w:pPr>
    </w:p>
    <w:p w14:paraId="00C6F6BB" w14:textId="77777777" w:rsidR="00FE4765" w:rsidRPr="00D2126A" w:rsidRDefault="000E5A86" w:rsidP="00C93C76">
      <w:pPr>
        <w:pStyle w:val="Date"/>
        <w:keepNext/>
        <w:numPr>
          <w:ilvl w:val="0"/>
          <w:numId w:val="32"/>
        </w:numPr>
        <w:ind w:left="567" w:hanging="567"/>
        <w:rPr>
          <w:color w:val="000000"/>
          <w:u w:val="single"/>
        </w:rPr>
      </w:pPr>
      <w:r>
        <w:rPr>
          <w:color w:val="000000"/>
          <w:u w:val="single"/>
        </w:rPr>
        <w:t>Syndromes myélodysplasiques</w:t>
      </w:r>
    </w:p>
    <w:p w14:paraId="6A3CC066" w14:textId="77777777" w:rsidR="00DF15F2" w:rsidRPr="00D2126A" w:rsidRDefault="00DF15F2" w:rsidP="00C93C76">
      <w:pPr>
        <w:keepNext/>
        <w:rPr>
          <w:color w:val="000000"/>
        </w:rPr>
      </w:pPr>
    </w:p>
    <w:p w14:paraId="0BF118A6" w14:textId="61959427" w:rsidR="00036363" w:rsidRPr="00D2126A" w:rsidRDefault="000E5A86" w:rsidP="00C93C76">
      <w:pPr>
        <w:rPr>
          <w:color w:val="000000"/>
        </w:rPr>
      </w:pPr>
      <w:r>
        <w:rPr>
          <w:color w:val="000000"/>
        </w:rPr>
        <w:t>Chez les patients présentant un syndrome myélodysplasique, le traitement par le lénalidomide est associé à une fréquence accrue de neutropénie et thrombopénie de grade 3 et 4 par rapport aux patients recevant du placebo (voir rubrique 4.8).</w:t>
      </w:r>
    </w:p>
    <w:p w14:paraId="0D1095E2" w14:textId="672184D0" w:rsidR="00FE4765" w:rsidRPr="00D2126A" w:rsidRDefault="00FE4765" w:rsidP="00C93C76">
      <w:pPr>
        <w:pStyle w:val="Date"/>
        <w:rPr>
          <w:color w:val="000000"/>
        </w:rPr>
      </w:pPr>
    </w:p>
    <w:p w14:paraId="5052B7F9" w14:textId="77777777" w:rsidR="002975F5" w:rsidRPr="00D2126A" w:rsidRDefault="000E5A86" w:rsidP="00C93C76">
      <w:pPr>
        <w:pStyle w:val="Date"/>
        <w:keepNext/>
        <w:numPr>
          <w:ilvl w:val="0"/>
          <w:numId w:val="32"/>
        </w:numPr>
        <w:ind w:left="567" w:hanging="567"/>
        <w:rPr>
          <w:color w:val="000000"/>
          <w:u w:val="single"/>
        </w:rPr>
      </w:pPr>
      <w:r>
        <w:rPr>
          <w:color w:val="000000"/>
          <w:u w:val="single"/>
        </w:rPr>
        <w:t>Lymphome à cellules du manteau</w:t>
      </w:r>
    </w:p>
    <w:p w14:paraId="25B541F1" w14:textId="77777777" w:rsidR="00DF15F2" w:rsidRPr="00D2126A" w:rsidRDefault="00DF15F2" w:rsidP="00C93C76">
      <w:pPr>
        <w:pStyle w:val="Date"/>
        <w:keepNext/>
      </w:pPr>
    </w:p>
    <w:p w14:paraId="1068A021" w14:textId="0FFA78EA" w:rsidR="002975F5" w:rsidRPr="00D2126A" w:rsidRDefault="000E5A86" w:rsidP="00C93C76">
      <w:pPr>
        <w:pStyle w:val="Date"/>
      </w:pPr>
      <w:r>
        <w:t>Chez les patients présentant un lymphome à cellules du manteau, le traitement par le lénalidomide est associé à une fréquence accrue de neutropénie de grades 3 et 4 par rapport aux patients du bras contrôle (voir rubrique 4.8).</w:t>
      </w:r>
    </w:p>
    <w:p w14:paraId="18D3CF35" w14:textId="77777777" w:rsidR="00632F15" w:rsidRPr="00D2126A" w:rsidRDefault="00632F15" w:rsidP="00C93C76"/>
    <w:p w14:paraId="10C0E718" w14:textId="77777777" w:rsidR="00632F15" w:rsidRPr="00D2126A" w:rsidRDefault="000E5A86" w:rsidP="00C93C76">
      <w:pPr>
        <w:pStyle w:val="Date"/>
        <w:keepNext/>
        <w:numPr>
          <w:ilvl w:val="0"/>
          <w:numId w:val="32"/>
        </w:numPr>
        <w:ind w:left="567" w:hanging="567"/>
        <w:rPr>
          <w:color w:val="000000"/>
          <w:u w:val="single"/>
        </w:rPr>
      </w:pPr>
      <w:r>
        <w:rPr>
          <w:color w:val="000000"/>
          <w:u w:val="single"/>
        </w:rPr>
        <w:t>Lymphome folliculaire</w:t>
      </w:r>
    </w:p>
    <w:p w14:paraId="26DA8BAE" w14:textId="77777777" w:rsidR="00DF15F2" w:rsidRPr="00D2126A" w:rsidRDefault="00DF15F2" w:rsidP="00C93C76">
      <w:pPr>
        <w:keepNext/>
      </w:pPr>
    </w:p>
    <w:p w14:paraId="55B4E627" w14:textId="3228910A" w:rsidR="00036363" w:rsidRPr="00D2126A" w:rsidRDefault="000E5A86" w:rsidP="0094597D">
      <w:r>
        <w:t>L’association du lénalidomide et du rituximab chez les patients atteints de lymphome folliculaire est associée à une incidence plus élevée de neutropénies de grade 3 ou 4 par rapport aux patients du bras placebo/rituximab. Des neutropénies fébriles et des thrombopénies de grade 3 ou 4 ont été observées plus fréquemment dans le bras lénalidomide/rituximab (voir rubrique 4.8).</w:t>
      </w:r>
    </w:p>
    <w:p w14:paraId="466AC949" w14:textId="3B4B6029" w:rsidR="00DC6A75" w:rsidRPr="00D2126A" w:rsidRDefault="00DC6A75" w:rsidP="00C93C76">
      <w:pPr>
        <w:pStyle w:val="Date"/>
      </w:pPr>
    </w:p>
    <w:p w14:paraId="09B8C3D3" w14:textId="77777777" w:rsidR="00375EAB" w:rsidRPr="00D2126A" w:rsidRDefault="000E5A86" w:rsidP="00CA5528">
      <w:pPr>
        <w:pStyle w:val="Style21"/>
      </w:pPr>
      <w:r>
        <w:t>Affections thyroïdiennes</w:t>
      </w:r>
    </w:p>
    <w:p w14:paraId="103D2203" w14:textId="77777777" w:rsidR="00375EAB" w:rsidRPr="00D2126A" w:rsidRDefault="000E5A86" w:rsidP="00C93C76">
      <w:pPr>
        <w:rPr>
          <w:color w:val="000000"/>
          <w:szCs w:val="24"/>
        </w:rPr>
      </w:pPr>
      <w:r>
        <w:rPr>
          <w:color w:val="000000"/>
        </w:rPr>
        <w:t>Des cas d’hypothyroïdie et des cas d’hyperthyroïdie ont été rapportés. Un contrôle optimal des comorbidités influençant la fonction thyroïdienne est recommandé avant l’instauration du traitement. Un contrôle de la fonction thyroïdienne est recommandé avant le début du traitement et régulièrement ensuite.</w:t>
      </w:r>
    </w:p>
    <w:p w14:paraId="144E94F3" w14:textId="77777777" w:rsidR="00375EAB" w:rsidRPr="00D2126A" w:rsidRDefault="00375EAB" w:rsidP="00C93C76">
      <w:pPr>
        <w:rPr>
          <w:color w:val="000000"/>
          <w:szCs w:val="24"/>
        </w:rPr>
      </w:pPr>
    </w:p>
    <w:p w14:paraId="25B4E92C" w14:textId="77777777" w:rsidR="00375EAB" w:rsidRPr="00D2126A" w:rsidRDefault="000E5A86" w:rsidP="00C93C76">
      <w:pPr>
        <w:keepNext/>
        <w:rPr>
          <w:i/>
          <w:color w:val="000000"/>
          <w:szCs w:val="24"/>
          <w:u w:val="single"/>
        </w:rPr>
      </w:pPr>
      <w:r>
        <w:rPr>
          <w:i/>
          <w:color w:val="000000"/>
          <w:u w:val="single"/>
        </w:rPr>
        <w:t>Neuropathie périphérique</w:t>
      </w:r>
    </w:p>
    <w:p w14:paraId="28C72DA9" w14:textId="77777777" w:rsidR="00036363" w:rsidRPr="00D2126A" w:rsidRDefault="000E5A86" w:rsidP="00C93C76">
      <w:pPr>
        <w:rPr>
          <w:color w:val="000000"/>
          <w:szCs w:val="24"/>
        </w:rPr>
      </w:pPr>
      <w:r>
        <w:rPr>
          <w:color w:val="000000"/>
        </w:rPr>
        <w:t>Le lénalidomide est structurellement proche du thalidomide, qui est connu pour entraîner des neuropathies périphériques sévères.</w:t>
      </w:r>
    </w:p>
    <w:p w14:paraId="54BF3D95" w14:textId="17EE372B" w:rsidR="00AB7ACC" w:rsidRPr="00D2126A" w:rsidRDefault="000E5A86" w:rsidP="00C93C76">
      <w:r>
        <w:t>Il n’a pas été observé d’augmentation de la fréquence des neuropathies périphériques lors de l’administration de lénalidomide en association avec la dexaméthasone ou avec le melphalan et la prednisone, en monothérapie ou lors de l’administration au long cours de lénalidomide dans le traitement du myélome multiple non préalablement traité.</w:t>
      </w:r>
    </w:p>
    <w:p w14:paraId="47AA7072" w14:textId="77777777" w:rsidR="00AB7ACC" w:rsidRPr="00D2126A" w:rsidRDefault="00AB7ACC" w:rsidP="00C93C76"/>
    <w:p w14:paraId="70A88DCB" w14:textId="59DB2EF8" w:rsidR="00AB7ACC" w:rsidRPr="00D2126A" w:rsidRDefault="000E5A86" w:rsidP="00C93C76">
      <w:r>
        <w:t>Une fréquence plus élevée de neuropathies périphériques est observée avec l’association de lénalidomide et de bortézomib intraveineux et dexaméthasone chez les patients présentant un myélome multiple. La fréquence était plus faible lorsque le bortézomib était administré par voie sous</w:t>
      </w:r>
      <w:r>
        <w:noBreakHyphen/>
        <w:t>cutanée. Pour des informations supplémentaires, voir la rubrique 4.8 et le Résumé des Caractéristiques du Produit du bortézomib.</w:t>
      </w:r>
    </w:p>
    <w:p w14:paraId="0D54906C" w14:textId="77777777" w:rsidR="00375EAB" w:rsidRPr="00D2126A" w:rsidRDefault="00375EAB" w:rsidP="00C93C76">
      <w:pPr>
        <w:rPr>
          <w:color w:val="000000"/>
          <w:szCs w:val="24"/>
        </w:rPr>
      </w:pPr>
    </w:p>
    <w:p w14:paraId="00353377" w14:textId="77777777" w:rsidR="002975F5" w:rsidRPr="00D2126A" w:rsidRDefault="000E5A86" w:rsidP="00DF154F">
      <w:pPr>
        <w:keepNext/>
        <w:rPr>
          <w:i/>
          <w:color w:val="000000"/>
          <w:szCs w:val="24"/>
          <w:u w:val="single"/>
        </w:rPr>
      </w:pPr>
      <w:r>
        <w:rPr>
          <w:i/>
          <w:color w:val="000000"/>
          <w:u w:val="single"/>
        </w:rPr>
        <w:t>Réaction de poussée tumorale et syndrome de lyse tumorale</w:t>
      </w:r>
    </w:p>
    <w:p w14:paraId="14040080" w14:textId="27190042" w:rsidR="00FD5B1E" w:rsidRPr="00D2126A" w:rsidRDefault="000E5A86" w:rsidP="003A29FE">
      <w:pPr>
        <w:keepNext/>
        <w:rPr>
          <w:color w:val="000000"/>
        </w:rPr>
      </w:pPr>
      <w:r>
        <w:rPr>
          <w:color w:val="000000"/>
        </w:rPr>
        <w:t>Le lénalidomide ayant une activité antinéoplasique, des complications de type syndrome de lyse tumorale (SLT) peuvent survenir. Des cas de SLT et de réaction de poussée tumorale (RPT), parfois d’issue fatale, ont été rapportés (voir rubrique 4.8). Les patients présentant des risques de SLT et de RPT sont ceux qui ont une charge tumorale élevée avant le traitement. Le traitement par le lénalidomide doit être instauré avec prudence chez ces patients. Ils doivent faire l’objet d’une surveillance étroite, en particulier pendant le premier cycle ou après une augmentation de la dose, et les précautions appropriées doivent être prises.</w:t>
      </w:r>
    </w:p>
    <w:p w14:paraId="7893DEAD" w14:textId="77777777" w:rsidR="00FD5B1E" w:rsidRPr="00D2126A" w:rsidRDefault="00FD5B1E" w:rsidP="00C93C76">
      <w:pPr>
        <w:pStyle w:val="Date"/>
      </w:pPr>
    </w:p>
    <w:p w14:paraId="5BD2998C" w14:textId="77777777" w:rsidR="000A2EFC" w:rsidRPr="00D2126A" w:rsidRDefault="000E5A86" w:rsidP="00C93C76">
      <w:pPr>
        <w:pStyle w:val="Date"/>
        <w:keepNext/>
        <w:numPr>
          <w:ilvl w:val="0"/>
          <w:numId w:val="32"/>
        </w:numPr>
        <w:ind w:left="567" w:hanging="567"/>
        <w:rPr>
          <w:color w:val="000000"/>
          <w:u w:val="single"/>
        </w:rPr>
      </w:pPr>
      <w:r>
        <w:rPr>
          <w:color w:val="000000"/>
          <w:u w:val="single"/>
        </w:rPr>
        <w:t>Lymphome à cellules du manteau</w:t>
      </w:r>
    </w:p>
    <w:p w14:paraId="4E01871E" w14:textId="77777777" w:rsidR="00DF15F2" w:rsidRPr="00D2126A" w:rsidRDefault="00DF15F2" w:rsidP="00C93C76">
      <w:pPr>
        <w:keepNext/>
      </w:pPr>
    </w:p>
    <w:p w14:paraId="39598845" w14:textId="4F5A9D50" w:rsidR="000A2EFC" w:rsidRPr="00D2126A" w:rsidRDefault="000E5A86" w:rsidP="00C93C76">
      <w:pPr>
        <w:keepNext/>
      </w:pPr>
      <w:r>
        <w:t>Une surveillance étroite et une évaluation du patient afin de détecter une RPT sont recommandées. Les patients ayant un score MIPI (</w:t>
      </w:r>
      <w:r>
        <w:rPr>
          <w:i/>
        </w:rPr>
        <w:t>Mantle Cell International Prognostic Index</w:t>
      </w:r>
      <w:r>
        <w:t>) élevé lors du diagnostic ou une charge tumorale élevée (au moins une lésion mesurant ≥ 7 cm dans le plus grand diamètre) avant l’initiation du traitement peuvent présenter un risque de RPT. La réaction de poussée tumorale peut simuler une progression de la maladie (MP – maladie en progression). Dans les études MCL</w:t>
      </w:r>
      <w:r>
        <w:noBreakHyphen/>
        <w:t>002 et MCL</w:t>
      </w:r>
      <w:r>
        <w:noBreakHyphen/>
        <w:t>001, les patients qui présentaient une RPT de grade 1 ou 2 recevaient un traitement symptomatique de la RPT par des corticoïdes, des anti</w:t>
      </w:r>
      <w:r>
        <w:noBreakHyphen/>
        <w:t>inflammatoires non stéroïdiens (AINS) et/ou des analgésiques opioïdes. La décision d’instaurer des mesures thérapeutiques pour la RPT doit être prise après une évaluation clinique attentive de chaque patient (voir rubriques 4.2 et 4.8).</w:t>
      </w:r>
    </w:p>
    <w:p w14:paraId="3ACD94EF" w14:textId="77777777" w:rsidR="000A2EFC" w:rsidRPr="00D2126A" w:rsidRDefault="000A2EFC" w:rsidP="00C93C76"/>
    <w:p w14:paraId="444F13B6" w14:textId="77777777" w:rsidR="00036363" w:rsidRPr="00D2126A" w:rsidRDefault="000E5A86" w:rsidP="00C93C76">
      <w:pPr>
        <w:pStyle w:val="Date"/>
        <w:keepNext/>
        <w:numPr>
          <w:ilvl w:val="0"/>
          <w:numId w:val="32"/>
        </w:numPr>
        <w:ind w:left="567" w:hanging="567"/>
        <w:rPr>
          <w:color w:val="000000"/>
          <w:u w:val="single"/>
        </w:rPr>
      </w:pPr>
      <w:r>
        <w:rPr>
          <w:color w:val="000000"/>
          <w:u w:val="single"/>
        </w:rPr>
        <w:t>Lymphome folliculaire</w:t>
      </w:r>
    </w:p>
    <w:p w14:paraId="1FB13550" w14:textId="77777777" w:rsidR="00DF15F2" w:rsidRPr="00D2126A" w:rsidRDefault="00DF15F2" w:rsidP="00C93C76">
      <w:pPr>
        <w:keepNext/>
        <w:autoSpaceDE w:val="0"/>
        <w:autoSpaceDN w:val="0"/>
        <w:adjustRightInd w:val="0"/>
        <w:rPr>
          <w:rFonts w:eastAsia="Yu Gothic"/>
        </w:rPr>
      </w:pPr>
    </w:p>
    <w:p w14:paraId="13A8F6D4" w14:textId="1A9382B7" w:rsidR="000A2EFC" w:rsidRPr="00D2126A" w:rsidRDefault="000E5A86" w:rsidP="00C93C76">
      <w:pPr>
        <w:keepNext/>
        <w:autoSpaceDE w:val="0"/>
        <w:autoSpaceDN w:val="0"/>
        <w:adjustRightInd w:val="0"/>
        <w:rPr>
          <w:rFonts w:eastAsia="Yu Gothic"/>
        </w:rPr>
      </w:pPr>
      <w:r>
        <w:t>Une surveillance étroite et une évaluation du patient afin de détecter une RPT sont recommandées. La réaction de poussée tumorale peut simuler une progression de la maladie. Les patients qui présentaient une RPT de grade 1 ou 2 recevaient un traitement symptomatique de la RPT par des corticoïdes, des AINS et/ou des analgésiques opioïdes. La décision d’instaurer des mesures thérapeutiques pour la RPT doit être prise après une évaluation clinique attentive de chaque patient (voir rubriques 4.2 et 4.8).</w:t>
      </w:r>
    </w:p>
    <w:p w14:paraId="5411DD62" w14:textId="77777777" w:rsidR="000A2EFC" w:rsidRPr="00D2126A" w:rsidRDefault="000A2EFC" w:rsidP="00C93C76">
      <w:pPr>
        <w:autoSpaceDE w:val="0"/>
        <w:autoSpaceDN w:val="0"/>
        <w:adjustRightInd w:val="0"/>
        <w:ind w:left="40" w:right="-20"/>
        <w:rPr>
          <w:rFonts w:eastAsia="Yu Gothic"/>
        </w:rPr>
      </w:pPr>
    </w:p>
    <w:p w14:paraId="4C66E58C" w14:textId="79217CEF" w:rsidR="000A2EFC" w:rsidRPr="00D2126A" w:rsidRDefault="000E5A86" w:rsidP="00C93C76">
      <w:pPr>
        <w:pStyle w:val="Date"/>
        <w:rPr>
          <w:rFonts w:eastAsia="Yu Gothic"/>
        </w:rPr>
      </w:pPr>
      <w:r>
        <w:t>Une surveillance étroite et une évaluation du patient afin de détecter un SLT sont recommandées. Les patients doivent être correctement hydratés et doivent recevoir une prophylaxie du SLT en plus du bilan biochimique hebdomadaire pendant le premier cycle ou plus longtemps, en fonction du tableau clinique (voir rubriques 4.2 et 4.8).</w:t>
      </w:r>
    </w:p>
    <w:p w14:paraId="228109BF" w14:textId="77777777" w:rsidR="000A2EFC" w:rsidRPr="00D2126A" w:rsidRDefault="000A2EFC" w:rsidP="00C93C76"/>
    <w:p w14:paraId="202D97A4" w14:textId="77777777" w:rsidR="00036363" w:rsidRPr="00D2126A" w:rsidRDefault="000E5A86" w:rsidP="00C93C76">
      <w:pPr>
        <w:pStyle w:val="Default"/>
        <w:keepNext/>
        <w:rPr>
          <w:i/>
          <w:iCs/>
          <w:color w:val="auto"/>
          <w:sz w:val="22"/>
          <w:szCs w:val="22"/>
          <w:u w:val="single"/>
        </w:rPr>
      </w:pPr>
      <w:r>
        <w:rPr>
          <w:i/>
          <w:color w:val="auto"/>
          <w:sz w:val="22"/>
          <w:u w:val="single"/>
        </w:rPr>
        <w:t>Charge tumorale</w:t>
      </w:r>
    </w:p>
    <w:p w14:paraId="30BE8384" w14:textId="28B418F1" w:rsidR="002975F5" w:rsidRPr="00D2126A" w:rsidRDefault="000E5A86" w:rsidP="00C93C76">
      <w:pPr>
        <w:pStyle w:val="Date"/>
        <w:keepNext/>
        <w:numPr>
          <w:ilvl w:val="0"/>
          <w:numId w:val="32"/>
        </w:numPr>
        <w:ind w:left="567" w:hanging="567"/>
        <w:rPr>
          <w:iCs/>
          <w:u w:val="single"/>
        </w:rPr>
      </w:pPr>
      <w:r>
        <w:rPr>
          <w:u w:val="single"/>
        </w:rPr>
        <w:t>Lymphome à cellules du manteau</w:t>
      </w:r>
    </w:p>
    <w:p w14:paraId="60D2F1E7" w14:textId="77777777" w:rsidR="00DF15F2" w:rsidRPr="00D2126A" w:rsidRDefault="00DF15F2" w:rsidP="00C93C76">
      <w:pPr>
        <w:pStyle w:val="CommentText"/>
        <w:keepNext/>
        <w:jc w:val="both"/>
        <w:rPr>
          <w:sz w:val="22"/>
        </w:rPr>
      </w:pPr>
    </w:p>
    <w:p w14:paraId="169AF70D" w14:textId="6C57011F" w:rsidR="00036363" w:rsidRPr="00D2126A" w:rsidRDefault="000E5A86" w:rsidP="00753D3F">
      <w:pPr>
        <w:pStyle w:val="CommentText"/>
        <w:rPr>
          <w:sz w:val="22"/>
        </w:rPr>
      </w:pPr>
      <w:r>
        <w:rPr>
          <w:sz w:val="22"/>
        </w:rPr>
        <w:t>Le lénalidomide n’est pas recommandé dans le traitement des patients ayant une charge tumorale élevée si d’autres options thérapeutiques sont disponibles.</w:t>
      </w:r>
    </w:p>
    <w:p w14:paraId="72C268C2" w14:textId="101F2A00" w:rsidR="002975F5" w:rsidRPr="00D2126A" w:rsidRDefault="002975F5" w:rsidP="00C93C76">
      <w:pPr>
        <w:pStyle w:val="CommentText"/>
        <w:jc w:val="both"/>
        <w:rPr>
          <w:sz w:val="22"/>
        </w:rPr>
      </w:pPr>
    </w:p>
    <w:p w14:paraId="2739CCAB" w14:textId="77777777" w:rsidR="002975F5" w:rsidRPr="00D2126A" w:rsidRDefault="000E5A86" w:rsidP="00C93C76">
      <w:pPr>
        <w:pStyle w:val="CommentText"/>
        <w:keepNext/>
        <w:jc w:val="both"/>
        <w:rPr>
          <w:i/>
          <w:sz w:val="22"/>
        </w:rPr>
      </w:pPr>
      <w:r>
        <w:rPr>
          <w:i/>
          <w:sz w:val="22"/>
        </w:rPr>
        <w:t>Décès prématurés</w:t>
      </w:r>
    </w:p>
    <w:p w14:paraId="10870B5F" w14:textId="0E9BAA98" w:rsidR="00036363" w:rsidRPr="00D2126A" w:rsidRDefault="000E5A86" w:rsidP="00C93C76">
      <w:pPr>
        <w:autoSpaceDE w:val="0"/>
        <w:autoSpaceDN w:val="0"/>
      </w:pPr>
      <w:r>
        <w:t>Dans l’étude MCL</w:t>
      </w:r>
      <w:r>
        <w:noBreakHyphen/>
        <w:t>002, il a été observé globalement une augmentation apparente des décès prématurés (au cours des 20 premières semaines). Les patients ayant une charge tumorale élevée avant l’initiation du traitement présentent un risque accru de décès prématuré : des décès prématurés ont été rapportés chez 16/81 patients (20 %) du bras lénalidomide et 2/28 patients (7 %) du bras contrôle. Les chiffres correspondants sur 52 semaines étaient de 32/81 patients (40 %) et 6/28 patients (21 %) (voir rubrique 5.1).</w:t>
      </w:r>
    </w:p>
    <w:p w14:paraId="59165BF0" w14:textId="52047847" w:rsidR="002975F5" w:rsidRPr="00D2126A" w:rsidRDefault="002975F5" w:rsidP="00C93C76">
      <w:pPr>
        <w:pStyle w:val="Date"/>
      </w:pPr>
    </w:p>
    <w:p w14:paraId="49D1DB3B" w14:textId="77777777" w:rsidR="002975F5" w:rsidRPr="00D2126A" w:rsidRDefault="000E5A86" w:rsidP="00C93C76">
      <w:pPr>
        <w:keepNext/>
        <w:autoSpaceDE w:val="0"/>
        <w:autoSpaceDN w:val="0"/>
        <w:rPr>
          <w:i/>
        </w:rPr>
      </w:pPr>
      <w:r>
        <w:rPr>
          <w:i/>
        </w:rPr>
        <w:t>Événements indésirables</w:t>
      </w:r>
    </w:p>
    <w:p w14:paraId="550C780C" w14:textId="5235815A" w:rsidR="00036363" w:rsidRPr="00D2126A" w:rsidRDefault="000E5A86" w:rsidP="00C93C76">
      <w:pPr>
        <w:autoSpaceDE w:val="0"/>
        <w:autoSpaceDN w:val="0"/>
      </w:pPr>
      <w:r>
        <w:t>Dans l’étude MCL</w:t>
      </w:r>
      <w:r>
        <w:noBreakHyphen/>
        <w:t xml:space="preserve">002, pendant le premier cycle de traitement, le traitement a été arrêté chez 11/81 patients (14 %) ayant une charge tumorale élevée du bras lénalidomide </w:t>
      </w:r>
      <w:r>
        <w:rPr>
          <w:i/>
        </w:rPr>
        <w:t>versus</w:t>
      </w:r>
      <w:r>
        <w:t xml:space="preserve"> 1/28 patients (4 %) du bras contrôle. La survenue d’événements indésirables était la principale raison d’arrêt du traitement pendant le cycle 1 chez les patients ayant une charge tumorale élevée (7/11, 64 %).</w:t>
      </w:r>
    </w:p>
    <w:p w14:paraId="4715B979" w14:textId="77777777" w:rsidR="00F2178A" w:rsidRPr="00D2126A" w:rsidRDefault="00F2178A" w:rsidP="00F2178A">
      <w:pPr>
        <w:pStyle w:val="Date"/>
      </w:pPr>
    </w:p>
    <w:p w14:paraId="74A1245D" w14:textId="2D3D80E6" w:rsidR="002975F5" w:rsidRPr="00D2126A" w:rsidRDefault="000E5A86" w:rsidP="00C93C76">
      <w:pPr>
        <w:autoSpaceDE w:val="0"/>
        <w:autoSpaceDN w:val="0"/>
      </w:pPr>
      <w:r>
        <w:t>Les patients ayant une charge tumorale élevée doivent donc être surveillés étroitement pour détecter l’apparition d’effets indésirables (voir rubrique 4.8), y compris des signes de réaction de poussée tumorale (RPT). Se reporter à la rubrique 4.2 pour les ajustements de la posologie en cas de RPT.</w:t>
      </w:r>
    </w:p>
    <w:p w14:paraId="454A0A24" w14:textId="77777777" w:rsidR="00F2178A" w:rsidRPr="00D2126A" w:rsidRDefault="00F2178A" w:rsidP="00F2178A">
      <w:pPr>
        <w:pStyle w:val="Date"/>
      </w:pPr>
    </w:p>
    <w:p w14:paraId="217DE468" w14:textId="68AF015F" w:rsidR="00036363" w:rsidRPr="00D2126A" w:rsidRDefault="000E5A86" w:rsidP="00C93C76">
      <w:pPr>
        <w:autoSpaceDE w:val="0"/>
        <w:autoSpaceDN w:val="0"/>
      </w:pPr>
      <w:r>
        <w:t>Une charge tumorale élevée était définie comme la présence d’au moins une lésion mesurant ≥ 5 cm de diamètre ou d’au moins 3 lésions mesurant ≥ 3 cm.</w:t>
      </w:r>
    </w:p>
    <w:p w14:paraId="59F92DCC" w14:textId="5A664BFC" w:rsidR="002975F5" w:rsidRPr="00D2126A" w:rsidRDefault="002975F5" w:rsidP="00C93C76">
      <w:pPr>
        <w:pStyle w:val="Date"/>
      </w:pPr>
    </w:p>
    <w:p w14:paraId="475EC579" w14:textId="77777777" w:rsidR="00375EAB" w:rsidRPr="00D2126A" w:rsidRDefault="000E5A86" w:rsidP="00C93C76">
      <w:pPr>
        <w:pStyle w:val="Date"/>
        <w:keepNext/>
        <w:rPr>
          <w:i/>
          <w:color w:val="000000"/>
          <w:u w:val="single"/>
        </w:rPr>
      </w:pPr>
      <w:r>
        <w:rPr>
          <w:i/>
          <w:color w:val="000000"/>
          <w:u w:val="single"/>
        </w:rPr>
        <w:t>Réactions allergiques et réactions cutanées sévères</w:t>
      </w:r>
    </w:p>
    <w:p w14:paraId="19CA8F0C" w14:textId="1FC9D94E" w:rsidR="00375EAB" w:rsidRPr="00D2126A" w:rsidRDefault="000E5A86" w:rsidP="000C6A57">
      <w:r>
        <w:t>Des cas de réactions allergiques, y compris d’angio</w:t>
      </w:r>
      <w:r>
        <w:noBreakHyphen/>
        <w:t>œdème et de réaction anaphylactique, et de réactions cutanées sévères comme le syndrome de Stevens</w:t>
      </w:r>
      <w:r>
        <w:noBreakHyphen/>
        <w:t>Johnson (SJS), la nécrolyse épidermique toxique (NET) et la réaction médicamenteuse accompagnée d’une éosinophilie et de symptômes systémiques (syndrome DRESS), ont été rapportés chez des patients traités par le lénalidomide (voir rubrique 4.8). Les patients doivent être informés des signes et symptômes de ces réactions par leur médecin et avertis de la nécessité de consulter immédiatement un médecin s’ils présentent ces symptômes. Le traitement par le lénalidomide doit être arrêté en cas d’angio</w:t>
      </w:r>
      <w:r>
        <w:noBreakHyphen/>
        <w:t>œdème, de réaction anaphylactique, d’éruption exfoliatrice ou bulleuse ou en cas de suspicion de SJS, de NET ou de syndrome DRESS et ne doit pas être repris après la résolution de ces réactions. En cas d’autres formes de réaction cutanée, une interruption ou l’arrêt du traitement par le lénalidomide en fonction de la sévérité de la réaction doivent être envisagés. Les patients ayant présenté des réactions allergiques pendant un traitement antérieur par le thalidomide doivent être surveillés étroitement car la possibilité d’une réaction croisée entre le lénalidomide et le thalidomide a été rapportée dans la littérature. Les patients ayant des antécédents d’éruption sévère associée au traitement par le thalidomide ne doivent pas recevoir le lénalidomide.</w:t>
      </w:r>
    </w:p>
    <w:p w14:paraId="0ADE7BE8" w14:textId="77777777" w:rsidR="00375EAB" w:rsidRPr="00D2126A" w:rsidRDefault="00375EAB" w:rsidP="00C93C76">
      <w:pPr>
        <w:rPr>
          <w:color w:val="000000"/>
        </w:rPr>
      </w:pPr>
    </w:p>
    <w:p w14:paraId="14441DC5" w14:textId="77777777" w:rsidR="00375EAB" w:rsidRPr="00D2126A" w:rsidRDefault="000E5A86" w:rsidP="00C93C76">
      <w:pPr>
        <w:keepNext/>
        <w:rPr>
          <w:i/>
          <w:color w:val="000000"/>
          <w:szCs w:val="24"/>
          <w:u w:val="single"/>
        </w:rPr>
      </w:pPr>
      <w:r>
        <w:rPr>
          <w:i/>
          <w:color w:val="000000"/>
          <w:u w:val="single"/>
        </w:rPr>
        <w:t>Intolérance au lactose</w:t>
      </w:r>
    </w:p>
    <w:p w14:paraId="1436C1AC" w14:textId="77777777" w:rsidR="00375EAB" w:rsidRPr="00D2126A" w:rsidRDefault="000E5A86" w:rsidP="00C93C76">
      <w:pPr>
        <w:rPr>
          <w:color w:val="000000"/>
          <w:szCs w:val="24"/>
        </w:rPr>
      </w:pPr>
      <w:r>
        <w:rPr>
          <w:color w:val="000000"/>
        </w:rPr>
        <w:t>Les gélules de Revlimid contiennent du lactose. Ce médicament est contre</w:t>
      </w:r>
      <w:r>
        <w:rPr>
          <w:color w:val="000000"/>
        </w:rPr>
        <w:noBreakHyphen/>
        <w:t>indiqué chez les patients présentant une intolérance au galactose, un déficit en lactase de Lapp ou un syndrome de malabsorption du glucose et du galactose.</w:t>
      </w:r>
    </w:p>
    <w:p w14:paraId="13B09251" w14:textId="77777777" w:rsidR="00375EAB" w:rsidRPr="00D2126A" w:rsidRDefault="00375EAB" w:rsidP="00C93C76">
      <w:pPr>
        <w:rPr>
          <w:i/>
          <w:color w:val="000000"/>
        </w:rPr>
      </w:pPr>
    </w:p>
    <w:p w14:paraId="77E9F50E" w14:textId="77777777" w:rsidR="00375EAB" w:rsidRPr="00D2126A" w:rsidRDefault="000E5A86" w:rsidP="00C93C76">
      <w:pPr>
        <w:keepNext/>
        <w:rPr>
          <w:i/>
          <w:color w:val="000000"/>
          <w:u w:val="single"/>
        </w:rPr>
      </w:pPr>
      <w:r>
        <w:rPr>
          <w:i/>
          <w:color w:val="000000"/>
          <w:u w:val="single"/>
        </w:rPr>
        <w:t>Cancers secondaires au traitement</w:t>
      </w:r>
    </w:p>
    <w:p w14:paraId="656B0CCD" w14:textId="12B5E6B6" w:rsidR="00375EAB" w:rsidRPr="00D2126A" w:rsidRDefault="000E5A86" w:rsidP="00C93C76">
      <w:pPr>
        <w:rPr>
          <w:iCs/>
          <w:color w:val="000000"/>
        </w:rPr>
      </w:pPr>
      <w:r>
        <w:rPr>
          <w:color w:val="000000"/>
        </w:rPr>
        <w:t>Dans les études cliniques menées chez des patients recevant l’association lénalidomide/dexaméthasone et ayant déjà reçu un traitement pour leur myélome, une augmentation de l’incidence de cancers secondaires (CS) a été observée chez les patients sous lénalidomide/dexaméthasone (3,98 pour 100 patients</w:t>
      </w:r>
      <w:r>
        <w:rPr>
          <w:color w:val="000000"/>
        </w:rPr>
        <w:noBreakHyphen/>
        <w:t>années) par rapport aux témoins (1,38 pour 100 patients</w:t>
      </w:r>
      <w:r>
        <w:rPr>
          <w:color w:val="000000"/>
        </w:rPr>
        <w:noBreakHyphen/>
        <w:t>années). Les CS non invasifs sont essentiellement des épithéliomas basocellulaire ou spinocellulaire. La majorité des CS invasifs étaient des tumeurs solides.</w:t>
      </w:r>
    </w:p>
    <w:p w14:paraId="56D6F1E8" w14:textId="77777777" w:rsidR="00375EAB" w:rsidRPr="00D2126A" w:rsidRDefault="00375EAB" w:rsidP="00C93C76">
      <w:pPr>
        <w:pStyle w:val="Date"/>
        <w:rPr>
          <w:color w:val="000000"/>
        </w:rPr>
      </w:pPr>
    </w:p>
    <w:p w14:paraId="01A6EFE9" w14:textId="7E3FFE19" w:rsidR="00036363" w:rsidRPr="00D2126A" w:rsidRDefault="000E5A86" w:rsidP="00C93C76">
      <w:pPr>
        <w:rPr>
          <w:color w:val="000000"/>
        </w:rPr>
      </w:pPr>
      <w:r>
        <w:rPr>
          <w:color w:val="000000"/>
        </w:rPr>
        <w:t>Dans les études cliniques menées chez des patients présentant un myélome multiple non préalablement traité non éligibles à une greffe, une incidence 4,9 fois plus élevée de CS hématologiques (cas de LAM et SMD) a été observée chez les patients recevant le lénalidomide en association avec le melphalan et la prednisone (9 cycles) suivi du lénalidomide jusqu’à la progression de la maladie (1,75 pour 100 patients</w:t>
      </w:r>
      <w:r>
        <w:rPr>
          <w:color w:val="000000"/>
        </w:rPr>
        <w:noBreakHyphen/>
        <w:t>années) par rapport aux patients recevant le melphalan en association avec la prednisone (0,36 pour 100 patients</w:t>
      </w:r>
      <w:r>
        <w:rPr>
          <w:color w:val="000000"/>
        </w:rPr>
        <w:noBreakHyphen/>
        <w:t>années).</w:t>
      </w:r>
    </w:p>
    <w:p w14:paraId="3D6A9470" w14:textId="75B025CC" w:rsidR="000A3D78" w:rsidRPr="00D2126A" w:rsidRDefault="000A3D78" w:rsidP="00C93C76">
      <w:pPr>
        <w:rPr>
          <w:color w:val="000000"/>
        </w:rPr>
      </w:pPr>
    </w:p>
    <w:p w14:paraId="66DB1501" w14:textId="0B109824" w:rsidR="00036363" w:rsidRPr="00D2126A" w:rsidRDefault="000E5A86" w:rsidP="00C93C76">
      <w:pPr>
        <w:rPr>
          <w:color w:val="000000"/>
        </w:rPr>
      </w:pPr>
      <w:r>
        <w:rPr>
          <w:color w:val="000000"/>
        </w:rPr>
        <w:t>Une incidence 2,12 fois plus élevée de tumeurs solides secondaires a été observée chez les patients recevant le lénalidomide en association avec le melphalan et la prednisone pendant 9 cycles (1,57 pour 100 patients</w:t>
      </w:r>
      <w:r>
        <w:rPr>
          <w:color w:val="000000"/>
        </w:rPr>
        <w:noBreakHyphen/>
        <w:t>années) par rapport aux patients recevant le melphalan en association avec la prednisone (0,74 pour 100 patients</w:t>
      </w:r>
      <w:r>
        <w:rPr>
          <w:color w:val="000000"/>
        </w:rPr>
        <w:noBreakHyphen/>
        <w:t>années).</w:t>
      </w:r>
    </w:p>
    <w:p w14:paraId="2FD76FB9" w14:textId="7C4E673A" w:rsidR="000A3D78" w:rsidRPr="00D2126A" w:rsidRDefault="000A3D78" w:rsidP="00C93C76">
      <w:pPr>
        <w:rPr>
          <w:color w:val="000000"/>
        </w:rPr>
      </w:pPr>
    </w:p>
    <w:p w14:paraId="0B03FA87" w14:textId="2FF61C87" w:rsidR="00036363" w:rsidRPr="00D2126A" w:rsidRDefault="000E5A86" w:rsidP="00C93C76">
      <w:pPr>
        <w:rPr>
          <w:color w:val="000000"/>
        </w:rPr>
      </w:pPr>
      <w:r>
        <w:rPr>
          <w:color w:val="000000"/>
        </w:rPr>
        <w:t>Chez les patients recevant le lénalidomide en association avec la dexaméthasone jusqu’à la progression de la maladie ou pendant 18 mois, l’incidence de CS hématologiques (0,16 pour 100 patients</w:t>
      </w:r>
      <w:r>
        <w:rPr>
          <w:color w:val="000000"/>
        </w:rPr>
        <w:noBreakHyphen/>
        <w:t>années) n’a pas été plus élevé que chez les patients traités par le thalidomide en association avec le melphalan et la prednisone (0,79 pour 100 patients</w:t>
      </w:r>
      <w:r>
        <w:rPr>
          <w:color w:val="000000"/>
        </w:rPr>
        <w:noBreakHyphen/>
        <w:t>années).</w:t>
      </w:r>
    </w:p>
    <w:p w14:paraId="6BE55578" w14:textId="7DC1B32F" w:rsidR="000A3D78" w:rsidRPr="00D2126A" w:rsidRDefault="000A3D78" w:rsidP="00C93C76">
      <w:pPr>
        <w:rPr>
          <w:color w:val="000000"/>
        </w:rPr>
      </w:pPr>
    </w:p>
    <w:p w14:paraId="580CD65A" w14:textId="497E00C5" w:rsidR="000A3D78" w:rsidRPr="00D2126A" w:rsidRDefault="000E5A86" w:rsidP="00C93C76">
      <w:pPr>
        <w:rPr>
          <w:color w:val="000000"/>
        </w:rPr>
      </w:pPr>
      <w:r>
        <w:rPr>
          <w:color w:val="000000"/>
        </w:rPr>
        <w:t>Une incidence 1,3 fois plus élevée de tumeurs solides secondaires a été observée chez les patients recevant le lénalidomide en association avec la dexaméthasone jusqu’à la progression de la maladie ou pendant 18 mois (1,58 pour 100 patients</w:t>
      </w:r>
      <w:r>
        <w:rPr>
          <w:color w:val="000000"/>
        </w:rPr>
        <w:noBreakHyphen/>
        <w:t>années) par rapport aux patients recevant le thalidomide en association avec le melphalan et la prednisone (1,19 pour 100 patients</w:t>
      </w:r>
      <w:r>
        <w:rPr>
          <w:color w:val="000000"/>
        </w:rPr>
        <w:noBreakHyphen/>
        <w:t>années).</w:t>
      </w:r>
    </w:p>
    <w:p w14:paraId="7F881AFA" w14:textId="77777777" w:rsidR="000A3D78" w:rsidRPr="00D2126A" w:rsidRDefault="000A3D78" w:rsidP="00C93C76">
      <w:pPr>
        <w:pStyle w:val="Date"/>
      </w:pPr>
    </w:p>
    <w:p w14:paraId="237FD252" w14:textId="61533263" w:rsidR="00AB7ACC" w:rsidRPr="00D2126A" w:rsidRDefault="000E5A86" w:rsidP="00C93C76">
      <w:pPr>
        <w:rPr>
          <w:color w:val="000000"/>
        </w:rPr>
      </w:pPr>
      <w:r>
        <w:rPr>
          <w:color w:val="000000"/>
        </w:rPr>
        <w:t>Chez les patients atteints d’un myélome multiple non préalablement traité recevant le lénalidomide en association avec le bortézomib et la dexaméthasone, l’incidence de CS hématologiques était de 0,00 à 0,16 pour 100 patients</w:t>
      </w:r>
      <w:r>
        <w:rPr>
          <w:color w:val="000000"/>
        </w:rPr>
        <w:noBreakHyphen/>
        <w:t>années et celle des tumeurs solides secondaires était de 0,21 à 1,04 pour 100 patients</w:t>
      </w:r>
      <w:r>
        <w:rPr>
          <w:color w:val="000000"/>
        </w:rPr>
        <w:noBreakHyphen/>
        <w:t>années.</w:t>
      </w:r>
    </w:p>
    <w:p w14:paraId="79B46409" w14:textId="77777777" w:rsidR="00AB7ACC" w:rsidRPr="00D2126A" w:rsidRDefault="00AB7ACC" w:rsidP="00C93C76"/>
    <w:p w14:paraId="186E9BB7" w14:textId="77777777" w:rsidR="005D3FED" w:rsidRPr="00D2126A" w:rsidRDefault="000E5A86" w:rsidP="00C93C76">
      <w:r>
        <w:t>Le risque accru de cancers secondaires associé au lénalidomide est également observé dans le cas du MMNPT après une greffe de cellules souches. Bien que ce risque ne soit pas encore totalement caractérisé, il doit être pris en compte lorsqu’un traitement par Revlimid est envisagé et utilisé dans ce contexte.</w:t>
      </w:r>
    </w:p>
    <w:p w14:paraId="66588B6D" w14:textId="77777777" w:rsidR="005D3FED" w:rsidRPr="00D2126A" w:rsidRDefault="005D3FED" w:rsidP="00C93C76"/>
    <w:p w14:paraId="7652F205" w14:textId="212279B8" w:rsidR="00036363" w:rsidRPr="00D2126A" w:rsidRDefault="000E5A86" w:rsidP="00F2178A">
      <w:r>
        <w:t>L’incidence des cancers hématologiques, notamment les LAM, les SMD et les hémopathies malignes lymphoïdes B (dont le lymphome de Hodgkin), était de 1,31 pour 100 patients</w:t>
      </w:r>
      <w:r>
        <w:noBreakHyphen/>
        <w:t>années pour les bras lénalidomide et de 0,58 pour 100 patients</w:t>
      </w:r>
      <w:r>
        <w:noBreakHyphen/>
        <w:t>années pour les bras placebo (1,02 pour 100 patients</w:t>
      </w:r>
      <w:r>
        <w:noBreakHyphen/>
        <w:t>années pour les patients exposés au lénalidomide après une AGCS et 0,60 pour 100 patients</w:t>
      </w:r>
      <w:r>
        <w:noBreakHyphen/>
        <w:t>années pour les patients non exposés au lénalidomide après une AGCS). L’incidence des tumeurs solides secondaires était de 1,36 pour 100 patients</w:t>
      </w:r>
      <w:r>
        <w:noBreakHyphen/>
        <w:t>années pour les bras lénalidomide et de 1,05 pour 100 patients</w:t>
      </w:r>
      <w:r>
        <w:noBreakHyphen/>
        <w:t>années pour les bras placebo (1,26 pour 100 patients</w:t>
      </w:r>
      <w:r>
        <w:noBreakHyphen/>
        <w:t>années pour les patients exposés au lénalidomide après une AGCS et 0,60 pour 100 patients</w:t>
      </w:r>
      <w:r>
        <w:noBreakHyphen/>
        <w:t>années pour les patients non exposés au lénalidomide après une AGCS).</w:t>
      </w:r>
    </w:p>
    <w:p w14:paraId="3D7EBAB1" w14:textId="32AEC89D" w:rsidR="00375EAB" w:rsidRPr="00D2126A" w:rsidRDefault="00375EAB" w:rsidP="00C93C76">
      <w:pPr>
        <w:rPr>
          <w:iCs/>
          <w:color w:val="000000"/>
        </w:rPr>
      </w:pPr>
    </w:p>
    <w:p w14:paraId="41CCDB83" w14:textId="77777777" w:rsidR="00375EAB" w:rsidRPr="00D2126A" w:rsidRDefault="000E5A86" w:rsidP="00C93C76">
      <w:pPr>
        <w:pStyle w:val="Date"/>
        <w:rPr>
          <w:iCs/>
          <w:color w:val="000000"/>
        </w:rPr>
      </w:pPr>
      <w:r>
        <w:rPr>
          <w:color w:val="000000"/>
        </w:rPr>
        <w:t>Le risque de survenue d’un cancer secondaire hématologique doit être pris en compte avant d’instaurer le traitement par le lénalidomide en association avec le melphalan ou immédiatement après le melphalan à forte dose et une autogreffe de cellules souches. Les médecins doivent évaluer soigneusement les patients avant et pendant le traitement en utilisant les méthodes habituelles de dépistage des cancers pour surveiller le développement de CS et instaurer un traitement s’il est indiqué.</w:t>
      </w:r>
    </w:p>
    <w:p w14:paraId="6B0E07CE" w14:textId="77777777" w:rsidR="00375EAB" w:rsidRPr="00D2126A" w:rsidRDefault="00375EAB" w:rsidP="00C93C76">
      <w:pPr>
        <w:rPr>
          <w:color w:val="000000"/>
        </w:rPr>
      </w:pPr>
    </w:p>
    <w:p w14:paraId="144E542A" w14:textId="6678AB9C" w:rsidR="006B5D3E" w:rsidRPr="00D2126A" w:rsidRDefault="000E5A86" w:rsidP="00C93C76">
      <w:pPr>
        <w:pStyle w:val="Date"/>
        <w:keepNext/>
        <w:rPr>
          <w:i/>
          <w:color w:val="000000"/>
          <w:u w:val="single"/>
        </w:rPr>
      </w:pPr>
      <w:r>
        <w:rPr>
          <w:i/>
          <w:color w:val="000000"/>
          <w:u w:val="single"/>
        </w:rPr>
        <w:t>Progression en leucémie aiguë myéloblastique dans les SMD à risque faible ou intermédiaire</w:t>
      </w:r>
      <w:r>
        <w:rPr>
          <w:i/>
          <w:color w:val="000000"/>
          <w:u w:val="single"/>
        </w:rPr>
        <w:noBreakHyphen/>
        <w:t>1</w:t>
      </w:r>
    </w:p>
    <w:p w14:paraId="1BFF7925" w14:textId="77777777" w:rsidR="006B5D3E" w:rsidRPr="00D2126A" w:rsidRDefault="000E5A86" w:rsidP="00C93C76">
      <w:pPr>
        <w:keepNext/>
        <w:numPr>
          <w:ilvl w:val="0"/>
          <w:numId w:val="32"/>
        </w:numPr>
        <w:ind w:left="567" w:hanging="567"/>
        <w:rPr>
          <w:color w:val="000000"/>
          <w:u w:val="single"/>
        </w:rPr>
      </w:pPr>
      <w:r>
        <w:rPr>
          <w:color w:val="000000"/>
          <w:u w:val="single"/>
        </w:rPr>
        <w:t>Caryotype</w:t>
      </w:r>
    </w:p>
    <w:p w14:paraId="7E24998B" w14:textId="77777777" w:rsidR="00DF15F2" w:rsidRPr="00D2126A" w:rsidRDefault="00DF15F2" w:rsidP="00C93C76">
      <w:pPr>
        <w:keepNext/>
        <w:rPr>
          <w:color w:val="000000"/>
        </w:rPr>
      </w:pPr>
    </w:p>
    <w:p w14:paraId="32D74886" w14:textId="3987FFA3" w:rsidR="006B5D3E" w:rsidRPr="00D2126A" w:rsidRDefault="000E5A86" w:rsidP="00C93C76">
      <w:pPr>
        <w:rPr>
          <w:color w:val="000000"/>
        </w:rPr>
      </w:pPr>
      <w:r>
        <w:rPr>
          <w:color w:val="000000"/>
        </w:rPr>
        <w:t>La présence d’anomalies cytogénétiques complexes au bilan initial est associée à une progression en LAM chez les patients dépendants transfusionnels et porteurs d’une anomalie del 5q. Dans une analyse combinée de deux études cliniques du lénalidomide dans les syndromes myélodysplasiques à risque faible ou intermédiaire 1, le risque estimé cumulé à 2 ans de progression en LAM était le plus élevé chez les patients porteurs d’anomalies cytogénétiques complexes (38,6 %). Le taux estimé à 2 ans de progression en LAM chez les patients porteurs d’une anomalie del 5q isolée était de 13,8 % comparé à 17,3 % chez les patients porteurs de la délétion 5q et d’une autre anomalie cytogénétique.</w:t>
      </w:r>
    </w:p>
    <w:p w14:paraId="08060C7B" w14:textId="77777777" w:rsidR="006B5D3E" w:rsidRPr="00D2126A" w:rsidRDefault="006B5D3E" w:rsidP="00C93C76">
      <w:pPr>
        <w:rPr>
          <w:color w:val="000000"/>
        </w:rPr>
      </w:pPr>
    </w:p>
    <w:p w14:paraId="27CFBC2C" w14:textId="77777777" w:rsidR="00036363" w:rsidRPr="00D2126A" w:rsidRDefault="000E5A86" w:rsidP="00C93C76">
      <w:pPr>
        <w:rPr>
          <w:color w:val="000000"/>
        </w:rPr>
      </w:pPr>
      <w:r>
        <w:rPr>
          <w:color w:val="000000"/>
        </w:rPr>
        <w:t>Par conséquent, le rapport bénéfice/risque du lénalidomide lorsque le SMD est associé à la délétion 5q et à des anomalies cytogénétiques complexes est inconnu.</w:t>
      </w:r>
    </w:p>
    <w:p w14:paraId="4E9BFEF3" w14:textId="671B927D" w:rsidR="006B5D3E" w:rsidRPr="00D2126A" w:rsidRDefault="006B5D3E" w:rsidP="00C93C76">
      <w:pPr>
        <w:rPr>
          <w:color w:val="000000"/>
        </w:rPr>
      </w:pPr>
    </w:p>
    <w:p w14:paraId="5190991A" w14:textId="77777777" w:rsidR="006B5D3E" w:rsidRPr="00D2126A" w:rsidRDefault="000E5A86" w:rsidP="00C93C76">
      <w:pPr>
        <w:pStyle w:val="Date"/>
        <w:keepNext/>
        <w:numPr>
          <w:ilvl w:val="0"/>
          <w:numId w:val="32"/>
        </w:numPr>
        <w:ind w:left="567" w:hanging="567"/>
        <w:rPr>
          <w:color w:val="000000"/>
          <w:u w:val="single"/>
        </w:rPr>
      </w:pPr>
      <w:r>
        <w:rPr>
          <w:color w:val="000000"/>
          <w:u w:val="single"/>
        </w:rPr>
        <w:t>Statut TP53</w:t>
      </w:r>
    </w:p>
    <w:p w14:paraId="2F1FB1DE" w14:textId="77777777" w:rsidR="00DF15F2" w:rsidRPr="00D2126A" w:rsidRDefault="00DF15F2" w:rsidP="00C93C76">
      <w:pPr>
        <w:keepNext/>
        <w:rPr>
          <w:color w:val="000000"/>
        </w:rPr>
      </w:pPr>
    </w:p>
    <w:p w14:paraId="334E58B5" w14:textId="2742E59E" w:rsidR="006B5D3E" w:rsidRPr="00D2126A" w:rsidRDefault="000E5A86" w:rsidP="00C93C76">
      <w:pPr>
        <w:keepNext/>
        <w:rPr>
          <w:color w:val="000000"/>
        </w:rPr>
      </w:pPr>
      <w:r>
        <w:rPr>
          <w:color w:val="000000"/>
        </w:rPr>
        <w:t xml:space="preserve">Une mutation du gène TP53 est présente chez 20 à 25 % des patients présentant un SMD del 5q à faible risque et elle est associée à un risque plus élevé de progression en leucémie aiguë myéloblastique (LAM). Dans une analyse </w:t>
      </w:r>
      <w:r>
        <w:rPr>
          <w:i/>
          <w:color w:val="000000"/>
        </w:rPr>
        <w:t>post hoc</w:t>
      </w:r>
      <w:r>
        <w:rPr>
          <w:color w:val="000000"/>
        </w:rPr>
        <w:t xml:space="preserve"> d’une étude clinique du lénalidomide dans les syndromes myélodysplasiques à risque faible ou intermédiaire 1 (MDS</w:t>
      </w:r>
      <w:r>
        <w:rPr>
          <w:color w:val="000000"/>
        </w:rPr>
        <w:noBreakHyphen/>
        <w:t>004), le taux estimé à 2 ans de progression en LAM était de 27,5 % chez les patients IHC</w:t>
      </w:r>
      <w:r>
        <w:rPr>
          <w:color w:val="000000"/>
        </w:rPr>
        <w:noBreakHyphen/>
        <w:t>p53 positif et de 3,6 % chez les patients IHC</w:t>
      </w:r>
      <w:r>
        <w:rPr>
          <w:color w:val="000000"/>
        </w:rPr>
        <w:noBreakHyphen/>
        <w:t>p53 négatif (p = 0,0038) (seuil du test de 1 % de forte coloration nucléaire, en utilisant l’analyse immunohistochimique de la protéine p53 comme marqueur de substitution du statut mutationnel de TP53) (voir rubrique 4.8).</w:t>
      </w:r>
    </w:p>
    <w:p w14:paraId="5FADDE8F" w14:textId="77777777" w:rsidR="005779E4" w:rsidRPr="00D2126A" w:rsidRDefault="005779E4" w:rsidP="00C93C76">
      <w:pPr>
        <w:rPr>
          <w:color w:val="000000"/>
        </w:rPr>
      </w:pPr>
    </w:p>
    <w:p w14:paraId="2C4006BE" w14:textId="77777777" w:rsidR="002975F5" w:rsidRPr="00D2126A" w:rsidRDefault="000E5A86" w:rsidP="00DF154F">
      <w:pPr>
        <w:keepNext/>
        <w:rPr>
          <w:i/>
          <w:color w:val="000000"/>
          <w:szCs w:val="24"/>
          <w:u w:val="single"/>
        </w:rPr>
      </w:pPr>
      <w:r>
        <w:rPr>
          <w:i/>
          <w:color w:val="000000"/>
          <w:u w:val="single"/>
        </w:rPr>
        <w:t>Progression en d’autres cancers dans le lymphome à cellules du manteau</w:t>
      </w:r>
    </w:p>
    <w:p w14:paraId="2F4F64FE" w14:textId="34EB8347" w:rsidR="002975F5" w:rsidRPr="00D2126A" w:rsidRDefault="000E5A86" w:rsidP="00C93C76">
      <w:pPr>
        <w:pStyle w:val="Date"/>
      </w:pPr>
      <w:r>
        <w:t>Dans le lymphome à cellules du manteau, la LAM, les hémopathies malignes lymphoïdes B et les cancers cutanées non mélanocytaires sont des risques identifiés.</w:t>
      </w:r>
    </w:p>
    <w:p w14:paraId="13E22012" w14:textId="77777777" w:rsidR="002975F5" w:rsidRPr="00D2126A" w:rsidRDefault="002975F5" w:rsidP="00C93C76"/>
    <w:p w14:paraId="64F50411" w14:textId="77777777" w:rsidR="000479A6" w:rsidRPr="00D2126A" w:rsidRDefault="000E5A86" w:rsidP="00C93C76">
      <w:pPr>
        <w:keepNext/>
        <w:rPr>
          <w:i/>
          <w:color w:val="000000"/>
          <w:u w:val="single"/>
        </w:rPr>
      </w:pPr>
      <w:r>
        <w:rPr>
          <w:i/>
          <w:color w:val="000000"/>
          <w:u w:val="single"/>
        </w:rPr>
        <w:t>Cancers secondaires au traitement dans le lymphome folliculaire</w:t>
      </w:r>
    </w:p>
    <w:p w14:paraId="37567FEC" w14:textId="1278577D" w:rsidR="00036363" w:rsidRPr="00D2126A" w:rsidRDefault="000E5A86" w:rsidP="0094597D">
      <w:r>
        <w:t>Dans une étude clinique portant sur les lymphomes non hogkiniens indolents (LNHi) en rechute ou réfractaire dans laquelle des patients atteints d’un lymphome folliculaire ont été inclus, aucun risque accru de CS n’a été observé dans le bras lénalidomide/rituximab par rapport au bras placebo/rituximab. Les taux de CS hématologiques de type LAM étaient de 0,29 pour 100 patients</w:t>
      </w:r>
      <w:r>
        <w:noBreakHyphen/>
        <w:t xml:space="preserve">années </w:t>
      </w:r>
      <w:r>
        <w:rPr>
          <w:i/>
        </w:rPr>
        <w:t>versus</w:t>
      </w:r>
      <w:r>
        <w:t xml:space="preserve"> 0,29 pour 100 patients</w:t>
      </w:r>
      <w:r>
        <w:noBreakHyphen/>
        <w:t>années chez les patients recevant le placebo/rituximab. L’incidence des tumeurs solides secondaires (à l’exclusion des cancers cutanés non mélanomateux) et des CS hématologiques était de 0,87 pour 100 patients</w:t>
      </w:r>
      <w:r>
        <w:noBreakHyphen/>
        <w:t xml:space="preserve">années dans le bras lénalidomide/rituximab </w:t>
      </w:r>
      <w:r>
        <w:rPr>
          <w:i/>
        </w:rPr>
        <w:t>versus</w:t>
      </w:r>
      <w:r>
        <w:t xml:space="preserve"> 1,17 pour 100 patients</w:t>
      </w:r>
      <w:r>
        <w:noBreakHyphen/>
        <w:t>années chez les patients recevant le placebo/rituximab, avec un suivi médian de 30,59 mois (de 0,6 à 50,9 mois).</w:t>
      </w:r>
    </w:p>
    <w:p w14:paraId="5D7C78DB" w14:textId="6772BA00" w:rsidR="000479A6" w:rsidRPr="00D2126A" w:rsidRDefault="000479A6" w:rsidP="00C93C76"/>
    <w:p w14:paraId="0B355469" w14:textId="77777777" w:rsidR="000479A6" w:rsidRPr="00D2126A" w:rsidRDefault="000E5A86" w:rsidP="00C93C76">
      <w:r>
        <w:t>Il existe un risque identifié de cancer cutané non mélanomateux, notamment de type épithélioma spinocellulaire ou basocellulaire.</w:t>
      </w:r>
    </w:p>
    <w:p w14:paraId="17F3F45F" w14:textId="77777777" w:rsidR="009147F2" w:rsidRPr="00D2126A" w:rsidRDefault="009147F2" w:rsidP="00C93C76">
      <w:pPr>
        <w:pStyle w:val="Date"/>
        <w:rPr>
          <w:iCs/>
          <w:color w:val="000000"/>
        </w:rPr>
      </w:pPr>
    </w:p>
    <w:p w14:paraId="04F2AB25" w14:textId="77777777" w:rsidR="004C2019" w:rsidRPr="00D2126A" w:rsidRDefault="000E5A86" w:rsidP="00C93C76">
      <w:pPr>
        <w:rPr>
          <w:iCs/>
          <w:color w:val="000000"/>
        </w:rPr>
      </w:pPr>
      <w:r>
        <w:rPr>
          <w:color w:val="000000"/>
        </w:rPr>
        <w:t>Les médecins doivent surveiller la survenue de CS chez les patients. Il convient de prendre en considération à la fois le bénéfice potentiel du lénalidomide et le risque de CS lorsqu’un traitement par le lénalidomide est envisagé.</w:t>
      </w:r>
    </w:p>
    <w:p w14:paraId="6C9C5A9E" w14:textId="77777777" w:rsidR="007A47EB" w:rsidRPr="00D2126A" w:rsidRDefault="007A47EB" w:rsidP="00C93C76">
      <w:pPr>
        <w:pStyle w:val="Date"/>
      </w:pPr>
    </w:p>
    <w:p w14:paraId="454D57BC" w14:textId="77777777" w:rsidR="0042469A" w:rsidRPr="00D2126A" w:rsidRDefault="000E5A86" w:rsidP="00C93C76">
      <w:pPr>
        <w:pStyle w:val="C-BodyText"/>
        <w:keepNext/>
        <w:spacing w:before="0" w:after="0" w:line="240" w:lineRule="auto"/>
        <w:rPr>
          <w:i/>
          <w:color w:val="000000"/>
          <w:sz w:val="22"/>
          <w:szCs w:val="22"/>
          <w:u w:val="single"/>
        </w:rPr>
      </w:pPr>
      <w:r>
        <w:rPr>
          <w:i/>
          <w:color w:val="000000"/>
          <w:sz w:val="22"/>
          <w:u w:val="single"/>
        </w:rPr>
        <w:t>Affections hépatiques</w:t>
      </w:r>
    </w:p>
    <w:p w14:paraId="432B9659" w14:textId="77777777" w:rsidR="0042469A" w:rsidRPr="00D2126A" w:rsidRDefault="000E5A86" w:rsidP="00C93C76">
      <w:pPr>
        <w:rPr>
          <w:rFonts w:eastAsia="Yu Gothic"/>
          <w:color w:val="000000"/>
        </w:rPr>
      </w:pPr>
      <w:r>
        <w:rPr>
          <w:color w:val="000000"/>
        </w:rPr>
        <w:t>Une insuffisance hépatique, parfois d’issue fatale, a été rapportée chez des patients traités par le lénalidomide en association : des cas d’insuffisance hépatique aiguë, d’hépatite toxique, d’hépatite cytolytique, d’hépatite cholestatique et d’hépatite mixte cytolytique/cholestatique ont été rapportés. Les mécanismes de cette hépatotoxicité sévère d’origine médicamenteuse restent inconnus, même si, dans certains cas, une hépatopathie virale préexistante, des enzymes hépatiques élevées préalablement à la mise en œuvre du traitement et peut</w:t>
      </w:r>
      <w:r>
        <w:rPr>
          <w:color w:val="000000"/>
        </w:rPr>
        <w:noBreakHyphen/>
        <w:t>être un traitement par des antibiotiques peuvent constituer des facteurs de risque.</w:t>
      </w:r>
    </w:p>
    <w:p w14:paraId="7A33A002" w14:textId="77777777" w:rsidR="008777B1" w:rsidRPr="00D2126A" w:rsidRDefault="008777B1" w:rsidP="00C93C76">
      <w:pPr>
        <w:pStyle w:val="Date"/>
        <w:rPr>
          <w:color w:val="000000"/>
        </w:rPr>
      </w:pPr>
    </w:p>
    <w:p w14:paraId="306CCE62" w14:textId="77777777" w:rsidR="00036363" w:rsidRPr="00D2126A" w:rsidRDefault="000E5A86" w:rsidP="00C93C76">
      <w:pPr>
        <w:rPr>
          <w:color w:val="000000"/>
        </w:rPr>
      </w:pPr>
      <w:r>
        <w:rPr>
          <w:color w:val="000000"/>
        </w:rPr>
        <w:t>Des anomalies des paramètres hépatiques ont fréquemment été rapportées. Ces anomalies étaient généralement asymptomatiques et réversibles après l’interruption du traitement. Une fois les paramètres revenus aux valeurs initiales, la reprise du traitement à une dose plus faible peut être envisagée.</w:t>
      </w:r>
    </w:p>
    <w:p w14:paraId="54D69C29" w14:textId="0C76461F" w:rsidR="00B2511D" w:rsidRPr="00AB0414" w:rsidRDefault="00B2511D" w:rsidP="00C93C76">
      <w:pPr>
        <w:pStyle w:val="C-BodyText"/>
        <w:spacing w:before="0" w:after="0" w:line="240" w:lineRule="auto"/>
        <w:rPr>
          <w:color w:val="000000"/>
          <w:sz w:val="22"/>
          <w:szCs w:val="22"/>
        </w:rPr>
      </w:pPr>
    </w:p>
    <w:p w14:paraId="4831AC02" w14:textId="77777777" w:rsidR="0042469A" w:rsidRPr="00D2126A" w:rsidRDefault="000E5A86" w:rsidP="00C93C76">
      <w:pPr>
        <w:pStyle w:val="C-BodyText"/>
        <w:spacing w:before="0" w:after="0" w:line="240" w:lineRule="auto"/>
        <w:rPr>
          <w:color w:val="000000"/>
          <w:sz w:val="22"/>
          <w:szCs w:val="22"/>
        </w:rPr>
      </w:pPr>
      <w:r>
        <w:rPr>
          <w:color w:val="000000"/>
          <w:sz w:val="22"/>
        </w:rPr>
        <w:t>Le lénalidomide est éliminé par voie rénale. Il est important d’adapter la posologie chez les patients présentant une insuffisance rénale afin de rester en deçà des taux plasmatiques susceptibles de majorer l’hématotoxicité ou l’hépatotoxicité. Il est recommandé de surveiller la fonction hépatique, en particulier en cas d’antécédents ou de présence d’une infection hépatique d’origine virale ou lorsque le lénalidomide est associé à des médicaments connus pour induire une toxicité hépatique.</w:t>
      </w:r>
    </w:p>
    <w:p w14:paraId="34A09DC5" w14:textId="77777777" w:rsidR="00BB2E76" w:rsidRPr="00D2126A" w:rsidRDefault="00BB2E76" w:rsidP="00C93C76"/>
    <w:p w14:paraId="10D16EA1" w14:textId="77777777" w:rsidR="00BB2E76" w:rsidRPr="00D2126A" w:rsidRDefault="000E5A86" w:rsidP="00C93C76">
      <w:pPr>
        <w:pStyle w:val="Date"/>
        <w:keepNext/>
        <w:rPr>
          <w:i/>
          <w:u w:val="single"/>
        </w:rPr>
      </w:pPr>
      <w:r>
        <w:rPr>
          <w:i/>
          <w:u w:val="single"/>
        </w:rPr>
        <w:t>Infection avec ou sans neutropénie</w:t>
      </w:r>
    </w:p>
    <w:p w14:paraId="4D8DC4B8" w14:textId="3BC44C5E" w:rsidR="00BB2E76" w:rsidRPr="00D2126A" w:rsidRDefault="000E5A86" w:rsidP="00C93C76">
      <w:r>
        <w:t>Les patients atteints de myélome multiple ont tendance à développer des infections, dont des pneumonies. Il a été observé une fréquence plus élevée d’infections avec le lénalidomide en association avec la dexaméthasone qu’avec le MPT chez les patients atteints de myélome multiple non préalablement traité non éligibles à une greffe, de même qu’avec un traitement d’entretien par lénalidomide par rapport au placebo chez les patients atteints de myélome multiple non préalablement traité qui ont reçu une AGCS. Des infections de grade ≥ 3 sont survenues dans le contexte d’une neutropénie chez moins d’un tiers des patients. Les patients présentant des facteurs de risque d’infection doivent être surveillés étroitement. Tous les patients doivent être informés qu’ils doivent consulter un médecin sans attendre au premier signe d’infection (par exemple toux, fièvre, etc.), ce qui permettra une prise en charge précoce pour en diminuer la sévérité.</w:t>
      </w:r>
    </w:p>
    <w:p w14:paraId="52C0A374" w14:textId="77777777" w:rsidR="00B2511D" w:rsidRPr="00AB0414" w:rsidRDefault="00B2511D" w:rsidP="00C93C76">
      <w:pPr>
        <w:pStyle w:val="C-BodyText"/>
        <w:spacing w:before="0" w:after="0" w:line="240" w:lineRule="auto"/>
        <w:rPr>
          <w:color w:val="000000"/>
          <w:sz w:val="22"/>
          <w:szCs w:val="22"/>
        </w:rPr>
      </w:pPr>
    </w:p>
    <w:p w14:paraId="434B8676" w14:textId="77777777" w:rsidR="008A65EC" w:rsidRPr="00D2126A" w:rsidRDefault="000E5A86" w:rsidP="00C93C76">
      <w:pPr>
        <w:pStyle w:val="Date"/>
        <w:keepNext/>
        <w:rPr>
          <w:i/>
          <w:color w:val="000000"/>
          <w:u w:val="single"/>
        </w:rPr>
      </w:pPr>
      <w:r>
        <w:rPr>
          <w:i/>
          <w:color w:val="000000"/>
          <w:u w:val="single"/>
        </w:rPr>
        <w:t>Réactivation virale</w:t>
      </w:r>
    </w:p>
    <w:p w14:paraId="4372373B" w14:textId="74067495" w:rsidR="00BB2E76" w:rsidRPr="00D2126A" w:rsidRDefault="000E5A86" w:rsidP="00C93C76">
      <w:pPr>
        <w:pStyle w:val="Date"/>
      </w:pPr>
      <w:r>
        <w:t>Des cas de réactivation virale ont été rapportés chez des patients traités par le lénalidomide, dont des cas graves de réactivation du virus de la varicelle et du zona ou du virus de l’hépatite B (VHB).</w:t>
      </w:r>
    </w:p>
    <w:p w14:paraId="0FBDAE86" w14:textId="77777777" w:rsidR="00BB2E76" w:rsidRPr="00D2126A" w:rsidRDefault="00BB2E76" w:rsidP="00C93C76">
      <w:pPr>
        <w:pStyle w:val="Date"/>
      </w:pPr>
    </w:p>
    <w:p w14:paraId="7ADD0738" w14:textId="77777777" w:rsidR="00BB2E76" w:rsidRPr="00D2126A" w:rsidRDefault="000E5A86" w:rsidP="00C93C76">
      <w:pPr>
        <w:pStyle w:val="Date"/>
      </w:pPr>
      <w:r>
        <w:t>Certains cas de réactivation virale ont eu une issue fatale.</w:t>
      </w:r>
    </w:p>
    <w:p w14:paraId="0C6AE68F" w14:textId="77777777" w:rsidR="00BB2E76" w:rsidRPr="00D2126A" w:rsidRDefault="00BB2E76" w:rsidP="00C93C76">
      <w:pPr>
        <w:pStyle w:val="Date"/>
      </w:pPr>
    </w:p>
    <w:p w14:paraId="7C1BAF1F" w14:textId="77777777" w:rsidR="00BB2E76" w:rsidRPr="00D2126A" w:rsidRDefault="000E5A86" w:rsidP="00C93C76">
      <w:pPr>
        <w:pStyle w:val="Date"/>
      </w:pPr>
      <w:r>
        <w:t>Dans certains des cas, la réactivation du virus de la varicelle et du zona a entraîné un zona disséminé, une méningite zostérienne ou un zona ophtalmique nécessitant l’interruption temporaire ou l’arrêt définitif du traitement par le lénalidomide et l’instauration d’un traitement antiviral adéquat.</w:t>
      </w:r>
    </w:p>
    <w:p w14:paraId="4D1A3AC9" w14:textId="77777777" w:rsidR="00BB2E76" w:rsidRPr="00D2126A" w:rsidRDefault="00BB2E76" w:rsidP="00C93C76"/>
    <w:p w14:paraId="024E1B0C" w14:textId="52EA9340" w:rsidR="00BB2E76" w:rsidRPr="00D2126A" w:rsidRDefault="000E5A86" w:rsidP="00C93C76">
      <w:pPr>
        <w:pStyle w:val="Date"/>
      </w:pPr>
      <w:r>
        <w:t>De rares cas de réactivation de l’hépatite B ont été rapportés chez des patients recevant le lénalidomide qui avaient des antécédents d’infection par le virus de l’hépatite B. Certains de ces cas ont évolué vers une insuffisance hépatique aiguë et conduit à l’arrêt du traitement par le lénalidomide et à l’instauration d’un traitement antiviral adéquat. La sérologie VHB doit être déterminée avant l’instauration du traitement par le lénalidomide. Chez les patients présentant un résultat positif au test de dépistage de l’infection par le VHB, une consultation chez un médecin spécialisé dans le traitement de l’hépatite B est recommandée. La prudence s’impose en cas d’administration du lénalidomide chez des patients ayant des antécédents d’infection par le VHB, y compris les patients positifs pour les anticorps anti</w:t>
      </w:r>
      <w:r>
        <w:noBreakHyphen/>
        <w:t>Hbc mais négatifs pour l’AgHbs. Ces patients doivent être étroitement surveillés pendant toute la durée du traitement afin de détecter des signes et symptômes d’infection active par le VHB.</w:t>
      </w:r>
    </w:p>
    <w:p w14:paraId="09704FAA" w14:textId="77777777" w:rsidR="00921FB9" w:rsidRPr="00D2126A" w:rsidRDefault="00921FB9" w:rsidP="00C93C76"/>
    <w:p w14:paraId="34ACD7FF" w14:textId="77777777" w:rsidR="00921FB9" w:rsidRPr="00D2126A" w:rsidRDefault="000E5A86" w:rsidP="00C93C76">
      <w:pPr>
        <w:keepNext/>
        <w:rPr>
          <w:i/>
          <w:color w:val="000000"/>
          <w:u w:val="single"/>
        </w:rPr>
      </w:pPr>
      <w:r>
        <w:rPr>
          <w:i/>
          <w:color w:val="000000"/>
          <w:u w:val="single"/>
        </w:rPr>
        <w:t>Leucoencéphalopathie multifocale progressive</w:t>
      </w:r>
    </w:p>
    <w:p w14:paraId="65E714B0" w14:textId="77777777" w:rsidR="00921FB9" w:rsidRPr="00D2126A" w:rsidRDefault="000E5A86" w:rsidP="00C93C76">
      <w:r>
        <w:t>Des cas de leucoencéphalopathie multifocale progressive (LEMP), dont certains d’issue fatale, ont été rapportés avec le lénalidomide. Ces cas de LEMP ont été rapportés de plusieurs mois à plusieurs années après avoir commencé un traitement par le lénalidomide. Ces cas ont été généralement rapportés chez les patients prenant simultanément de la dexaméthasone ou après un traitement antérieur avec d’autres chimiothérapies immunosuppressives. Les médecins doivent surveiller les patients à intervalles réguliers et un diagnostic différentiel de LEMP doit être envisagé chez les patients présentant de nouveaux signes ou symptômes cognitifs ou comportementaux ou des symptômes neurologiques ou une aggravation de ces signes ou symptômes. Il conviendra de conseiller aux patients d’informer leur conjoint ou le personnel soignant de leur traitement, ceux</w:t>
      </w:r>
      <w:r>
        <w:noBreakHyphen/>
        <w:t>ci pouvant remarquer des symptômes dont les patients ne sont pas conscients.</w:t>
      </w:r>
    </w:p>
    <w:p w14:paraId="6D118455" w14:textId="77777777" w:rsidR="00921FB9" w:rsidRPr="00D2126A" w:rsidRDefault="00921FB9" w:rsidP="00C93C76"/>
    <w:p w14:paraId="1207511E" w14:textId="77777777" w:rsidR="00036363" w:rsidRPr="00D2126A" w:rsidRDefault="000E5A86" w:rsidP="00C93C76">
      <w:r>
        <w:t>Le diagnostic d’une LEMP doit reposer sur un examen neurologique, une imagerie par résonance magnétique du cerveau et un dosage de l’ADN du virus JC (JCV) dans le liquide céphalo</w:t>
      </w:r>
      <w:r>
        <w:noBreakHyphen/>
        <w:t>rachidien par réaction en chaîne par polymérisation (PCR) ou une biopsie cérébrale suivie d’un test de dépistage du JCV. Une analyse négative par PCR ne permet pas d’écarter une LEMP. Une surveillance et des analyses complémentaires seront éventuellement justifiées si un diagnostic alternatif ne peut être établi.</w:t>
      </w:r>
    </w:p>
    <w:p w14:paraId="4DF7DA7D" w14:textId="59364524" w:rsidR="00921FB9" w:rsidRPr="00D2126A" w:rsidRDefault="00921FB9" w:rsidP="00C93C76"/>
    <w:p w14:paraId="3885C72D" w14:textId="77777777" w:rsidR="00921FB9" w:rsidRPr="00D2126A" w:rsidRDefault="000E5A86" w:rsidP="00C93C76">
      <w:pPr>
        <w:pStyle w:val="Date"/>
      </w:pPr>
      <w:r>
        <w:t>Si une LEMP est suspectée, le traitement doit être suspendu jusqu’à ce que la LEMP soit exclue. Si la LEMP est confirmée, le lénalidomide doit être arrêté définitivement.</w:t>
      </w:r>
    </w:p>
    <w:p w14:paraId="7F36D40C" w14:textId="77777777" w:rsidR="00BB2E76" w:rsidRPr="00AB0414" w:rsidRDefault="00BB2E76" w:rsidP="00C93C76">
      <w:pPr>
        <w:pStyle w:val="C-BodyText"/>
        <w:spacing w:before="0" w:after="0" w:line="240" w:lineRule="auto"/>
        <w:rPr>
          <w:color w:val="000000"/>
          <w:sz w:val="22"/>
          <w:szCs w:val="22"/>
        </w:rPr>
      </w:pPr>
    </w:p>
    <w:p w14:paraId="7571D43B" w14:textId="77777777" w:rsidR="00B2511D" w:rsidRPr="00D2126A" w:rsidRDefault="000E5A86" w:rsidP="00C93C76">
      <w:pPr>
        <w:pStyle w:val="Date"/>
        <w:keepNext/>
        <w:rPr>
          <w:i/>
          <w:color w:val="000000"/>
          <w:u w:val="single"/>
        </w:rPr>
      </w:pPr>
      <w:r>
        <w:rPr>
          <w:i/>
          <w:color w:val="000000"/>
          <w:u w:val="single"/>
        </w:rPr>
        <w:t>Patients atteints de myélome multiple non préalablement traité</w:t>
      </w:r>
    </w:p>
    <w:p w14:paraId="2AE7CFA6" w14:textId="11DE8143" w:rsidR="00B2511D" w:rsidRPr="00D2126A" w:rsidRDefault="000E5A86" w:rsidP="00C93C76">
      <w:r>
        <w:t>La proportion d’événements indésirables (de grade 3 ou 4, événements indésirables graves, arrêts du traitement) a été plus élevée chez les patients âgés de plus de 75 ans présentant une maladie de stade ISS (</w:t>
      </w:r>
      <w:r>
        <w:rPr>
          <w:i/>
        </w:rPr>
        <w:t>International staging system</w:t>
      </w:r>
      <w:r>
        <w:t>) III et ayant un indice de performance ECOG ≥ 2 ou une ClCr &lt; 60 ml/min lorsque le lénalidomide était administré en association. La capacité des patients à tolérer le lénalidomide en association doit être évaluée attentivement en tenant compte de l’âge, le stade ISS III, l’indice de performance ECOG ≥ 2 ou la ClCr &lt; 60 ml/min (voir rubriques 4.2 et 4.8).</w:t>
      </w:r>
    </w:p>
    <w:p w14:paraId="1A15E2A8" w14:textId="77777777" w:rsidR="0042469A" w:rsidRPr="00D2126A" w:rsidRDefault="0042469A" w:rsidP="00C93C76">
      <w:pPr>
        <w:pStyle w:val="Date"/>
        <w:rPr>
          <w:color w:val="000000"/>
        </w:rPr>
      </w:pPr>
    </w:p>
    <w:p w14:paraId="54A50838" w14:textId="77777777" w:rsidR="00F435B4" w:rsidRPr="00D2126A" w:rsidRDefault="000E5A86" w:rsidP="00C93C76">
      <w:pPr>
        <w:keepNext/>
        <w:rPr>
          <w:i/>
          <w:color w:val="000000"/>
          <w:u w:val="single"/>
        </w:rPr>
      </w:pPr>
      <w:r>
        <w:rPr>
          <w:i/>
          <w:color w:val="000000"/>
          <w:u w:val="single"/>
        </w:rPr>
        <w:t>Cataracte</w:t>
      </w:r>
    </w:p>
    <w:p w14:paraId="5A39273B" w14:textId="77777777" w:rsidR="00F435B4" w:rsidRPr="00D2126A" w:rsidRDefault="000E5A86" w:rsidP="00C93C76">
      <w:r>
        <w:rPr>
          <w:color w:val="000000"/>
        </w:rPr>
        <w:t>Des cas de cataracte ont été rapportés à une fréquence plus élevée chez les patients recevant le lénalidomide en association avec la dexaméthasone, en particulier en cas de traitement au long cours. Des contrôles de l’acuité visuelle à intervalles réguliers sont recommandés.</w:t>
      </w:r>
    </w:p>
    <w:p w14:paraId="5DA2E8EF" w14:textId="77777777" w:rsidR="00F435B4" w:rsidRPr="00D2126A" w:rsidRDefault="00F435B4" w:rsidP="00C93C76"/>
    <w:p w14:paraId="4DCF053F" w14:textId="77777777" w:rsidR="00375EAB" w:rsidRPr="00D2126A" w:rsidRDefault="000E5A86" w:rsidP="00C93C76">
      <w:pPr>
        <w:keepNext/>
        <w:ind w:left="567" w:hanging="567"/>
        <w:rPr>
          <w:color w:val="000000"/>
        </w:rPr>
      </w:pPr>
      <w:r>
        <w:rPr>
          <w:b/>
          <w:color w:val="000000"/>
        </w:rPr>
        <w:t>4.5</w:t>
      </w:r>
      <w:r>
        <w:rPr>
          <w:b/>
          <w:color w:val="000000"/>
        </w:rPr>
        <w:tab/>
        <w:t>Interactions avec d’autres médicaments et autres formes d’interactions</w:t>
      </w:r>
    </w:p>
    <w:p w14:paraId="1A09155C" w14:textId="77777777" w:rsidR="00375EAB" w:rsidRPr="00D2126A" w:rsidRDefault="00375EAB" w:rsidP="00C93C76">
      <w:pPr>
        <w:keepNext/>
        <w:rPr>
          <w:color w:val="000000"/>
        </w:rPr>
      </w:pPr>
    </w:p>
    <w:p w14:paraId="69852B3C" w14:textId="77777777" w:rsidR="00375EAB" w:rsidRPr="00D2126A" w:rsidRDefault="000E5A86" w:rsidP="00C93C76">
      <w:pPr>
        <w:rPr>
          <w:color w:val="000000"/>
        </w:rPr>
      </w:pPr>
      <w:r>
        <w:rPr>
          <w:color w:val="000000"/>
        </w:rPr>
        <w:t>Les agents érythropoïétiques et les autres agents pouvant accroître les risques de thrombose, comme les traitements hormonaux de substitution, doivent être utilisés avec précaution chez les patients atteints de myélomes multiples prenant du lénalidomide en association avec de la dexaméthasone (voir rubriques 4.4 et 4.8).</w:t>
      </w:r>
    </w:p>
    <w:p w14:paraId="34D87B35" w14:textId="77777777" w:rsidR="00375EAB" w:rsidRPr="00D2126A" w:rsidRDefault="00375EAB" w:rsidP="00C93C76">
      <w:pPr>
        <w:tabs>
          <w:tab w:val="left" w:pos="360"/>
        </w:tabs>
        <w:autoSpaceDE w:val="0"/>
        <w:autoSpaceDN w:val="0"/>
        <w:adjustRightInd w:val="0"/>
        <w:jc w:val="both"/>
        <w:rPr>
          <w:color w:val="000000"/>
          <w:szCs w:val="24"/>
        </w:rPr>
      </w:pPr>
    </w:p>
    <w:p w14:paraId="6FFB74FF" w14:textId="77777777" w:rsidR="00375EAB" w:rsidRPr="00D2126A" w:rsidRDefault="000E5A86" w:rsidP="00C93C76">
      <w:pPr>
        <w:keepNext/>
        <w:tabs>
          <w:tab w:val="left" w:pos="360"/>
        </w:tabs>
        <w:rPr>
          <w:color w:val="000000"/>
          <w:szCs w:val="24"/>
          <w:u w:val="single"/>
        </w:rPr>
      </w:pPr>
      <w:r>
        <w:rPr>
          <w:color w:val="000000"/>
          <w:u w:val="single"/>
        </w:rPr>
        <w:t>Contraceptifs oraux</w:t>
      </w:r>
    </w:p>
    <w:p w14:paraId="1CC44530" w14:textId="77777777" w:rsidR="00375EAB" w:rsidRPr="00D2126A" w:rsidRDefault="000E5A86" w:rsidP="00C93C76">
      <w:pPr>
        <w:tabs>
          <w:tab w:val="left" w:pos="360"/>
        </w:tabs>
        <w:autoSpaceDE w:val="0"/>
        <w:autoSpaceDN w:val="0"/>
        <w:adjustRightInd w:val="0"/>
        <w:rPr>
          <w:color w:val="000000"/>
          <w:szCs w:val="24"/>
        </w:rPr>
      </w:pPr>
      <w:r>
        <w:rPr>
          <w:color w:val="000000"/>
        </w:rPr>
        <w:t xml:space="preserve">Aucune étude d’interaction n’a été réalisée concernant les contraceptifs oraux. Le lénalidomide n’est pas un inducteur enzymatique. Lors d’une étude </w:t>
      </w:r>
      <w:r>
        <w:rPr>
          <w:i/>
          <w:color w:val="000000"/>
        </w:rPr>
        <w:t>in vitro</w:t>
      </w:r>
      <w:r>
        <w:rPr>
          <w:color w:val="000000"/>
        </w:rPr>
        <w:t xml:space="preserve"> sur des hépatocytes humains, le lénalidomide, aux diverses concentrations testées, n’a pas eu d’effet inducteur sur les enzymes CYP1A2, CYP2B6, CYP2C9, CYP2C19 et CYP3A4/5. Par conséquent, aucune induction entraînant une réduction d’efficacité des médicaments, notamment des contraceptifs hormonaux, n’est attendue en cas d’administration de lénalidomide seul. La dexaméthasone est néanmoins connue pour être un inducteur faible à modéré du CYP3A4 et risque probablement d’affecter d’autres enzymes ainsi que des protéines de transport. Il ne peut être exclu que l’efficacité des contraceptifs oraux se trouve réduite lors du traitement. Les mesures efficaces nécessaires doivent être prises pour éviter toute grossesse (voir rubriques 4.4 et 4.6).</w:t>
      </w:r>
    </w:p>
    <w:p w14:paraId="309F014E" w14:textId="77777777" w:rsidR="00375EAB" w:rsidRPr="00D2126A" w:rsidRDefault="00375EAB" w:rsidP="00C93C76">
      <w:pPr>
        <w:tabs>
          <w:tab w:val="left" w:pos="360"/>
        </w:tabs>
        <w:autoSpaceDE w:val="0"/>
        <w:autoSpaceDN w:val="0"/>
        <w:adjustRightInd w:val="0"/>
        <w:rPr>
          <w:color w:val="000000"/>
        </w:rPr>
      </w:pPr>
    </w:p>
    <w:p w14:paraId="5F01D005" w14:textId="77777777" w:rsidR="00375EAB" w:rsidRPr="00D2126A" w:rsidRDefault="000E5A86" w:rsidP="00C93C76">
      <w:pPr>
        <w:keepNext/>
        <w:rPr>
          <w:color w:val="000000"/>
          <w:u w:val="single"/>
        </w:rPr>
      </w:pPr>
      <w:r>
        <w:rPr>
          <w:color w:val="000000"/>
          <w:u w:val="single"/>
        </w:rPr>
        <w:t>Warfarine</w:t>
      </w:r>
    </w:p>
    <w:p w14:paraId="639642FB" w14:textId="77777777" w:rsidR="00375EAB" w:rsidRPr="00D2126A" w:rsidRDefault="000E5A86" w:rsidP="00C93C76">
      <w:pPr>
        <w:rPr>
          <w:color w:val="000000"/>
        </w:rPr>
      </w:pPr>
      <w:r>
        <w:rPr>
          <w:color w:val="000000"/>
        </w:rPr>
        <w:t>L’administration concomitante de doses multiples de 10 mg de lénalidomide n’a eu aucun effet sur les caractéristiques pharmacocinétiques d’une dose unique de warfarine R et S. L’administration concomitante d’une dose unique de 25 mg de warfarine n’a eu aucun effet sur les caractéristiques pharmacocinétiques du lénalidomide. On ignore toutefois s’il existe des interactions dans le cadre d’une utilisation clinique (en association avec la dexaméthasone). La dexaméthasone est un inducteur enzymatique faible à modéré ; ses effets sur la warfarine ne sont pas connus. Une surveillance étroite de la concentration de la warfarine est conseillée pendant le traitement.</w:t>
      </w:r>
    </w:p>
    <w:p w14:paraId="169477FE" w14:textId="77777777" w:rsidR="00375EAB" w:rsidRPr="00D2126A" w:rsidRDefault="00375EAB" w:rsidP="00C93C76">
      <w:pPr>
        <w:rPr>
          <w:color w:val="000000"/>
        </w:rPr>
      </w:pPr>
    </w:p>
    <w:p w14:paraId="58CC18D3" w14:textId="77777777" w:rsidR="00375EAB" w:rsidRPr="00D2126A" w:rsidRDefault="000E5A86" w:rsidP="00C93C76">
      <w:pPr>
        <w:keepNext/>
        <w:rPr>
          <w:color w:val="000000"/>
        </w:rPr>
      </w:pPr>
      <w:r>
        <w:rPr>
          <w:color w:val="000000"/>
          <w:u w:val="single"/>
        </w:rPr>
        <w:t>Digoxine</w:t>
      </w:r>
    </w:p>
    <w:p w14:paraId="28E1306B" w14:textId="520D0F1B" w:rsidR="00375EAB" w:rsidRPr="00D2126A" w:rsidRDefault="000E5A86" w:rsidP="00C93C76">
      <w:pPr>
        <w:rPr>
          <w:color w:val="000000"/>
        </w:rPr>
      </w:pPr>
      <w:r>
        <w:rPr>
          <w:color w:val="000000"/>
        </w:rPr>
        <w:t>L’administration concomitante de lénalidomide 10 mg en une prise par jour a accru l’exposition plasmatique à la digoxine (0,5 mg, dose unique) de 14 % avec un IC (intervalle de confiance) à 90 % [0,52–28,2 %]. On ignore si les effets seraient différents en pratique clinique (doses du lénalidomide plus élevées et administration concomitante de dexaméthasone). Il est donc conseillé de surveiller la concentration de la digoxine pendant le traitement par le lénalidomide.</w:t>
      </w:r>
    </w:p>
    <w:p w14:paraId="620B4393" w14:textId="77777777" w:rsidR="00375EAB" w:rsidRPr="00D2126A" w:rsidRDefault="00375EAB" w:rsidP="00C93C76">
      <w:pPr>
        <w:pStyle w:val="Date"/>
        <w:rPr>
          <w:color w:val="000000"/>
        </w:rPr>
      </w:pPr>
    </w:p>
    <w:p w14:paraId="652C3BE9" w14:textId="77777777" w:rsidR="00285B4C" w:rsidRPr="00D2126A" w:rsidRDefault="000E5A86" w:rsidP="00C93C76">
      <w:pPr>
        <w:keepNext/>
        <w:rPr>
          <w:u w:val="single"/>
        </w:rPr>
      </w:pPr>
      <w:r>
        <w:rPr>
          <w:u w:val="single"/>
        </w:rPr>
        <w:t>Statines</w:t>
      </w:r>
    </w:p>
    <w:p w14:paraId="6D034DDB" w14:textId="77777777" w:rsidR="00285B4C" w:rsidRPr="00D2126A" w:rsidRDefault="000E5A86" w:rsidP="00C93C76">
      <w:pPr>
        <w:rPr>
          <w:bCs/>
          <w:iCs/>
        </w:rPr>
      </w:pPr>
      <w:r>
        <w:t>Il existe un risque accru de rhabdomyolyse lorsque les statines sont administrées avec le lénalidomide, qui peut être simplement additif. Une surveillance clinique et biologique renforcée est nécessaire, en particulier pendant les premières semaines de traitement.</w:t>
      </w:r>
    </w:p>
    <w:p w14:paraId="32CEC032" w14:textId="77777777" w:rsidR="00A57CA4" w:rsidRPr="00D2126A" w:rsidRDefault="00A57CA4" w:rsidP="00C93C76"/>
    <w:p w14:paraId="40B01EE6" w14:textId="77777777" w:rsidR="00A57CA4" w:rsidRPr="00D2126A" w:rsidRDefault="000E5A86" w:rsidP="00C93C76">
      <w:pPr>
        <w:pStyle w:val="Date"/>
        <w:keepNext/>
      </w:pPr>
      <w:r>
        <w:rPr>
          <w:color w:val="000000"/>
          <w:u w:val="single"/>
        </w:rPr>
        <w:t>Dexaméthasone</w:t>
      </w:r>
    </w:p>
    <w:p w14:paraId="3F9E2423" w14:textId="77777777" w:rsidR="00A57CA4" w:rsidRPr="00D2126A" w:rsidRDefault="000E5A86" w:rsidP="00C93C76">
      <w:pPr>
        <w:pStyle w:val="Date"/>
        <w:rPr>
          <w:rFonts w:eastAsia="MS Mincho"/>
          <w:color w:val="000000"/>
        </w:rPr>
      </w:pPr>
      <w:r>
        <w:rPr>
          <w:color w:val="000000"/>
        </w:rPr>
        <w:t>L’administration concomitante de doses uniques ou répétées de dexaméthasone (40 mg en une prise par jour) n’a pas eu d’effet cliniquement pertinent sur la pharmacocinétique à doses répétées du lénalidomide (25 mg en une prise par jour).</w:t>
      </w:r>
    </w:p>
    <w:p w14:paraId="30DD309A" w14:textId="77777777" w:rsidR="00B61ED7" w:rsidRPr="00D2126A" w:rsidRDefault="00B61ED7" w:rsidP="00C93C76"/>
    <w:p w14:paraId="309E4E47" w14:textId="77777777" w:rsidR="0042469A" w:rsidRPr="00D2126A" w:rsidRDefault="000E5A86" w:rsidP="00C93C76">
      <w:pPr>
        <w:keepNext/>
        <w:ind w:left="567" w:hanging="567"/>
        <w:rPr>
          <w:i/>
          <w:color w:val="000000"/>
          <w:u w:val="single"/>
        </w:rPr>
      </w:pPr>
      <w:r>
        <w:rPr>
          <w:color w:val="000000"/>
          <w:u w:val="single"/>
        </w:rPr>
        <w:t>Interactions avec les inhibiteurs de la glycoprotéine P (P</w:t>
      </w:r>
      <w:r>
        <w:rPr>
          <w:color w:val="000000"/>
          <w:u w:val="single"/>
        </w:rPr>
        <w:noBreakHyphen/>
        <w:t>gp)</w:t>
      </w:r>
    </w:p>
    <w:p w14:paraId="442DB476" w14:textId="4842DD20" w:rsidR="00A57CA4" w:rsidRPr="00D2126A" w:rsidRDefault="000E5A86" w:rsidP="0094597D">
      <w:pPr>
        <w:rPr>
          <w:rFonts w:eastAsia="MS Mincho"/>
        </w:rPr>
      </w:pPr>
      <w:r>
        <w:rPr>
          <w:i/>
        </w:rPr>
        <w:t>In vitro</w:t>
      </w:r>
      <w:r>
        <w:t>, le lénalidomide est un substrat faible de la P</w:t>
      </w:r>
      <w:r>
        <w:noBreakHyphen/>
        <w:t>gp mais pas un inhibiteur de la P</w:t>
      </w:r>
      <w:r>
        <w:noBreakHyphen/>
        <w:t>gp. L’administration concomitante de doses répétées de quinidine, un inhibiteur puissant de la P</w:t>
      </w:r>
      <w:r>
        <w:noBreakHyphen/>
        <w:t>gp (600 mg deux fois par jour) ou de temsirolimus, un inhibiteur/substrat modéré de la P</w:t>
      </w:r>
      <w:r>
        <w:noBreakHyphen/>
        <w:t>gp (25 mg) n’a pas eu d’effet cliniquement pertinent sur la pharmacocinétique du lénalidomide (25 mg). L’administration concomitante de lénalidomide ne modifie pas la pharmacocinétique du temsirolimus.</w:t>
      </w:r>
    </w:p>
    <w:p w14:paraId="2870F553" w14:textId="77777777" w:rsidR="00375EAB" w:rsidRPr="00D2126A" w:rsidRDefault="00375EAB" w:rsidP="00C93C76">
      <w:pPr>
        <w:pStyle w:val="Date"/>
        <w:rPr>
          <w:color w:val="000000"/>
        </w:rPr>
      </w:pPr>
    </w:p>
    <w:p w14:paraId="10803E8E" w14:textId="77777777" w:rsidR="00375EAB" w:rsidRPr="00D2126A" w:rsidRDefault="000E5A86" w:rsidP="00C93C76">
      <w:pPr>
        <w:keepNext/>
        <w:ind w:left="567" w:hanging="567"/>
        <w:rPr>
          <w:color w:val="000000"/>
        </w:rPr>
      </w:pPr>
      <w:r>
        <w:rPr>
          <w:b/>
          <w:color w:val="000000"/>
        </w:rPr>
        <w:t>4.6</w:t>
      </w:r>
      <w:r>
        <w:rPr>
          <w:b/>
          <w:color w:val="000000"/>
        </w:rPr>
        <w:tab/>
        <w:t>Fertilité, grossesse et allaitement</w:t>
      </w:r>
    </w:p>
    <w:p w14:paraId="22EC996A" w14:textId="77777777" w:rsidR="00375EAB" w:rsidRPr="00D2126A" w:rsidRDefault="00375EAB" w:rsidP="00C93C76">
      <w:pPr>
        <w:keepNext/>
        <w:rPr>
          <w:iCs/>
        </w:rPr>
      </w:pPr>
    </w:p>
    <w:p w14:paraId="69C64A74" w14:textId="11676FA1" w:rsidR="00D0682A" w:rsidRPr="00D2126A" w:rsidRDefault="000E5A86" w:rsidP="00C93C76">
      <w:r>
        <w:t>Du fait de son potentiel tératogène, le lénalidomide doit être prescrit dans le cadre d’un programme de prévention de la grossesse (voir rubrique 4.4), à moins de pouvoir affirmer avec certitude que la patiente est dans l’impossibilité de procréer.</w:t>
      </w:r>
    </w:p>
    <w:p w14:paraId="772320E6" w14:textId="77777777" w:rsidR="00D0682A" w:rsidRPr="00D2126A" w:rsidRDefault="00D0682A" w:rsidP="00C93C76">
      <w:pPr>
        <w:pStyle w:val="Date"/>
      </w:pPr>
    </w:p>
    <w:p w14:paraId="19B212D0" w14:textId="0181B7AE" w:rsidR="00375EAB" w:rsidRPr="00D2126A" w:rsidRDefault="000E5A86" w:rsidP="00C93C76">
      <w:pPr>
        <w:keepNext/>
        <w:rPr>
          <w:color w:val="000000"/>
          <w:u w:val="single"/>
        </w:rPr>
      </w:pPr>
      <w:r>
        <w:rPr>
          <w:color w:val="000000"/>
          <w:u w:val="single"/>
        </w:rPr>
        <w:t>Femmes en âge de procréer / Contraception chez les hommes et les femmes</w:t>
      </w:r>
    </w:p>
    <w:p w14:paraId="5F8887C2" w14:textId="77777777" w:rsidR="00375EAB" w:rsidRPr="00D2126A" w:rsidRDefault="000E5A86" w:rsidP="00C93C76">
      <w:pPr>
        <w:rPr>
          <w:color w:val="000000"/>
        </w:rPr>
      </w:pPr>
      <w:r>
        <w:rPr>
          <w:color w:val="000000"/>
        </w:rPr>
        <w:t>Les femmes en âge de procréer doivent recourir à une méthode de contraception efficace. En cas de survenue d’une grossesse chez une femme traitée par le lénalidomide, le traitement doit être arrêté et la patiente doit être adressée à un médecin spécialiste ou expérimenté en tératologie pour évaluation et conseil. En cas de survenue d’une grossesse chez la partenaire d’un homme traité par le lénalidomide, il est recommandé d’adresser la femme à un médecin spécialiste ou expérimenté en tératologie pour évaluation et conseil.</w:t>
      </w:r>
    </w:p>
    <w:p w14:paraId="13CD0149" w14:textId="77777777" w:rsidR="00375EAB" w:rsidRPr="00D2126A" w:rsidRDefault="00375EAB" w:rsidP="00C93C76">
      <w:pPr>
        <w:rPr>
          <w:color w:val="000000"/>
        </w:rPr>
      </w:pPr>
    </w:p>
    <w:p w14:paraId="3AB6FEE6" w14:textId="42888193" w:rsidR="00375EAB" w:rsidRPr="00D2126A" w:rsidRDefault="000E5A86" w:rsidP="00C93C76">
      <w:pPr>
        <w:rPr>
          <w:color w:val="000000"/>
        </w:rPr>
      </w:pPr>
      <w:r>
        <w:rPr>
          <w:color w:val="000000"/>
        </w:rPr>
        <w:t>Le lénalidomide est présent dans le sperme humain à des concentrations extrêmement faibles pendant le traitement et il est indétectable 3 jours après l’arrêt du médicament chez les sujets sains (voir rubrique 5.2). À titre de précaution et en tenant compte de l’allongement du temps d’élimination dans les populations particulières telles que les patients présentant une insuffisance rénale, tous les hommes traités par le lénalidomide doivent donc utiliser des préservatifs pendant toute la durée du traitement, y compris en cas d’interruption des prises, et pendant 1 semaine à l’issue du traitement si leur partenaire est enceinte ou en âge de procréer et n’utilise pas de méthode contraceptive.</w:t>
      </w:r>
    </w:p>
    <w:p w14:paraId="195D8BEF" w14:textId="77777777" w:rsidR="00375EAB" w:rsidRPr="00D2126A" w:rsidRDefault="00375EAB" w:rsidP="00C93C76">
      <w:pPr>
        <w:pStyle w:val="Date"/>
        <w:rPr>
          <w:color w:val="000000"/>
        </w:rPr>
      </w:pPr>
    </w:p>
    <w:p w14:paraId="34CE0327" w14:textId="77777777" w:rsidR="00375EAB" w:rsidRPr="00D2126A" w:rsidRDefault="000E5A86" w:rsidP="00C93C76">
      <w:pPr>
        <w:keepNext/>
        <w:rPr>
          <w:color w:val="000000"/>
          <w:u w:val="single"/>
        </w:rPr>
      </w:pPr>
      <w:r>
        <w:rPr>
          <w:color w:val="000000"/>
          <w:u w:val="single"/>
        </w:rPr>
        <w:t>Grossesse</w:t>
      </w:r>
    </w:p>
    <w:p w14:paraId="5E5BB2E7" w14:textId="77777777" w:rsidR="00375EAB" w:rsidRPr="00D2126A" w:rsidRDefault="000E5A86" w:rsidP="00C93C76">
      <w:pPr>
        <w:rPr>
          <w:color w:val="000000"/>
        </w:rPr>
      </w:pPr>
      <w:r>
        <w:rPr>
          <w:color w:val="000000"/>
        </w:rPr>
        <w:t>Le lénalidomide est structurellement proche du thalidomide. Le thalidomide est un tératogène connu, provoquant des anomalies congénitales graves, potentiellement létales chez l’enfant à naître après exposition pendant la grossesse.</w:t>
      </w:r>
    </w:p>
    <w:p w14:paraId="7EEB298C" w14:textId="77777777" w:rsidR="00375EAB" w:rsidRPr="00D2126A" w:rsidRDefault="00375EAB" w:rsidP="00C93C76">
      <w:pPr>
        <w:rPr>
          <w:color w:val="000000"/>
        </w:rPr>
      </w:pPr>
    </w:p>
    <w:p w14:paraId="1EA5D3B3" w14:textId="0C5142AB" w:rsidR="00375EAB" w:rsidRPr="00D2126A" w:rsidRDefault="000E5A86" w:rsidP="00C93C76">
      <w:pPr>
        <w:rPr>
          <w:color w:val="000000"/>
        </w:rPr>
      </w:pPr>
      <w:r>
        <w:rPr>
          <w:color w:val="000000"/>
        </w:rPr>
        <w:t>Le lénalidomide induit chez les singes des malformations similaires à celles décrites avec le thalidomide (voir rubrique 5.3). Par conséquent, un effet tératogène du lénalidomide est attendu et l’utilisation du lénalidomide au cours de la grossesse est contre</w:t>
      </w:r>
      <w:r>
        <w:rPr>
          <w:color w:val="000000"/>
        </w:rPr>
        <w:noBreakHyphen/>
        <w:t>indiquée (voir rubrique 4.3).</w:t>
      </w:r>
    </w:p>
    <w:p w14:paraId="5AB74CF9" w14:textId="77777777" w:rsidR="00375EAB" w:rsidRPr="00D2126A" w:rsidRDefault="00375EAB" w:rsidP="00C93C76">
      <w:pPr>
        <w:rPr>
          <w:color w:val="000000"/>
        </w:rPr>
      </w:pPr>
    </w:p>
    <w:p w14:paraId="4510C938" w14:textId="77777777" w:rsidR="00375EAB" w:rsidRPr="00D2126A" w:rsidRDefault="000E5A86" w:rsidP="00C93C76">
      <w:pPr>
        <w:keepNext/>
        <w:rPr>
          <w:color w:val="000000"/>
          <w:u w:val="single"/>
        </w:rPr>
      </w:pPr>
      <w:r>
        <w:rPr>
          <w:color w:val="000000"/>
          <w:u w:val="single"/>
        </w:rPr>
        <w:t>Allaitement</w:t>
      </w:r>
    </w:p>
    <w:p w14:paraId="30043E3D" w14:textId="77777777" w:rsidR="00375EAB" w:rsidRPr="00D2126A" w:rsidRDefault="000E5A86" w:rsidP="00C93C76">
      <w:pPr>
        <w:rPr>
          <w:color w:val="000000"/>
        </w:rPr>
      </w:pPr>
      <w:r>
        <w:rPr>
          <w:color w:val="000000"/>
        </w:rPr>
        <w:t>On ignore si le lénalidomide est excrété dans le lait maternel. L’allaitement doit donc être interrompu pendant le traitement par le lénalidomide.</w:t>
      </w:r>
    </w:p>
    <w:p w14:paraId="2DD47C48" w14:textId="77777777" w:rsidR="00375EAB" w:rsidRPr="00D2126A" w:rsidRDefault="00375EAB" w:rsidP="00C93C76">
      <w:pPr>
        <w:rPr>
          <w:color w:val="000000"/>
        </w:rPr>
      </w:pPr>
    </w:p>
    <w:p w14:paraId="4BB0B2FE" w14:textId="77777777" w:rsidR="00375EAB" w:rsidRPr="00D2126A" w:rsidRDefault="000E5A86" w:rsidP="00C93C76">
      <w:pPr>
        <w:keepNext/>
        <w:rPr>
          <w:color w:val="000000"/>
          <w:u w:val="single"/>
        </w:rPr>
      </w:pPr>
      <w:r>
        <w:rPr>
          <w:color w:val="000000"/>
          <w:u w:val="single"/>
        </w:rPr>
        <w:t>Fertilité</w:t>
      </w:r>
    </w:p>
    <w:p w14:paraId="54CF9622" w14:textId="2226AB42" w:rsidR="00375EAB" w:rsidRPr="00D2126A" w:rsidRDefault="000E5A86" w:rsidP="00C93C76">
      <w:pPr>
        <w:pStyle w:val="Date"/>
        <w:rPr>
          <w:color w:val="000000"/>
        </w:rPr>
      </w:pPr>
      <w:r>
        <w:rPr>
          <w:color w:val="000000"/>
        </w:rPr>
        <w:t>Dans une étude de fertilité chez le rat, des doses de lénalidomide allant jusqu’à 500 mg/kg (environ 200 à 500 fois respectivement les doses humaines de 25 mg et 10 mg sur la base de la surface corporelle) n’ont pas entraîné d’effets indésirables sur la fertilité, ni de toxicité parentale.</w:t>
      </w:r>
    </w:p>
    <w:p w14:paraId="3ABF8AB7" w14:textId="77777777" w:rsidR="00375EAB" w:rsidRPr="00D2126A" w:rsidRDefault="00375EAB" w:rsidP="00C93C76">
      <w:pPr>
        <w:pStyle w:val="Date"/>
        <w:rPr>
          <w:color w:val="000000"/>
        </w:rPr>
      </w:pPr>
    </w:p>
    <w:p w14:paraId="61396BB1" w14:textId="77777777" w:rsidR="00375EAB" w:rsidRPr="00D2126A" w:rsidRDefault="000E5A86" w:rsidP="00C93C76">
      <w:pPr>
        <w:keepNext/>
        <w:ind w:left="567" w:hanging="567"/>
        <w:rPr>
          <w:color w:val="000000"/>
        </w:rPr>
      </w:pPr>
      <w:r>
        <w:rPr>
          <w:b/>
          <w:color w:val="000000"/>
        </w:rPr>
        <w:t>4.7</w:t>
      </w:r>
      <w:r>
        <w:rPr>
          <w:b/>
          <w:color w:val="000000"/>
        </w:rPr>
        <w:tab/>
        <w:t>Effets sur l’aptitude à conduire des véhicules et à utiliser des machines</w:t>
      </w:r>
    </w:p>
    <w:p w14:paraId="72E53DA3" w14:textId="77777777" w:rsidR="00375EAB" w:rsidRPr="00D2126A" w:rsidRDefault="00375EAB" w:rsidP="00C93C76">
      <w:pPr>
        <w:keepNext/>
        <w:rPr>
          <w:color w:val="000000"/>
        </w:rPr>
      </w:pPr>
    </w:p>
    <w:p w14:paraId="5F7A9C56" w14:textId="77777777" w:rsidR="00375EAB" w:rsidRPr="00D2126A" w:rsidRDefault="000E5A86" w:rsidP="00C93C76">
      <w:pPr>
        <w:rPr>
          <w:color w:val="000000"/>
        </w:rPr>
      </w:pPr>
      <w:r>
        <w:rPr>
          <w:color w:val="000000"/>
        </w:rPr>
        <w:t>Le lénalidomide a une influence mineure ou modérée sur l’aptitude à conduire des véhicules et à utiliser des machines. Des cas de fatigue, étourdissements, somnolence, vertiges et vision trouble ont été signalés lors de l’utilisation du lénalidomide. La conduite de véhicules ou l’utilisation de machines devront donc se faire avec précaution.</w:t>
      </w:r>
    </w:p>
    <w:p w14:paraId="7DCC6E79" w14:textId="77777777" w:rsidR="00375EAB" w:rsidRPr="00D2126A" w:rsidRDefault="00375EAB" w:rsidP="00C93C76">
      <w:pPr>
        <w:rPr>
          <w:color w:val="000000"/>
        </w:rPr>
      </w:pPr>
    </w:p>
    <w:p w14:paraId="26B712FE" w14:textId="77777777" w:rsidR="00375EAB" w:rsidRPr="00D2126A" w:rsidRDefault="000E5A86" w:rsidP="00C93C76">
      <w:pPr>
        <w:keepNext/>
        <w:ind w:left="567" w:hanging="567"/>
        <w:rPr>
          <w:b/>
          <w:color w:val="000000"/>
        </w:rPr>
      </w:pPr>
      <w:r>
        <w:rPr>
          <w:b/>
          <w:color w:val="000000"/>
        </w:rPr>
        <w:t>4.8</w:t>
      </w:r>
      <w:r>
        <w:rPr>
          <w:b/>
          <w:color w:val="000000"/>
        </w:rPr>
        <w:tab/>
        <w:t>Effets indésirables</w:t>
      </w:r>
    </w:p>
    <w:p w14:paraId="586057A3" w14:textId="77777777" w:rsidR="00375EAB" w:rsidRPr="00D2126A" w:rsidRDefault="00375EAB" w:rsidP="00C93C76">
      <w:pPr>
        <w:keepNext/>
        <w:rPr>
          <w:color w:val="000000"/>
        </w:rPr>
      </w:pPr>
    </w:p>
    <w:p w14:paraId="7F4E69A2" w14:textId="77777777" w:rsidR="00036363" w:rsidRPr="00D2126A" w:rsidRDefault="000E5A86" w:rsidP="00C93C76">
      <w:pPr>
        <w:keepNext/>
        <w:rPr>
          <w:color w:val="000000"/>
          <w:u w:val="single"/>
        </w:rPr>
      </w:pPr>
      <w:r>
        <w:rPr>
          <w:color w:val="000000"/>
          <w:u w:val="single"/>
        </w:rPr>
        <w:t>Résumé du profil de sécurité</w:t>
      </w:r>
    </w:p>
    <w:p w14:paraId="7166F230" w14:textId="3DBFB9F9" w:rsidR="00F7013F" w:rsidRPr="00D2126A" w:rsidRDefault="000E5A86" w:rsidP="0094597D">
      <w:pPr>
        <w:pStyle w:val="Style21"/>
      </w:pPr>
      <w:r>
        <w:t>Myélome multiple non préalablement traité : patients recevant le lénalidomide en traitement d’entretien après une AGCS</w:t>
      </w:r>
    </w:p>
    <w:p w14:paraId="15661B1F" w14:textId="6A1F320E" w:rsidR="00F7013F" w:rsidRPr="00D2126A" w:rsidRDefault="000E5A86" w:rsidP="0094597D">
      <w:r>
        <w:t>Une approche conservatrice a été adoptée pour déterminer les effets indésirables survenus au cours de l’étude CALGB 100104. Les effets indésirables décrits dans le tableau 1 incluaient les événements rapportés après un traitement par MFD/AGCS, ainsi que les événements survenus au cours de la période de traitement d’entretien. Une deuxième analyse ayant identifié les événements survenus après le début du traitement d’entretien suggère que les fréquences décrites dans le tableau 1 peuvent être plus élevées que celles observées pendant la période de traitement d’entretien. Dans l’étude IFM 2005</w:t>
      </w:r>
      <w:r>
        <w:noBreakHyphen/>
        <w:t>02, les effets indésirables ne concernaient que la période de traitement d’entretien.</w:t>
      </w:r>
    </w:p>
    <w:p w14:paraId="092B2C3D" w14:textId="77777777" w:rsidR="00F7013F" w:rsidRPr="00D2126A" w:rsidRDefault="00F7013F" w:rsidP="00C93C76"/>
    <w:p w14:paraId="584CC792" w14:textId="42EFBC09" w:rsidR="00F7013F" w:rsidRPr="00D2126A" w:rsidRDefault="000E5A86" w:rsidP="00C93C76">
      <w:pPr>
        <w:pStyle w:val="Date"/>
        <w:keepNext/>
      </w:pPr>
      <w:r>
        <w:t>Les effets indésirables graves observés plus fréquemment (≥ 5 %) avec le lénalidomide en traitement d’entretien qu’avec le placebo ont été :</w:t>
      </w:r>
    </w:p>
    <w:p w14:paraId="14911AB6" w14:textId="1A030514" w:rsidR="00F7013F" w:rsidRPr="00D2126A" w:rsidRDefault="000E5A86" w:rsidP="00C93C76">
      <w:pPr>
        <w:pStyle w:val="Date"/>
        <w:keepNext/>
        <w:numPr>
          <w:ilvl w:val="0"/>
          <w:numId w:val="55"/>
        </w:numPr>
        <w:ind w:left="567" w:hanging="567"/>
      </w:pPr>
      <w:r>
        <w:t>pneumonie (10,6 % ; terme combiné) dans l’étude IFM 2005</w:t>
      </w:r>
      <w:r>
        <w:noBreakHyphen/>
        <w:t>02 ;</w:t>
      </w:r>
    </w:p>
    <w:p w14:paraId="1DBA7676" w14:textId="2B078BC5" w:rsidR="00F7013F" w:rsidRPr="00D2126A" w:rsidRDefault="000E5A86" w:rsidP="00C93C76">
      <w:pPr>
        <w:pStyle w:val="Date"/>
        <w:numPr>
          <w:ilvl w:val="0"/>
          <w:numId w:val="55"/>
        </w:numPr>
        <w:ind w:left="567" w:hanging="567"/>
      </w:pPr>
      <w:r>
        <w:t>infection pulmonaire (9,4 % [9,4 % après le début du traitement d’entretien]) dans l’étude CALGB 100104.</w:t>
      </w:r>
    </w:p>
    <w:p w14:paraId="155F4524" w14:textId="77777777" w:rsidR="00F7013F" w:rsidRPr="00D2126A" w:rsidRDefault="00F7013F" w:rsidP="00C93C76"/>
    <w:p w14:paraId="02EC395E" w14:textId="67B2A2C9" w:rsidR="00F7013F" w:rsidRPr="00D2126A" w:rsidRDefault="000E5A86" w:rsidP="0094597D">
      <w:r>
        <w:t>Dans l’étude IFM 2005</w:t>
      </w:r>
      <w:r>
        <w:noBreakHyphen/>
        <w:t>02, les effets indésirables observés plus fréquemment avec le lénalidomide en traitement d’entretien qu’avec le placebo ont été : neutropénie (60,8 %), bronchite (47,4 %), diarrhée (38,9 %), rhinopharyngite (34,8 %), spasmes musculaires (33,4 %), leucopénie (31,7 %), asthénie (29,7 %), toux (27,3 %), thrombopénie (23,5 %), gastro</w:t>
      </w:r>
      <w:r>
        <w:noBreakHyphen/>
        <w:t>entérite (22,5 %) et pyrexie (20,5 %).</w:t>
      </w:r>
    </w:p>
    <w:p w14:paraId="3B6182F8" w14:textId="77777777" w:rsidR="00F7013F" w:rsidRPr="00D2126A" w:rsidRDefault="00F7013F" w:rsidP="00C93C76"/>
    <w:p w14:paraId="26EA4A4D" w14:textId="541A11EB" w:rsidR="00F7013F" w:rsidRPr="00D2126A" w:rsidRDefault="000E5A86" w:rsidP="0094597D">
      <w:r>
        <w:t>Dans l’étude CALGB 100104, les effets indésirables observés plus fréquemment avec le lénalidomide en traitement d’entretien qu’avec le placebo ont été : neutropénie (79,0 % [71,9 % après le début du traitement d’entretien]), thrombopénie (72,3 % [61,6 %]), diarrhée (54,5 % [46,4 %]), éruption cutanée (31,7 % 25,0 %]), infection des voies respiratoires supérieures (26,8 % [26,8 %]), fatigue (22,8 % [17,9 %]), leucopénie (22,8 % [18,8 %]) et anémie (21,0 % [13,8 %]).</w:t>
      </w:r>
    </w:p>
    <w:p w14:paraId="05312D2A" w14:textId="77777777" w:rsidR="00F7013F" w:rsidRPr="00D2126A" w:rsidRDefault="00F7013F" w:rsidP="00C93C76"/>
    <w:p w14:paraId="4A9E58C8" w14:textId="77777777" w:rsidR="00D76FC0" w:rsidRPr="00D2126A" w:rsidRDefault="000E5A86" w:rsidP="0094597D">
      <w:pPr>
        <w:pStyle w:val="Style21"/>
      </w:pPr>
      <w:r>
        <w:t>Myélome multiple non préalablement traité : patients non éligibles à une greffe recevant le lénalidomide en association avec le bortézomib et la dexaméthasone</w:t>
      </w:r>
    </w:p>
    <w:p w14:paraId="2E619075" w14:textId="1579DF41" w:rsidR="00036363" w:rsidRPr="00D2126A" w:rsidRDefault="000E5A86" w:rsidP="00C93C76">
      <w:pPr>
        <w:keepNext/>
      </w:pPr>
      <w:r>
        <w:t>Dans l’étude SWOG S0777, les effets indésirables graves observés plus fréquemment (≥ 5 %) avec le lénalidomide en association avec le bortézomib intraveineux et la dexaméthasone qu’avec le lénalidomide en association avec la dexaméthasone ont été :</w:t>
      </w:r>
    </w:p>
    <w:p w14:paraId="7C0B05F3" w14:textId="7E37666E" w:rsidR="00AB7ACC" w:rsidRPr="00D2126A" w:rsidRDefault="000E5A86" w:rsidP="00C93C76">
      <w:pPr>
        <w:pStyle w:val="Date"/>
        <w:numPr>
          <w:ilvl w:val="0"/>
          <w:numId w:val="56"/>
        </w:numPr>
        <w:ind w:left="567" w:hanging="567"/>
      </w:pPr>
      <w:r>
        <w:t>hypotension (6,5 %), infection pulmonaire (5,7 %), déshydratation (5,0 %).</w:t>
      </w:r>
    </w:p>
    <w:p w14:paraId="4DF0351C" w14:textId="77777777" w:rsidR="00AB7ACC" w:rsidRPr="00D2126A" w:rsidRDefault="00AB7ACC" w:rsidP="00C93C76"/>
    <w:p w14:paraId="59DEA889" w14:textId="77777777" w:rsidR="00036363" w:rsidRPr="00D2126A" w:rsidRDefault="000E5A86" w:rsidP="00C93C76">
      <w:r>
        <w:t>Les effets indésirables observés plus fréquemment avec le lénalidomide en association avec le bortézomib et la dexaméthasone qu’avec le lénalidomide en association avec la dexaméthasone ont été : fatigue (73,7 %), neuropathie périphérique (71,8 %), thrombopénie (57,6 %), constipation (56,1 %), hypocalcémie (50,0 %).</w:t>
      </w:r>
    </w:p>
    <w:p w14:paraId="0DC6A67D" w14:textId="6FEFB423" w:rsidR="00AB7ACC" w:rsidRPr="00D2126A" w:rsidRDefault="00AB7ACC" w:rsidP="00C93C76">
      <w:pPr>
        <w:pStyle w:val="Date"/>
        <w:rPr>
          <w:i/>
          <w:u w:val="single"/>
        </w:rPr>
      </w:pPr>
    </w:p>
    <w:p w14:paraId="18EDAF8D" w14:textId="77777777" w:rsidR="002875D5" w:rsidRPr="00D2126A" w:rsidRDefault="000E5A86" w:rsidP="00C93C76">
      <w:pPr>
        <w:pStyle w:val="Date"/>
        <w:keepNext/>
        <w:rPr>
          <w:i/>
          <w:u w:val="single"/>
        </w:rPr>
      </w:pPr>
      <w:r>
        <w:rPr>
          <w:i/>
          <w:u w:val="single"/>
        </w:rPr>
        <w:t>Myélome multiple non préalablement traité : patients non éligibles à une greffe traités par le lénalidomide en association avec la dexaméthasone à faible dose</w:t>
      </w:r>
    </w:p>
    <w:p w14:paraId="71747927" w14:textId="3A812338" w:rsidR="002875D5" w:rsidRPr="00D2126A" w:rsidRDefault="000E5A86" w:rsidP="00C93C76">
      <w:pPr>
        <w:pStyle w:val="Date"/>
        <w:keepNext/>
      </w:pPr>
      <w:r>
        <w:t>Les effets indésirables graves observés plus fréquemment (≥ 5 %) avec l’association lénalidomide + dexaméthasone à faible dose (Rd et Rd18) qu’avec l’association melphalan, prednisone et thalidomide (MPT) ont été :</w:t>
      </w:r>
    </w:p>
    <w:p w14:paraId="1C58D192" w14:textId="77777777" w:rsidR="002875D5" w:rsidRPr="00D2126A" w:rsidRDefault="000E5A86" w:rsidP="00C93C76">
      <w:pPr>
        <w:pStyle w:val="NoSpacing"/>
        <w:keepNext/>
        <w:numPr>
          <w:ilvl w:val="0"/>
          <w:numId w:val="32"/>
        </w:numPr>
        <w:ind w:left="567" w:hanging="567"/>
      </w:pPr>
      <w:r>
        <w:t>pneumonie (9,8 %) ;</w:t>
      </w:r>
    </w:p>
    <w:p w14:paraId="166C8005" w14:textId="77777777" w:rsidR="002875D5" w:rsidRPr="00D2126A" w:rsidRDefault="000E5A86" w:rsidP="00C93C76">
      <w:pPr>
        <w:pStyle w:val="NoSpacing"/>
        <w:numPr>
          <w:ilvl w:val="0"/>
          <w:numId w:val="32"/>
        </w:numPr>
        <w:ind w:left="567" w:hanging="567"/>
      </w:pPr>
      <w:r>
        <w:t>insuffisance rénale (y compris aiguë) (6,3 %).</w:t>
      </w:r>
    </w:p>
    <w:p w14:paraId="5B77F936" w14:textId="77777777" w:rsidR="002875D5" w:rsidRPr="00D2126A" w:rsidRDefault="002875D5" w:rsidP="00C93C76">
      <w:pPr>
        <w:pStyle w:val="Date"/>
      </w:pPr>
    </w:p>
    <w:p w14:paraId="24A06BB4" w14:textId="77777777" w:rsidR="002875D5" w:rsidRPr="00D2126A" w:rsidRDefault="000E5A86" w:rsidP="00C93C76">
      <w:r>
        <w:t>Les effets indésirables observés plus fréquemment dans les bras Rd ou Rd18 que dans le bras MPT ont été : diarrhée (45,5 %), fatigue (32,8 %), dorsalgies (32,0 %), asthénie (28,2 %), insomnies (27,6 %), rash (24,3 %), diminution de l’appétit (23,1 %), toux (22,7 %), pyrexie (21,4 %) et spasmes musculaires (20,5 %).</w:t>
      </w:r>
    </w:p>
    <w:p w14:paraId="39509F20" w14:textId="77777777" w:rsidR="002875D5" w:rsidRPr="00D2126A" w:rsidRDefault="002875D5" w:rsidP="00C93C76"/>
    <w:p w14:paraId="64F55415" w14:textId="77777777" w:rsidR="002875D5" w:rsidRPr="00D2126A" w:rsidRDefault="000E5A86" w:rsidP="000C6A57">
      <w:pPr>
        <w:pStyle w:val="Style21"/>
      </w:pPr>
      <w:r>
        <w:t>Myélome multiple non préalablement traité : patients non éligibles à une greffe traités par le lénalidomide en association avec le melphalan et la prednisone</w:t>
      </w:r>
    </w:p>
    <w:p w14:paraId="32A79215" w14:textId="0730E5D4" w:rsidR="002875D5" w:rsidRPr="00D2126A" w:rsidRDefault="000E5A86" w:rsidP="00C93C76">
      <w:pPr>
        <w:keepNext/>
      </w:pPr>
      <w:r>
        <w:t>Les effets indésirables graves observés plus fréquemment (≥ 5 %) avec l’association melphalan, prednisone et lénalidomide suivie du lénalidomide en traitement d’entretien (MPR+R) ou melphalan, prednisone et lénalidomide suivie du placebo (MPR+p) qu’avec l’association melphalan, prednisone et placebo suivie du placebo (MPp+p) ont été :</w:t>
      </w:r>
    </w:p>
    <w:p w14:paraId="619BEB0C" w14:textId="77777777" w:rsidR="002875D5" w:rsidRPr="00D2126A" w:rsidRDefault="000E5A86" w:rsidP="00C93C76">
      <w:pPr>
        <w:pStyle w:val="ListParagraph"/>
        <w:keepNext/>
        <w:numPr>
          <w:ilvl w:val="0"/>
          <w:numId w:val="38"/>
        </w:numPr>
        <w:ind w:left="567" w:hanging="567"/>
        <w:rPr>
          <w:rFonts w:ascii="Times New Roman" w:hAnsi="Times New Roman" w:cs="Times New Roman"/>
        </w:rPr>
      </w:pPr>
      <w:r>
        <w:rPr>
          <w:rFonts w:ascii="Times New Roman" w:hAnsi="Times New Roman"/>
        </w:rPr>
        <w:t>neutropénie fébrile (6,0 %) ;</w:t>
      </w:r>
    </w:p>
    <w:p w14:paraId="359506C6" w14:textId="77777777" w:rsidR="000A2EFC" w:rsidRPr="00D2126A" w:rsidRDefault="000E5A86" w:rsidP="00C93C76">
      <w:pPr>
        <w:pStyle w:val="ListParagraph"/>
        <w:numPr>
          <w:ilvl w:val="0"/>
          <w:numId w:val="38"/>
        </w:numPr>
        <w:ind w:left="567" w:hanging="567"/>
        <w:rPr>
          <w:rFonts w:ascii="Times New Roman" w:hAnsi="Times New Roman" w:cs="Times New Roman"/>
        </w:rPr>
      </w:pPr>
      <w:r>
        <w:rPr>
          <w:rFonts w:ascii="Times New Roman" w:hAnsi="Times New Roman"/>
        </w:rPr>
        <w:t>anémie (5,3 %).</w:t>
      </w:r>
    </w:p>
    <w:p w14:paraId="3131A47C" w14:textId="77777777" w:rsidR="002875D5" w:rsidRPr="00D2126A" w:rsidRDefault="002875D5" w:rsidP="00C93C76"/>
    <w:p w14:paraId="587FF89F" w14:textId="77777777" w:rsidR="002875D5" w:rsidRPr="00D2126A" w:rsidRDefault="000E5A86" w:rsidP="00C93C76">
      <w:r>
        <w:t>Les effets indésirables observés plus fréquemment dans les bras MPR+R ou MPR+p que dans le bras MPp+p ont été : neutropénie (83,3 %), anémie (70,7 %), thrombopénie (70,0 %), leucopénie (38,8 %), constipation (34,0 %), diarrhée (33,3 %), éruptions cutanées (28,9 %), pyrexie (27,0 %), œdème périphérique (25,0 %), toux (24,0 %), diminution de l’appétit (23,7 %) et asthénie (22,0 %).</w:t>
      </w:r>
    </w:p>
    <w:p w14:paraId="4071C1DB" w14:textId="77777777" w:rsidR="002875D5" w:rsidRPr="00D2126A" w:rsidRDefault="002875D5" w:rsidP="00C93C76">
      <w:pPr>
        <w:pStyle w:val="Date"/>
      </w:pPr>
    </w:p>
    <w:p w14:paraId="6726BD15" w14:textId="77777777" w:rsidR="00D36483" w:rsidRPr="00D2126A" w:rsidRDefault="000E5A86" w:rsidP="00C93C76">
      <w:pPr>
        <w:keepNext/>
        <w:rPr>
          <w:i/>
          <w:u w:val="single"/>
        </w:rPr>
      </w:pPr>
      <w:r>
        <w:rPr>
          <w:i/>
          <w:u w:val="single"/>
        </w:rPr>
        <w:t>Myélome multiple : patients ayant reçu au moins un traitement antérieur</w:t>
      </w:r>
    </w:p>
    <w:p w14:paraId="36E5BBED" w14:textId="77777777" w:rsidR="00036363" w:rsidRPr="00D2126A" w:rsidRDefault="000E5A86" w:rsidP="00C93C76">
      <w:pPr>
        <w:rPr>
          <w:color w:val="000000"/>
        </w:rPr>
      </w:pPr>
      <w:r>
        <w:rPr>
          <w:color w:val="000000"/>
        </w:rPr>
        <w:t>Lors de deux essais de phase 3 contrôlés par placebo, 353 patients atteints de myélomes multiples ont été traités par l’association lénalidomide/dexaméthasone tandis que 351 ont reçu l’association placebo/dexaméthasone.</w:t>
      </w:r>
    </w:p>
    <w:p w14:paraId="6BCCBD78" w14:textId="4DF4797E" w:rsidR="00375EAB" w:rsidRPr="00D2126A" w:rsidRDefault="00375EAB" w:rsidP="00C93C76">
      <w:pPr>
        <w:rPr>
          <w:color w:val="000000"/>
        </w:rPr>
      </w:pPr>
    </w:p>
    <w:p w14:paraId="288D86FA" w14:textId="77777777" w:rsidR="00375EAB" w:rsidRPr="00D2126A" w:rsidRDefault="000E5A86" w:rsidP="00C93C76">
      <w:pPr>
        <w:keepNext/>
        <w:rPr>
          <w:color w:val="000000"/>
        </w:rPr>
      </w:pPr>
      <w:r>
        <w:rPr>
          <w:color w:val="000000"/>
        </w:rPr>
        <w:t>Les effets indésirables les plus graves observés plus fréquemment avec l’association lénalidomide/dexaméthasone qu’avec l’association placebo/dexaméthasone ont été :</w:t>
      </w:r>
    </w:p>
    <w:p w14:paraId="587FEB54" w14:textId="77777777" w:rsidR="00375EAB" w:rsidRPr="00D2126A" w:rsidRDefault="000E5A86" w:rsidP="00C93C76">
      <w:pPr>
        <w:keepNext/>
        <w:numPr>
          <w:ilvl w:val="0"/>
          <w:numId w:val="16"/>
        </w:numPr>
        <w:tabs>
          <w:tab w:val="clear" w:pos="360"/>
          <w:tab w:val="num" w:pos="567"/>
        </w:tabs>
        <w:ind w:left="567" w:hanging="567"/>
        <w:rPr>
          <w:color w:val="000000"/>
        </w:rPr>
      </w:pPr>
      <w:r>
        <w:rPr>
          <w:color w:val="000000"/>
        </w:rPr>
        <w:t>les accidents thrombo</w:t>
      </w:r>
      <w:r>
        <w:rPr>
          <w:color w:val="000000"/>
        </w:rPr>
        <w:noBreakHyphen/>
        <w:t>emboliques veineux (thromboses veineuses profondes, embolies pulmonaires) (voir rubrique 4.4)</w:t>
      </w:r>
    </w:p>
    <w:p w14:paraId="3E73CC6F" w14:textId="77777777" w:rsidR="00375EAB" w:rsidRPr="00D2126A" w:rsidRDefault="000E5A86" w:rsidP="00C93C76">
      <w:pPr>
        <w:numPr>
          <w:ilvl w:val="0"/>
          <w:numId w:val="16"/>
        </w:numPr>
        <w:tabs>
          <w:tab w:val="clear" w:pos="360"/>
          <w:tab w:val="num" w:pos="567"/>
        </w:tabs>
        <w:ind w:left="567" w:hanging="567"/>
        <w:rPr>
          <w:color w:val="000000"/>
        </w:rPr>
      </w:pPr>
      <w:r>
        <w:rPr>
          <w:color w:val="000000"/>
        </w:rPr>
        <w:t>les neutropénies de grade 4 (voir rubrique 4.4)</w:t>
      </w:r>
    </w:p>
    <w:p w14:paraId="7B768CC5" w14:textId="77777777" w:rsidR="00375EAB" w:rsidRPr="00D2126A" w:rsidRDefault="00375EAB" w:rsidP="00C93C76">
      <w:pPr>
        <w:rPr>
          <w:color w:val="000000"/>
        </w:rPr>
      </w:pPr>
    </w:p>
    <w:p w14:paraId="0E036897" w14:textId="5C20962B" w:rsidR="00375EAB" w:rsidRPr="00D2126A" w:rsidRDefault="000E5A86" w:rsidP="0094597D">
      <w:r>
        <w:t>Dans les essais cliniques combinés menés dans le myélome multiple (MM</w:t>
      </w:r>
      <w:r>
        <w:noBreakHyphen/>
        <w:t>009 et MM</w:t>
      </w:r>
      <w:r>
        <w:noBreakHyphen/>
        <w:t>010), les effets indésirables observés plus fréquemment avec le lénalidomide + dexaméthasone qu’avec le placebo + dexaméthasone ont été : fatigue (43,9 %), neutropénie (42,2 %), constipation (40,5 %), diarrhée (38,5 %), spasmes musculaires (33,4 %), anémie (31,4 %), thrombopénie (21,5 %) et éruptions cutanées (21,2 %).</w:t>
      </w:r>
    </w:p>
    <w:p w14:paraId="33D0289F" w14:textId="77777777" w:rsidR="00375EAB" w:rsidRPr="00D2126A" w:rsidRDefault="00375EAB" w:rsidP="00C93C76">
      <w:pPr>
        <w:rPr>
          <w:color w:val="000000"/>
        </w:rPr>
      </w:pPr>
    </w:p>
    <w:p w14:paraId="53B32557" w14:textId="77777777" w:rsidR="00D36483" w:rsidRPr="00D2126A" w:rsidRDefault="000E5A86" w:rsidP="00C93C76">
      <w:pPr>
        <w:keepNext/>
        <w:rPr>
          <w:i/>
          <w:u w:val="single"/>
        </w:rPr>
      </w:pPr>
      <w:r>
        <w:rPr>
          <w:i/>
          <w:u w:val="single"/>
        </w:rPr>
        <w:t>Syndromes myélodysplasiques</w:t>
      </w:r>
    </w:p>
    <w:p w14:paraId="653B96A2" w14:textId="02277BCD" w:rsidR="00036363" w:rsidRPr="00D2126A" w:rsidRDefault="000E5A86" w:rsidP="00C93C76">
      <w:pPr>
        <w:pStyle w:val="NormalWeb"/>
        <w:spacing w:before="0" w:beforeAutospacing="0" w:after="0"/>
        <w:rPr>
          <w:rFonts w:eastAsia="Times New Roman"/>
          <w:sz w:val="22"/>
          <w:szCs w:val="20"/>
        </w:rPr>
      </w:pPr>
      <w:r>
        <w:rPr>
          <w:sz w:val="22"/>
        </w:rPr>
        <w:t>Le profil de sécurité global du lénalidomide chez les patients présentant un syndrome myélodysplasique est issu des données de 286 patients au total ayant participé à une étude de phase 2 et à une étude de phase 3 (voir la rubrique 5.1). Dans l’étude de phase 2, 148 patients ont reçu le lénalidomide. Dans l’étude de phase 3, 69 patients ont été traités par le lénalidomide à 5 mg, 69 patients par le lénalidomide à 10 mg et 67 patients ont reçu du placebo dans la phase en double aveugle de l’étude.</w:t>
      </w:r>
    </w:p>
    <w:p w14:paraId="62529283" w14:textId="2667552E" w:rsidR="00D36483" w:rsidRPr="00D2126A" w:rsidRDefault="00D36483" w:rsidP="00C93C76">
      <w:pPr>
        <w:rPr>
          <w:color w:val="000000"/>
        </w:rPr>
      </w:pPr>
    </w:p>
    <w:p w14:paraId="14CB9B9C" w14:textId="6634CEF8" w:rsidR="00D36483" w:rsidRPr="00D2126A" w:rsidRDefault="000E5A86" w:rsidP="00C93C76">
      <w:pPr>
        <w:pStyle w:val="Date"/>
        <w:rPr>
          <w:color w:val="000000"/>
        </w:rPr>
      </w:pPr>
      <w:r>
        <w:rPr>
          <w:color w:val="000000"/>
        </w:rPr>
        <w:t>La majorité des effets indésirables ont tendance à survenir au cours des 16 premières semaines de traitement par le lénalidomide.</w:t>
      </w:r>
    </w:p>
    <w:p w14:paraId="621D785A" w14:textId="77777777" w:rsidR="00D36483" w:rsidRPr="00D2126A" w:rsidRDefault="00D36483" w:rsidP="00C93C76">
      <w:pPr>
        <w:pStyle w:val="Date"/>
        <w:rPr>
          <w:color w:val="000000"/>
        </w:rPr>
      </w:pPr>
    </w:p>
    <w:p w14:paraId="1F9EF5E1" w14:textId="77777777" w:rsidR="00D36483" w:rsidRPr="00D2126A" w:rsidRDefault="000E5A86" w:rsidP="00C93C76">
      <w:pPr>
        <w:keepNext/>
        <w:rPr>
          <w:color w:val="000000"/>
        </w:rPr>
      </w:pPr>
      <w:r>
        <w:rPr>
          <w:color w:val="000000"/>
        </w:rPr>
        <w:t>Les effets indésirables graves ont été :</w:t>
      </w:r>
    </w:p>
    <w:p w14:paraId="304B82C5" w14:textId="77777777" w:rsidR="00D36483" w:rsidRPr="00D2126A" w:rsidRDefault="000E5A86" w:rsidP="00C93C76">
      <w:pPr>
        <w:keepNext/>
        <w:numPr>
          <w:ilvl w:val="0"/>
          <w:numId w:val="16"/>
        </w:numPr>
        <w:tabs>
          <w:tab w:val="clear" w:pos="360"/>
          <w:tab w:val="num" w:pos="567"/>
        </w:tabs>
        <w:ind w:left="567" w:hanging="567"/>
        <w:rPr>
          <w:color w:val="000000"/>
        </w:rPr>
      </w:pPr>
      <w:r>
        <w:rPr>
          <w:color w:val="000000"/>
        </w:rPr>
        <w:t>des accidents thrombo</w:t>
      </w:r>
      <w:r>
        <w:rPr>
          <w:color w:val="000000"/>
        </w:rPr>
        <w:noBreakHyphen/>
        <w:t>emboliques veineux (thrombose veineuse profonde, embolie pulmonaire) (voir rubrique 4.4)</w:t>
      </w:r>
    </w:p>
    <w:p w14:paraId="5BE484B9" w14:textId="1EE53145" w:rsidR="00D36483" w:rsidRPr="00D2126A" w:rsidRDefault="000E5A86" w:rsidP="00C93C76">
      <w:pPr>
        <w:numPr>
          <w:ilvl w:val="0"/>
          <w:numId w:val="16"/>
        </w:numPr>
        <w:tabs>
          <w:tab w:val="clear" w:pos="360"/>
          <w:tab w:val="num" w:pos="567"/>
        </w:tabs>
        <w:ind w:left="567" w:hanging="567"/>
        <w:rPr>
          <w:color w:val="000000"/>
        </w:rPr>
      </w:pPr>
      <w:r>
        <w:rPr>
          <w:color w:val="000000"/>
        </w:rPr>
        <w:t>des neutropénies de grade 3 ou 4, neutropénies fébriles et thrombopénies de grade 3 ou 4 (voir rubrique 4.4).</w:t>
      </w:r>
    </w:p>
    <w:p w14:paraId="68C4A025" w14:textId="77777777" w:rsidR="00D36483" w:rsidRPr="00D2126A" w:rsidRDefault="00D36483" w:rsidP="00C93C76">
      <w:pPr>
        <w:rPr>
          <w:color w:val="000000"/>
        </w:rPr>
      </w:pPr>
    </w:p>
    <w:p w14:paraId="5A409DB5" w14:textId="6835F1F6" w:rsidR="00D36483" w:rsidRPr="00D2126A" w:rsidRDefault="000E5A86" w:rsidP="00C93C76">
      <w:pPr>
        <w:rPr>
          <w:color w:val="000000"/>
        </w:rPr>
      </w:pPr>
      <w:r>
        <w:rPr>
          <w:color w:val="000000"/>
        </w:rPr>
        <w:t>Dans l’étude de phase 3, les effets indésirables observés le plus fréquemment dans les groupes traités par le lénalidomide par rapport au groupe contrôle ont été : la neutropénie (76,8 %), la thrombopénie (46,4 %), la diarrhée (34,8 %), la constipation (19,6 %), les nausées (19,6 %), le prurit (25,4 %), l’éruption cutanée (18,1 %), la fatigue (18,1 %) et les spasmes musculaires (16,7 %).</w:t>
      </w:r>
    </w:p>
    <w:p w14:paraId="7BEF02AA" w14:textId="77777777" w:rsidR="00D36483" w:rsidRPr="00D2126A" w:rsidRDefault="00D36483" w:rsidP="00C93C76">
      <w:pPr>
        <w:pStyle w:val="Date"/>
      </w:pPr>
    </w:p>
    <w:p w14:paraId="1B4632C4" w14:textId="77777777" w:rsidR="009C0EC9" w:rsidRPr="00D2126A" w:rsidRDefault="000E5A86" w:rsidP="00C93C76">
      <w:pPr>
        <w:keepNext/>
        <w:rPr>
          <w:i/>
          <w:u w:val="single"/>
        </w:rPr>
      </w:pPr>
      <w:r>
        <w:rPr>
          <w:i/>
          <w:u w:val="single"/>
        </w:rPr>
        <w:t>Lymphome à cellules du manteau</w:t>
      </w:r>
    </w:p>
    <w:p w14:paraId="5EE7B297" w14:textId="4D521992" w:rsidR="00036363" w:rsidRPr="00D2126A" w:rsidRDefault="000E5A86" w:rsidP="00C93C76">
      <w:pPr>
        <w:pStyle w:val="Date"/>
      </w:pPr>
      <w:r>
        <w:t>Le profil de sécurité global du lénalidomide chez les patients présentant un lymphome à cellules du manteau est issu des données de 254 patients ayant participé à l’étude de phase 2 randomisée contrôlée MCL</w:t>
      </w:r>
      <w:r>
        <w:noBreakHyphen/>
        <w:t>002 (voir rubrique 5.1).</w:t>
      </w:r>
    </w:p>
    <w:p w14:paraId="318C2F2A" w14:textId="77777777" w:rsidR="00DF15F2" w:rsidRPr="00D2126A" w:rsidRDefault="00DF15F2" w:rsidP="00C93C76"/>
    <w:p w14:paraId="427638A4" w14:textId="19F91DE4" w:rsidR="009C0EC9" w:rsidRPr="00D2126A" w:rsidRDefault="000E5A86" w:rsidP="00DF154F">
      <w:pPr>
        <w:pStyle w:val="Date"/>
      </w:pPr>
      <w:r>
        <w:t>De plus, les effets indésirables rapportés dans l’étude de confirmation MCL</w:t>
      </w:r>
      <w:r>
        <w:noBreakHyphen/>
        <w:t>001 ont été inclus dans le tableau 3.</w:t>
      </w:r>
    </w:p>
    <w:p w14:paraId="4C67D633" w14:textId="77777777" w:rsidR="009C0EC9" w:rsidRPr="00D2126A" w:rsidRDefault="009C0EC9" w:rsidP="00C93C76"/>
    <w:p w14:paraId="46914E93" w14:textId="2048523A" w:rsidR="009C0EC9" w:rsidRPr="00D2126A" w:rsidRDefault="000E5A86" w:rsidP="00C93C76">
      <w:pPr>
        <w:keepNext/>
        <w:autoSpaceDE w:val="0"/>
        <w:autoSpaceDN w:val="0"/>
        <w:rPr>
          <w:color w:val="000000"/>
        </w:rPr>
      </w:pPr>
      <w:r>
        <w:rPr>
          <w:color w:val="000000"/>
        </w:rPr>
        <w:t>Les effets indésirables graves observés plus fréquemment (avec une différence d’au moins 2 %) dans le bras traité par le lénalidomide que dans le bras contrôle dans l’étude MCL</w:t>
      </w:r>
      <w:r>
        <w:rPr>
          <w:color w:val="000000"/>
        </w:rPr>
        <w:noBreakHyphen/>
        <w:t>002 ont été :</w:t>
      </w:r>
    </w:p>
    <w:p w14:paraId="4F803465" w14:textId="77777777" w:rsidR="009C0EC9" w:rsidRPr="00D2126A" w:rsidRDefault="000E5A86" w:rsidP="00C93C76">
      <w:pPr>
        <w:pStyle w:val="Date"/>
        <w:numPr>
          <w:ilvl w:val="0"/>
          <w:numId w:val="53"/>
        </w:numPr>
        <w:ind w:left="567" w:hanging="567"/>
      </w:pPr>
      <w:r>
        <w:t>neutropénie (3,6 %)</w:t>
      </w:r>
    </w:p>
    <w:p w14:paraId="0466DC1D" w14:textId="77777777" w:rsidR="009C0EC9" w:rsidRPr="00D2126A" w:rsidRDefault="000E5A86" w:rsidP="00C93C76">
      <w:pPr>
        <w:pStyle w:val="ListParagraph"/>
        <w:keepNext/>
        <w:numPr>
          <w:ilvl w:val="0"/>
          <w:numId w:val="53"/>
        </w:numPr>
        <w:ind w:left="567" w:hanging="567"/>
        <w:rPr>
          <w:rFonts w:ascii="Times New Roman" w:hAnsi="Times New Roman" w:cs="Times New Roman"/>
        </w:rPr>
      </w:pPr>
      <w:r>
        <w:rPr>
          <w:rFonts w:ascii="Times New Roman" w:hAnsi="Times New Roman"/>
        </w:rPr>
        <w:t>embolie pulmonaire (3,6 %)</w:t>
      </w:r>
    </w:p>
    <w:p w14:paraId="7916FAB5" w14:textId="77777777" w:rsidR="009C0EC9" w:rsidRPr="00D2126A" w:rsidRDefault="000E5A86" w:rsidP="00C93C76">
      <w:pPr>
        <w:pStyle w:val="Date"/>
        <w:numPr>
          <w:ilvl w:val="0"/>
          <w:numId w:val="53"/>
        </w:numPr>
        <w:ind w:left="567" w:hanging="567"/>
      </w:pPr>
      <w:r>
        <w:t>diarrhée (3,6 %)</w:t>
      </w:r>
    </w:p>
    <w:p w14:paraId="019CD81C" w14:textId="77777777" w:rsidR="009C0EC9" w:rsidRPr="00D2126A" w:rsidRDefault="009C0EC9" w:rsidP="00C93C76"/>
    <w:p w14:paraId="1E8F2EE7" w14:textId="0E2213B8" w:rsidR="00036363" w:rsidRPr="00D2126A" w:rsidRDefault="000E5A86" w:rsidP="00C93C76">
      <w:pPr>
        <w:pStyle w:val="Date"/>
      </w:pPr>
      <w:r>
        <w:t>Les effets indésirables les plus fréquents survenus plus fréquemment dans le bras traité par le lénalidomide que dans le bras contrôle dans l’étude MCL</w:t>
      </w:r>
      <w:r>
        <w:noBreakHyphen/>
        <w:t>002 ont été : neutropénie (50,9 %), anémie (28,7 %), diarrhée (22,8 %), fatigue (21,0 %), constipation (17,4 %), pyrexie (16,8 %) et éruption cutanée (y compris dermatite allergique) (16,2 %).</w:t>
      </w:r>
    </w:p>
    <w:p w14:paraId="2A9C72B4" w14:textId="79BB3939" w:rsidR="009C0EC9" w:rsidRPr="00D2126A" w:rsidRDefault="009C0EC9" w:rsidP="00C93C76"/>
    <w:p w14:paraId="09E3DAA3" w14:textId="38DCD407" w:rsidR="00036363" w:rsidRPr="00D2126A" w:rsidRDefault="000E5A86" w:rsidP="00C93C76">
      <w:pPr>
        <w:autoSpaceDE w:val="0"/>
        <w:autoSpaceDN w:val="0"/>
      </w:pPr>
      <w:r>
        <w:t>Dans l’étude MCL</w:t>
      </w:r>
      <w:r>
        <w:noBreakHyphen/>
        <w:t>002, il a été globalement observé une augmentation apparente des décès prématurés (au cours des 20 premières semaines). Les patients ayant une charge tumorale élevée avant l’initiation du traitement présentent un risque accru de décès prématuré : des décès prématurés ont été rapportés chez 16/81 patients (20 %) du bras lénalidomide et 2/28 patients (7 %) du bras contrôle. Les chiffres correspondants sur 52 semaines étaient de 32/81 patients (39,5 %) et 6/28 patients (21 %) (voir rubrique 5.1).</w:t>
      </w:r>
    </w:p>
    <w:p w14:paraId="3C0B0E00" w14:textId="77777777" w:rsidR="00DF15F2" w:rsidRPr="00D2126A" w:rsidRDefault="00DF15F2" w:rsidP="00C93C76">
      <w:pPr>
        <w:pStyle w:val="Date"/>
      </w:pPr>
    </w:p>
    <w:p w14:paraId="1F0501E7" w14:textId="3F341249" w:rsidR="00036363" w:rsidRPr="00D2126A" w:rsidRDefault="000E5A86" w:rsidP="00C93C76">
      <w:pPr>
        <w:autoSpaceDE w:val="0"/>
        <w:autoSpaceDN w:val="0"/>
      </w:pPr>
      <w:r>
        <w:t xml:space="preserve">Pendant le premier cycle de traitement, le traitement a été arrêté chez 11/81 patients (14 %) ayant une charge tumorale élevée du bras lénalidomide </w:t>
      </w:r>
      <w:r>
        <w:rPr>
          <w:i/>
        </w:rPr>
        <w:t>versus</w:t>
      </w:r>
      <w:r>
        <w:t xml:space="preserve"> 1/28 patients (4 %) du bras contrôle. La survenue d’événements indésirables était la principale raison d’arrêt du traitement pendant le cycle 1 chez les patients ayant une charge tumorale élevée (7/11, 64 %).</w:t>
      </w:r>
    </w:p>
    <w:p w14:paraId="16A4A1B2" w14:textId="77777777" w:rsidR="00DF15F2" w:rsidRPr="00D2126A" w:rsidRDefault="00DF15F2" w:rsidP="00C93C76">
      <w:pPr>
        <w:pStyle w:val="Date"/>
      </w:pPr>
    </w:p>
    <w:p w14:paraId="18AB1800" w14:textId="3B833B6C" w:rsidR="009C0EC9" w:rsidRPr="00D2126A" w:rsidRDefault="000E5A86" w:rsidP="00C93C76">
      <w:pPr>
        <w:pStyle w:val="Date"/>
      </w:pPr>
      <w:r>
        <w:t>Une charge tumorale élevée était définie comme la présence d’au moins une lésion mesurant ≥ 5 cm de diamètre ou d’au moins 3 lésions mesurant ≥ 3 cm.</w:t>
      </w:r>
    </w:p>
    <w:p w14:paraId="76C488EB" w14:textId="77777777" w:rsidR="00E17F99" w:rsidRPr="00D2126A" w:rsidRDefault="00E17F99" w:rsidP="00C93C76"/>
    <w:p w14:paraId="4EFCD358" w14:textId="77777777" w:rsidR="00036363" w:rsidRPr="00D2126A" w:rsidRDefault="000E5A86" w:rsidP="00C93C76">
      <w:pPr>
        <w:keepNext/>
        <w:rPr>
          <w:i/>
          <w:u w:val="single"/>
        </w:rPr>
      </w:pPr>
      <w:r>
        <w:rPr>
          <w:i/>
          <w:u w:val="single"/>
        </w:rPr>
        <w:t>Lymphome folliculaire</w:t>
      </w:r>
    </w:p>
    <w:p w14:paraId="758490C4" w14:textId="4D9240CB" w:rsidR="000479A6" w:rsidRPr="00D2126A" w:rsidRDefault="000E5A86" w:rsidP="00C93C76">
      <w:r>
        <w:t>Le profil de sécurité global du lénalidomide en association avec le rituximab chez les patients présentant un lymphome folliculaire, préalablement traité est issu des données de 294 patients ayant participé à l’étude de phase 3 randomisée contrôlée NHL</w:t>
      </w:r>
      <w:r>
        <w:noBreakHyphen/>
        <w:t>007. De plus, les effets indésirables rapportés dans l’étude de confirmation NHL</w:t>
      </w:r>
      <w:r>
        <w:noBreakHyphen/>
        <w:t>008 ont été inclus dans le tableau 5.</w:t>
      </w:r>
    </w:p>
    <w:p w14:paraId="79B2A49D" w14:textId="77777777" w:rsidR="000479A6" w:rsidRPr="00D2126A" w:rsidRDefault="000479A6" w:rsidP="00C93C76">
      <w:pPr>
        <w:pStyle w:val="Date"/>
      </w:pPr>
    </w:p>
    <w:p w14:paraId="55620D26" w14:textId="1C6B24D2" w:rsidR="000479A6" w:rsidRPr="00D2126A" w:rsidRDefault="000E5A86" w:rsidP="0094597D">
      <w:pPr>
        <w:keepNext/>
      </w:pPr>
      <w:r>
        <w:t>Les effets indésirables graves observés plus fréquemment (avec une différence d’au moins 1 %) dans le bras traité par le lénalidomide/rituximab que dans le bras placebo/rituximab dans l’étude NHL</w:t>
      </w:r>
      <w:r>
        <w:noBreakHyphen/>
        <w:t>007 ont été :</w:t>
      </w:r>
    </w:p>
    <w:p w14:paraId="2D9F5D39" w14:textId="77777777" w:rsidR="000479A6" w:rsidRPr="00D2126A" w:rsidRDefault="000E5A86" w:rsidP="00C93C76">
      <w:pPr>
        <w:numPr>
          <w:ilvl w:val="0"/>
          <w:numId w:val="57"/>
        </w:numPr>
        <w:ind w:left="567" w:hanging="567"/>
      </w:pPr>
      <w:r>
        <w:t>neutropénie fébrile (2,7 %)</w:t>
      </w:r>
    </w:p>
    <w:p w14:paraId="55C81531" w14:textId="77777777" w:rsidR="000479A6" w:rsidRPr="00D2126A" w:rsidRDefault="000E5A86" w:rsidP="00C93C76">
      <w:pPr>
        <w:pStyle w:val="Date"/>
        <w:keepNext/>
        <w:numPr>
          <w:ilvl w:val="0"/>
          <w:numId w:val="57"/>
        </w:numPr>
        <w:ind w:left="567" w:hanging="567"/>
      </w:pPr>
      <w:r>
        <w:t>embolie pulmonaire (2,7 %)</w:t>
      </w:r>
    </w:p>
    <w:p w14:paraId="77E1EF8F" w14:textId="77777777" w:rsidR="000479A6" w:rsidRPr="00D2126A" w:rsidRDefault="000E5A86" w:rsidP="00C93C76">
      <w:pPr>
        <w:numPr>
          <w:ilvl w:val="0"/>
          <w:numId w:val="57"/>
        </w:numPr>
        <w:ind w:left="567" w:hanging="567"/>
      </w:pPr>
      <w:r>
        <w:t>pneumonie (2,7 %)</w:t>
      </w:r>
    </w:p>
    <w:p w14:paraId="31B03D55" w14:textId="77777777" w:rsidR="000479A6" w:rsidRPr="00D2126A" w:rsidRDefault="000479A6" w:rsidP="00C93C76"/>
    <w:p w14:paraId="512DAD6F" w14:textId="50B23833" w:rsidR="000479A6" w:rsidRPr="00D2126A" w:rsidRDefault="000E5A86" w:rsidP="0094597D">
      <w:r>
        <w:t>Les effets indésirables survenus plus fréquemment dans le bras traité par le lénalidomide/rituximab que dans le bras placebo/rituximab dans l’étude NHL</w:t>
      </w:r>
      <w:r>
        <w:noBreakHyphen/>
        <w:t>007 (avec une fréquence plus élevée d’au moins 2 %) ont été : neutropénie (58,2 %), diarrhée (30,8 %), leucopénie (28,8 %), constipation (21,9 %), toux (21,9 %) et fatigue (21,9 %).</w:t>
      </w:r>
    </w:p>
    <w:p w14:paraId="60636712" w14:textId="77777777" w:rsidR="003927E7" w:rsidRPr="00D2126A" w:rsidRDefault="003927E7" w:rsidP="00C93C76">
      <w:pPr>
        <w:pStyle w:val="Date"/>
      </w:pPr>
    </w:p>
    <w:p w14:paraId="6075FF05" w14:textId="77777777" w:rsidR="00375EAB" w:rsidRPr="00D2126A" w:rsidRDefault="000E5A86" w:rsidP="00C93C76">
      <w:pPr>
        <w:pStyle w:val="Date"/>
        <w:keepNext/>
        <w:rPr>
          <w:color w:val="000000"/>
          <w:u w:val="single"/>
        </w:rPr>
      </w:pPr>
      <w:r>
        <w:rPr>
          <w:color w:val="000000"/>
          <w:u w:val="single"/>
        </w:rPr>
        <w:t>Liste tabulée des effets indésirables</w:t>
      </w:r>
    </w:p>
    <w:p w14:paraId="29C548B8" w14:textId="77777777" w:rsidR="00D0682A" w:rsidRPr="00D2126A" w:rsidRDefault="000E5A86" w:rsidP="00C93C76">
      <w:pPr>
        <w:pStyle w:val="Date"/>
        <w:rPr>
          <w:color w:val="000000"/>
        </w:rPr>
      </w:pPr>
      <w:r>
        <w:rPr>
          <w:color w:val="000000"/>
        </w:rPr>
        <w:t>Les effets indésirables observés chez les patients traités par le lénalidomide sont présentés ci</w:t>
      </w:r>
      <w:r>
        <w:rPr>
          <w:color w:val="000000"/>
        </w:rPr>
        <w:noBreakHyphen/>
        <w:t>dessous par classe de systèmes d’organes et fréquence. Au sein de chaque groupe de fréquence, les effets indésirables sont présentés suivant un ordre décroissant de gravité. Les fréquences sont définies comme suit : très fréquent (≥ 1/10) ; fréquent (≥ 1/100, &lt; 1/10) ; peu fréquent (≥ 1/1 000, &lt; 1/100) ; rare (≥ 1/10 000, &lt; 1/1 000) ; très rare (&lt; 1/10 000) ; fréquence indéterminée (ne peut être estimée sur la base des données disponibles).</w:t>
      </w:r>
    </w:p>
    <w:p w14:paraId="108395E3" w14:textId="77777777" w:rsidR="00D0682A" w:rsidRPr="00D2126A" w:rsidRDefault="00D0682A" w:rsidP="00C93C76"/>
    <w:p w14:paraId="2319CD2E" w14:textId="77777777" w:rsidR="008D41E2" w:rsidRPr="00D2126A" w:rsidRDefault="000E5A86" w:rsidP="00C93C76">
      <w:pPr>
        <w:pStyle w:val="C-BodyText"/>
        <w:spacing w:before="0" w:after="0" w:line="240" w:lineRule="auto"/>
        <w:rPr>
          <w:color w:val="000000"/>
          <w:sz w:val="22"/>
          <w:szCs w:val="22"/>
        </w:rPr>
      </w:pPr>
      <w:r>
        <w:rPr>
          <w:color w:val="000000"/>
          <w:sz w:val="22"/>
        </w:rPr>
        <w:t>Les effets indésirables ont été inclus dans la catégorie appropriée dans le tableau ci</w:t>
      </w:r>
      <w:r>
        <w:rPr>
          <w:color w:val="000000"/>
          <w:sz w:val="22"/>
        </w:rPr>
        <w:noBreakHyphen/>
        <w:t>dessous en fonction de la fréquence la plus élevée observée dans l’une des études cliniques principales.</w:t>
      </w:r>
    </w:p>
    <w:p w14:paraId="2FE11B87" w14:textId="77777777" w:rsidR="008D41E2" w:rsidRPr="00AB0414" w:rsidRDefault="008D41E2" w:rsidP="00C93C76">
      <w:pPr>
        <w:pStyle w:val="C-BodyText"/>
        <w:spacing w:before="0" w:after="0" w:line="240" w:lineRule="auto"/>
        <w:rPr>
          <w:color w:val="000000"/>
          <w:sz w:val="22"/>
          <w:szCs w:val="22"/>
        </w:rPr>
      </w:pPr>
    </w:p>
    <w:p w14:paraId="69E9DE43" w14:textId="77777777" w:rsidR="008D41E2" w:rsidRPr="00D2126A" w:rsidRDefault="000E5A86" w:rsidP="00C93C76">
      <w:pPr>
        <w:pStyle w:val="Date"/>
        <w:keepNext/>
        <w:rPr>
          <w:u w:val="single"/>
        </w:rPr>
      </w:pPr>
      <w:r>
        <w:rPr>
          <w:i/>
          <w:u w:val="single"/>
        </w:rPr>
        <w:t>Résumé tabulé pour le traitement en monothérapie dans le myélome multiple</w:t>
      </w:r>
    </w:p>
    <w:p w14:paraId="4C009079" w14:textId="3386A5D2" w:rsidR="008D41E2" w:rsidRPr="00D2126A" w:rsidRDefault="000E5A86" w:rsidP="0094597D">
      <w:r>
        <w:t>Le tableau suivant résulte des données collectées lors des études menées chez des patients atteints de myélome multiple non préalablement traité recevant le lénalidomide en traitement d’entretien après une AGCS. Les données n’ont pas été corrigées en fonction de la durée de traitement plus longue dans les bras de traitement par le lénalidomide poursuivi jusqu’à progression de la maladie par rapport aux bras placebo dans les études pivots menées dans le myélome multiple (voir rubrique 5.1).</w:t>
      </w:r>
    </w:p>
    <w:p w14:paraId="4CB34D85" w14:textId="77777777" w:rsidR="008D41E2" w:rsidRPr="00D2126A" w:rsidRDefault="008D41E2" w:rsidP="00C93C76">
      <w:pPr>
        <w:pStyle w:val="Date"/>
        <w:rPr>
          <w:color w:val="000000"/>
        </w:rPr>
      </w:pPr>
    </w:p>
    <w:p w14:paraId="15B1BFCF" w14:textId="77777777" w:rsidR="00F3495F" w:rsidRPr="00D2126A" w:rsidRDefault="000E5A86" w:rsidP="00C93C76">
      <w:pPr>
        <w:pStyle w:val="C-TableHeader"/>
        <w:spacing w:before="0" w:after="0"/>
      </w:pPr>
      <w:r>
        <w:t>Tableau 1. Effets indésirables rapportés lors des études cliniques chez les patients atteints de myélome multiple recevant le lénalidomide en traitement d’entretien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12"/>
        <w:gridCol w:w="3178"/>
        <w:gridCol w:w="3196"/>
      </w:tblGrid>
      <w:tr w:rsidR="00D5485C" w:rsidRPr="00D2126A" w14:paraId="5CDAF3B6" w14:textId="77777777" w:rsidTr="0097536F">
        <w:trPr>
          <w:cantSplit/>
          <w:trHeight w:val="57"/>
          <w:tblHeader/>
        </w:trPr>
        <w:tc>
          <w:tcPr>
            <w:tcW w:w="1568" w:type="pct"/>
            <w:shd w:val="clear" w:color="auto" w:fill="auto"/>
          </w:tcPr>
          <w:p w14:paraId="5F182F88" w14:textId="77777777" w:rsidR="00F3495F" w:rsidRPr="00D2126A" w:rsidRDefault="000E5A86" w:rsidP="006B7D29">
            <w:pPr>
              <w:pStyle w:val="C-BodyText"/>
              <w:keepNext/>
              <w:spacing w:before="0" w:after="0" w:line="240" w:lineRule="auto"/>
              <w:rPr>
                <w:b/>
                <w:sz w:val="20"/>
              </w:rPr>
            </w:pPr>
            <w:r>
              <w:rPr>
                <w:b/>
                <w:sz w:val="20"/>
              </w:rPr>
              <w:t>Classe de systèmes d’organes / Terme préférentiel</w:t>
            </w:r>
          </w:p>
        </w:tc>
        <w:tc>
          <w:tcPr>
            <w:tcW w:w="1711" w:type="pct"/>
            <w:shd w:val="clear" w:color="auto" w:fill="auto"/>
          </w:tcPr>
          <w:p w14:paraId="3DE44B40" w14:textId="77777777" w:rsidR="00F3495F" w:rsidRPr="00D2126A" w:rsidRDefault="000E5A86" w:rsidP="006B7D29">
            <w:pPr>
              <w:pStyle w:val="C-BodyText"/>
              <w:keepNext/>
              <w:spacing w:before="0" w:after="0" w:line="240" w:lineRule="auto"/>
              <w:rPr>
                <w:b/>
                <w:sz w:val="20"/>
              </w:rPr>
            </w:pPr>
            <w:r>
              <w:rPr>
                <w:b/>
                <w:sz w:val="20"/>
              </w:rPr>
              <w:t>Effets indésirables de tous grades / Fréquence</w:t>
            </w:r>
          </w:p>
        </w:tc>
        <w:tc>
          <w:tcPr>
            <w:tcW w:w="1721" w:type="pct"/>
            <w:shd w:val="clear" w:color="auto" w:fill="auto"/>
          </w:tcPr>
          <w:p w14:paraId="7A279DBA" w14:textId="791B0846" w:rsidR="00F3495F" w:rsidRPr="00D2126A" w:rsidRDefault="000E5A86" w:rsidP="006B7D29">
            <w:pPr>
              <w:pStyle w:val="C-BodyText"/>
              <w:keepNext/>
              <w:spacing w:before="0" w:after="0" w:line="240" w:lineRule="auto"/>
              <w:rPr>
                <w:b/>
                <w:sz w:val="20"/>
              </w:rPr>
            </w:pPr>
            <w:r>
              <w:rPr>
                <w:b/>
                <w:sz w:val="20"/>
              </w:rPr>
              <w:t>Effets indésirables de grade 3−4 / Fréquence</w:t>
            </w:r>
          </w:p>
        </w:tc>
      </w:tr>
      <w:tr w:rsidR="00D5485C" w:rsidRPr="00D2126A" w14:paraId="5C2C43F6" w14:textId="77777777" w:rsidTr="0097536F">
        <w:trPr>
          <w:cantSplit/>
          <w:trHeight w:val="57"/>
        </w:trPr>
        <w:tc>
          <w:tcPr>
            <w:tcW w:w="1568" w:type="pct"/>
            <w:shd w:val="clear" w:color="auto" w:fill="auto"/>
            <w:vAlign w:val="center"/>
          </w:tcPr>
          <w:p w14:paraId="56C472CB" w14:textId="77777777" w:rsidR="00F3495F" w:rsidRPr="00D2126A" w:rsidRDefault="000E5A86" w:rsidP="006B7D29">
            <w:pPr>
              <w:pStyle w:val="C-BodyText"/>
              <w:spacing w:before="0" w:after="0" w:line="240" w:lineRule="auto"/>
              <w:rPr>
                <w:b/>
                <w:sz w:val="20"/>
              </w:rPr>
            </w:pPr>
            <w:r>
              <w:rPr>
                <w:b/>
                <w:sz w:val="20"/>
              </w:rPr>
              <w:t>Infections et infestations</w:t>
            </w:r>
          </w:p>
        </w:tc>
        <w:tc>
          <w:tcPr>
            <w:tcW w:w="1711" w:type="pct"/>
            <w:shd w:val="clear" w:color="auto" w:fill="auto"/>
          </w:tcPr>
          <w:p w14:paraId="4974C23E" w14:textId="77777777" w:rsidR="00F3495F" w:rsidRPr="00D2126A" w:rsidRDefault="000E5A86" w:rsidP="006B7D29">
            <w:pPr>
              <w:pStyle w:val="C-BodyText"/>
              <w:spacing w:before="0" w:after="0" w:line="240" w:lineRule="auto"/>
              <w:rPr>
                <w:sz w:val="20"/>
                <w:u w:val="single"/>
              </w:rPr>
            </w:pPr>
            <w:r>
              <w:rPr>
                <w:sz w:val="20"/>
                <w:u w:val="single"/>
              </w:rPr>
              <w:t>Très fréquent</w:t>
            </w:r>
          </w:p>
          <w:p w14:paraId="1F4C9EF7" w14:textId="4F9442AE" w:rsidR="00F3495F" w:rsidRPr="00D2126A" w:rsidRDefault="000E5A86" w:rsidP="006B7D29">
            <w:pPr>
              <w:pStyle w:val="C-BodyText"/>
              <w:spacing w:before="0" w:after="0" w:line="240" w:lineRule="auto"/>
              <w:rPr>
                <w:sz w:val="20"/>
              </w:rPr>
            </w:pPr>
            <w:r>
              <w:rPr>
                <w:sz w:val="20"/>
              </w:rPr>
              <w:t>Pneumonie</w:t>
            </w:r>
            <w:r>
              <w:rPr>
                <w:sz w:val="20"/>
                <w:vertAlign w:val="superscript"/>
              </w:rPr>
              <w:t>◊,a</w:t>
            </w:r>
            <w:r>
              <w:rPr>
                <w:sz w:val="20"/>
              </w:rPr>
              <w:t>, infection des voies respiratoires supérieures, infection neutropénique, bronchite</w:t>
            </w:r>
            <w:r>
              <w:rPr>
                <w:sz w:val="20"/>
                <w:vertAlign w:val="superscript"/>
              </w:rPr>
              <w:t>◊</w:t>
            </w:r>
            <w:r>
              <w:rPr>
                <w:sz w:val="20"/>
              </w:rPr>
              <w:t>, grippe</w:t>
            </w:r>
            <w:r>
              <w:rPr>
                <w:sz w:val="20"/>
                <w:vertAlign w:val="superscript"/>
              </w:rPr>
              <w:t>◊</w:t>
            </w:r>
            <w:r>
              <w:rPr>
                <w:sz w:val="20"/>
              </w:rPr>
              <w:t>, gastro</w:t>
            </w:r>
            <w:r>
              <w:rPr>
                <w:sz w:val="20"/>
              </w:rPr>
              <w:noBreakHyphen/>
              <w:t>entérite</w:t>
            </w:r>
            <w:r>
              <w:rPr>
                <w:sz w:val="20"/>
                <w:vertAlign w:val="superscript"/>
              </w:rPr>
              <w:t>◊</w:t>
            </w:r>
            <w:r>
              <w:rPr>
                <w:sz w:val="20"/>
              </w:rPr>
              <w:t>, sinusite, rhinopharyngite, rhinite</w:t>
            </w:r>
          </w:p>
          <w:p w14:paraId="597B266C" w14:textId="77777777" w:rsidR="00F3495F" w:rsidRPr="00AB0414" w:rsidRDefault="00F3495F" w:rsidP="006B7D29">
            <w:pPr>
              <w:pStyle w:val="C-BodyText"/>
              <w:spacing w:before="0" w:after="0" w:line="240" w:lineRule="auto"/>
              <w:rPr>
                <w:sz w:val="20"/>
                <w:u w:val="single"/>
              </w:rPr>
            </w:pPr>
          </w:p>
          <w:p w14:paraId="647DDC04" w14:textId="77777777" w:rsidR="00F3495F" w:rsidRPr="00D2126A" w:rsidRDefault="000E5A86" w:rsidP="006B7D29">
            <w:pPr>
              <w:pStyle w:val="C-BodyText"/>
              <w:spacing w:before="0" w:after="0" w:line="240" w:lineRule="auto"/>
              <w:rPr>
                <w:sz w:val="20"/>
                <w:u w:val="single"/>
              </w:rPr>
            </w:pPr>
            <w:r>
              <w:rPr>
                <w:sz w:val="20"/>
                <w:u w:val="single"/>
              </w:rPr>
              <w:t>Fréquent</w:t>
            </w:r>
          </w:p>
          <w:p w14:paraId="4B6E7D0A" w14:textId="257F554B" w:rsidR="00F3495F" w:rsidRPr="00D2126A" w:rsidRDefault="000E5A86" w:rsidP="006B7D29">
            <w:pPr>
              <w:pStyle w:val="C-BodyText"/>
              <w:spacing w:before="0" w:after="0" w:line="240" w:lineRule="auto"/>
              <w:rPr>
                <w:sz w:val="20"/>
              </w:rPr>
            </w:pPr>
            <w:r>
              <w:rPr>
                <w:sz w:val="20"/>
              </w:rPr>
              <w:t>Infection</w:t>
            </w:r>
            <w:r>
              <w:rPr>
                <w:sz w:val="20"/>
                <w:vertAlign w:val="superscript"/>
              </w:rPr>
              <w:t>◊</w:t>
            </w:r>
            <w:r>
              <w:rPr>
                <w:sz w:val="20"/>
              </w:rPr>
              <w:t>, infection urinaire</w:t>
            </w:r>
            <w:r>
              <w:rPr>
                <w:sz w:val="20"/>
                <w:vertAlign w:val="superscript"/>
              </w:rPr>
              <w:t>◊,*</w:t>
            </w:r>
            <w:r>
              <w:rPr>
                <w:sz w:val="20"/>
              </w:rPr>
              <w:t>, infection des voies respiratoires inférieures, infection pulmonaire</w:t>
            </w:r>
            <w:r>
              <w:rPr>
                <w:sz w:val="20"/>
                <w:vertAlign w:val="superscript"/>
              </w:rPr>
              <w:t>◊</w:t>
            </w:r>
          </w:p>
        </w:tc>
        <w:tc>
          <w:tcPr>
            <w:tcW w:w="1721" w:type="pct"/>
            <w:shd w:val="clear" w:color="auto" w:fill="auto"/>
          </w:tcPr>
          <w:p w14:paraId="68BFBE93" w14:textId="77777777" w:rsidR="00F3495F" w:rsidRPr="00D2126A" w:rsidRDefault="000E5A86" w:rsidP="006B7D29">
            <w:pPr>
              <w:pStyle w:val="C-BodyText"/>
              <w:spacing w:before="0" w:after="0" w:line="240" w:lineRule="auto"/>
              <w:rPr>
                <w:sz w:val="20"/>
                <w:u w:val="single"/>
              </w:rPr>
            </w:pPr>
            <w:r>
              <w:rPr>
                <w:sz w:val="20"/>
                <w:u w:val="single"/>
              </w:rPr>
              <w:t>Très fréquent</w:t>
            </w:r>
          </w:p>
          <w:p w14:paraId="1EFEF45B" w14:textId="05CEDB71" w:rsidR="00F3495F" w:rsidRPr="00D2126A" w:rsidRDefault="000E5A86" w:rsidP="006B7D29">
            <w:pPr>
              <w:pStyle w:val="C-BodyText"/>
              <w:spacing w:before="0" w:after="0" w:line="240" w:lineRule="auto"/>
              <w:rPr>
                <w:sz w:val="20"/>
              </w:rPr>
            </w:pPr>
            <w:r>
              <w:rPr>
                <w:sz w:val="20"/>
              </w:rPr>
              <w:t>Pneumonie</w:t>
            </w:r>
            <w:r>
              <w:rPr>
                <w:sz w:val="20"/>
                <w:vertAlign w:val="superscript"/>
              </w:rPr>
              <w:t>◊,a</w:t>
            </w:r>
            <w:r>
              <w:rPr>
                <w:sz w:val="20"/>
              </w:rPr>
              <w:t>, infection neutropénique</w:t>
            </w:r>
          </w:p>
          <w:p w14:paraId="35F11090" w14:textId="77777777" w:rsidR="00F3495F" w:rsidRPr="00AB0414" w:rsidRDefault="00F3495F" w:rsidP="006B7D29">
            <w:pPr>
              <w:pStyle w:val="C-BodyText"/>
              <w:spacing w:before="0" w:after="0" w:line="240" w:lineRule="auto"/>
              <w:rPr>
                <w:sz w:val="20"/>
              </w:rPr>
            </w:pPr>
          </w:p>
          <w:p w14:paraId="7C15456B" w14:textId="77777777" w:rsidR="00F3495F" w:rsidRPr="00D2126A" w:rsidRDefault="000E5A86" w:rsidP="006B7D29">
            <w:pPr>
              <w:pStyle w:val="C-BodyText"/>
              <w:spacing w:before="0" w:after="0" w:line="240" w:lineRule="auto"/>
              <w:rPr>
                <w:sz w:val="20"/>
                <w:u w:val="single"/>
              </w:rPr>
            </w:pPr>
            <w:r>
              <w:rPr>
                <w:sz w:val="20"/>
                <w:u w:val="single"/>
              </w:rPr>
              <w:t>Fréquent</w:t>
            </w:r>
          </w:p>
          <w:p w14:paraId="5715034B" w14:textId="65FFA1A2" w:rsidR="00F3495F" w:rsidRPr="00D2126A" w:rsidRDefault="000E5A86" w:rsidP="006B7D29">
            <w:pPr>
              <w:pStyle w:val="C-BodyText"/>
              <w:spacing w:before="0" w:after="0" w:line="240" w:lineRule="auto"/>
              <w:rPr>
                <w:sz w:val="20"/>
              </w:rPr>
            </w:pPr>
            <w:r>
              <w:rPr>
                <w:sz w:val="20"/>
              </w:rPr>
              <w:t>Septicémie</w:t>
            </w:r>
            <w:r>
              <w:rPr>
                <w:sz w:val="20"/>
                <w:vertAlign w:val="superscript"/>
              </w:rPr>
              <w:t>◊,b</w:t>
            </w:r>
            <w:r>
              <w:rPr>
                <w:sz w:val="20"/>
              </w:rPr>
              <w:t>, bactériémie, infection pulmonaire</w:t>
            </w:r>
            <w:r>
              <w:rPr>
                <w:sz w:val="20"/>
                <w:vertAlign w:val="superscript"/>
              </w:rPr>
              <w:t>◊</w:t>
            </w:r>
            <w:r>
              <w:rPr>
                <w:sz w:val="20"/>
              </w:rPr>
              <w:t>, infection bactérienne des voies respiratoires inférieures, bronchite</w:t>
            </w:r>
            <w:r>
              <w:rPr>
                <w:sz w:val="20"/>
                <w:vertAlign w:val="superscript"/>
              </w:rPr>
              <w:t>◊</w:t>
            </w:r>
            <w:r>
              <w:rPr>
                <w:sz w:val="20"/>
              </w:rPr>
              <w:t>, grippe</w:t>
            </w:r>
            <w:r>
              <w:rPr>
                <w:sz w:val="20"/>
                <w:vertAlign w:val="superscript"/>
              </w:rPr>
              <w:t>◊</w:t>
            </w:r>
            <w:r>
              <w:rPr>
                <w:sz w:val="20"/>
              </w:rPr>
              <w:t>, gastro</w:t>
            </w:r>
            <w:r>
              <w:rPr>
                <w:sz w:val="20"/>
              </w:rPr>
              <w:noBreakHyphen/>
              <w:t>entérite</w:t>
            </w:r>
            <w:r>
              <w:rPr>
                <w:sz w:val="20"/>
                <w:vertAlign w:val="superscript"/>
              </w:rPr>
              <w:t>◊</w:t>
            </w:r>
            <w:r>
              <w:rPr>
                <w:sz w:val="20"/>
              </w:rPr>
              <w:t>, zona</w:t>
            </w:r>
            <w:r>
              <w:rPr>
                <w:sz w:val="20"/>
                <w:vertAlign w:val="superscript"/>
              </w:rPr>
              <w:t>◊</w:t>
            </w:r>
            <w:r>
              <w:rPr>
                <w:sz w:val="20"/>
              </w:rPr>
              <w:t>, infection</w:t>
            </w:r>
            <w:r>
              <w:rPr>
                <w:sz w:val="20"/>
                <w:vertAlign w:val="superscript"/>
              </w:rPr>
              <w:t>◊</w:t>
            </w:r>
          </w:p>
        </w:tc>
      </w:tr>
      <w:tr w:rsidR="00D5485C" w:rsidRPr="00D2126A" w14:paraId="21B31821" w14:textId="77777777" w:rsidTr="0097536F">
        <w:trPr>
          <w:cantSplit/>
          <w:trHeight w:val="57"/>
        </w:trPr>
        <w:tc>
          <w:tcPr>
            <w:tcW w:w="1568" w:type="pct"/>
            <w:shd w:val="clear" w:color="auto" w:fill="auto"/>
            <w:vAlign w:val="center"/>
          </w:tcPr>
          <w:p w14:paraId="29382DE7" w14:textId="77777777" w:rsidR="00F3495F" w:rsidRPr="00D2126A" w:rsidRDefault="000E5A86" w:rsidP="006B7D29">
            <w:pPr>
              <w:pStyle w:val="C-BodyText"/>
              <w:spacing w:before="0" w:after="0" w:line="240" w:lineRule="auto"/>
              <w:rPr>
                <w:b/>
                <w:sz w:val="20"/>
              </w:rPr>
            </w:pPr>
            <w:r>
              <w:rPr>
                <w:b/>
                <w:sz w:val="20"/>
              </w:rPr>
              <w:t>Tumeurs bénignes, malignes et non précisées (incluant kystes et polypes)</w:t>
            </w:r>
          </w:p>
        </w:tc>
        <w:tc>
          <w:tcPr>
            <w:tcW w:w="1711" w:type="pct"/>
            <w:shd w:val="clear" w:color="auto" w:fill="auto"/>
          </w:tcPr>
          <w:p w14:paraId="6B45C238" w14:textId="77777777" w:rsidR="00F3495F" w:rsidRPr="00D2126A" w:rsidRDefault="000E5A86" w:rsidP="006B7D29">
            <w:pPr>
              <w:pStyle w:val="C-BodyText"/>
              <w:spacing w:before="0" w:after="0" w:line="240" w:lineRule="auto"/>
              <w:rPr>
                <w:sz w:val="20"/>
                <w:u w:val="single"/>
              </w:rPr>
            </w:pPr>
            <w:r>
              <w:rPr>
                <w:sz w:val="20"/>
                <w:u w:val="single"/>
              </w:rPr>
              <w:t>Fréquent</w:t>
            </w:r>
          </w:p>
          <w:p w14:paraId="6E38CD3C" w14:textId="77777777" w:rsidR="00F3495F" w:rsidRPr="00D2126A" w:rsidRDefault="000E5A86" w:rsidP="006B7D29">
            <w:pPr>
              <w:pStyle w:val="C-BodyText"/>
              <w:spacing w:before="0" w:after="0" w:line="240" w:lineRule="auto"/>
              <w:rPr>
                <w:sz w:val="20"/>
                <w:u w:val="single"/>
              </w:rPr>
            </w:pPr>
            <w:r>
              <w:rPr>
                <w:sz w:val="20"/>
              </w:rPr>
              <w:t>Syndrome myélodysplasique</w:t>
            </w:r>
            <w:r>
              <w:rPr>
                <w:sz w:val="20"/>
                <w:vertAlign w:val="superscript"/>
              </w:rPr>
              <w:t>◊,*</w:t>
            </w:r>
          </w:p>
        </w:tc>
        <w:tc>
          <w:tcPr>
            <w:tcW w:w="1721" w:type="pct"/>
            <w:shd w:val="clear" w:color="auto" w:fill="auto"/>
          </w:tcPr>
          <w:p w14:paraId="14267069" w14:textId="77777777" w:rsidR="00F3495F" w:rsidRPr="00D2126A" w:rsidRDefault="00F3495F" w:rsidP="006B7D29">
            <w:pPr>
              <w:pStyle w:val="C-BodyText"/>
              <w:spacing w:before="0" w:after="0" w:line="240" w:lineRule="auto"/>
              <w:rPr>
                <w:sz w:val="20"/>
                <w:u w:val="single"/>
                <w:lang w:val="en-GB"/>
              </w:rPr>
            </w:pPr>
          </w:p>
        </w:tc>
      </w:tr>
      <w:tr w:rsidR="00D5485C" w:rsidRPr="00D2126A" w14:paraId="70A90DEC" w14:textId="77777777" w:rsidTr="0097536F">
        <w:trPr>
          <w:cantSplit/>
          <w:trHeight w:val="57"/>
        </w:trPr>
        <w:tc>
          <w:tcPr>
            <w:tcW w:w="1568" w:type="pct"/>
            <w:shd w:val="clear" w:color="auto" w:fill="auto"/>
            <w:vAlign w:val="center"/>
          </w:tcPr>
          <w:p w14:paraId="6EB1755D" w14:textId="77777777" w:rsidR="00F3495F" w:rsidRPr="00D2126A" w:rsidRDefault="000E5A86" w:rsidP="006B7D29">
            <w:pPr>
              <w:pStyle w:val="C-BodyText"/>
              <w:spacing w:before="0" w:after="0" w:line="240" w:lineRule="auto"/>
              <w:rPr>
                <w:b/>
                <w:sz w:val="20"/>
              </w:rPr>
            </w:pPr>
            <w:r>
              <w:rPr>
                <w:b/>
                <w:sz w:val="20"/>
              </w:rPr>
              <w:t>Affections hématologiques et du système lymphatique</w:t>
            </w:r>
          </w:p>
        </w:tc>
        <w:tc>
          <w:tcPr>
            <w:tcW w:w="1711" w:type="pct"/>
            <w:shd w:val="clear" w:color="auto" w:fill="auto"/>
          </w:tcPr>
          <w:p w14:paraId="28F066A6" w14:textId="77777777" w:rsidR="00F3495F" w:rsidRPr="00D2126A" w:rsidRDefault="000E5A86" w:rsidP="006B7D29">
            <w:pPr>
              <w:pStyle w:val="C-BodyText"/>
              <w:spacing w:before="0" w:after="0" w:line="240" w:lineRule="auto"/>
              <w:rPr>
                <w:sz w:val="20"/>
                <w:u w:val="single"/>
              </w:rPr>
            </w:pPr>
            <w:r>
              <w:rPr>
                <w:sz w:val="20"/>
                <w:u w:val="single"/>
              </w:rPr>
              <w:t>Très fréquent</w:t>
            </w:r>
          </w:p>
          <w:p w14:paraId="299EBD81" w14:textId="169429EE" w:rsidR="00F3495F" w:rsidRPr="00D2126A" w:rsidRDefault="000E5A86" w:rsidP="006B7D29">
            <w:pPr>
              <w:pStyle w:val="C-BodyText"/>
              <w:spacing w:before="0" w:after="0" w:line="240" w:lineRule="auto"/>
              <w:rPr>
                <w:sz w:val="20"/>
              </w:rPr>
            </w:pPr>
            <w:r>
              <w:rPr>
                <w:sz w:val="20"/>
              </w:rPr>
              <w:t>Neutropénie^</w:t>
            </w:r>
            <w:r>
              <w:rPr>
                <w:sz w:val="20"/>
                <w:vertAlign w:val="superscript"/>
              </w:rPr>
              <w:t>,◊</w:t>
            </w:r>
            <w:r>
              <w:rPr>
                <w:sz w:val="20"/>
              </w:rPr>
              <w:t>, neutropénie fébrile^</w:t>
            </w:r>
            <w:r>
              <w:rPr>
                <w:sz w:val="20"/>
                <w:vertAlign w:val="superscript"/>
              </w:rPr>
              <w:t>,◊</w:t>
            </w:r>
            <w:r>
              <w:rPr>
                <w:sz w:val="20"/>
              </w:rPr>
              <w:t>,</w:t>
            </w:r>
            <w:r>
              <w:rPr>
                <w:sz w:val="20"/>
                <w:vertAlign w:val="superscript"/>
              </w:rPr>
              <w:t xml:space="preserve"> </w:t>
            </w:r>
            <w:r>
              <w:rPr>
                <w:sz w:val="20"/>
              </w:rPr>
              <w:t>thrombopénie^</w:t>
            </w:r>
            <w:r>
              <w:rPr>
                <w:sz w:val="20"/>
                <w:vertAlign w:val="superscript"/>
              </w:rPr>
              <w:t>,◊</w:t>
            </w:r>
            <w:r>
              <w:rPr>
                <w:sz w:val="20"/>
              </w:rPr>
              <w:t>, anémie, leucopénie</w:t>
            </w:r>
            <w:r>
              <w:rPr>
                <w:sz w:val="20"/>
                <w:vertAlign w:val="superscript"/>
              </w:rPr>
              <w:t>◊</w:t>
            </w:r>
            <w:r>
              <w:rPr>
                <w:sz w:val="20"/>
              </w:rPr>
              <w:t>, lymphopénie</w:t>
            </w:r>
          </w:p>
        </w:tc>
        <w:tc>
          <w:tcPr>
            <w:tcW w:w="1721" w:type="pct"/>
            <w:shd w:val="clear" w:color="auto" w:fill="auto"/>
          </w:tcPr>
          <w:p w14:paraId="49D8D77A" w14:textId="77777777" w:rsidR="00F3495F" w:rsidRPr="00D2126A" w:rsidRDefault="000E5A86" w:rsidP="006B7D29">
            <w:pPr>
              <w:pStyle w:val="C-BodyText"/>
              <w:spacing w:before="0" w:after="0" w:line="240" w:lineRule="auto"/>
              <w:rPr>
                <w:sz w:val="20"/>
                <w:u w:val="single"/>
              </w:rPr>
            </w:pPr>
            <w:r>
              <w:rPr>
                <w:sz w:val="20"/>
                <w:u w:val="single"/>
              </w:rPr>
              <w:t>Très fréquent</w:t>
            </w:r>
          </w:p>
          <w:p w14:paraId="1ECF4674" w14:textId="05AAC9A8" w:rsidR="00F3495F" w:rsidRPr="00D2126A" w:rsidRDefault="000E5A86" w:rsidP="006B7D29">
            <w:pPr>
              <w:pStyle w:val="C-BodyText"/>
              <w:spacing w:before="0" w:after="0" w:line="240" w:lineRule="auto"/>
              <w:rPr>
                <w:sz w:val="20"/>
              </w:rPr>
            </w:pPr>
            <w:r>
              <w:rPr>
                <w:sz w:val="20"/>
              </w:rPr>
              <w:t>Neutropénie^</w:t>
            </w:r>
            <w:r>
              <w:rPr>
                <w:sz w:val="20"/>
                <w:vertAlign w:val="superscript"/>
              </w:rPr>
              <w:t>,◊</w:t>
            </w:r>
            <w:r>
              <w:rPr>
                <w:sz w:val="20"/>
              </w:rPr>
              <w:t>, neutropénie fébrile^</w:t>
            </w:r>
            <w:r>
              <w:rPr>
                <w:sz w:val="20"/>
                <w:vertAlign w:val="superscript"/>
              </w:rPr>
              <w:t>, ◊</w:t>
            </w:r>
            <w:r>
              <w:rPr>
                <w:sz w:val="20"/>
              </w:rPr>
              <w:t>,</w:t>
            </w:r>
            <w:r>
              <w:rPr>
                <w:sz w:val="20"/>
                <w:vertAlign w:val="superscript"/>
              </w:rPr>
              <w:t xml:space="preserve"> </w:t>
            </w:r>
            <w:r>
              <w:rPr>
                <w:sz w:val="20"/>
              </w:rPr>
              <w:t>thrombopénie^</w:t>
            </w:r>
            <w:r>
              <w:rPr>
                <w:sz w:val="20"/>
                <w:vertAlign w:val="superscript"/>
              </w:rPr>
              <w:t>,◊</w:t>
            </w:r>
            <w:r>
              <w:rPr>
                <w:sz w:val="20"/>
              </w:rPr>
              <w:t>, anémie, leucopénie</w:t>
            </w:r>
            <w:r>
              <w:rPr>
                <w:sz w:val="20"/>
                <w:vertAlign w:val="superscript"/>
              </w:rPr>
              <w:t>◊</w:t>
            </w:r>
            <w:r>
              <w:rPr>
                <w:sz w:val="20"/>
              </w:rPr>
              <w:t>, lymphopénie</w:t>
            </w:r>
          </w:p>
          <w:p w14:paraId="10CE8F88" w14:textId="77777777" w:rsidR="00F3495F" w:rsidRPr="00AB0414" w:rsidRDefault="00F3495F" w:rsidP="006B7D29">
            <w:pPr>
              <w:pStyle w:val="C-BodyText"/>
              <w:spacing w:before="0" w:after="0" w:line="240" w:lineRule="auto"/>
              <w:rPr>
                <w:sz w:val="20"/>
              </w:rPr>
            </w:pPr>
          </w:p>
          <w:p w14:paraId="5F652182" w14:textId="77777777" w:rsidR="00F3495F" w:rsidRPr="00D2126A" w:rsidRDefault="000E5A86" w:rsidP="006B7D29">
            <w:pPr>
              <w:pStyle w:val="C-BodyText"/>
              <w:spacing w:before="0" w:after="0" w:line="240" w:lineRule="auto"/>
              <w:rPr>
                <w:sz w:val="20"/>
                <w:u w:val="single"/>
              </w:rPr>
            </w:pPr>
            <w:r>
              <w:rPr>
                <w:sz w:val="20"/>
                <w:u w:val="single"/>
              </w:rPr>
              <w:t>Fréquent</w:t>
            </w:r>
          </w:p>
          <w:p w14:paraId="45C34E8B" w14:textId="77777777" w:rsidR="00F3495F" w:rsidRPr="00D2126A" w:rsidRDefault="000E5A86" w:rsidP="006B7D29">
            <w:pPr>
              <w:pStyle w:val="C-BodyText"/>
              <w:spacing w:before="0" w:after="0" w:line="240" w:lineRule="auto"/>
              <w:rPr>
                <w:sz w:val="20"/>
              </w:rPr>
            </w:pPr>
            <w:r>
              <w:rPr>
                <w:sz w:val="20"/>
              </w:rPr>
              <w:t>Pancytopénie</w:t>
            </w:r>
            <w:r>
              <w:rPr>
                <w:sz w:val="20"/>
                <w:vertAlign w:val="superscript"/>
              </w:rPr>
              <w:t>◊</w:t>
            </w:r>
          </w:p>
        </w:tc>
      </w:tr>
      <w:tr w:rsidR="00D5485C" w:rsidRPr="00D2126A" w14:paraId="602A1727" w14:textId="77777777" w:rsidTr="0097536F">
        <w:trPr>
          <w:cantSplit/>
          <w:trHeight w:val="57"/>
        </w:trPr>
        <w:tc>
          <w:tcPr>
            <w:tcW w:w="1568" w:type="pct"/>
            <w:shd w:val="clear" w:color="auto" w:fill="auto"/>
            <w:vAlign w:val="center"/>
          </w:tcPr>
          <w:p w14:paraId="2088185D" w14:textId="77777777" w:rsidR="00F3495F" w:rsidRPr="00D2126A" w:rsidRDefault="000E5A86" w:rsidP="006B7D29">
            <w:pPr>
              <w:pStyle w:val="C-BodyText"/>
              <w:spacing w:before="0" w:after="0" w:line="240" w:lineRule="auto"/>
              <w:rPr>
                <w:b/>
                <w:sz w:val="20"/>
              </w:rPr>
            </w:pPr>
            <w:r>
              <w:rPr>
                <w:b/>
                <w:sz w:val="20"/>
              </w:rPr>
              <w:t>Troubles du métabolisme et de la nutrition</w:t>
            </w:r>
          </w:p>
        </w:tc>
        <w:tc>
          <w:tcPr>
            <w:tcW w:w="1711" w:type="pct"/>
            <w:shd w:val="clear" w:color="auto" w:fill="auto"/>
          </w:tcPr>
          <w:p w14:paraId="201B648E" w14:textId="77777777" w:rsidR="00F3495F" w:rsidRPr="00D2126A" w:rsidRDefault="000E5A86" w:rsidP="006B7D29">
            <w:pPr>
              <w:pStyle w:val="C-BodyText"/>
              <w:spacing w:before="0" w:after="0" w:line="240" w:lineRule="auto"/>
              <w:rPr>
                <w:sz w:val="20"/>
                <w:u w:val="single"/>
              </w:rPr>
            </w:pPr>
            <w:r>
              <w:rPr>
                <w:sz w:val="20"/>
                <w:u w:val="single"/>
              </w:rPr>
              <w:t>Très fréquent</w:t>
            </w:r>
          </w:p>
          <w:p w14:paraId="55ED5AF9" w14:textId="77777777" w:rsidR="00F3495F" w:rsidRPr="00D2126A" w:rsidRDefault="000E5A86" w:rsidP="006B7D29">
            <w:pPr>
              <w:pStyle w:val="C-BodyText"/>
              <w:spacing w:before="0" w:after="0" w:line="240" w:lineRule="auto"/>
              <w:rPr>
                <w:sz w:val="20"/>
              </w:rPr>
            </w:pPr>
            <w:r>
              <w:rPr>
                <w:sz w:val="20"/>
              </w:rPr>
              <w:t>Hypokaliémie</w:t>
            </w:r>
          </w:p>
        </w:tc>
        <w:tc>
          <w:tcPr>
            <w:tcW w:w="1721" w:type="pct"/>
            <w:shd w:val="clear" w:color="auto" w:fill="auto"/>
          </w:tcPr>
          <w:p w14:paraId="0DC7F5ED" w14:textId="77777777" w:rsidR="00F3495F" w:rsidRPr="00D2126A" w:rsidRDefault="000E5A86" w:rsidP="006B7D29">
            <w:pPr>
              <w:pStyle w:val="C-BodyText"/>
              <w:spacing w:before="0" w:after="0" w:line="240" w:lineRule="auto"/>
              <w:rPr>
                <w:sz w:val="20"/>
                <w:u w:val="single"/>
              </w:rPr>
            </w:pPr>
            <w:r>
              <w:rPr>
                <w:sz w:val="20"/>
                <w:u w:val="single"/>
              </w:rPr>
              <w:t>Fréquent</w:t>
            </w:r>
          </w:p>
          <w:p w14:paraId="4B32350D" w14:textId="77777777" w:rsidR="00F3495F" w:rsidRPr="00D2126A" w:rsidRDefault="000E5A86" w:rsidP="006B7D29">
            <w:pPr>
              <w:pStyle w:val="C-BodyText"/>
              <w:spacing w:before="0" w:after="0" w:line="240" w:lineRule="auto"/>
              <w:rPr>
                <w:sz w:val="20"/>
              </w:rPr>
            </w:pPr>
            <w:r>
              <w:rPr>
                <w:sz w:val="20"/>
              </w:rPr>
              <w:t>Hypokaliémie, déshydratation</w:t>
            </w:r>
          </w:p>
        </w:tc>
      </w:tr>
      <w:tr w:rsidR="00D5485C" w:rsidRPr="00D2126A" w14:paraId="59CAB0D7" w14:textId="77777777" w:rsidTr="0097536F">
        <w:trPr>
          <w:cantSplit/>
          <w:trHeight w:val="57"/>
        </w:trPr>
        <w:tc>
          <w:tcPr>
            <w:tcW w:w="1568" w:type="pct"/>
            <w:shd w:val="clear" w:color="auto" w:fill="auto"/>
            <w:vAlign w:val="center"/>
          </w:tcPr>
          <w:p w14:paraId="49C70E6E" w14:textId="77777777" w:rsidR="00F3495F" w:rsidRPr="00D2126A" w:rsidRDefault="000E5A86" w:rsidP="006B7D29">
            <w:pPr>
              <w:pStyle w:val="C-BodyText"/>
              <w:spacing w:before="0" w:after="0" w:line="240" w:lineRule="auto"/>
              <w:rPr>
                <w:b/>
                <w:sz w:val="20"/>
              </w:rPr>
            </w:pPr>
            <w:r>
              <w:rPr>
                <w:b/>
                <w:sz w:val="20"/>
              </w:rPr>
              <w:t>Affections du système nerveux</w:t>
            </w:r>
          </w:p>
        </w:tc>
        <w:tc>
          <w:tcPr>
            <w:tcW w:w="1711" w:type="pct"/>
            <w:shd w:val="clear" w:color="auto" w:fill="auto"/>
          </w:tcPr>
          <w:p w14:paraId="748174F0" w14:textId="77777777" w:rsidR="00F3495F" w:rsidRPr="00D2126A" w:rsidRDefault="000E5A86" w:rsidP="006B7D29">
            <w:pPr>
              <w:pStyle w:val="C-BodyText"/>
              <w:spacing w:before="0" w:after="0" w:line="240" w:lineRule="auto"/>
              <w:rPr>
                <w:sz w:val="20"/>
                <w:u w:val="single"/>
              </w:rPr>
            </w:pPr>
            <w:r>
              <w:rPr>
                <w:sz w:val="20"/>
                <w:u w:val="single"/>
              </w:rPr>
              <w:t>Très fréquent</w:t>
            </w:r>
          </w:p>
          <w:p w14:paraId="2570195E" w14:textId="77777777" w:rsidR="00F3495F" w:rsidRPr="00D2126A" w:rsidRDefault="000E5A86" w:rsidP="006B7D29">
            <w:pPr>
              <w:pStyle w:val="C-BodyText"/>
              <w:spacing w:before="0" w:after="0" w:line="240" w:lineRule="auto"/>
              <w:rPr>
                <w:sz w:val="20"/>
              </w:rPr>
            </w:pPr>
            <w:r>
              <w:rPr>
                <w:sz w:val="20"/>
              </w:rPr>
              <w:t>Paresthésie</w:t>
            </w:r>
          </w:p>
          <w:p w14:paraId="588A007E" w14:textId="77777777" w:rsidR="00F3495F" w:rsidRPr="00AB0414" w:rsidRDefault="00F3495F" w:rsidP="006B7D29">
            <w:pPr>
              <w:pStyle w:val="C-BodyText"/>
              <w:spacing w:before="0" w:after="0" w:line="240" w:lineRule="auto"/>
              <w:rPr>
                <w:sz w:val="20"/>
              </w:rPr>
            </w:pPr>
          </w:p>
          <w:p w14:paraId="4141B757" w14:textId="77777777" w:rsidR="00F3495F" w:rsidRPr="00D2126A" w:rsidRDefault="000E5A86" w:rsidP="006B7D29">
            <w:pPr>
              <w:pStyle w:val="C-BodyText"/>
              <w:spacing w:before="0" w:after="0" w:line="240" w:lineRule="auto"/>
              <w:rPr>
                <w:sz w:val="20"/>
                <w:u w:val="single"/>
              </w:rPr>
            </w:pPr>
            <w:r>
              <w:rPr>
                <w:sz w:val="20"/>
                <w:u w:val="single"/>
              </w:rPr>
              <w:t>Fréquent</w:t>
            </w:r>
          </w:p>
          <w:p w14:paraId="11236F15" w14:textId="77777777" w:rsidR="00F3495F" w:rsidRPr="00D2126A" w:rsidRDefault="000E5A86" w:rsidP="006B7D29">
            <w:pPr>
              <w:pStyle w:val="C-BodyText"/>
              <w:spacing w:before="0" w:after="0" w:line="240" w:lineRule="auto"/>
              <w:rPr>
                <w:sz w:val="20"/>
              </w:rPr>
            </w:pPr>
            <w:r>
              <w:rPr>
                <w:sz w:val="20"/>
              </w:rPr>
              <w:t>Neuropathie périphérique</w:t>
            </w:r>
            <w:r>
              <w:rPr>
                <w:sz w:val="20"/>
                <w:vertAlign w:val="superscript"/>
              </w:rPr>
              <w:t>c</w:t>
            </w:r>
          </w:p>
        </w:tc>
        <w:tc>
          <w:tcPr>
            <w:tcW w:w="1721" w:type="pct"/>
            <w:shd w:val="clear" w:color="auto" w:fill="auto"/>
          </w:tcPr>
          <w:p w14:paraId="17693061" w14:textId="77777777" w:rsidR="00F3495F" w:rsidRPr="00D2126A" w:rsidRDefault="000E5A86" w:rsidP="006B7D29">
            <w:pPr>
              <w:pStyle w:val="C-BodyText"/>
              <w:spacing w:before="0" w:after="0" w:line="240" w:lineRule="auto"/>
              <w:rPr>
                <w:sz w:val="20"/>
                <w:u w:val="single"/>
              </w:rPr>
            </w:pPr>
            <w:r>
              <w:rPr>
                <w:sz w:val="20"/>
                <w:u w:val="single"/>
              </w:rPr>
              <w:t>Fréquent</w:t>
            </w:r>
          </w:p>
          <w:p w14:paraId="3971B21C" w14:textId="77777777" w:rsidR="00F3495F" w:rsidRPr="00D2126A" w:rsidRDefault="000E5A86" w:rsidP="006B7D29">
            <w:pPr>
              <w:pStyle w:val="C-BodyText"/>
              <w:spacing w:before="0" w:after="0" w:line="240" w:lineRule="auto"/>
              <w:rPr>
                <w:sz w:val="20"/>
              </w:rPr>
            </w:pPr>
            <w:r>
              <w:rPr>
                <w:sz w:val="20"/>
              </w:rPr>
              <w:t>Céphalées</w:t>
            </w:r>
          </w:p>
        </w:tc>
      </w:tr>
      <w:tr w:rsidR="00D5485C" w:rsidRPr="00D2126A" w14:paraId="6B7873E1" w14:textId="77777777" w:rsidTr="0097536F">
        <w:trPr>
          <w:cantSplit/>
          <w:trHeight w:val="57"/>
        </w:trPr>
        <w:tc>
          <w:tcPr>
            <w:tcW w:w="1568" w:type="pct"/>
            <w:shd w:val="clear" w:color="auto" w:fill="auto"/>
            <w:vAlign w:val="center"/>
          </w:tcPr>
          <w:p w14:paraId="4FEF0BAF" w14:textId="77777777" w:rsidR="00F3495F" w:rsidRPr="00D2126A" w:rsidRDefault="000E5A86" w:rsidP="006B7D29">
            <w:pPr>
              <w:pStyle w:val="C-BodyText"/>
              <w:spacing w:before="0" w:after="0" w:line="240" w:lineRule="auto"/>
              <w:rPr>
                <w:b/>
                <w:sz w:val="20"/>
              </w:rPr>
            </w:pPr>
            <w:r>
              <w:rPr>
                <w:b/>
                <w:sz w:val="20"/>
              </w:rPr>
              <w:t>Affections vasculaires</w:t>
            </w:r>
          </w:p>
        </w:tc>
        <w:tc>
          <w:tcPr>
            <w:tcW w:w="1711" w:type="pct"/>
            <w:shd w:val="clear" w:color="auto" w:fill="auto"/>
          </w:tcPr>
          <w:p w14:paraId="20A021C7" w14:textId="77777777" w:rsidR="00F3495F" w:rsidRPr="00D2126A" w:rsidRDefault="000E5A86" w:rsidP="006B7D29">
            <w:pPr>
              <w:pStyle w:val="C-BodyText"/>
              <w:spacing w:before="0" w:after="0" w:line="240" w:lineRule="auto"/>
              <w:rPr>
                <w:sz w:val="20"/>
                <w:u w:val="single"/>
              </w:rPr>
            </w:pPr>
            <w:r>
              <w:rPr>
                <w:sz w:val="20"/>
                <w:u w:val="single"/>
              </w:rPr>
              <w:t>Fréquent</w:t>
            </w:r>
          </w:p>
          <w:p w14:paraId="3A3C83AB" w14:textId="4D19421D" w:rsidR="00F3495F" w:rsidRPr="00D2126A" w:rsidRDefault="000E5A86" w:rsidP="006B7D29">
            <w:pPr>
              <w:pStyle w:val="C-BodyText"/>
              <w:spacing w:before="0" w:after="0" w:line="240" w:lineRule="auto"/>
              <w:rPr>
                <w:sz w:val="20"/>
              </w:rPr>
            </w:pPr>
            <w:r>
              <w:rPr>
                <w:sz w:val="20"/>
              </w:rPr>
              <w:t>Embolie pulmonaire</w:t>
            </w:r>
            <w:r>
              <w:rPr>
                <w:sz w:val="20"/>
                <w:vertAlign w:val="superscript"/>
              </w:rPr>
              <w:t>◊,*</w:t>
            </w:r>
          </w:p>
        </w:tc>
        <w:tc>
          <w:tcPr>
            <w:tcW w:w="1721" w:type="pct"/>
            <w:shd w:val="clear" w:color="auto" w:fill="auto"/>
          </w:tcPr>
          <w:p w14:paraId="3E940FB0" w14:textId="77777777" w:rsidR="00F3495F" w:rsidRPr="00D2126A" w:rsidRDefault="000E5A86" w:rsidP="006B7D29">
            <w:pPr>
              <w:pStyle w:val="C-BodyText"/>
              <w:spacing w:before="0" w:after="0" w:line="240" w:lineRule="auto"/>
              <w:rPr>
                <w:sz w:val="20"/>
                <w:u w:val="single"/>
              </w:rPr>
            </w:pPr>
            <w:r>
              <w:rPr>
                <w:sz w:val="20"/>
                <w:u w:val="single"/>
              </w:rPr>
              <w:t>Fréquent</w:t>
            </w:r>
          </w:p>
          <w:p w14:paraId="512AA13D" w14:textId="691EBE83" w:rsidR="00F3495F" w:rsidRPr="00D2126A" w:rsidRDefault="000E5A86" w:rsidP="006B7D29">
            <w:pPr>
              <w:pStyle w:val="C-BodyText"/>
              <w:spacing w:before="0" w:after="0" w:line="240" w:lineRule="auto"/>
              <w:rPr>
                <w:sz w:val="20"/>
              </w:rPr>
            </w:pPr>
            <w:r>
              <w:rPr>
                <w:sz w:val="20"/>
              </w:rPr>
              <w:t>Thrombose veineuse profonde^</w:t>
            </w:r>
            <w:r>
              <w:rPr>
                <w:sz w:val="20"/>
                <w:vertAlign w:val="superscript"/>
              </w:rPr>
              <w:t>,◊,d</w:t>
            </w:r>
          </w:p>
        </w:tc>
      </w:tr>
      <w:tr w:rsidR="00D5485C" w:rsidRPr="00D2126A" w14:paraId="295B75B8" w14:textId="77777777" w:rsidTr="0097536F">
        <w:trPr>
          <w:cantSplit/>
          <w:trHeight w:val="57"/>
        </w:trPr>
        <w:tc>
          <w:tcPr>
            <w:tcW w:w="1568" w:type="pct"/>
            <w:shd w:val="clear" w:color="auto" w:fill="auto"/>
            <w:vAlign w:val="center"/>
          </w:tcPr>
          <w:p w14:paraId="07026CF6" w14:textId="77777777" w:rsidR="00F3495F" w:rsidRPr="00D2126A" w:rsidRDefault="000E5A86" w:rsidP="006B7D29">
            <w:pPr>
              <w:pStyle w:val="C-BodyText"/>
              <w:spacing w:before="0" w:after="0" w:line="240" w:lineRule="auto"/>
              <w:rPr>
                <w:b/>
                <w:sz w:val="20"/>
              </w:rPr>
            </w:pPr>
            <w:r>
              <w:rPr>
                <w:b/>
                <w:sz w:val="20"/>
              </w:rPr>
              <w:t>Affections respiratoires, thoraciques et médiastinales</w:t>
            </w:r>
          </w:p>
        </w:tc>
        <w:tc>
          <w:tcPr>
            <w:tcW w:w="1711" w:type="pct"/>
            <w:shd w:val="clear" w:color="auto" w:fill="auto"/>
          </w:tcPr>
          <w:p w14:paraId="031AD457" w14:textId="77777777" w:rsidR="00F3495F" w:rsidRPr="00D2126A" w:rsidRDefault="000E5A86" w:rsidP="006B7D29">
            <w:pPr>
              <w:pStyle w:val="C-BodyText"/>
              <w:spacing w:before="0" w:after="0" w:line="240" w:lineRule="auto"/>
              <w:rPr>
                <w:sz w:val="20"/>
                <w:u w:val="single"/>
              </w:rPr>
            </w:pPr>
            <w:r>
              <w:rPr>
                <w:sz w:val="20"/>
                <w:u w:val="single"/>
              </w:rPr>
              <w:t>Très fréquent</w:t>
            </w:r>
          </w:p>
          <w:p w14:paraId="3750BF35" w14:textId="77777777" w:rsidR="00F3495F" w:rsidRPr="00D2126A" w:rsidRDefault="000E5A86" w:rsidP="006B7D29">
            <w:pPr>
              <w:pStyle w:val="C-BodyText"/>
              <w:spacing w:before="0" w:after="0" w:line="240" w:lineRule="auto"/>
              <w:rPr>
                <w:sz w:val="20"/>
              </w:rPr>
            </w:pPr>
            <w:r>
              <w:rPr>
                <w:sz w:val="20"/>
              </w:rPr>
              <w:t>Toux</w:t>
            </w:r>
          </w:p>
          <w:p w14:paraId="2FC4378A" w14:textId="77777777" w:rsidR="00F3495F" w:rsidRPr="00AB0414" w:rsidRDefault="00F3495F" w:rsidP="006B7D29">
            <w:pPr>
              <w:pStyle w:val="C-BodyText"/>
              <w:spacing w:before="0" w:after="0" w:line="240" w:lineRule="auto"/>
              <w:rPr>
                <w:sz w:val="20"/>
              </w:rPr>
            </w:pPr>
          </w:p>
          <w:p w14:paraId="1593671A" w14:textId="77777777" w:rsidR="00F3495F" w:rsidRPr="00D2126A" w:rsidRDefault="000E5A86" w:rsidP="006B7D29">
            <w:pPr>
              <w:pStyle w:val="C-BodyText"/>
              <w:spacing w:before="0" w:after="0" w:line="240" w:lineRule="auto"/>
              <w:rPr>
                <w:sz w:val="20"/>
                <w:u w:val="single"/>
              </w:rPr>
            </w:pPr>
            <w:r>
              <w:rPr>
                <w:sz w:val="20"/>
                <w:u w:val="single"/>
              </w:rPr>
              <w:t>Fréquent</w:t>
            </w:r>
          </w:p>
          <w:p w14:paraId="52E70C3D" w14:textId="77777777" w:rsidR="00F3495F" w:rsidRPr="00D2126A" w:rsidRDefault="000E5A86" w:rsidP="006B7D29">
            <w:pPr>
              <w:pStyle w:val="C-BodyText"/>
              <w:spacing w:before="0" w:after="0" w:line="240" w:lineRule="auto"/>
              <w:rPr>
                <w:sz w:val="20"/>
              </w:rPr>
            </w:pPr>
            <w:r>
              <w:rPr>
                <w:sz w:val="20"/>
              </w:rPr>
              <w:t>Dyspnée</w:t>
            </w:r>
            <w:r>
              <w:rPr>
                <w:sz w:val="20"/>
                <w:vertAlign w:val="superscript"/>
              </w:rPr>
              <w:t>◊</w:t>
            </w:r>
            <w:r>
              <w:rPr>
                <w:sz w:val="20"/>
              </w:rPr>
              <w:t>, rhinorrhée</w:t>
            </w:r>
          </w:p>
        </w:tc>
        <w:tc>
          <w:tcPr>
            <w:tcW w:w="1721" w:type="pct"/>
            <w:shd w:val="clear" w:color="auto" w:fill="auto"/>
          </w:tcPr>
          <w:p w14:paraId="04CD580E" w14:textId="77777777" w:rsidR="00F3495F" w:rsidRPr="00D2126A" w:rsidRDefault="000E5A86" w:rsidP="006B7D29">
            <w:pPr>
              <w:pStyle w:val="C-BodyText"/>
              <w:spacing w:before="0" w:after="0" w:line="240" w:lineRule="auto"/>
              <w:rPr>
                <w:sz w:val="20"/>
                <w:u w:val="single"/>
              </w:rPr>
            </w:pPr>
            <w:r>
              <w:rPr>
                <w:sz w:val="20"/>
                <w:u w:val="single"/>
              </w:rPr>
              <w:t>Fréquent</w:t>
            </w:r>
          </w:p>
          <w:p w14:paraId="54B7C709" w14:textId="77777777" w:rsidR="00F3495F" w:rsidRPr="00D2126A" w:rsidRDefault="000E5A86" w:rsidP="006B7D29">
            <w:pPr>
              <w:pStyle w:val="C-BodyText"/>
              <w:spacing w:before="0" w:after="0" w:line="240" w:lineRule="auto"/>
              <w:rPr>
                <w:sz w:val="20"/>
              </w:rPr>
            </w:pPr>
            <w:r>
              <w:rPr>
                <w:sz w:val="20"/>
              </w:rPr>
              <w:t>Dyspnée</w:t>
            </w:r>
            <w:r>
              <w:rPr>
                <w:sz w:val="20"/>
                <w:vertAlign w:val="superscript"/>
              </w:rPr>
              <w:t>◊</w:t>
            </w:r>
          </w:p>
        </w:tc>
      </w:tr>
      <w:tr w:rsidR="00D5485C" w:rsidRPr="00D2126A" w14:paraId="21E3BE41" w14:textId="77777777" w:rsidTr="0097536F">
        <w:trPr>
          <w:cantSplit/>
          <w:trHeight w:val="57"/>
        </w:trPr>
        <w:tc>
          <w:tcPr>
            <w:tcW w:w="1568" w:type="pct"/>
            <w:shd w:val="clear" w:color="auto" w:fill="auto"/>
            <w:vAlign w:val="center"/>
          </w:tcPr>
          <w:p w14:paraId="34BFD854" w14:textId="77777777" w:rsidR="00F3495F" w:rsidRPr="00D2126A" w:rsidRDefault="000E5A86" w:rsidP="006B7D29">
            <w:pPr>
              <w:pStyle w:val="C-BodyText"/>
              <w:spacing w:before="0" w:after="0" w:line="240" w:lineRule="auto"/>
              <w:rPr>
                <w:b/>
                <w:sz w:val="20"/>
              </w:rPr>
            </w:pPr>
            <w:r>
              <w:rPr>
                <w:b/>
                <w:sz w:val="20"/>
              </w:rPr>
              <w:t>Affections gastro</w:t>
            </w:r>
            <w:r>
              <w:rPr>
                <w:b/>
                <w:sz w:val="20"/>
              </w:rPr>
              <w:noBreakHyphen/>
              <w:t>intestinales</w:t>
            </w:r>
          </w:p>
        </w:tc>
        <w:tc>
          <w:tcPr>
            <w:tcW w:w="1711" w:type="pct"/>
            <w:shd w:val="clear" w:color="auto" w:fill="auto"/>
          </w:tcPr>
          <w:p w14:paraId="3EDAE91B" w14:textId="77777777" w:rsidR="00F3495F" w:rsidRPr="00D2126A" w:rsidRDefault="000E5A86" w:rsidP="006B7D29">
            <w:pPr>
              <w:pStyle w:val="C-BodyText"/>
              <w:spacing w:before="0" w:after="0" w:line="240" w:lineRule="auto"/>
              <w:rPr>
                <w:sz w:val="20"/>
                <w:u w:val="single"/>
              </w:rPr>
            </w:pPr>
            <w:r>
              <w:rPr>
                <w:sz w:val="20"/>
                <w:u w:val="single"/>
              </w:rPr>
              <w:t>Très fréquent</w:t>
            </w:r>
          </w:p>
          <w:p w14:paraId="6F2D7B6F" w14:textId="77777777" w:rsidR="00F3495F" w:rsidRPr="00D2126A" w:rsidRDefault="000E5A86" w:rsidP="006B7D29">
            <w:pPr>
              <w:pStyle w:val="C-BodyText"/>
              <w:spacing w:before="0" w:after="0" w:line="240" w:lineRule="auto"/>
              <w:rPr>
                <w:sz w:val="20"/>
              </w:rPr>
            </w:pPr>
            <w:r>
              <w:rPr>
                <w:sz w:val="20"/>
              </w:rPr>
              <w:t>Diarrhée, constipation, douleur abdominale, nausées</w:t>
            </w:r>
          </w:p>
          <w:p w14:paraId="3EE54E3B" w14:textId="77777777" w:rsidR="00F3495F" w:rsidRPr="00AB0414" w:rsidRDefault="00F3495F" w:rsidP="006B7D29">
            <w:pPr>
              <w:pStyle w:val="C-BodyText"/>
              <w:spacing w:before="0" w:after="0" w:line="240" w:lineRule="auto"/>
              <w:rPr>
                <w:sz w:val="20"/>
              </w:rPr>
            </w:pPr>
          </w:p>
          <w:p w14:paraId="7DF6FF7A" w14:textId="77777777" w:rsidR="00F3495F" w:rsidRPr="00D2126A" w:rsidRDefault="000E5A86" w:rsidP="006B7D29">
            <w:pPr>
              <w:pStyle w:val="C-BodyText"/>
              <w:spacing w:before="0" w:after="0" w:line="240" w:lineRule="auto"/>
              <w:rPr>
                <w:sz w:val="20"/>
                <w:u w:val="single"/>
              </w:rPr>
            </w:pPr>
            <w:r>
              <w:rPr>
                <w:sz w:val="20"/>
                <w:u w:val="single"/>
              </w:rPr>
              <w:t>Fréquent</w:t>
            </w:r>
          </w:p>
          <w:p w14:paraId="07B3E78E" w14:textId="77777777" w:rsidR="00F3495F" w:rsidRPr="00D2126A" w:rsidRDefault="000E5A86" w:rsidP="006B7D29">
            <w:pPr>
              <w:pStyle w:val="C-BodyText"/>
              <w:spacing w:before="0" w:after="0" w:line="240" w:lineRule="auto"/>
              <w:rPr>
                <w:sz w:val="20"/>
              </w:rPr>
            </w:pPr>
            <w:r>
              <w:rPr>
                <w:sz w:val="20"/>
              </w:rPr>
              <w:t>Vomissements, douleur abdominale haute</w:t>
            </w:r>
          </w:p>
        </w:tc>
        <w:tc>
          <w:tcPr>
            <w:tcW w:w="1721" w:type="pct"/>
            <w:shd w:val="clear" w:color="auto" w:fill="auto"/>
          </w:tcPr>
          <w:p w14:paraId="1BC6EC5C" w14:textId="77777777" w:rsidR="00F3495F" w:rsidRPr="00D2126A" w:rsidRDefault="000E5A86" w:rsidP="006B7D29">
            <w:pPr>
              <w:pStyle w:val="C-BodyText"/>
              <w:spacing w:before="0" w:after="0" w:line="240" w:lineRule="auto"/>
              <w:rPr>
                <w:sz w:val="20"/>
                <w:u w:val="single"/>
              </w:rPr>
            </w:pPr>
            <w:r>
              <w:rPr>
                <w:sz w:val="20"/>
                <w:u w:val="single"/>
              </w:rPr>
              <w:t>Fréquent</w:t>
            </w:r>
          </w:p>
          <w:p w14:paraId="39663A9F" w14:textId="77777777" w:rsidR="00F3495F" w:rsidRPr="00D2126A" w:rsidRDefault="000E5A86" w:rsidP="006B7D29">
            <w:pPr>
              <w:pStyle w:val="C-BodyText"/>
              <w:spacing w:before="0" w:after="0" w:line="240" w:lineRule="auto"/>
              <w:rPr>
                <w:sz w:val="20"/>
              </w:rPr>
            </w:pPr>
            <w:r>
              <w:rPr>
                <w:sz w:val="20"/>
              </w:rPr>
              <w:t>Diarrhée, vomissements, nausées</w:t>
            </w:r>
          </w:p>
        </w:tc>
      </w:tr>
      <w:tr w:rsidR="00D5485C" w:rsidRPr="00D2126A" w14:paraId="224A5B82" w14:textId="77777777" w:rsidTr="0097536F">
        <w:trPr>
          <w:cantSplit/>
          <w:trHeight w:val="57"/>
        </w:trPr>
        <w:tc>
          <w:tcPr>
            <w:tcW w:w="1568" w:type="pct"/>
            <w:shd w:val="clear" w:color="auto" w:fill="auto"/>
            <w:vAlign w:val="center"/>
          </w:tcPr>
          <w:p w14:paraId="39068AF2" w14:textId="77777777" w:rsidR="00F3495F" w:rsidRPr="00D2126A" w:rsidRDefault="000E5A86" w:rsidP="006B7D29">
            <w:pPr>
              <w:pStyle w:val="C-BodyText"/>
              <w:spacing w:before="0" w:after="0" w:line="240" w:lineRule="auto"/>
              <w:rPr>
                <w:b/>
                <w:sz w:val="20"/>
              </w:rPr>
            </w:pPr>
            <w:r>
              <w:rPr>
                <w:b/>
                <w:sz w:val="20"/>
              </w:rPr>
              <w:t>Affections hépatobiliaires</w:t>
            </w:r>
          </w:p>
        </w:tc>
        <w:tc>
          <w:tcPr>
            <w:tcW w:w="1711" w:type="pct"/>
            <w:shd w:val="clear" w:color="auto" w:fill="auto"/>
          </w:tcPr>
          <w:p w14:paraId="4B0D3CC1" w14:textId="77777777" w:rsidR="00F3495F" w:rsidRPr="00D2126A" w:rsidRDefault="000E5A86" w:rsidP="006B7D29">
            <w:pPr>
              <w:pStyle w:val="C-BodyText"/>
              <w:spacing w:before="0" w:after="0" w:line="240" w:lineRule="auto"/>
              <w:rPr>
                <w:sz w:val="20"/>
                <w:u w:val="single"/>
              </w:rPr>
            </w:pPr>
            <w:r>
              <w:rPr>
                <w:sz w:val="20"/>
                <w:u w:val="single"/>
              </w:rPr>
              <w:t>Très fréquent</w:t>
            </w:r>
          </w:p>
          <w:p w14:paraId="55E0A5F5" w14:textId="77777777" w:rsidR="00F3495F" w:rsidRPr="00D2126A" w:rsidRDefault="000E5A86" w:rsidP="006B7D29">
            <w:pPr>
              <w:pStyle w:val="C-BodyText"/>
              <w:spacing w:before="0" w:after="0" w:line="240" w:lineRule="auto"/>
              <w:rPr>
                <w:sz w:val="20"/>
              </w:rPr>
            </w:pPr>
            <w:r>
              <w:rPr>
                <w:sz w:val="20"/>
              </w:rPr>
              <w:t>Perturbation du bilan hépatique</w:t>
            </w:r>
          </w:p>
        </w:tc>
        <w:tc>
          <w:tcPr>
            <w:tcW w:w="1721" w:type="pct"/>
            <w:shd w:val="clear" w:color="auto" w:fill="auto"/>
          </w:tcPr>
          <w:p w14:paraId="264B8CC9" w14:textId="77777777" w:rsidR="00F3495F" w:rsidRPr="00D2126A" w:rsidRDefault="000E5A86" w:rsidP="006B7D29">
            <w:pPr>
              <w:pStyle w:val="C-BodyText"/>
              <w:spacing w:before="0" w:after="0" w:line="240" w:lineRule="auto"/>
              <w:rPr>
                <w:sz w:val="20"/>
                <w:u w:val="single"/>
              </w:rPr>
            </w:pPr>
            <w:r>
              <w:rPr>
                <w:sz w:val="20"/>
                <w:u w:val="single"/>
              </w:rPr>
              <w:t>Fréquent</w:t>
            </w:r>
          </w:p>
          <w:p w14:paraId="3B64BA42" w14:textId="77777777" w:rsidR="00F3495F" w:rsidRPr="00D2126A" w:rsidRDefault="000E5A86" w:rsidP="006B7D29">
            <w:pPr>
              <w:pStyle w:val="C-BodyText"/>
              <w:spacing w:before="0" w:after="0" w:line="240" w:lineRule="auto"/>
              <w:rPr>
                <w:sz w:val="20"/>
              </w:rPr>
            </w:pPr>
            <w:r>
              <w:rPr>
                <w:sz w:val="20"/>
              </w:rPr>
              <w:t>Perturbation du bilan hépatique</w:t>
            </w:r>
          </w:p>
        </w:tc>
      </w:tr>
      <w:tr w:rsidR="00D5485C" w:rsidRPr="00D2126A" w14:paraId="6A28BBC0" w14:textId="77777777" w:rsidTr="0097536F">
        <w:trPr>
          <w:cantSplit/>
          <w:trHeight w:val="57"/>
        </w:trPr>
        <w:tc>
          <w:tcPr>
            <w:tcW w:w="1568" w:type="pct"/>
            <w:shd w:val="clear" w:color="auto" w:fill="auto"/>
            <w:vAlign w:val="center"/>
          </w:tcPr>
          <w:p w14:paraId="19A5426D" w14:textId="77777777" w:rsidR="00F3495F" w:rsidRPr="00D2126A" w:rsidRDefault="000E5A86" w:rsidP="006B7D29">
            <w:pPr>
              <w:pStyle w:val="C-BodyText"/>
              <w:spacing w:before="0" w:after="0" w:line="240" w:lineRule="auto"/>
              <w:rPr>
                <w:b/>
                <w:sz w:val="20"/>
              </w:rPr>
            </w:pPr>
            <w:r>
              <w:rPr>
                <w:b/>
                <w:sz w:val="20"/>
              </w:rPr>
              <w:t>Affections de la peau et du tissu sous</w:t>
            </w:r>
            <w:r>
              <w:rPr>
                <w:b/>
                <w:sz w:val="20"/>
              </w:rPr>
              <w:noBreakHyphen/>
              <w:t>cutané</w:t>
            </w:r>
          </w:p>
        </w:tc>
        <w:tc>
          <w:tcPr>
            <w:tcW w:w="1711" w:type="pct"/>
            <w:shd w:val="clear" w:color="auto" w:fill="auto"/>
          </w:tcPr>
          <w:p w14:paraId="73F20BE9" w14:textId="77777777" w:rsidR="00F3495F" w:rsidRPr="00D2126A" w:rsidRDefault="000E5A86" w:rsidP="006B7D29">
            <w:pPr>
              <w:pStyle w:val="C-BodyText"/>
              <w:spacing w:before="0" w:after="0" w:line="240" w:lineRule="auto"/>
              <w:rPr>
                <w:sz w:val="20"/>
                <w:u w:val="single"/>
              </w:rPr>
            </w:pPr>
            <w:r>
              <w:rPr>
                <w:sz w:val="20"/>
                <w:u w:val="single"/>
              </w:rPr>
              <w:t>Très fréquent</w:t>
            </w:r>
          </w:p>
          <w:p w14:paraId="27BFF251" w14:textId="77777777" w:rsidR="00F3495F" w:rsidRPr="00D2126A" w:rsidRDefault="000E5A86" w:rsidP="006B7D29">
            <w:pPr>
              <w:pStyle w:val="C-BodyText"/>
              <w:spacing w:before="0" w:after="0" w:line="240" w:lineRule="auto"/>
              <w:rPr>
                <w:sz w:val="20"/>
              </w:rPr>
            </w:pPr>
            <w:r>
              <w:rPr>
                <w:sz w:val="20"/>
              </w:rPr>
              <w:t>Éruption cutanée, sécheresse cutanée</w:t>
            </w:r>
          </w:p>
        </w:tc>
        <w:tc>
          <w:tcPr>
            <w:tcW w:w="1721" w:type="pct"/>
            <w:shd w:val="clear" w:color="auto" w:fill="auto"/>
          </w:tcPr>
          <w:p w14:paraId="09BFCCE5" w14:textId="77777777" w:rsidR="00F3495F" w:rsidRPr="00D2126A" w:rsidRDefault="000E5A86" w:rsidP="006B7D29">
            <w:pPr>
              <w:pStyle w:val="C-BodyText"/>
              <w:spacing w:before="0" w:after="0" w:line="240" w:lineRule="auto"/>
              <w:rPr>
                <w:sz w:val="20"/>
                <w:u w:val="single"/>
              </w:rPr>
            </w:pPr>
            <w:r>
              <w:rPr>
                <w:sz w:val="20"/>
                <w:u w:val="single"/>
              </w:rPr>
              <w:t>Fréquent</w:t>
            </w:r>
          </w:p>
          <w:p w14:paraId="1E241AE6" w14:textId="77777777" w:rsidR="00F3495F" w:rsidRPr="00D2126A" w:rsidRDefault="000E5A86" w:rsidP="006B7D29">
            <w:pPr>
              <w:pStyle w:val="C-BodyText"/>
              <w:spacing w:before="0" w:after="0" w:line="240" w:lineRule="auto"/>
              <w:rPr>
                <w:sz w:val="20"/>
              </w:rPr>
            </w:pPr>
            <w:r>
              <w:rPr>
                <w:sz w:val="20"/>
              </w:rPr>
              <w:t>Éruption cutanée, prurit</w:t>
            </w:r>
          </w:p>
        </w:tc>
      </w:tr>
      <w:tr w:rsidR="00D5485C" w:rsidRPr="00D2126A" w14:paraId="0AA44F92" w14:textId="77777777" w:rsidTr="0097536F">
        <w:trPr>
          <w:cantSplit/>
          <w:trHeight w:val="57"/>
        </w:trPr>
        <w:tc>
          <w:tcPr>
            <w:tcW w:w="1568" w:type="pct"/>
            <w:shd w:val="clear" w:color="auto" w:fill="auto"/>
            <w:vAlign w:val="center"/>
          </w:tcPr>
          <w:p w14:paraId="37B7988E" w14:textId="77777777" w:rsidR="00F3495F" w:rsidRPr="00D2126A" w:rsidRDefault="000E5A86" w:rsidP="006B7D29">
            <w:pPr>
              <w:pStyle w:val="C-BodyText"/>
              <w:keepNext/>
              <w:spacing w:before="0" w:after="0" w:line="240" w:lineRule="auto"/>
              <w:rPr>
                <w:b/>
                <w:sz w:val="20"/>
              </w:rPr>
            </w:pPr>
            <w:r>
              <w:rPr>
                <w:b/>
                <w:sz w:val="20"/>
              </w:rPr>
              <w:t>Affections musculo</w:t>
            </w:r>
            <w:r>
              <w:rPr>
                <w:b/>
                <w:sz w:val="20"/>
              </w:rPr>
              <w:noBreakHyphen/>
              <w:t>squelettiques et systémiques</w:t>
            </w:r>
          </w:p>
        </w:tc>
        <w:tc>
          <w:tcPr>
            <w:tcW w:w="1711" w:type="pct"/>
            <w:shd w:val="clear" w:color="auto" w:fill="auto"/>
          </w:tcPr>
          <w:p w14:paraId="19645754" w14:textId="77777777" w:rsidR="00F3495F" w:rsidRPr="00D2126A" w:rsidRDefault="000E5A86" w:rsidP="006B7D29">
            <w:pPr>
              <w:pStyle w:val="C-BodyText"/>
              <w:keepNext/>
              <w:spacing w:before="0" w:after="0" w:line="240" w:lineRule="auto"/>
              <w:rPr>
                <w:sz w:val="20"/>
                <w:u w:val="single"/>
              </w:rPr>
            </w:pPr>
            <w:r>
              <w:rPr>
                <w:sz w:val="20"/>
                <w:u w:val="single"/>
              </w:rPr>
              <w:t>Très fréquent</w:t>
            </w:r>
          </w:p>
          <w:p w14:paraId="3976FFE4" w14:textId="77777777" w:rsidR="00F3495F" w:rsidRPr="00D2126A" w:rsidRDefault="000E5A86" w:rsidP="006B7D29">
            <w:pPr>
              <w:pStyle w:val="C-BodyText"/>
              <w:keepNext/>
              <w:spacing w:before="0" w:after="0" w:line="240" w:lineRule="auto"/>
              <w:rPr>
                <w:sz w:val="20"/>
              </w:rPr>
            </w:pPr>
            <w:r>
              <w:rPr>
                <w:sz w:val="20"/>
              </w:rPr>
              <w:t>Spasmes musculaires</w:t>
            </w:r>
          </w:p>
          <w:p w14:paraId="2543A785" w14:textId="77777777" w:rsidR="00F3495F" w:rsidRPr="00AB0414" w:rsidRDefault="00F3495F" w:rsidP="006B7D29">
            <w:pPr>
              <w:pStyle w:val="C-BodyText"/>
              <w:keepNext/>
              <w:spacing w:before="0" w:after="0" w:line="240" w:lineRule="auto"/>
              <w:rPr>
                <w:sz w:val="20"/>
              </w:rPr>
            </w:pPr>
          </w:p>
          <w:p w14:paraId="2F7E5D0E" w14:textId="77777777" w:rsidR="00F3495F" w:rsidRPr="00D2126A" w:rsidRDefault="000E5A86" w:rsidP="006B7D29">
            <w:pPr>
              <w:pStyle w:val="C-BodyText"/>
              <w:keepNext/>
              <w:spacing w:before="0" w:after="0" w:line="240" w:lineRule="auto"/>
              <w:rPr>
                <w:sz w:val="20"/>
                <w:u w:val="single"/>
              </w:rPr>
            </w:pPr>
            <w:r>
              <w:rPr>
                <w:sz w:val="20"/>
                <w:u w:val="single"/>
              </w:rPr>
              <w:t>Fréquent</w:t>
            </w:r>
          </w:p>
          <w:p w14:paraId="1DC49D5B" w14:textId="77777777" w:rsidR="00F3495F" w:rsidRPr="00D2126A" w:rsidRDefault="000E5A86" w:rsidP="006B7D29">
            <w:pPr>
              <w:pStyle w:val="C-BodyText"/>
              <w:keepNext/>
              <w:spacing w:before="0" w:after="0" w:line="240" w:lineRule="auto"/>
              <w:rPr>
                <w:sz w:val="20"/>
              </w:rPr>
            </w:pPr>
            <w:r>
              <w:rPr>
                <w:sz w:val="20"/>
              </w:rPr>
              <w:t>Myalgies, douleur musculo</w:t>
            </w:r>
            <w:r>
              <w:rPr>
                <w:sz w:val="20"/>
              </w:rPr>
              <w:noBreakHyphen/>
              <w:t>squelettique</w:t>
            </w:r>
          </w:p>
        </w:tc>
        <w:tc>
          <w:tcPr>
            <w:tcW w:w="1721" w:type="pct"/>
            <w:shd w:val="clear" w:color="auto" w:fill="auto"/>
          </w:tcPr>
          <w:p w14:paraId="1AD57989" w14:textId="77777777" w:rsidR="00F3495F" w:rsidRPr="00AB0414" w:rsidRDefault="00F3495F" w:rsidP="006B7D29">
            <w:pPr>
              <w:pStyle w:val="C-BodyText"/>
              <w:keepNext/>
              <w:spacing w:before="0" w:after="0" w:line="240" w:lineRule="auto"/>
              <w:rPr>
                <w:sz w:val="20"/>
              </w:rPr>
            </w:pPr>
          </w:p>
        </w:tc>
      </w:tr>
      <w:tr w:rsidR="00D5485C" w:rsidRPr="00D2126A" w14:paraId="59AE8ED5" w14:textId="77777777" w:rsidTr="0097536F">
        <w:trPr>
          <w:cantSplit/>
          <w:trHeight w:val="57"/>
        </w:trPr>
        <w:tc>
          <w:tcPr>
            <w:tcW w:w="1568" w:type="pct"/>
            <w:shd w:val="clear" w:color="auto" w:fill="auto"/>
            <w:vAlign w:val="center"/>
          </w:tcPr>
          <w:p w14:paraId="5C8D3C80" w14:textId="77777777" w:rsidR="00F3495F" w:rsidRPr="00D2126A" w:rsidRDefault="000E5A86" w:rsidP="006B7D29">
            <w:pPr>
              <w:pStyle w:val="C-BodyText"/>
              <w:keepNext/>
              <w:spacing w:before="0" w:after="0" w:line="240" w:lineRule="auto"/>
              <w:rPr>
                <w:b/>
                <w:sz w:val="20"/>
              </w:rPr>
            </w:pPr>
            <w:r>
              <w:rPr>
                <w:b/>
                <w:sz w:val="20"/>
              </w:rPr>
              <w:t>Troubles généraux et anomalies au site d’administration</w:t>
            </w:r>
          </w:p>
        </w:tc>
        <w:tc>
          <w:tcPr>
            <w:tcW w:w="1711" w:type="pct"/>
            <w:shd w:val="clear" w:color="auto" w:fill="auto"/>
          </w:tcPr>
          <w:p w14:paraId="3156D7A3" w14:textId="77777777" w:rsidR="00F3495F" w:rsidRPr="00D2126A" w:rsidRDefault="000E5A86" w:rsidP="006B7D29">
            <w:pPr>
              <w:pStyle w:val="C-BodyText"/>
              <w:keepNext/>
              <w:spacing w:before="0" w:after="0" w:line="240" w:lineRule="auto"/>
              <w:rPr>
                <w:sz w:val="20"/>
                <w:u w:val="single"/>
              </w:rPr>
            </w:pPr>
            <w:r>
              <w:rPr>
                <w:sz w:val="20"/>
                <w:u w:val="single"/>
              </w:rPr>
              <w:t>Très fréquent</w:t>
            </w:r>
          </w:p>
          <w:p w14:paraId="6B9B5996" w14:textId="77777777" w:rsidR="00F3495F" w:rsidRPr="00D2126A" w:rsidRDefault="000E5A86" w:rsidP="006B7D29">
            <w:pPr>
              <w:pStyle w:val="C-BodyText"/>
              <w:keepNext/>
              <w:spacing w:before="0" w:after="0" w:line="240" w:lineRule="auto"/>
              <w:rPr>
                <w:sz w:val="20"/>
              </w:rPr>
            </w:pPr>
            <w:r>
              <w:rPr>
                <w:sz w:val="20"/>
              </w:rPr>
              <w:t>Fatigue, asthénie, pyrexie</w:t>
            </w:r>
          </w:p>
        </w:tc>
        <w:tc>
          <w:tcPr>
            <w:tcW w:w="1721" w:type="pct"/>
            <w:shd w:val="clear" w:color="auto" w:fill="auto"/>
          </w:tcPr>
          <w:p w14:paraId="41C8B35F" w14:textId="77777777" w:rsidR="00F3495F" w:rsidRPr="00D2126A" w:rsidRDefault="000E5A86" w:rsidP="006B7D29">
            <w:pPr>
              <w:pStyle w:val="C-BodyText"/>
              <w:keepNext/>
              <w:spacing w:before="0" w:after="0" w:line="240" w:lineRule="auto"/>
              <w:rPr>
                <w:sz w:val="20"/>
                <w:u w:val="single"/>
              </w:rPr>
            </w:pPr>
            <w:r>
              <w:rPr>
                <w:sz w:val="20"/>
                <w:u w:val="single"/>
              </w:rPr>
              <w:t>Fréquent</w:t>
            </w:r>
          </w:p>
          <w:p w14:paraId="4B96224C" w14:textId="77777777" w:rsidR="00F3495F" w:rsidRPr="00D2126A" w:rsidRDefault="000E5A86" w:rsidP="006B7D29">
            <w:pPr>
              <w:pStyle w:val="C-BodyText"/>
              <w:keepNext/>
              <w:spacing w:before="0" w:after="0" w:line="240" w:lineRule="auto"/>
              <w:rPr>
                <w:sz w:val="20"/>
              </w:rPr>
            </w:pPr>
            <w:r>
              <w:rPr>
                <w:sz w:val="20"/>
              </w:rPr>
              <w:t>Fatigue, asthénie</w:t>
            </w:r>
          </w:p>
        </w:tc>
      </w:tr>
    </w:tbl>
    <w:p w14:paraId="18AA5753" w14:textId="77777777" w:rsidR="00F3495F" w:rsidRPr="00D2126A" w:rsidRDefault="000E5A86" w:rsidP="00C93C76">
      <w:pPr>
        <w:pStyle w:val="C-BodyText"/>
        <w:spacing w:before="0" w:after="0" w:line="240" w:lineRule="auto"/>
        <w:rPr>
          <w:sz w:val="16"/>
          <w:szCs w:val="16"/>
        </w:rPr>
      </w:pPr>
      <w:r>
        <w:rPr>
          <w:sz w:val="16"/>
          <w:vertAlign w:val="superscript"/>
        </w:rPr>
        <w:t>◊</w:t>
      </w:r>
      <w:r>
        <w:rPr>
          <w:sz w:val="16"/>
        </w:rPr>
        <w:t xml:space="preserve"> Effets indésirables rapportés comme graves dans les études cliniques menées chez des patients présentant un myélome multiple non préalablement traité ayant reçu une AGCS.</w:t>
      </w:r>
    </w:p>
    <w:p w14:paraId="59E4CBBD" w14:textId="26F2F762" w:rsidR="00F3495F" w:rsidRPr="00D2126A" w:rsidRDefault="000E5A86" w:rsidP="00C93C76">
      <w:pPr>
        <w:pStyle w:val="C-BodyText"/>
        <w:spacing w:before="0" w:after="0" w:line="240" w:lineRule="auto"/>
        <w:rPr>
          <w:sz w:val="16"/>
          <w:szCs w:val="16"/>
        </w:rPr>
      </w:pPr>
      <w:r>
        <w:rPr>
          <w:sz w:val="16"/>
          <w:vertAlign w:val="superscript"/>
        </w:rPr>
        <w:t xml:space="preserve">* </w:t>
      </w:r>
      <w:r>
        <w:rPr>
          <w:sz w:val="16"/>
        </w:rPr>
        <w:t>S’applique uniquement aux effets indésirables graves.</w:t>
      </w:r>
    </w:p>
    <w:p w14:paraId="39690187" w14:textId="09179D67" w:rsidR="00F3495F" w:rsidRPr="00D2126A" w:rsidRDefault="000E5A86" w:rsidP="00C93C76">
      <w:pPr>
        <w:pStyle w:val="C-BodyText"/>
        <w:spacing w:before="0" w:after="0" w:line="240" w:lineRule="auto"/>
        <w:rPr>
          <w:sz w:val="16"/>
          <w:szCs w:val="16"/>
        </w:rPr>
      </w:pPr>
      <w:r>
        <w:rPr>
          <w:sz w:val="16"/>
        </w:rPr>
        <w:t>^ Voir rubrique 4.8 Description de certains effets indésirables.</w:t>
      </w:r>
    </w:p>
    <w:p w14:paraId="0C6C7927" w14:textId="77777777" w:rsidR="00F3495F" w:rsidRPr="00D2126A" w:rsidRDefault="000E5A86" w:rsidP="00C93C76">
      <w:pPr>
        <w:pStyle w:val="Date"/>
        <w:rPr>
          <w:rFonts w:eastAsia="MS Mincho"/>
          <w:color w:val="000000"/>
          <w:sz w:val="16"/>
          <w:szCs w:val="16"/>
        </w:rPr>
      </w:pPr>
      <w:r>
        <w:rPr>
          <w:color w:val="000000"/>
          <w:sz w:val="16"/>
          <w:vertAlign w:val="superscript"/>
        </w:rPr>
        <w:t>a</w:t>
      </w:r>
      <w:r>
        <w:rPr>
          <w:color w:val="000000"/>
          <w:sz w:val="16"/>
        </w:rPr>
        <w:t xml:space="preserve"> Le terme combiné « pneumonie » inclut les TP suivants : bronchopneumonie, pneumonie lobaire, pneumonie à Pneumocystis jiroveci, pneumonie, pneumonie à Klebsiella, pneumonie à Legionella, pneumonie à mycoplasme, pneumonie à pneumocoque, pneumonie à streptocoque, pneumonie virale, affection pulmonaire, pneumopathie.</w:t>
      </w:r>
    </w:p>
    <w:p w14:paraId="3870903B" w14:textId="77777777" w:rsidR="00F3495F" w:rsidRPr="00D2126A" w:rsidRDefault="000E5A86" w:rsidP="00C93C76">
      <w:pPr>
        <w:rPr>
          <w:color w:val="000000"/>
          <w:sz w:val="16"/>
          <w:szCs w:val="16"/>
        </w:rPr>
      </w:pPr>
      <w:r>
        <w:rPr>
          <w:color w:val="000000"/>
          <w:sz w:val="16"/>
          <w:vertAlign w:val="superscript"/>
        </w:rPr>
        <w:t>b</w:t>
      </w:r>
      <w:r>
        <w:rPr>
          <w:color w:val="000000"/>
          <w:sz w:val="16"/>
        </w:rPr>
        <w:t xml:space="preserve"> Le terme combiné « sepsis » inclut les TP suivants : sepsis bactérien, sepsis à pneumocoque, sepsis, choc septique, sepsis à staphylocoque.</w:t>
      </w:r>
    </w:p>
    <w:p w14:paraId="5159F0B6" w14:textId="77777777" w:rsidR="00F3495F" w:rsidRPr="00D2126A" w:rsidRDefault="000E5A86" w:rsidP="00C93C76">
      <w:pPr>
        <w:keepNext/>
        <w:rPr>
          <w:sz w:val="16"/>
          <w:szCs w:val="16"/>
        </w:rPr>
      </w:pPr>
      <w:r>
        <w:rPr>
          <w:color w:val="000000"/>
          <w:sz w:val="16"/>
          <w:vertAlign w:val="superscript"/>
        </w:rPr>
        <w:t>c</w:t>
      </w:r>
      <w:r>
        <w:rPr>
          <w:color w:val="000000"/>
          <w:sz w:val="16"/>
        </w:rPr>
        <w:t xml:space="preserve"> Le terme combiné « neuropathie périphérique » inclut les termes préférentiels (TP) suivants : neuropathie périphérique, neuropathie périphérique sensitive, polyneuropathie.</w:t>
      </w:r>
    </w:p>
    <w:p w14:paraId="027468B0" w14:textId="77777777" w:rsidR="00F3495F" w:rsidRPr="00D2126A" w:rsidRDefault="000E5A86" w:rsidP="00C93C76">
      <w:pPr>
        <w:pStyle w:val="Date"/>
      </w:pPr>
      <w:r>
        <w:rPr>
          <w:color w:val="000000"/>
          <w:sz w:val="16"/>
          <w:vertAlign w:val="superscript"/>
        </w:rPr>
        <w:t>d</w:t>
      </w:r>
      <w:r>
        <w:rPr>
          <w:color w:val="000000"/>
          <w:sz w:val="16"/>
        </w:rPr>
        <w:t xml:space="preserve"> Le terme combiné « thrombose veineuse profonde » inclut les TP suivants : thrombose veineuse profonde, thrombose, thrombose veineuse.</w:t>
      </w:r>
    </w:p>
    <w:p w14:paraId="46E0D100" w14:textId="77777777" w:rsidR="008D41E2" w:rsidRPr="00D2126A" w:rsidRDefault="008D41E2" w:rsidP="00C93C76">
      <w:pPr>
        <w:pStyle w:val="Date"/>
      </w:pPr>
    </w:p>
    <w:p w14:paraId="39BEB529" w14:textId="77777777" w:rsidR="00375EAB" w:rsidRPr="00D2126A" w:rsidRDefault="000E5A86" w:rsidP="00C93C76">
      <w:pPr>
        <w:keepNext/>
        <w:rPr>
          <w:i/>
          <w:u w:val="single"/>
        </w:rPr>
      </w:pPr>
      <w:r>
        <w:rPr>
          <w:i/>
          <w:u w:val="single"/>
        </w:rPr>
        <w:t>Résumé tabulé pour le traitement en association dans le myélome multiple</w:t>
      </w:r>
    </w:p>
    <w:p w14:paraId="6438AD4D" w14:textId="70268326" w:rsidR="00375EAB" w:rsidRPr="00D2126A" w:rsidRDefault="000E5A86" w:rsidP="00C93C76">
      <w:pPr>
        <w:rPr>
          <w:color w:val="000000"/>
        </w:rPr>
      </w:pPr>
      <w:r>
        <w:rPr>
          <w:color w:val="000000"/>
        </w:rPr>
        <w:t>Le tableau suivant résulte des données collectées lors des études menées dans le myélome multiple avec le traitement en association non préalablement traité. Les données n’ont pas été corrigées en fonction de la durée de traitement plus longue dans les bras de traitement par le lénalidomide poursuivi jusqu’à progression de la maladie par rapport aux bras contrôles dans les études pivots menées dans le myélome multiple (voir rubrique 5.1).</w:t>
      </w:r>
    </w:p>
    <w:p w14:paraId="6D5D40C8" w14:textId="77777777" w:rsidR="004F07A1" w:rsidRPr="00AB0414" w:rsidRDefault="004F07A1" w:rsidP="00C93C76">
      <w:pPr>
        <w:pStyle w:val="C-BodyText"/>
        <w:spacing w:before="0" w:after="0" w:line="240" w:lineRule="auto"/>
        <w:rPr>
          <w:color w:val="000000"/>
          <w:sz w:val="22"/>
          <w:szCs w:val="22"/>
        </w:rPr>
      </w:pPr>
    </w:p>
    <w:p w14:paraId="2D8B2262" w14:textId="77777777" w:rsidR="00F3495F" w:rsidRPr="00D2126A" w:rsidRDefault="000E5A86" w:rsidP="00C93C76">
      <w:pPr>
        <w:pStyle w:val="C-TableHeader"/>
        <w:spacing w:before="0" w:after="0"/>
      </w:pPr>
      <w:r>
        <w:t>Tableau 2. Effets indésirables rapportés lors des études cliniques chez les patients atteints de myélome multiple traités par le lénalidomide en association avec le bortézomib et la dexaméthasone, la dexaméthasone ou le melphalan et la prednisone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936"/>
        <w:gridCol w:w="4234"/>
        <w:gridCol w:w="3116"/>
      </w:tblGrid>
      <w:tr w:rsidR="00D5485C" w:rsidRPr="00D2126A" w14:paraId="3B2E2BD0" w14:textId="77777777" w:rsidTr="0097536F">
        <w:trPr>
          <w:cantSplit/>
          <w:trHeight w:val="57"/>
          <w:tblHeader/>
        </w:trPr>
        <w:tc>
          <w:tcPr>
            <w:tcW w:w="1042" w:type="pct"/>
            <w:shd w:val="clear" w:color="auto" w:fill="auto"/>
          </w:tcPr>
          <w:p w14:paraId="4DB2C877" w14:textId="35587154" w:rsidR="00F3495F" w:rsidRPr="00D2126A" w:rsidRDefault="000E5A86" w:rsidP="006B7D29">
            <w:pPr>
              <w:keepNext/>
              <w:snapToGrid w:val="0"/>
              <w:rPr>
                <w:b/>
                <w:bCs/>
                <w:sz w:val="20"/>
                <w:szCs w:val="20"/>
              </w:rPr>
            </w:pPr>
            <w:r>
              <w:rPr>
                <w:b/>
                <w:sz w:val="20"/>
              </w:rPr>
              <w:t>Classe de systèmes d’organes / Terme préférentiel</w:t>
            </w:r>
          </w:p>
        </w:tc>
        <w:tc>
          <w:tcPr>
            <w:tcW w:w="2280" w:type="pct"/>
            <w:shd w:val="clear" w:color="auto" w:fill="auto"/>
          </w:tcPr>
          <w:p w14:paraId="5EC16647" w14:textId="77777777" w:rsidR="00F3495F" w:rsidRPr="00D2126A" w:rsidRDefault="000E5A86" w:rsidP="006B7D29">
            <w:pPr>
              <w:keepNext/>
              <w:snapToGrid w:val="0"/>
              <w:rPr>
                <w:b/>
                <w:sz w:val="20"/>
                <w:szCs w:val="20"/>
              </w:rPr>
            </w:pPr>
            <w:r>
              <w:rPr>
                <w:b/>
                <w:sz w:val="20"/>
              </w:rPr>
              <w:t>Effets indésirables de tous grades / Fréquence</w:t>
            </w:r>
          </w:p>
        </w:tc>
        <w:tc>
          <w:tcPr>
            <w:tcW w:w="1678" w:type="pct"/>
            <w:shd w:val="clear" w:color="auto" w:fill="auto"/>
          </w:tcPr>
          <w:p w14:paraId="3C7DA4F5" w14:textId="6E6BE3BF" w:rsidR="00F3495F" w:rsidRPr="00D2126A" w:rsidRDefault="000E5A86" w:rsidP="006B7D29">
            <w:pPr>
              <w:keepNext/>
              <w:snapToGrid w:val="0"/>
              <w:rPr>
                <w:b/>
                <w:sz w:val="20"/>
                <w:szCs w:val="20"/>
              </w:rPr>
            </w:pPr>
            <w:r>
              <w:rPr>
                <w:b/>
                <w:sz w:val="20"/>
              </w:rPr>
              <w:t>Effets indésirables de grade 3−4 / Fréquence</w:t>
            </w:r>
          </w:p>
        </w:tc>
      </w:tr>
      <w:tr w:rsidR="00D5485C" w:rsidRPr="00D2126A" w14:paraId="76CA315A" w14:textId="77777777" w:rsidTr="0097536F">
        <w:trPr>
          <w:cantSplit/>
          <w:trHeight w:val="57"/>
        </w:trPr>
        <w:tc>
          <w:tcPr>
            <w:tcW w:w="1042" w:type="pct"/>
            <w:shd w:val="clear" w:color="auto" w:fill="auto"/>
          </w:tcPr>
          <w:p w14:paraId="7553981C" w14:textId="77777777" w:rsidR="00F3495F" w:rsidRPr="00D2126A" w:rsidRDefault="000E5A86" w:rsidP="006B7D29">
            <w:pPr>
              <w:snapToGrid w:val="0"/>
              <w:rPr>
                <w:b/>
                <w:bCs/>
                <w:sz w:val="20"/>
                <w:szCs w:val="20"/>
              </w:rPr>
            </w:pPr>
            <w:r>
              <w:rPr>
                <w:b/>
                <w:sz w:val="20"/>
              </w:rPr>
              <w:t>Infections et infestations</w:t>
            </w:r>
          </w:p>
        </w:tc>
        <w:tc>
          <w:tcPr>
            <w:tcW w:w="2280" w:type="pct"/>
            <w:shd w:val="clear" w:color="auto" w:fill="auto"/>
          </w:tcPr>
          <w:p w14:paraId="22FF6A4D" w14:textId="77777777" w:rsidR="00F3495F" w:rsidRPr="00D2126A" w:rsidRDefault="000E5A86" w:rsidP="006B7D29">
            <w:pPr>
              <w:rPr>
                <w:sz w:val="20"/>
                <w:szCs w:val="20"/>
                <w:u w:val="single"/>
                <w:shd w:val="clear" w:color="auto" w:fill="C0C0C0"/>
              </w:rPr>
            </w:pPr>
            <w:r>
              <w:rPr>
                <w:sz w:val="20"/>
                <w:u w:val="single"/>
              </w:rPr>
              <w:t>Très fréquent</w:t>
            </w:r>
          </w:p>
          <w:p w14:paraId="3B9DD6D4" w14:textId="64571E23" w:rsidR="00F3495F" w:rsidRPr="00D2126A" w:rsidRDefault="000E5A86" w:rsidP="006B7D29">
            <w:pPr>
              <w:rPr>
                <w:sz w:val="20"/>
                <w:szCs w:val="20"/>
              </w:rPr>
            </w:pPr>
            <w:r>
              <w:rPr>
                <w:sz w:val="20"/>
              </w:rPr>
              <w:t>Pneumonie</w:t>
            </w:r>
            <w:r>
              <w:rPr>
                <w:sz w:val="20"/>
                <w:vertAlign w:val="superscript"/>
              </w:rPr>
              <w:t>◊,◊◊</w:t>
            </w:r>
            <w:r>
              <w:rPr>
                <w:sz w:val="20"/>
              </w:rPr>
              <w:t>, infection des voies respiratoires supérieures</w:t>
            </w:r>
            <w:r>
              <w:rPr>
                <w:sz w:val="20"/>
                <w:vertAlign w:val="superscript"/>
              </w:rPr>
              <w:t>◊</w:t>
            </w:r>
            <w:r>
              <w:rPr>
                <w:sz w:val="20"/>
              </w:rPr>
              <w:t>, infections bactériennes, virales et fongiques (y compris infections opportunistes)</w:t>
            </w:r>
            <w:r>
              <w:rPr>
                <w:sz w:val="20"/>
                <w:vertAlign w:val="superscript"/>
              </w:rPr>
              <w:t>◊</w:t>
            </w:r>
            <w:r>
              <w:rPr>
                <w:sz w:val="20"/>
              </w:rPr>
              <w:t>, rhinopharyngite, pharyngite, bronchite</w:t>
            </w:r>
            <w:r>
              <w:rPr>
                <w:sz w:val="20"/>
                <w:vertAlign w:val="superscript"/>
              </w:rPr>
              <w:t>◊</w:t>
            </w:r>
            <w:r>
              <w:rPr>
                <w:sz w:val="20"/>
              </w:rPr>
              <w:t>, rhinite</w:t>
            </w:r>
          </w:p>
          <w:p w14:paraId="3147481A" w14:textId="77777777" w:rsidR="00F3495F" w:rsidRPr="00D2126A" w:rsidRDefault="000E5A86" w:rsidP="006B7D29">
            <w:pPr>
              <w:rPr>
                <w:sz w:val="20"/>
                <w:szCs w:val="20"/>
                <w:u w:val="single"/>
              </w:rPr>
            </w:pPr>
            <w:r>
              <w:rPr>
                <w:sz w:val="20"/>
                <w:u w:val="single"/>
              </w:rPr>
              <w:t>Fréquent</w:t>
            </w:r>
          </w:p>
          <w:p w14:paraId="16A5D30E" w14:textId="42091EA7" w:rsidR="00F3495F" w:rsidRPr="00D2126A" w:rsidRDefault="000E5A86" w:rsidP="006B7D29">
            <w:pPr>
              <w:rPr>
                <w:sz w:val="20"/>
                <w:szCs w:val="20"/>
              </w:rPr>
            </w:pPr>
            <w:r>
              <w:rPr>
                <w:sz w:val="20"/>
              </w:rPr>
              <w:t>Septicémie</w:t>
            </w:r>
            <w:r>
              <w:rPr>
                <w:sz w:val="20"/>
                <w:vertAlign w:val="superscript"/>
              </w:rPr>
              <w:t>◊,◊◊</w:t>
            </w:r>
            <w:r>
              <w:rPr>
                <w:sz w:val="20"/>
              </w:rPr>
              <w:t>, infection pulmonaire</w:t>
            </w:r>
            <w:r>
              <w:rPr>
                <w:sz w:val="20"/>
                <w:vertAlign w:val="superscript"/>
              </w:rPr>
              <w:t>◊◊</w:t>
            </w:r>
            <w:r>
              <w:rPr>
                <w:sz w:val="20"/>
              </w:rPr>
              <w:t>, infection des voies urinaires</w:t>
            </w:r>
            <w:r>
              <w:rPr>
                <w:sz w:val="20"/>
                <w:vertAlign w:val="superscript"/>
              </w:rPr>
              <w:t>◊◊</w:t>
            </w:r>
            <w:r>
              <w:rPr>
                <w:sz w:val="20"/>
              </w:rPr>
              <w:t>, sinusite</w:t>
            </w:r>
            <w:r>
              <w:rPr>
                <w:sz w:val="20"/>
                <w:vertAlign w:val="superscript"/>
              </w:rPr>
              <w:t>◊</w:t>
            </w:r>
          </w:p>
        </w:tc>
        <w:tc>
          <w:tcPr>
            <w:tcW w:w="1678" w:type="pct"/>
            <w:shd w:val="clear" w:color="auto" w:fill="auto"/>
          </w:tcPr>
          <w:p w14:paraId="729E901B" w14:textId="77777777" w:rsidR="00F3495F" w:rsidRPr="00D2126A" w:rsidRDefault="000E5A86" w:rsidP="006B7D29">
            <w:pPr>
              <w:snapToGrid w:val="0"/>
              <w:rPr>
                <w:sz w:val="20"/>
                <w:szCs w:val="20"/>
                <w:u w:val="single"/>
              </w:rPr>
            </w:pPr>
            <w:r>
              <w:rPr>
                <w:sz w:val="20"/>
                <w:u w:val="single"/>
              </w:rPr>
              <w:t>Fréquent</w:t>
            </w:r>
          </w:p>
          <w:p w14:paraId="480B5BB6" w14:textId="1DD9A7DA" w:rsidR="00F3495F" w:rsidRPr="00D2126A" w:rsidRDefault="000E5A86" w:rsidP="006B7D29">
            <w:pPr>
              <w:rPr>
                <w:sz w:val="20"/>
                <w:szCs w:val="20"/>
              </w:rPr>
            </w:pPr>
            <w:r>
              <w:rPr>
                <w:sz w:val="20"/>
              </w:rPr>
              <w:t>Pneumonie</w:t>
            </w:r>
            <w:r>
              <w:rPr>
                <w:sz w:val="20"/>
                <w:vertAlign w:val="superscript"/>
              </w:rPr>
              <w:t>◊,◊◊</w:t>
            </w:r>
            <w:r>
              <w:rPr>
                <w:sz w:val="20"/>
              </w:rPr>
              <w:t>, infections bactériennes, virales et fongiques (y compris infections opportunistes)</w:t>
            </w:r>
            <w:r>
              <w:rPr>
                <w:sz w:val="20"/>
                <w:vertAlign w:val="superscript"/>
              </w:rPr>
              <w:t>◊</w:t>
            </w:r>
            <w:r>
              <w:rPr>
                <w:sz w:val="20"/>
              </w:rPr>
              <w:t>, cellulite</w:t>
            </w:r>
            <w:r>
              <w:rPr>
                <w:sz w:val="20"/>
                <w:vertAlign w:val="superscript"/>
              </w:rPr>
              <w:t>◊</w:t>
            </w:r>
            <w:r>
              <w:rPr>
                <w:sz w:val="20"/>
              </w:rPr>
              <w:t>, sepsis</w:t>
            </w:r>
            <w:r>
              <w:rPr>
                <w:sz w:val="20"/>
                <w:vertAlign w:val="superscript"/>
              </w:rPr>
              <w:t>◊,◊◊</w:t>
            </w:r>
            <w:r>
              <w:rPr>
                <w:sz w:val="20"/>
              </w:rPr>
              <w:t>, infection pulmonaire</w:t>
            </w:r>
            <w:r>
              <w:rPr>
                <w:sz w:val="20"/>
                <w:vertAlign w:val="superscript"/>
              </w:rPr>
              <w:t>◊◊</w:t>
            </w:r>
            <w:r>
              <w:rPr>
                <w:sz w:val="20"/>
              </w:rPr>
              <w:t>, bronchite</w:t>
            </w:r>
            <w:r>
              <w:rPr>
                <w:sz w:val="20"/>
                <w:vertAlign w:val="superscript"/>
              </w:rPr>
              <w:t>◊</w:t>
            </w:r>
            <w:r>
              <w:rPr>
                <w:sz w:val="20"/>
              </w:rPr>
              <w:t>, infection des voies respiratoires</w:t>
            </w:r>
            <w:r>
              <w:rPr>
                <w:sz w:val="20"/>
                <w:vertAlign w:val="superscript"/>
              </w:rPr>
              <w:t>◊◊</w:t>
            </w:r>
            <w:r>
              <w:rPr>
                <w:sz w:val="20"/>
              </w:rPr>
              <w:t>, infection des voies urinaires</w:t>
            </w:r>
            <w:r>
              <w:rPr>
                <w:sz w:val="20"/>
                <w:vertAlign w:val="superscript"/>
              </w:rPr>
              <w:t>◊◊</w:t>
            </w:r>
            <w:r>
              <w:rPr>
                <w:sz w:val="20"/>
              </w:rPr>
              <w:t>, entérocolite infectieuse</w:t>
            </w:r>
          </w:p>
        </w:tc>
      </w:tr>
      <w:tr w:rsidR="00D5485C" w:rsidRPr="00D2126A" w14:paraId="2D038953" w14:textId="77777777" w:rsidTr="0097536F">
        <w:trPr>
          <w:cantSplit/>
          <w:trHeight w:val="57"/>
        </w:trPr>
        <w:tc>
          <w:tcPr>
            <w:tcW w:w="1042" w:type="pct"/>
            <w:shd w:val="clear" w:color="auto" w:fill="auto"/>
          </w:tcPr>
          <w:p w14:paraId="45D43A8A" w14:textId="77777777" w:rsidR="00F3495F" w:rsidRPr="00D2126A" w:rsidRDefault="000E5A86" w:rsidP="006B7D29">
            <w:pPr>
              <w:snapToGrid w:val="0"/>
              <w:rPr>
                <w:b/>
                <w:sz w:val="20"/>
                <w:szCs w:val="20"/>
              </w:rPr>
            </w:pPr>
            <w:r>
              <w:rPr>
                <w:b/>
                <w:sz w:val="20"/>
              </w:rPr>
              <w:t>Tumeurs bénignes, malignes et non précisées (incluant kystes et polypes)</w:t>
            </w:r>
          </w:p>
        </w:tc>
        <w:tc>
          <w:tcPr>
            <w:tcW w:w="2280" w:type="pct"/>
            <w:shd w:val="clear" w:color="auto" w:fill="auto"/>
          </w:tcPr>
          <w:p w14:paraId="79D688E3" w14:textId="77777777" w:rsidR="00F3495F" w:rsidRPr="00D2126A" w:rsidRDefault="000E5A86" w:rsidP="006B7D29">
            <w:pPr>
              <w:snapToGrid w:val="0"/>
              <w:rPr>
                <w:sz w:val="20"/>
                <w:szCs w:val="20"/>
                <w:u w:val="single"/>
              </w:rPr>
            </w:pPr>
            <w:r>
              <w:rPr>
                <w:sz w:val="20"/>
                <w:u w:val="single"/>
              </w:rPr>
              <w:t>Peu fréquent</w:t>
            </w:r>
          </w:p>
          <w:p w14:paraId="364E549E" w14:textId="542484CF" w:rsidR="00F3495F" w:rsidRPr="00D2126A" w:rsidRDefault="000E5A86" w:rsidP="006B7D29">
            <w:pPr>
              <w:pStyle w:val="Date"/>
              <w:rPr>
                <w:sz w:val="20"/>
                <w:szCs w:val="20"/>
              </w:rPr>
            </w:pPr>
            <w:r>
              <w:rPr>
                <w:sz w:val="20"/>
              </w:rPr>
              <w:t>Épithélioma basocellulaire^</w:t>
            </w:r>
            <w:r>
              <w:rPr>
                <w:sz w:val="20"/>
                <w:vertAlign w:val="superscript"/>
              </w:rPr>
              <w:t xml:space="preserve">,◊ </w:t>
            </w:r>
            <w:r>
              <w:rPr>
                <w:sz w:val="20"/>
              </w:rPr>
              <w:t>Épithélioma spinocellulaire^</w:t>
            </w:r>
            <w:r>
              <w:rPr>
                <w:sz w:val="20"/>
                <w:vertAlign w:val="superscript"/>
              </w:rPr>
              <w:t>,◊,*</w:t>
            </w:r>
          </w:p>
        </w:tc>
        <w:tc>
          <w:tcPr>
            <w:tcW w:w="1678" w:type="pct"/>
            <w:shd w:val="clear" w:color="auto" w:fill="auto"/>
          </w:tcPr>
          <w:p w14:paraId="7610F774" w14:textId="77777777" w:rsidR="00F3495F" w:rsidRPr="00D2126A" w:rsidRDefault="000E5A86" w:rsidP="006B7D29">
            <w:pPr>
              <w:snapToGrid w:val="0"/>
              <w:rPr>
                <w:sz w:val="20"/>
                <w:szCs w:val="20"/>
                <w:u w:val="single"/>
              </w:rPr>
            </w:pPr>
            <w:r>
              <w:rPr>
                <w:sz w:val="20"/>
                <w:u w:val="single"/>
              </w:rPr>
              <w:t>Fréquent</w:t>
            </w:r>
          </w:p>
          <w:p w14:paraId="03F216FA" w14:textId="63E4AE2C" w:rsidR="00F3495F" w:rsidRPr="00D2126A" w:rsidRDefault="000E5A86" w:rsidP="006B7D29">
            <w:pPr>
              <w:rPr>
                <w:sz w:val="20"/>
                <w:szCs w:val="20"/>
              </w:rPr>
            </w:pPr>
            <w:r>
              <w:rPr>
                <w:sz w:val="20"/>
              </w:rPr>
              <w:t>Leucémie aiguë myéloblastique</w:t>
            </w:r>
            <w:r>
              <w:rPr>
                <w:sz w:val="20"/>
                <w:vertAlign w:val="superscript"/>
              </w:rPr>
              <w:t>◊</w:t>
            </w:r>
            <w:r>
              <w:rPr>
                <w:sz w:val="20"/>
              </w:rPr>
              <w:t>, syndrome myélodysplasique</w:t>
            </w:r>
            <w:r>
              <w:rPr>
                <w:sz w:val="20"/>
                <w:vertAlign w:val="superscript"/>
              </w:rPr>
              <w:t>◊</w:t>
            </w:r>
            <w:r>
              <w:rPr>
                <w:sz w:val="20"/>
              </w:rPr>
              <w:t>, épithélioma spinocellulaire^</w:t>
            </w:r>
            <w:r>
              <w:rPr>
                <w:sz w:val="20"/>
                <w:vertAlign w:val="superscript"/>
              </w:rPr>
              <w:t>,◊,**</w:t>
            </w:r>
          </w:p>
          <w:p w14:paraId="796835C8" w14:textId="77777777" w:rsidR="00F3495F" w:rsidRPr="00D2126A" w:rsidRDefault="00F3495F" w:rsidP="006B7D29">
            <w:pPr>
              <w:pStyle w:val="Date"/>
              <w:rPr>
                <w:sz w:val="20"/>
                <w:szCs w:val="20"/>
              </w:rPr>
            </w:pPr>
          </w:p>
          <w:p w14:paraId="2DE42601" w14:textId="77777777" w:rsidR="00F3495F" w:rsidRPr="00D2126A" w:rsidRDefault="000E5A86" w:rsidP="006B7D29">
            <w:pPr>
              <w:snapToGrid w:val="0"/>
              <w:rPr>
                <w:sz w:val="20"/>
                <w:szCs w:val="20"/>
                <w:u w:val="single"/>
              </w:rPr>
            </w:pPr>
            <w:r>
              <w:rPr>
                <w:sz w:val="20"/>
                <w:u w:val="single"/>
              </w:rPr>
              <w:t>Peu fréquent</w:t>
            </w:r>
          </w:p>
          <w:p w14:paraId="2492C104" w14:textId="77777777" w:rsidR="00F3495F" w:rsidRPr="00D2126A" w:rsidRDefault="000E5A86" w:rsidP="006B7D29">
            <w:pPr>
              <w:rPr>
                <w:sz w:val="20"/>
                <w:szCs w:val="20"/>
              </w:rPr>
            </w:pPr>
            <w:r>
              <w:rPr>
                <w:sz w:val="20"/>
              </w:rPr>
              <w:t>leucémie aiguë à cellules T</w:t>
            </w:r>
            <w:r>
              <w:rPr>
                <w:sz w:val="20"/>
                <w:vertAlign w:val="superscript"/>
              </w:rPr>
              <w:t>◊</w:t>
            </w:r>
            <w:r>
              <w:rPr>
                <w:sz w:val="20"/>
              </w:rPr>
              <w:t>, épithélioma basocellulaire^</w:t>
            </w:r>
            <w:r>
              <w:rPr>
                <w:sz w:val="20"/>
                <w:vertAlign w:val="superscript"/>
              </w:rPr>
              <w:t>,◊</w:t>
            </w:r>
            <w:r>
              <w:rPr>
                <w:sz w:val="20"/>
              </w:rPr>
              <w:t>, syndrome de lyse tumorale</w:t>
            </w:r>
          </w:p>
        </w:tc>
      </w:tr>
      <w:tr w:rsidR="00D5485C" w:rsidRPr="00D2126A" w14:paraId="5CACAE17" w14:textId="77777777" w:rsidTr="0097536F">
        <w:trPr>
          <w:cantSplit/>
          <w:trHeight w:val="57"/>
        </w:trPr>
        <w:tc>
          <w:tcPr>
            <w:tcW w:w="1042" w:type="pct"/>
            <w:shd w:val="clear" w:color="auto" w:fill="auto"/>
          </w:tcPr>
          <w:p w14:paraId="7BB80AF1" w14:textId="77777777" w:rsidR="00F3495F" w:rsidRPr="00D2126A" w:rsidRDefault="000E5A86" w:rsidP="006B7D29">
            <w:pPr>
              <w:snapToGrid w:val="0"/>
              <w:rPr>
                <w:b/>
                <w:bCs/>
                <w:sz w:val="20"/>
                <w:szCs w:val="20"/>
              </w:rPr>
            </w:pPr>
            <w:r>
              <w:rPr>
                <w:b/>
                <w:sz w:val="20"/>
              </w:rPr>
              <w:t>Affections hématologiques et du système lymphatique</w:t>
            </w:r>
          </w:p>
        </w:tc>
        <w:tc>
          <w:tcPr>
            <w:tcW w:w="2280" w:type="pct"/>
            <w:shd w:val="clear" w:color="auto" w:fill="auto"/>
          </w:tcPr>
          <w:p w14:paraId="5E88BEED" w14:textId="77777777" w:rsidR="00F3495F" w:rsidRPr="00D2126A" w:rsidRDefault="000E5A86" w:rsidP="006B7D29">
            <w:pPr>
              <w:snapToGrid w:val="0"/>
              <w:rPr>
                <w:sz w:val="20"/>
                <w:szCs w:val="20"/>
                <w:u w:val="single"/>
              </w:rPr>
            </w:pPr>
            <w:r>
              <w:rPr>
                <w:sz w:val="20"/>
                <w:u w:val="single"/>
              </w:rPr>
              <w:t>Très fréquent</w:t>
            </w:r>
          </w:p>
          <w:p w14:paraId="3F118235" w14:textId="795651AB" w:rsidR="00F3495F" w:rsidRPr="00D2126A" w:rsidRDefault="000E5A86" w:rsidP="006B7D29">
            <w:pPr>
              <w:rPr>
                <w:sz w:val="20"/>
                <w:szCs w:val="20"/>
              </w:rPr>
            </w:pPr>
            <w:r>
              <w:rPr>
                <w:sz w:val="20"/>
              </w:rPr>
              <w:t>Neutropénie^</w:t>
            </w:r>
            <w:r>
              <w:rPr>
                <w:sz w:val="20"/>
                <w:vertAlign w:val="superscript"/>
              </w:rPr>
              <w:t>,◊,◊◊</w:t>
            </w:r>
            <w:r>
              <w:rPr>
                <w:sz w:val="20"/>
              </w:rPr>
              <w:t>, thrombopénie^</w:t>
            </w:r>
            <w:r>
              <w:rPr>
                <w:sz w:val="20"/>
                <w:vertAlign w:val="superscript"/>
              </w:rPr>
              <w:t>,◊,◊◊</w:t>
            </w:r>
            <w:r>
              <w:rPr>
                <w:sz w:val="20"/>
              </w:rPr>
              <w:t>, anémie</w:t>
            </w:r>
            <w:r>
              <w:rPr>
                <w:sz w:val="20"/>
                <w:vertAlign w:val="superscript"/>
              </w:rPr>
              <w:t>◊</w:t>
            </w:r>
            <w:r>
              <w:rPr>
                <w:sz w:val="20"/>
              </w:rPr>
              <w:t>, troubles hémorragiques^, leucopénie, lymphopénie</w:t>
            </w:r>
          </w:p>
          <w:p w14:paraId="1DBD0B9D" w14:textId="77777777" w:rsidR="00F3495F" w:rsidRPr="00D2126A" w:rsidRDefault="00F3495F" w:rsidP="006B7D29">
            <w:pPr>
              <w:pStyle w:val="Date"/>
              <w:rPr>
                <w:sz w:val="20"/>
                <w:szCs w:val="20"/>
              </w:rPr>
            </w:pPr>
          </w:p>
          <w:p w14:paraId="78735023" w14:textId="77777777" w:rsidR="00F3495F" w:rsidRPr="00D2126A" w:rsidRDefault="000E5A86" w:rsidP="006B7D29">
            <w:pPr>
              <w:rPr>
                <w:sz w:val="20"/>
                <w:szCs w:val="20"/>
                <w:u w:val="single"/>
              </w:rPr>
            </w:pPr>
            <w:r>
              <w:rPr>
                <w:sz w:val="20"/>
                <w:u w:val="single"/>
              </w:rPr>
              <w:t>Fréquent</w:t>
            </w:r>
          </w:p>
          <w:p w14:paraId="7AD64134" w14:textId="144657F8" w:rsidR="00F3495F" w:rsidRPr="00D2126A" w:rsidRDefault="000E5A86" w:rsidP="006B7D29">
            <w:pPr>
              <w:rPr>
                <w:sz w:val="20"/>
                <w:szCs w:val="20"/>
              </w:rPr>
            </w:pPr>
            <w:r>
              <w:rPr>
                <w:sz w:val="20"/>
              </w:rPr>
              <w:t>Neutropénie fébrile^</w:t>
            </w:r>
            <w:r>
              <w:rPr>
                <w:sz w:val="20"/>
                <w:vertAlign w:val="superscript"/>
              </w:rPr>
              <w:t>,◊</w:t>
            </w:r>
            <w:r>
              <w:rPr>
                <w:sz w:val="20"/>
              </w:rPr>
              <w:t>, pancytopénie</w:t>
            </w:r>
            <w:r>
              <w:rPr>
                <w:sz w:val="20"/>
                <w:vertAlign w:val="superscript"/>
              </w:rPr>
              <w:t>◊</w:t>
            </w:r>
          </w:p>
          <w:p w14:paraId="089056B7" w14:textId="77777777" w:rsidR="00F3495F" w:rsidRPr="00D2126A" w:rsidRDefault="00F3495F" w:rsidP="006B7D29">
            <w:pPr>
              <w:pStyle w:val="Date"/>
              <w:rPr>
                <w:sz w:val="20"/>
                <w:szCs w:val="20"/>
              </w:rPr>
            </w:pPr>
          </w:p>
          <w:p w14:paraId="245B5079" w14:textId="77777777" w:rsidR="00F3495F" w:rsidRPr="00D2126A" w:rsidRDefault="000E5A86" w:rsidP="006B7D29">
            <w:pPr>
              <w:rPr>
                <w:sz w:val="20"/>
                <w:szCs w:val="20"/>
                <w:u w:val="single"/>
              </w:rPr>
            </w:pPr>
            <w:r>
              <w:rPr>
                <w:sz w:val="20"/>
                <w:u w:val="single"/>
              </w:rPr>
              <w:t>Peu fréquent</w:t>
            </w:r>
          </w:p>
          <w:p w14:paraId="5E2AE8F4" w14:textId="77777777" w:rsidR="00F3495F" w:rsidRPr="00D2126A" w:rsidRDefault="000E5A86" w:rsidP="006B7D29">
            <w:pPr>
              <w:rPr>
                <w:sz w:val="20"/>
                <w:szCs w:val="20"/>
              </w:rPr>
            </w:pPr>
            <w:r>
              <w:rPr>
                <w:sz w:val="20"/>
              </w:rPr>
              <w:t>Hémolyse, anémie hémolytique auto</w:t>
            </w:r>
            <w:r>
              <w:rPr>
                <w:sz w:val="20"/>
              </w:rPr>
              <w:noBreakHyphen/>
              <w:t>immune, anémie hémolytique</w:t>
            </w:r>
          </w:p>
        </w:tc>
        <w:tc>
          <w:tcPr>
            <w:tcW w:w="1678" w:type="pct"/>
            <w:shd w:val="clear" w:color="auto" w:fill="auto"/>
          </w:tcPr>
          <w:p w14:paraId="2F37BEEB" w14:textId="77777777" w:rsidR="00F3495F" w:rsidRPr="00D2126A" w:rsidRDefault="000E5A86" w:rsidP="006B7D29">
            <w:pPr>
              <w:snapToGrid w:val="0"/>
              <w:rPr>
                <w:sz w:val="20"/>
                <w:szCs w:val="20"/>
                <w:u w:val="single"/>
              </w:rPr>
            </w:pPr>
            <w:r>
              <w:rPr>
                <w:sz w:val="20"/>
                <w:u w:val="single"/>
              </w:rPr>
              <w:t>Très fréquent</w:t>
            </w:r>
          </w:p>
          <w:p w14:paraId="08A414E4" w14:textId="2D83CF6C" w:rsidR="00F3495F" w:rsidRPr="00D2126A" w:rsidRDefault="000E5A86" w:rsidP="006B7D29">
            <w:pPr>
              <w:rPr>
                <w:sz w:val="20"/>
                <w:szCs w:val="20"/>
              </w:rPr>
            </w:pPr>
            <w:r>
              <w:rPr>
                <w:sz w:val="20"/>
              </w:rPr>
              <w:t>Neutropénie^</w:t>
            </w:r>
            <w:r>
              <w:rPr>
                <w:sz w:val="20"/>
                <w:vertAlign w:val="superscript"/>
              </w:rPr>
              <w:t>,◊,◊◊</w:t>
            </w:r>
            <w:r>
              <w:rPr>
                <w:sz w:val="20"/>
              </w:rPr>
              <w:t>, thrombopénie^</w:t>
            </w:r>
            <w:r>
              <w:rPr>
                <w:sz w:val="20"/>
                <w:vertAlign w:val="superscript"/>
              </w:rPr>
              <w:t>,◊,◊◊</w:t>
            </w:r>
            <w:r>
              <w:rPr>
                <w:sz w:val="20"/>
              </w:rPr>
              <w:t>, anémie</w:t>
            </w:r>
            <w:r>
              <w:rPr>
                <w:sz w:val="20"/>
                <w:vertAlign w:val="superscript"/>
              </w:rPr>
              <w:t>◊</w:t>
            </w:r>
            <w:r>
              <w:rPr>
                <w:sz w:val="20"/>
              </w:rPr>
              <w:t>, leucopénie, lymphopénie</w:t>
            </w:r>
          </w:p>
          <w:p w14:paraId="19C2284D" w14:textId="77777777" w:rsidR="00F3495F" w:rsidRPr="00D2126A" w:rsidRDefault="00F3495F" w:rsidP="006B7D29">
            <w:pPr>
              <w:pStyle w:val="Date"/>
              <w:rPr>
                <w:sz w:val="20"/>
                <w:szCs w:val="20"/>
              </w:rPr>
            </w:pPr>
          </w:p>
          <w:p w14:paraId="4890D1A9" w14:textId="77777777" w:rsidR="00F3495F" w:rsidRPr="00D2126A" w:rsidRDefault="000E5A86" w:rsidP="006B7D29">
            <w:pPr>
              <w:rPr>
                <w:sz w:val="20"/>
                <w:szCs w:val="20"/>
                <w:u w:val="single"/>
              </w:rPr>
            </w:pPr>
            <w:r>
              <w:rPr>
                <w:sz w:val="20"/>
                <w:u w:val="single"/>
              </w:rPr>
              <w:t>Fréquent</w:t>
            </w:r>
          </w:p>
          <w:p w14:paraId="76C8295E" w14:textId="45091AFF" w:rsidR="00F3495F" w:rsidRPr="00D2126A" w:rsidRDefault="000E5A86" w:rsidP="006B7D29">
            <w:pPr>
              <w:rPr>
                <w:sz w:val="20"/>
                <w:szCs w:val="20"/>
              </w:rPr>
            </w:pPr>
            <w:r>
              <w:rPr>
                <w:sz w:val="20"/>
              </w:rPr>
              <w:t>Neutropénie fébrile^</w:t>
            </w:r>
            <w:r>
              <w:rPr>
                <w:sz w:val="20"/>
                <w:vertAlign w:val="superscript"/>
              </w:rPr>
              <w:t>,◊</w:t>
            </w:r>
            <w:r>
              <w:rPr>
                <w:sz w:val="20"/>
              </w:rPr>
              <w:t>, pancytopénie</w:t>
            </w:r>
            <w:r>
              <w:rPr>
                <w:sz w:val="20"/>
                <w:vertAlign w:val="superscript"/>
              </w:rPr>
              <w:t>◊</w:t>
            </w:r>
            <w:r>
              <w:rPr>
                <w:sz w:val="20"/>
              </w:rPr>
              <w:t>, anémie hémolytique</w:t>
            </w:r>
          </w:p>
          <w:p w14:paraId="77E7E758" w14:textId="77777777" w:rsidR="00F3495F" w:rsidRPr="00D2126A" w:rsidRDefault="00F3495F" w:rsidP="006B7D29">
            <w:pPr>
              <w:rPr>
                <w:sz w:val="20"/>
                <w:szCs w:val="20"/>
              </w:rPr>
            </w:pPr>
          </w:p>
          <w:p w14:paraId="16A2FFE6" w14:textId="77777777" w:rsidR="00F3495F" w:rsidRPr="00D2126A" w:rsidRDefault="000E5A86" w:rsidP="006B7D29">
            <w:pPr>
              <w:rPr>
                <w:sz w:val="20"/>
                <w:szCs w:val="20"/>
                <w:u w:val="single"/>
              </w:rPr>
            </w:pPr>
            <w:r>
              <w:rPr>
                <w:sz w:val="20"/>
                <w:u w:val="single"/>
              </w:rPr>
              <w:t>Peu fréquent</w:t>
            </w:r>
          </w:p>
          <w:p w14:paraId="063FE7CF" w14:textId="77777777" w:rsidR="00F3495F" w:rsidRPr="00D2126A" w:rsidRDefault="000E5A86" w:rsidP="006B7D29">
            <w:pPr>
              <w:rPr>
                <w:b/>
                <w:sz w:val="20"/>
                <w:szCs w:val="20"/>
                <w:u w:val="single"/>
              </w:rPr>
            </w:pPr>
            <w:r>
              <w:rPr>
                <w:sz w:val="20"/>
              </w:rPr>
              <w:t>Hypercoagulation, coagulopathie</w:t>
            </w:r>
          </w:p>
        </w:tc>
      </w:tr>
      <w:tr w:rsidR="00D5485C" w:rsidRPr="00D2126A" w14:paraId="6D81BC07" w14:textId="77777777" w:rsidTr="0097536F">
        <w:trPr>
          <w:cantSplit/>
          <w:trHeight w:val="57"/>
        </w:trPr>
        <w:tc>
          <w:tcPr>
            <w:tcW w:w="1042" w:type="pct"/>
            <w:shd w:val="clear" w:color="auto" w:fill="auto"/>
          </w:tcPr>
          <w:p w14:paraId="679F838B" w14:textId="77777777" w:rsidR="00F3495F" w:rsidRPr="00D2126A" w:rsidRDefault="000E5A86" w:rsidP="006B7D29">
            <w:pPr>
              <w:snapToGrid w:val="0"/>
              <w:rPr>
                <w:b/>
                <w:bCs/>
                <w:sz w:val="20"/>
                <w:szCs w:val="20"/>
              </w:rPr>
            </w:pPr>
            <w:r>
              <w:rPr>
                <w:b/>
                <w:sz w:val="20"/>
              </w:rPr>
              <w:t>Affections du système immunitaire</w:t>
            </w:r>
          </w:p>
        </w:tc>
        <w:tc>
          <w:tcPr>
            <w:tcW w:w="2280" w:type="pct"/>
            <w:shd w:val="clear" w:color="auto" w:fill="auto"/>
          </w:tcPr>
          <w:p w14:paraId="6D864781" w14:textId="77777777" w:rsidR="00F3495F" w:rsidRPr="00D2126A" w:rsidRDefault="000E5A86" w:rsidP="006B7D29">
            <w:pPr>
              <w:rPr>
                <w:sz w:val="20"/>
                <w:szCs w:val="20"/>
                <w:u w:val="single"/>
              </w:rPr>
            </w:pPr>
            <w:r>
              <w:rPr>
                <w:sz w:val="20"/>
                <w:u w:val="single"/>
              </w:rPr>
              <w:t>Peu fréquent</w:t>
            </w:r>
          </w:p>
          <w:p w14:paraId="5372222A" w14:textId="77777777" w:rsidR="00F3495F" w:rsidRPr="00D2126A" w:rsidRDefault="000E5A86" w:rsidP="006B7D29">
            <w:pPr>
              <w:rPr>
                <w:sz w:val="20"/>
                <w:szCs w:val="20"/>
              </w:rPr>
            </w:pPr>
            <w:r>
              <w:rPr>
                <w:sz w:val="20"/>
              </w:rPr>
              <w:t>Hypersensibilité^</w:t>
            </w:r>
          </w:p>
        </w:tc>
        <w:tc>
          <w:tcPr>
            <w:tcW w:w="1678" w:type="pct"/>
            <w:shd w:val="clear" w:color="auto" w:fill="auto"/>
          </w:tcPr>
          <w:p w14:paraId="5C957A4D" w14:textId="77777777" w:rsidR="00F3495F" w:rsidRPr="00D2126A" w:rsidRDefault="00F3495F" w:rsidP="006B7D29">
            <w:pPr>
              <w:snapToGrid w:val="0"/>
              <w:rPr>
                <w:b/>
                <w:sz w:val="20"/>
                <w:szCs w:val="20"/>
                <w:u w:val="single"/>
              </w:rPr>
            </w:pPr>
          </w:p>
        </w:tc>
      </w:tr>
      <w:tr w:rsidR="00D5485C" w:rsidRPr="00D2126A" w14:paraId="5FCA0814" w14:textId="77777777" w:rsidTr="0097536F">
        <w:trPr>
          <w:cantSplit/>
          <w:trHeight w:val="57"/>
        </w:trPr>
        <w:tc>
          <w:tcPr>
            <w:tcW w:w="1042" w:type="pct"/>
            <w:shd w:val="clear" w:color="auto" w:fill="auto"/>
          </w:tcPr>
          <w:p w14:paraId="25175381" w14:textId="77777777" w:rsidR="00F3495F" w:rsidRPr="00D2126A" w:rsidRDefault="000E5A86" w:rsidP="006B7D29">
            <w:pPr>
              <w:snapToGrid w:val="0"/>
              <w:rPr>
                <w:b/>
                <w:bCs/>
                <w:sz w:val="20"/>
                <w:szCs w:val="20"/>
              </w:rPr>
            </w:pPr>
            <w:r>
              <w:rPr>
                <w:b/>
                <w:sz w:val="20"/>
              </w:rPr>
              <w:t>Affections endocriniennes</w:t>
            </w:r>
          </w:p>
        </w:tc>
        <w:tc>
          <w:tcPr>
            <w:tcW w:w="2280" w:type="pct"/>
            <w:shd w:val="clear" w:color="auto" w:fill="auto"/>
          </w:tcPr>
          <w:p w14:paraId="0AEB3231" w14:textId="77777777" w:rsidR="00F3495F" w:rsidRPr="00D2126A" w:rsidRDefault="000E5A86" w:rsidP="006B7D29">
            <w:pPr>
              <w:snapToGrid w:val="0"/>
              <w:rPr>
                <w:bCs/>
                <w:sz w:val="20"/>
                <w:szCs w:val="20"/>
                <w:u w:val="single"/>
              </w:rPr>
            </w:pPr>
            <w:r>
              <w:rPr>
                <w:sz w:val="20"/>
                <w:u w:val="single"/>
              </w:rPr>
              <w:t>Fréquent</w:t>
            </w:r>
          </w:p>
          <w:p w14:paraId="7BF1295C" w14:textId="77777777" w:rsidR="00F3495F" w:rsidRPr="00D2126A" w:rsidRDefault="000E5A86" w:rsidP="006B7D29">
            <w:pPr>
              <w:rPr>
                <w:sz w:val="20"/>
                <w:szCs w:val="20"/>
                <w:shd w:val="clear" w:color="auto" w:fill="C0C0C0"/>
              </w:rPr>
            </w:pPr>
            <w:r>
              <w:rPr>
                <w:sz w:val="20"/>
              </w:rPr>
              <w:t>Hypothyroïdie</w:t>
            </w:r>
          </w:p>
        </w:tc>
        <w:tc>
          <w:tcPr>
            <w:tcW w:w="1678" w:type="pct"/>
            <w:shd w:val="clear" w:color="auto" w:fill="auto"/>
          </w:tcPr>
          <w:p w14:paraId="6DCCAB06" w14:textId="77777777" w:rsidR="00F3495F" w:rsidRPr="00D2126A" w:rsidRDefault="00F3495F" w:rsidP="006B7D29">
            <w:pPr>
              <w:snapToGrid w:val="0"/>
              <w:rPr>
                <w:b/>
                <w:sz w:val="20"/>
                <w:szCs w:val="20"/>
                <w:u w:val="single"/>
              </w:rPr>
            </w:pPr>
          </w:p>
        </w:tc>
      </w:tr>
      <w:tr w:rsidR="00D5485C" w:rsidRPr="00D2126A" w14:paraId="20F0CC71" w14:textId="77777777" w:rsidTr="0097536F">
        <w:trPr>
          <w:cantSplit/>
          <w:trHeight w:val="57"/>
        </w:trPr>
        <w:tc>
          <w:tcPr>
            <w:tcW w:w="1042" w:type="pct"/>
            <w:shd w:val="clear" w:color="auto" w:fill="auto"/>
          </w:tcPr>
          <w:p w14:paraId="64A4CDB1" w14:textId="77777777" w:rsidR="00F3495F" w:rsidRPr="00D2126A" w:rsidRDefault="000E5A86" w:rsidP="006B7D29">
            <w:pPr>
              <w:snapToGrid w:val="0"/>
              <w:rPr>
                <w:b/>
                <w:bCs/>
                <w:sz w:val="20"/>
                <w:szCs w:val="20"/>
              </w:rPr>
            </w:pPr>
            <w:r>
              <w:rPr>
                <w:b/>
                <w:sz w:val="20"/>
              </w:rPr>
              <w:t>Troubles du métabolisme et de la nutrition</w:t>
            </w:r>
          </w:p>
        </w:tc>
        <w:tc>
          <w:tcPr>
            <w:tcW w:w="2280" w:type="pct"/>
            <w:shd w:val="clear" w:color="auto" w:fill="auto"/>
          </w:tcPr>
          <w:p w14:paraId="2173E4C2" w14:textId="77777777" w:rsidR="00F3495F" w:rsidRPr="00D2126A" w:rsidRDefault="000E5A86" w:rsidP="006B7D29">
            <w:pPr>
              <w:snapToGrid w:val="0"/>
              <w:rPr>
                <w:sz w:val="20"/>
                <w:szCs w:val="20"/>
                <w:u w:val="single"/>
              </w:rPr>
            </w:pPr>
            <w:r>
              <w:rPr>
                <w:sz w:val="20"/>
                <w:u w:val="single"/>
              </w:rPr>
              <w:t>Très fréquent</w:t>
            </w:r>
          </w:p>
          <w:p w14:paraId="761B97B4" w14:textId="78CB8424" w:rsidR="00F3495F" w:rsidRPr="00D2126A" w:rsidRDefault="000E5A86" w:rsidP="006B7D29">
            <w:pPr>
              <w:rPr>
                <w:sz w:val="20"/>
                <w:szCs w:val="20"/>
              </w:rPr>
            </w:pPr>
            <w:r>
              <w:rPr>
                <w:sz w:val="20"/>
              </w:rPr>
              <w:t>Hypokaliémie</w:t>
            </w:r>
            <w:r>
              <w:rPr>
                <w:sz w:val="20"/>
                <w:vertAlign w:val="superscript"/>
              </w:rPr>
              <w:t>◊,◊◊</w:t>
            </w:r>
            <w:r>
              <w:rPr>
                <w:sz w:val="20"/>
              </w:rPr>
              <w:t>, hyperglycémie, hypoglycémie, hypocalcémie</w:t>
            </w:r>
            <w:r>
              <w:rPr>
                <w:sz w:val="20"/>
                <w:vertAlign w:val="superscript"/>
              </w:rPr>
              <w:t>◊</w:t>
            </w:r>
            <w:r>
              <w:rPr>
                <w:sz w:val="20"/>
              </w:rPr>
              <w:t>, hyponatrémie</w:t>
            </w:r>
            <w:r>
              <w:rPr>
                <w:sz w:val="20"/>
                <w:vertAlign w:val="superscript"/>
              </w:rPr>
              <w:t>◊</w:t>
            </w:r>
            <w:r>
              <w:rPr>
                <w:sz w:val="20"/>
              </w:rPr>
              <w:t>, déshydratation</w:t>
            </w:r>
            <w:r>
              <w:rPr>
                <w:sz w:val="20"/>
                <w:vertAlign w:val="superscript"/>
              </w:rPr>
              <w:t>◊◊</w:t>
            </w:r>
            <w:r>
              <w:rPr>
                <w:sz w:val="20"/>
              </w:rPr>
              <w:t>, diminution de l’appétit</w:t>
            </w:r>
            <w:r>
              <w:rPr>
                <w:sz w:val="20"/>
                <w:vertAlign w:val="superscript"/>
              </w:rPr>
              <w:t>◊◊</w:t>
            </w:r>
            <w:r>
              <w:rPr>
                <w:sz w:val="20"/>
              </w:rPr>
              <w:t>, perte de poids</w:t>
            </w:r>
          </w:p>
          <w:p w14:paraId="1B97BB32" w14:textId="77777777" w:rsidR="00F3495F" w:rsidRPr="00D2126A" w:rsidRDefault="00F3495F" w:rsidP="006B7D29">
            <w:pPr>
              <w:pStyle w:val="Date"/>
              <w:rPr>
                <w:sz w:val="20"/>
                <w:szCs w:val="20"/>
              </w:rPr>
            </w:pPr>
          </w:p>
          <w:p w14:paraId="26F528BC" w14:textId="77777777" w:rsidR="00F3495F" w:rsidRPr="00D2126A" w:rsidRDefault="000E5A86" w:rsidP="006B7D29">
            <w:pPr>
              <w:rPr>
                <w:sz w:val="20"/>
                <w:szCs w:val="20"/>
                <w:u w:val="single"/>
              </w:rPr>
            </w:pPr>
            <w:r>
              <w:rPr>
                <w:sz w:val="20"/>
                <w:u w:val="single"/>
              </w:rPr>
              <w:t>Fréquent</w:t>
            </w:r>
          </w:p>
          <w:p w14:paraId="26287749" w14:textId="124FC96C" w:rsidR="00F3495F" w:rsidRPr="00D2126A" w:rsidRDefault="000E5A86" w:rsidP="006B7D29">
            <w:pPr>
              <w:rPr>
                <w:sz w:val="20"/>
                <w:szCs w:val="20"/>
              </w:rPr>
            </w:pPr>
            <w:r>
              <w:rPr>
                <w:sz w:val="20"/>
              </w:rPr>
              <w:t>Hypomagnésémie, hyperuricémie, hypercalcémie</w:t>
            </w:r>
            <w:r>
              <w:rPr>
                <w:sz w:val="20"/>
                <w:vertAlign w:val="superscript"/>
              </w:rPr>
              <w:t>+</w:t>
            </w:r>
          </w:p>
        </w:tc>
        <w:tc>
          <w:tcPr>
            <w:tcW w:w="1678" w:type="pct"/>
            <w:shd w:val="clear" w:color="auto" w:fill="auto"/>
          </w:tcPr>
          <w:p w14:paraId="7974EDD4" w14:textId="77777777" w:rsidR="00F3495F" w:rsidRPr="00D2126A" w:rsidRDefault="000E5A86" w:rsidP="006B7D29">
            <w:pPr>
              <w:snapToGrid w:val="0"/>
              <w:rPr>
                <w:sz w:val="20"/>
                <w:szCs w:val="20"/>
                <w:u w:val="single"/>
              </w:rPr>
            </w:pPr>
            <w:r>
              <w:rPr>
                <w:sz w:val="20"/>
                <w:u w:val="single"/>
              </w:rPr>
              <w:t>Fréquent</w:t>
            </w:r>
          </w:p>
          <w:p w14:paraId="15D4D4B4" w14:textId="69E8311B" w:rsidR="00F3495F" w:rsidRPr="00D2126A" w:rsidRDefault="000E5A86" w:rsidP="006B7D29">
            <w:pPr>
              <w:rPr>
                <w:sz w:val="20"/>
                <w:szCs w:val="20"/>
                <w:shd w:val="clear" w:color="auto" w:fill="C0C0C0"/>
              </w:rPr>
            </w:pPr>
            <w:r>
              <w:rPr>
                <w:sz w:val="20"/>
              </w:rPr>
              <w:t>Hypokaliémie</w:t>
            </w:r>
            <w:r>
              <w:rPr>
                <w:sz w:val="20"/>
                <w:vertAlign w:val="superscript"/>
              </w:rPr>
              <w:t>◊,◊◊</w:t>
            </w:r>
            <w:r>
              <w:rPr>
                <w:sz w:val="20"/>
              </w:rPr>
              <w:t>, hyperglycémie, hypocalcémie</w:t>
            </w:r>
            <w:r>
              <w:rPr>
                <w:sz w:val="20"/>
                <w:vertAlign w:val="superscript"/>
              </w:rPr>
              <w:t>◊</w:t>
            </w:r>
            <w:r>
              <w:rPr>
                <w:sz w:val="20"/>
              </w:rPr>
              <w:t>, diabète</w:t>
            </w:r>
            <w:r>
              <w:rPr>
                <w:sz w:val="20"/>
                <w:vertAlign w:val="superscript"/>
              </w:rPr>
              <w:t>◊</w:t>
            </w:r>
            <w:r>
              <w:rPr>
                <w:sz w:val="20"/>
              </w:rPr>
              <w:t>, hypophosphatémie, hyponatrémie</w:t>
            </w:r>
            <w:r>
              <w:rPr>
                <w:sz w:val="20"/>
                <w:vertAlign w:val="superscript"/>
              </w:rPr>
              <w:t>◊</w:t>
            </w:r>
            <w:r>
              <w:rPr>
                <w:sz w:val="20"/>
              </w:rPr>
              <w:t>, hyperuricémie, goutte, déshydratation</w:t>
            </w:r>
            <w:r>
              <w:rPr>
                <w:sz w:val="20"/>
                <w:vertAlign w:val="superscript"/>
              </w:rPr>
              <w:t>◊◊</w:t>
            </w:r>
            <w:r>
              <w:rPr>
                <w:sz w:val="20"/>
              </w:rPr>
              <w:t>, diminution de l’appétit</w:t>
            </w:r>
            <w:r>
              <w:rPr>
                <w:sz w:val="20"/>
                <w:vertAlign w:val="superscript"/>
              </w:rPr>
              <w:t>◊◊</w:t>
            </w:r>
            <w:r>
              <w:rPr>
                <w:sz w:val="20"/>
              </w:rPr>
              <w:t>, perte de poids</w:t>
            </w:r>
          </w:p>
        </w:tc>
      </w:tr>
      <w:tr w:rsidR="00D5485C" w:rsidRPr="00D2126A" w14:paraId="6D494764" w14:textId="77777777" w:rsidTr="0097536F">
        <w:trPr>
          <w:cantSplit/>
          <w:trHeight w:val="57"/>
        </w:trPr>
        <w:tc>
          <w:tcPr>
            <w:tcW w:w="1042" w:type="pct"/>
            <w:shd w:val="clear" w:color="auto" w:fill="auto"/>
          </w:tcPr>
          <w:p w14:paraId="50DFD6BA" w14:textId="77777777" w:rsidR="00F3495F" w:rsidRPr="00D2126A" w:rsidRDefault="000E5A86" w:rsidP="006B7D29">
            <w:pPr>
              <w:snapToGrid w:val="0"/>
              <w:rPr>
                <w:b/>
                <w:bCs/>
                <w:sz w:val="20"/>
                <w:szCs w:val="20"/>
              </w:rPr>
            </w:pPr>
            <w:r>
              <w:rPr>
                <w:b/>
                <w:sz w:val="20"/>
              </w:rPr>
              <w:t>Affections psychiatriques</w:t>
            </w:r>
          </w:p>
        </w:tc>
        <w:tc>
          <w:tcPr>
            <w:tcW w:w="2280" w:type="pct"/>
            <w:shd w:val="clear" w:color="auto" w:fill="auto"/>
          </w:tcPr>
          <w:p w14:paraId="363D88F2" w14:textId="77777777" w:rsidR="00F3495F" w:rsidRPr="00D2126A" w:rsidRDefault="000E5A86" w:rsidP="006B7D29">
            <w:pPr>
              <w:rPr>
                <w:sz w:val="20"/>
                <w:szCs w:val="20"/>
                <w:u w:val="single"/>
              </w:rPr>
            </w:pPr>
            <w:r>
              <w:rPr>
                <w:sz w:val="20"/>
                <w:u w:val="single"/>
              </w:rPr>
              <w:t>Très fréquent</w:t>
            </w:r>
          </w:p>
          <w:p w14:paraId="71BB6A8D" w14:textId="77777777" w:rsidR="00F3495F" w:rsidRPr="00D2126A" w:rsidRDefault="000E5A86" w:rsidP="006B7D29">
            <w:pPr>
              <w:rPr>
                <w:sz w:val="20"/>
                <w:szCs w:val="20"/>
              </w:rPr>
            </w:pPr>
            <w:r>
              <w:rPr>
                <w:sz w:val="20"/>
              </w:rPr>
              <w:t>Dépression, insomnie</w:t>
            </w:r>
          </w:p>
          <w:p w14:paraId="3DF39DBB" w14:textId="77777777" w:rsidR="00F3495F" w:rsidRPr="00D2126A" w:rsidRDefault="00F3495F" w:rsidP="006B7D29">
            <w:pPr>
              <w:pStyle w:val="Date"/>
              <w:rPr>
                <w:sz w:val="20"/>
                <w:szCs w:val="20"/>
              </w:rPr>
            </w:pPr>
          </w:p>
          <w:p w14:paraId="45F6E82C" w14:textId="77777777" w:rsidR="00F3495F" w:rsidRPr="00D2126A" w:rsidRDefault="000E5A86" w:rsidP="006B7D29">
            <w:pPr>
              <w:rPr>
                <w:sz w:val="20"/>
                <w:szCs w:val="20"/>
                <w:u w:val="single"/>
              </w:rPr>
            </w:pPr>
            <w:r>
              <w:rPr>
                <w:sz w:val="20"/>
                <w:u w:val="single"/>
              </w:rPr>
              <w:t>Peu fréquent</w:t>
            </w:r>
          </w:p>
          <w:p w14:paraId="2C35C6A3" w14:textId="77777777" w:rsidR="00F3495F" w:rsidRPr="00D2126A" w:rsidRDefault="000E5A86" w:rsidP="006B7D29">
            <w:pPr>
              <w:rPr>
                <w:sz w:val="20"/>
                <w:szCs w:val="20"/>
              </w:rPr>
            </w:pPr>
            <w:r>
              <w:rPr>
                <w:sz w:val="20"/>
              </w:rPr>
              <w:t>Perte de libido</w:t>
            </w:r>
          </w:p>
        </w:tc>
        <w:tc>
          <w:tcPr>
            <w:tcW w:w="1678" w:type="pct"/>
            <w:shd w:val="clear" w:color="auto" w:fill="auto"/>
          </w:tcPr>
          <w:p w14:paraId="26122F36" w14:textId="77777777" w:rsidR="00F3495F" w:rsidRPr="00D2126A" w:rsidRDefault="000E5A86" w:rsidP="006B7D29">
            <w:pPr>
              <w:snapToGrid w:val="0"/>
              <w:rPr>
                <w:sz w:val="20"/>
                <w:szCs w:val="20"/>
                <w:u w:val="single"/>
              </w:rPr>
            </w:pPr>
            <w:r>
              <w:rPr>
                <w:sz w:val="20"/>
                <w:u w:val="single"/>
              </w:rPr>
              <w:t>Fréquent</w:t>
            </w:r>
          </w:p>
          <w:p w14:paraId="22A9F5D9" w14:textId="77777777" w:rsidR="00F3495F" w:rsidRPr="00D2126A" w:rsidRDefault="000E5A86" w:rsidP="006B7D29">
            <w:pPr>
              <w:rPr>
                <w:sz w:val="20"/>
                <w:szCs w:val="20"/>
              </w:rPr>
            </w:pPr>
            <w:r>
              <w:rPr>
                <w:sz w:val="20"/>
              </w:rPr>
              <w:t>Dépression, insomnie</w:t>
            </w:r>
          </w:p>
        </w:tc>
      </w:tr>
      <w:tr w:rsidR="00D5485C" w:rsidRPr="00D2126A" w14:paraId="57BC1DAC" w14:textId="77777777" w:rsidTr="0097536F">
        <w:trPr>
          <w:cantSplit/>
          <w:trHeight w:val="57"/>
        </w:trPr>
        <w:tc>
          <w:tcPr>
            <w:tcW w:w="1042" w:type="pct"/>
            <w:shd w:val="clear" w:color="auto" w:fill="auto"/>
          </w:tcPr>
          <w:p w14:paraId="2F44C50F" w14:textId="77777777" w:rsidR="00F3495F" w:rsidRPr="00D2126A" w:rsidRDefault="000E5A86" w:rsidP="006B7D29">
            <w:pPr>
              <w:snapToGrid w:val="0"/>
              <w:rPr>
                <w:b/>
                <w:bCs/>
                <w:sz w:val="20"/>
                <w:szCs w:val="20"/>
              </w:rPr>
            </w:pPr>
            <w:r>
              <w:rPr>
                <w:b/>
                <w:sz w:val="20"/>
              </w:rPr>
              <w:t>Affections du système nerveux</w:t>
            </w:r>
          </w:p>
        </w:tc>
        <w:tc>
          <w:tcPr>
            <w:tcW w:w="2280" w:type="pct"/>
            <w:shd w:val="clear" w:color="auto" w:fill="auto"/>
          </w:tcPr>
          <w:p w14:paraId="7C48A27E" w14:textId="77777777" w:rsidR="00F3495F" w:rsidRPr="00D2126A" w:rsidRDefault="000E5A86" w:rsidP="006B7D29">
            <w:pPr>
              <w:snapToGrid w:val="0"/>
              <w:rPr>
                <w:sz w:val="20"/>
                <w:szCs w:val="20"/>
                <w:u w:val="single"/>
                <w:shd w:val="clear" w:color="auto" w:fill="C0C0C0"/>
              </w:rPr>
            </w:pPr>
            <w:r>
              <w:rPr>
                <w:sz w:val="20"/>
                <w:u w:val="single"/>
              </w:rPr>
              <w:t>Très fréquent</w:t>
            </w:r>
          </w:p>
          <w:p w14:paraId="098EB802" w14:textId="77777777" w:rsidR="00F3495F" w:rsidRPr="00D2126A" w:rsidRDefault="000E5A86" w:rsidP="006B7D29">
            <w:pPr>
              <w:rPr>
                <w:sz w:val="20"/>
                <w:szCs w:val="20"/>
              </w:rPr>
            </w:pPr>
            <w:r>
              <w:rPr>
                <w:sz w:val="20"/>
              </w:rPr>
              <w:t>Neuropathies périphériques</w:t>
            </w:r>
            <w:r>
              <w:rPr>
                <w:sz w:val="20"/>
                <w:vertAlign w:val="superscript"/>
              </w:rPr>
              <w:t>◊◊</w:t>
            </w:r>
            <w:r>
              <w:rPr>
                <w:sz w:val="20"/>
              </w:rPr>
              <w:t>, paresthésies, vertiges</w:t>
            </w:r>
            <w:r>
              <w:rPr>
                <w:sz w:val="20"/>
                <w:vertAlign w:val="superscript"/>
              </w:rPr>
              <w:t>◊◊</w:t>
            </w:r>
            <w:r>
              <w:rPr>
                <w:sz w:val="20"/>
              </w:rPr>
              <w:t>, tremblements, dysgueusie, céphalées</w:t>
            </w:r>
          </w:p>
          <w:p w14:paraId="4335DE7F" w14:textId="77777777" w:rsidR="00F3495F" w:rsidRPr="00D2126A" w:rsidRDefault="00F3495F" w:rsidP="006B7D29">
            <w:pPr>
              <w:rPr>
                <w:sz w:val="20"/>
                <w:szCs w:val="20"/>
              </w:rPr>
            </w:pPr>
          </w:p>
          <w:p w14:paraId="04A589B4" w14:textId="77777777" w:rsidR="00F3495F" w:rsidRPr="00D2126A" w:rsidRDefault="000E5A86" w:rsidP="006B7D29">
            <w:pPr>
              <w:rPr>
                <w:sz w:val="20"/>
                <w:szCs w:val="20"/>
                <w:u w:val="single"/>
              </w:rPr>
            </w:pPr>
            <w:r>
              <w:rPr>
                <w:sz w:val="20"/>
                <w:u w:val="single"/>
              </w:rPr>
              <w:t>Fréquent</w:t>
            </w:r>
          </w:p>
          <w:p w14:paraId="5DA07084" w14:textId="77777777" w:rsidR="00F3495F" w:rsidRPr="00D2126A" w:rsidRDefault="000E5A86" w:rsidP="006B7D29">
            <w:pPr>
              <w:rPr>
                <w:sz w:val="20"/>
                <w:szCs w:val="20"/>
              </w:rPr>
            </w:pPr>
            <w:r>
              <w:rPr>
                <w:sz w:val="20"/>
              </w:rPr>
              <w:t>Ataxie, troubles de l’équilibre, syncope</w:t>
            </w:r>
            <w:r>
              <w:rPr>
                <w:sz w:val="20"/>
                <w:vertAlign w:val="superscript"/>
              </w:rPr>
              <w:t>◊◊</w:t>
            </w:r>
            <w:r>
              <w:rPr>
                <w:sz w:val="20"/>
              </w:rPr>
              <w:t>, névralgies, dysesthésie</w:t>
            </w:r>
          </w:p>
        </w:tc>
        <w:tc>
          <w:tcPr>
            <w:tcW w:w="1678" w:type="pct"/>
            <w:shd w:val="clear" w:color="auto" w:fill="auto"/>
          </w:tcPr>
          <w:p w14:paraId="6F0965A5" w14:textId="77777777" w:rsidR="00B96D0B" w:rsidRPr="00D2126A" w:rsidRDefault="000E5A86" w:rsidP="006B7D29">
            <w:pPr>
              <w:snapToGrid w:val="0"/>
              <w:rPr>
                <w:sz w:val="20"/>
                <w:szCs w:val="20"/>
                <w:u w:val="single"/>
                <w:shd w:val="clear" w:color="auto" w:fill="C0C0C0"/>
              </w:rPr>
            </w:pPr>
            <w:r>
              <w:rPr>
                <w:sz w:val="20"/>
                <w:u w:val="single"/>
              </w:rPr>
              <w:t>Très fréquent</w:t>
            </w:r>
          </w:p>
          <w:p w14:paraId="568D6825" w14:textId="77777777" w:rsidR="00B96D0B" w:rsidRPr="00D2126A" w:rsidRDefault="000E5A86" w:rsidP="006B7D29">
            <w:pPr>
              <w:snapToGrid w:val="0"/>
              <w:rPr>
                <w:sz w:val="20"/>
                <w:szCs w:val="20"/>
                <w:u w:val="single"/>
              </w:rPr>
            </w:pPr>
            <w:r>
              <w:rPr>
                <w:sz w:val="20"/>
              </w:rPr>
              <w:t>Neuropathies périphériques</w:t>
            </w:r>
            <w:r>
              <w:rPr>
                <w:sz w:val="20"/>
                <w:vertAlign w:val="superscript"/>
              </w:rPr>
              <w:t>◊◊</w:t>
            </w:r>
            <w:r>
              <w:rPr>
                <w:sz w:val="20"/>
              </w:rPr>
              <w:t>,</w:t>
            </w:r>
          </w:p>
          <w:p w14:paraId="09E1415D" w14:textId="77777777" w:rsidR="00B96D0B" w:rsidRPr="00D2126A" w:rsidRDefault="00B96D0B" w:rsidP="006B7D29">
            <w:pPr>
              <w:snapToGrid w:val="0"/>
              <w:rPr>
                <w:b/>
                <w:sz w:val="20"/>
                <w:szCs w:val="20"/>
                <w:u w:val="single"/>
              </w:rPr>
            </w:pPr>
          </w:p>
          <w:p w14:paraId="2195522C" w14:textId="77777777" w:rsidR="00F3495F" w:rsidRPr="00D2126A" w:rsidRDefault="000E5A86" w:rsidP="006B7D29">
            <w:pPr>
              <w:snapToGrid w:val="0"/>
              <w:rPr>
                <w:sz w:val="20"/>
                <w:szCs w:val="20"/>
                <w:u w:val="single"/>
              </w:rPr>
            </w:pPr>
            <w:r>
              <w:rPr>
                <w:sz w:val="20"/>
                <w:u w:val="single"/>
              </w:rPr>
              <w:t>Fréquent</w:t>
            </w:r>
          </w:p>
          <w:p w14:paraId="787E1D1A" w14:textId="77777777" w:rsidR="00F3495F" w:rsidRPr="00D2126A" w:rsidRDefault="000E5A86" w:rsidP="006B7D29">
            <w:pPr>
              <w:rPr>
                <w:sz w:val="20"/>
                <w:szCs w:val="20"/>
              </w:rPr>
            </w:pPr>
            <w:r>
              <w:rPr>
                <w:sz w:val="20"/>
              </w:rPr>
              <w:t>Accident vasculaire cérébral</w:t>
            </w:r>
            <w:r>
              <w:rPr>
                <w:sz w:val="20"/>
                <w:vertAlign w:val="superscript"/>
              </w:rPr>
              <w:t>◊</w:t>
            </w:r>
            <w:r>
              <w:rPr>
                <w:sz w:val="20"/>
              </w:rPr>
              <w:t>, vertiges</w:t>
            </w:r>
            <w:r>
              <w:rPr>
                <w:sz w:val="20"/>
                <w:vertAlign w:val="superscript"/>
              </w:rPr>
              <w:t>◊◊</w:t>
            </w:r>
            <w:r>
              <w:rPr>
                <w:sz w:val="20"/>
              </w:rPr>
              <w:t>, syncope</w:t>
            </w:r>
            <w:r>
              <w:rPr>
                <w:sz w:val="20"/>
                <w:vertAlign w:val="superscript"/>
              </w:rPr>
              <w:t>◊◊</w:t>
            </w:r>
            <w:r>
              <w:rPr>
                <w:sz w:val="20"/>
              </w:rPr>
              <w:t>, névralgies</w:t>
            </w:r>
          </w:p>
          <w:p w14:paraId="192F545A" w14:textId="77777777" w:rsidR="00B96D0B" w:rsidRPr="00D2126A" w:rsidRDefault="00B96D0B" w:rsidP="006B7D29">
            <w:pPr>
              <w:pStyle w:val="Date"/>
              <w:rPr>
                <w:sz w:val="20"/>
                <w:szCs w:val="20"/>
              </w:rPr>
            </w:pPr>
          </w:p>
          <w:p w14:paraId="47C3B55F" w14:textId="77777777" w:rsidR="00F3495F" w:rsidRPr="00D2126A" w:rsidRDefault="000E5A86" w:rsidP="006B7D29">
            <w:pPr>
              <w:rPr>
                <w:sz w:val="20"/>
                <w:szCs w:val="20"/>
                <w:u w:val="single"/>
              </w:rPr>
            </w:pPr>
            <w:r>
              <w:rPr>
                <w:sz w:val="20"/>
                <w:u w:val="single"/>
              </w:rPr>
              <w:t>Peu fréquent</w:t>
            </w:r>
          </w:p>
          <w:p w14:paraId="3A11CB96" w14:textId="77777777" w:rsidR="00F3495F" w:rsidRPr="00D2126A" w:rsidRDefault="000E5A86" w:rsidP="006B7D29">
            <w:pPr>
              <w:rPr>
                <w:sz w:val="20"/>
                <w:szCs w:val="20"/>
              </w:rPr>
            </w:pPr>
            <w:r>
              <w:rPr>
                <w:sz w:val="20"/>
              </w:rPr>
              <w:t>Hémorragie intracrânienne^, accident ischémique transitoire, ischémie cérébrale</w:t>
            </w:r>
          </w:p>
        </w:tc>
      </w:tr>
      <w:tr w:rsidR="00D5485C" w:rsidRPr="00D2126A" w14:paraId="0BCCDF5A" w14:textId="77777777" w:rsidTr="0097536F">
        <w:trPr>
          <w:cantSplit/>
          <w:trHeight w:val="57"/>
        </w:trPr>
        <w:tc>
          <w:tcPr>
            <w:tcW w:w="1042" w:type="pct"/>
            <w:shd w:val="clear" w:color="auto" w:fill="auto"/>
          </w:tcPr>
          <w:p w14:paraId="66CB23B4" w14:textId="77777777" w:rsidR="00F3495F" w:rsidRPr="00D2126A" w:rsidRDefault="000E5A86" w:rsidP="006B7D29">
            <w:pPr>
              <w:snapToGrid w:val="0"/>
              <w:rPr>
                <w:b/>
                <w:bCs/>
                <w:sz w:val="20"/>
                <w:szCs w:val="20"/>
              </w:rPr>
            </w:pPr>
            <w:r>
              <w:rPr>
                <w:b/>
                <w:sz w:val="20"/>
              </w:rPr>
              <w:t>Affections oculaires</w:t>
            </w:r>
          </w:p>
        </w:tc>
        <w:tc>
          <w:tcPr>
            <w:tcW w:w="2280" w:type="pct"/>
            <w:shd w:val="clear" w:color="auto" w:fill="auto"/>
          </w:tcPr>
          <w:p w14:paraId="1A259087" w14:textId="77777777" w:rsidR="00F3495F" w:rsidRPr="00D2126A" w:rsidRDefault="000E5A86" w:rsidP="006B7D29">
            <w:pPr>
              <w:rPr>
                <w:sz w:val="20"/>
                <w:szCs w:val="20"/>
                <w:u w:val="single"/>
              </w:rPr>
            </w:pPr>
            <w:r>
              <w:rPr>
                <w:sz w:val="20"/>
                <w:u w:val="single"/>
              </w:rPr>
              <w:t>Très fréquent</w:t>
            </w:r>
          </w:p>
          <w:p w14:paraId="2E26403E" w14:textId="77777777" w:rsidR="00F3495F" w:rsidRPr="00D2126A" w:rsidRDefault="000E5A86" w:rsidP="006B7D29">
            <w:pPr>
              <w:rPr>
                <w:sz w:val="20"/>
                <w:szCs w:val="20"/>
              </w:rPr>
            </w:pPr>
            <w:r>
              <w:rPr>
                <w:sz w:val="20"/>
              </w:rPr>
              <w:t>Cataracte, vision trouble</w:t>
            </w:r>
          </w:p>
          <w:p w14:paraId="0C7B6304" w14:textId="77777777" w:rsidR="00F3495F" w:rsidRPr="00D2126A" w:rsidRDefault="00F3495F" w:rsidP="006B7D29">
            <w:pPr>
              <w:pStyle w:val="Date"/>
              <w:rPr>
                <w:sz w:val="20"/>
                <w:szCs w:val="20"/>
              </w:rPr>
            </w:pPr>
          </w:p>
          <w:p w14:paraId="749257C8" w14:textId="77777777" w:rsidR="00F3495F" w:rsidRPr="00D2126A" w:rsidRDefault="000E5A86" w:rsidP="006B7D29">
            <w:pPr>
              <w:rPr>
                <w:sz w:val="20"/>
                <w:szCs w:val="20"/>
                <w:u w:val="single"/>
              </w:rPr>
            </w:pPr>
            <w:r>
              <w:rPr>
                <w:sz w:val="20"/>
                <w:u w:val="single"/>
              </w:rPr>
              <w:t>Fréquent</w:t>
            </w:r>
          </w:p>
          <w:p w14:paraId="2D3E90DD" w14:textId="77777777" w:rsidR="00F3495F" w:rsidRPr="00D2126A" w:rsidRDefault="000E5A86" w:rsidP="006B7D29">
            <w:pPr>
              <w:rPr>
                <w:strike/>
                <w:sz w:val="20"/>
                <w:szCs w:val="20"/>
              </w:rPr>
            </w:pPr>
            <w:r>
              <w:rPr>
                <w:sz w:val="20"/>
              </w:rPr>
              <w:t>Diminution de l’acuité visuelle</w:t>
            </w:r>
          </w:p>
        </w:tc>
        <w:tc>
          <w:tcPr>
            <w:tcW w:w="1678" w:type="pct"/>
            <w:shd w:val="clear" w:color="auto" w:fill="auto"/>
          </w:tcPr>
          <w:p w14:paraId="544835D7" w14:textId="77777777" w:rsidR="00F3495F" w:rsidRPr="00D2126A" w:rsidRDefault="000E5A86" w:rsidP="006B7D29">
            <w:pPr>
              <w:snapToGrid w:val="0"/>
              <w:rPr>
                <w:sz w:val="20"/>
                <w:szCs w:val="20"/>
                <w:u w:val="single"/>
              </w:rPr>
            </w:pPr>
            <w:r>
              <w:rPr>
                <w:sz w:val="20"/>
                <w:u w:val="single"/>
              </w:rPr>
              <w:t>Fréquent</w:t>
            </w:r>
          </w:p>
          <w:p w14:paraId="714664DA" w14:textId="77777777" w:rsidR="00F3495F" w:rsidRPr="00D2126A" w:rsidRDefault="000E5A86" w:rsidP="006B7D29">
            <w:pPr>
              <w:rPr>
                <w:sz w:val="20"/>
                <w:szCs w:val="20"/>
              </w:rPr>
            </w:pPr>
            <w:r>
              <w:rPr>
                <w:sz w:val="20"/>
              </w:rPr>
              <w:t>Cataracte</w:t>
            </w:r>
          </w:p>
          <w:p w14:paraId="3497E0AE" w14:textId="77777777" w:rsidR="00F3495F" w:rsidRPr="00D2126A" w:rsidRDefault="00F3495F" w:rsidP="006B7D29">
            <w:pPr>
              <w:pStyle w:val="Date"/>
              <w:rPr>
                <w:sz w:val="20"/>
                <w:szCs w:val="20"/>
              </w:rPr>
            </w:pPr>
          </w:p>
          <w:p w14:paraId="419332D3" w14:textId="77777777" w:rsidR="00F3495F" w:rsidRPr="00D2126A" w:rsidRDefault="000E5A86" w:rsidP="006B7D29">
            <w:pPr>
              <w:rPr>
                <w:bCs/>
                <w:sz w:val="20"/>
                <w:szCs w:val="20"/>
                <w:u w:val="single"/>
              </w:rPr>
            </w:pPr>
            <w:r>
              <w:rPr>
                <w:sz w:val="20"/>
                <w:u w:val="single"/>
              </w:rPr>
              <w:t>Peu fréquent</w:t>
            </w:r>
          </w:p>
          <w:p w14:paraId="4711AAA9" w14:textId="77777777" w:rsidR="00F3495F" w:rsidRPr="00D2126A" w:rsidRDefault="000E5A86" w:rsidP="006B7D29">
            <w:pPr>
              <w:rPr>
                <w:bCs/>
                <w:sz w:val="20"/>
                <w:szCs w:val="20"/>
              </w:rPr>
            </w:pPr>
            <w:r>
              <w:rPr>
                <w:sz w:val="20"/>
              </w:rPr>
              <w:t>Cécité</w:t>
            </w:r>
          </w:p>
        </w:tc>
      </w:tr>
      <w:tr w:rsidR="00D5485C" w:rsidRPr="00D2126A" w14:paraId="2BDE1776" w14:textId="77777777" w:rsidTr="0097536F">
        <w:trPr>
          <w:cantSplit/>
          <w:trHeight w:val="57"/>
        </w:trPr>
        <w:tc>
          <w:tcPr>
            <w:tcW w:w="1042" w:type="pct"/>
            <w:shd w:val="clear" w:color="auto" w:fill="auto"/>
          </w:tcPr>
          <w:p w14:paraId="4DA13DE3" w14:textId="77777777" w:rsidR="00F3495F" w:rsidRPr="00D2126A" w:rsidRDefault="000E5A86" w:rsidP="006B7D29">
            <w:pPr>
              <w:snapToGrid w:val="0"/>
              <w:rPr>
                <w:b/>
                <w:bCs/>
                <w:sz w:val="20"/>
                <w:szCs w:val="20"/>
              </w:rPr>
            </w:pPr>
            <w:r>
              <w:rPr>
                <w:b/>
                <w:sz w:val="20"/>
              </w:rPr>
              <w:t>Affections de l’oreille et du labyrinthe</w:t>
            </w:r>
          </w:p>
        </w:tc>
        <w:tc>
          <w:tcPr>
            <w:tcW w:w="2280" w:type="pct"/>
            <w:shd w:val="clear" w:color="auto" w:fill="auto"/>
          </w:tcPr>
          <w:p w14:paraId="3DCFFE2A" w14:textId="77777777" w:rsidR="00F3495F" w:rsidRPr="00D2126A" w:rsidRDefault="000E5A86" w:rsidP="006B7D29">
            <w:pPr>
              <w:snapToGrid w:val="0"/>
              <w:rPr>
                <w:sz w:val="20"/>
                <w:szCs w:val="20"/>
                <w:u w:val="single"/>
              </w:rPr>
            </w:pPr>
            <w:r>
              <w:rPr>
                <w:sz w:val="20"/>
                <w:u w:val="single"/>
              </w:rPr>
              <w:t>Fréquent</w:t>
            </w:r>
          </w:p>
          <w:p w14:paraId="6F565CC8" w14:textId="77777777" w:rsidR="00F3495F" w:rsidRPr="00D2126A" w:rsidRDefault="000E5A86" w:rsidP="006B7D29">
            <w:pPr>
              <w:rPr>
                <w:sz w:val="20"/>
                <w:szCs w:val="20"/>
                <w:shd w:val="clear" w:color="auto" w:fill="C0C0C0"/>
              </w:rPr>
            </w:pPr>
            <w:r>
              <w:rPr>
                <w:sz w:val="20"/>
              </w:rPr>
              <w:t>Surdité (y compris hypoacousie), acouphènes</w:t>
            </w:r>
          </w:p>
        </w:tc>
        <w:tc>
          <w:tcPr>
            <w:tcW w:w="1678" w:type="pct"/>
            <w:shd w:val="clear" w:color="auto" w:fill="auto"/>
          </w:tcPr>
          <w:p w14:paraId="5F326874" w14:textId="77777777" w:rsidR="00F3495F" w:rsidRPr="00D2126A" w:rsidRDefault="00F3495F" w:rsidP="006B7D29">
            <w:pPr>
              <w:snapToGrid w:val="0"/>
              <w:rPr>
                <w:b/>
                <w:sz w:val="20"/>
                <w:szCs w:val="20"/>
                <w:u w:val="single"/>
              </w:rPr>
            </w:pPr>
          </w:p>
        </w:tc>
      </w:tr>
      <w:tr w:rsidR="00D5485C" w:rsidRPr="00D2126A" w14:paraId="34CA361F" w14:textId="77777777" w:rsidTr="0097536F">
        <w:trPr>
          <w:cantSplit/>
          <w:trHeight w:val="57"/>
        </w:trPr>
        <w:tc>
          <w:tcPr>
            <w:tcW w:w="1042" w:type="pct"/>
            <w:shd w:val="clear" w:color="auto" w:fill="auto"/>
          </w:tcPr>
          <w:p w14:paraId="0236E43C" w14:textId="77777777" w:rsidR="00F3495F" w:rsidRPr="00D2126A" w:rsidRDefault="000E5A86" w:rsidP="006B7D29">
            <w:pPr>
              <w:snapToGrid w:val="0"/>
              <w:rPr>
                <w:b/>
                <w:bCs/>
                <w:sz w:val="20"/>
                <w:szCs w:val="20"/>
              </w:rPr>
            </w:pPr>
            <w:r>
              <w:rPr>
                <w:b/>
                <w:sz w:val="20"/>
              </w:rPr>
              <w:t>Affections cardiaques</w:t>
            </w:r>
          </w:p>
        </w:tc>
        <w:tc>
          <w:tcPr>
            <w:tcW w:w="2280" w:type="pct"/>
            <w:shd w:val="clear" w:color="auto" w:fill="auto"/>
          </w:tcPr>
          <w:p w14:paraId="0EDE8786" w14:textId="77777777" w:rsidR="00F3495F" w:rsidRPr="00D2126A" w:rsidRDefault="000E5A86" w:rsidP="006B7D29">
            <w:pPr>
              <w:snapToGrid w:val="0"/>
              <w:rPr>
                <w:sz w:val="20"/>
                <w:szCs w:val="20"/>
                <w:u w:val="single"/>
              </w:rPr>
            </w:pPr>
            <w:r>
              <w:rPr>
                <w:sz w:val="20"/>
                <w:u w:val="single"/>
              </w:rPr>
              <w:t>Fréquent</w:t>
            </w:r>
          </w:p>
          <w:p w14:paraId="0A01DC3A" w14:textId="0BB0C5E8" w:rsidR="00F3495F" w:rsidRPr="00D2126A" w:rsidRDefault="000E5A86" w:rsidP="006B7D29">
            <w:pPr>
              <w:rPr>
                <w:sz w:val="20"/>
                <w:szCs w:val="20"/>
              </w:rPr>
            </w:pPr>
            <w:r>
              <w:rPr>
                <w:sz w:val="20"/>
              </w:rPr>
              <w:t>Fibrillation auriculaire</w:t>
            </w:r>
            <w:r>
              <w:rPr>
                <w:sz w:val="20"/>
                <w:vertAlign w:val="superscript"/>
              </w:rPr>
              <w:t>◊,◊◊</w:t>
            </w:r>
            <w:r>
              <w:rPr>
                <w:sz w:val="20"/>
              </w:rPr>
              <w:t>, bradycardie</w:t>
            </w:r>
          </w:p>
          <w:p w14:paraId="046A5E90" w14:textId="77777777" w:rsidR="00F3495F" w:rsidRPr="00D2126A" w:rsidRDefault="00F3495F" w:rsidP="006B7D29">
            <w:pPr>
              <w:rPr>
                <w:sz w:val="20"/>
                <w:szCs w:val="20"/>
              </w:rPr>
            </w:pPr>
          </w:p>
          <w:p w14:paraId="7FBA6458" w14:textId="77777777" w:rsidR="00F3495F" w:rsidRPr="00D2126A" w:rsidRDefault="000E5A86" w:rsidP="006B7D29">
            <w:pPr>
              <w:rPr>
                <w:sz w:val="20"/>
                <w:szCs w:val="20"/>
                <w:u w:val="single"/>
              </w:rPr>
            </w:pPr>
            <w:r>
              <w:rPr>
                <w:sz w:val="20"/>
                <w:u w:val="single"/>
              </w:rPr>
              <w:t>Peu fréquent</w:t>
            </w:r>
          </w:p>
          <w:p w14:paraId="2CA8805A" w14:textId="54E68C7D" w:rsidR="00F3495F" w:rsidRPr="00D2126A" w:rsidRDefault="000E5A86" w:rsidP="006B7D29">
            <w:pPr>
              <w:rPr>
                <w:b/>
                <w:i/>
                <w:sz w:val="20"/>
                <w:szCs w:val="20"/>
              </w:rPr>
            </w:pPr>
            <w:r>
              <w:rPr>
                <w:sz w:val="20"/>
              </w:rPr>
              <w:t>Arythmie, allongement de l’intervalle QT, flutter auriculaire, extrasystoles ventriculaires</w:t>
            </w:r>
          </w:p>
        </w:tc>
        <w:tc>
          <w:tcPr>
            <w:tcW w:w="1678" w:type="pct"/>
            <w:shd w:val="clear" w:color="auto" w:fill="auto"/>
          </w:tcPr>
          <w:p w14:paraId="5750C440" w14:textId="77777777" w:rsidR="00F3495F" w:rsidRPr="00D2126A" w:rsidRDefault="000E5A86" w:rsidP="006B7D29">
            <w:pPr>
              <w:snapToGrid w:val="0"/>
              <w:rPr>
                <w:sz w:val="20"/>
                <w:szCs w:val="20"/>
                <w:u w:val="single"/>
              </w:rPr>
            </w:pPr>
            <w:r>
              <w:rPr>
                <w:sz w:val="20"/>
                <w:u w:val="single"/>
              </w:rPr>
              <w:t>Fréquent</w:t>
            </w:r>
          </w:p>
          <w:p w14:paraId="5085B6FF" w14:textId="5FF2F6ED" w:rsidR="00F3495F" w:rsidRPr="00D2126A" w:rsidRDefault="000E5A86" w:rsidP="006B7D29">
            <w:pPr>
              <w:rPr>
                <w:sz w:val="20"/>
                <w:szCs w:val="20"/>
              </w:rPr>
            </w:pPr>
            <w:r>
              <w:rPr>
                <w:sz w:val="20"/>
              </w:rPr>
              <w:t>Infarctus du myocarde (y compris aigu)^</w:t>
            </w:r>
            <w:r>
              <w:rPr>
                <w:sz w:val="20"/>
                <w:vertAlign w:val="superscript"/>
              </w:rPr>
              <w:t>,◊</w:t>
            </w:r>
            <w:r>
              <w:rPr>
                <w:sz w:val="20"/>
              </w:rPr>
              <w:t>, fibrillation auriculaire</w:t>
            </w:r>
            <w:r>
              <w:rPr>
                <w:sz w:val="20"/>
                <w:vertAlign w:val="superscript"/>
              </w:rPr>
              <w:t>◊,◊◊</w:t>
            </w:r>
            <w:r>
              <w:rPr>
                <w:sz w:val="20"/>
              </w:rPr>
              <w:t>, insuffisance cardiaque congestive</w:t>
            </w:r>
            <w:r>
              <w:rPr>
                <w:sz w:val="20"/>
                <w:vertAlign w:val="superscript"/>
              </w:rPr>
              <w:t>◊</w:t>
            </w:r>
            <w:r>
              <w:rPr>
                <w:sz w:val="20"/>
              </w:rPr>
              <w:t>, tachycardie, insuffisance cardiaque</w:t>
            </w:r>
            <w:r>
              <w:rPr>
                <w:sz w:val="20"/>
                <w:vertAlign w:val="superscript"/>
              </w:rPr>
              <w:t>◊,◊◊</w:t>
            </w:r>
            <w:r>
              <w:rPr>
                <w:sz w:val="20"/>
              </w:rPr>
              <w:t>, ischémie myocardique</w:t>
            </w:r>
            <w:r>
              <w:rPr>
                <w:sz w:val="20"/>
                <w:vertAlign w:val="superscript"/>
              </w:rPr>
              <w:t>◊</w:t>
            </w:r>
          </w:p>
        </w:tc>
      </w:tr>
      <w:tr w:rsidR="00D5485C" w:rsidRPr="00D2126A" w14:paraId="55CEA8C0" w14:textId="77777777" w:rsidTr="0097536F">
        <w:trPr>
          <w:cantSplit/>
          <w:trHeight w:val="57"/>
        </w:trPr>
        <w:tc>
          <w:tcPr>
            <w:tcW w:w="1042" w:type="pct"/>
            <w:shd w:val="clear" w:color="auto" w:fill="auto"/>
          </w:tcPr>
          <w:p w14:paraId="4C8B02CD" w14:textId="77777777" w:rsidR="00F3495F" w:rsidRPr="00D2126A" w:rsidRDefault="000E5A86" w:rsidP="006B7D29">
            <w:pPr>
              <w:snapToGrid w:val="0"/>
              <w:rPr>
                <w:b/>
                <w:bCs/>
                <w:sz w:val="20"/>
                <w:szCs w:val="20"/>
              </w:rPr>
            </w:pPr>
            <w:r>
              <w:rPr>
                <w:b/>
                <w:sz w:val="20"/>
              </w:rPr>
              <w:t>Affections vasculaires</w:t>
            </w:r>
          </w:p>
        </w:tc>
        <w:tc>
          <w:tcPr>
            <w:tcW w:w="2280" w:type="pct"/>
            <w:shd w:val="clear" w:color="auto" w:fill="auto"/>
          </w:tcPr>
          <w:p w14:paraId="0BF74D84" w14:textId="77777777" w:rsidR="00F3495F" w:rsidRPr="00D2126A" w:rsidRDefault="000E5A86" w:rsidP="006B7D29">
            <w:pPr>
              <w:rPr>
                <w:sz w:val="20"/>
                <w:szCs w:val="20"/>
                <w:u w:val="single"/>
                <w:shd w:val="clear" w:color="auto" w:fill="C0C0C0"/>
              </w:rPr>
            </w:pPr>
            <w:r>
              <w:rPr>
                <w:sz w:val="20"/>
                <w:u w:val="single"/>
              </w:rPr>
              <w:t>Très fréquent</w:t>
            </w:r>
          </w:p>
          <w:p w14:paraId="296568AB" w14:textId="34A06BA4" w:rsidR="00101A58" w:rsidRPr="00D2126A" w:rsidRDefault="000E5A86" w:rsidP="006B7D29">
            <w:pPr>
              <w:rPr>
                <w:sz w:val="20"/>
                <w:szCs w:val="20"/>
              </w:rPr>
            </w:pPr>
            <w:r>
              <w:rPr>
                <w:sz w:val="20"/>
              </w:rPr>
              <w:t>Événements thrombo</w:t>
            </w:r>
            <w:r>
              <w:rPr>
                <w:sz w:val="20"/>
              </w:rPr>
              <w:noBreakHyphen/>
              <w:t>emboliques veineux^, essentiellement thrombose veineuse profonde et embolie pulmonaire^</w:t>
            </w:r>
            <w:r>
              <w:rPr>
                <w:sz w:val="20"/>
                <w:vertAlign w:val="superscript"/>
              </w:rPr>
              <w:t>,◊,◊◊</w:t>
            </w:r>
            <w:r>
              <w:rPr>
                <w:sz w:val="20"/>
              </w:rPr>
              <w:t>, hypotension</w:t>
            </w:r>
            <w:r>
              <w:rPr>
                <w:sz w:val="20"/>
                <w:vertAlign w:val="superscript"/>
              </w:rPr>
              <w:t>◊◊</w:t>
            </w:r>
          </w:p>
          <w:p w14:paraId="326D25F0" w14:textId="77777777" w:rsidR="00F3495F" w:rsidRPr="00D2126A" w:rsidRDefault="00F3495F" w:rsidP="006B7D29">
            <w:pPr>
              <w:pStyle w:val="Date"/>
              <w:rPr>
                <w:sz w:val="20"/>
                <w:szCs w:val="20"/>
              </w:rPr>
            </w:pPr>
          </w:p>
          <w:p w14:paraId="20553C69" w14:textId="77777777" w:rsidR="00F3495F" w:rsidRPr="00D2126A" w:rsidRDefault="000E5A86" w:rsidP="006B7D29">
            <w:pPr>
              <w:rPr>
                <w:sz w:val="20"/>
                <w:szCs w:val="20"/>
                <w:u w:val="single"/>
              </w:rPr>
            </w:pPr>
            <w:r>
              <w:rPr>
                <w:sz w:val="20"/>
                <w:u w:val="single"/>
              </w:rPr>
              <w:t>Fréquent</w:t>
            </w:r>
          </w:p>
          <w:p w14:paraId="00FB41EB" w14:textId="77777777" w:rsidR="00F3495F" w:rsidRPr="00D2126A" w:rsidRDefault="000E5A86" w:rsidP="006B7D29">
            <w:pPr>
              <w:rPr>
                <w:sz w:val="20"/>
                <w:szCs w:val="20"/>
              </w:rPr>
            </w:pPr>
            <w:r>
              <w:rPr>
                <w:sz w:val="20"/>
              </w:rPr>
              <w:t>Hypertension, ecchymoses^,</w:t>
            </w:r>
          </w:p>
        </w:tc>
        <w:tc>
          <w:tcPr>
            <w:tcW w:w="1678" w:type="pct"/>
            <w:shd w:val="clear" w:color="auto" w:fill="auto"/>
          </w:tcPr>
          <w:p w14:paraId="421C8992" w14:textId="77777777" w:rsidR="00F3495F" w:rsidRPr="00D2126A" w:rsidRDefault="000E5A86" w:rsidP="006B7D29">
            <w:pPr>
              <w:rPr>
                <w:sz w:val="20"/>
                <w:szCs w:val="20"/>
                <w:u w:val="single"/>
                <w:shd w:val="clear" w:color="auto" w:fill="C0C0C0"/>
              </w:rPr>
            </w:pPr>
            <w:r>
              <w:rPr>
                <w:sz w:val="20"/>
                <w:u w:val="single"/>
              </w:rPr>
              <w:t>Très fréquent</w:t>
            </w:r>
          </w:p>
          <w:p w14:paraId="5BD67E87" w14:textId="1A4CA843" w:rsidR="00F3495F" w:rsidRPr="00D2126A" w:rsidRDefault="000E5A86" w:rsidP="006B7D29">
            <w:pPr>
              <w:rPr>
                <w:sz w:val="20"/>
                <w:szCs w:val="20"/>
              </w:rPr>
            </w:pPr>
            <w:r>
              <w:rPr>
                <w:sz w:val="20"/>
              </w:rPr>
              <w:t>Événements thrombo</w:t>
            </w:r>
            <w:r>
              <w:rPr>
                <w:sz w:val="20"/>
              </w:rPr>
              <w:noBreakHyphen/>
              <w:t>emboliques veineux^, essentiellement thrombose veineuse profonde et embolie pulmonaire^</w:t>
            </w:r>
            <w:r>
              <w:rPr>
                <w:sz w:val="20"/>
                <w:vertAlign w:val="superscript"/>
              </w:rPr>
              <w:t>,◊,◊◊</w:t>
            </w:r>
          </w:p>
          <w:p w14:paraId="4EC0FA34" w14:textId="77777777" w:rsidR="00F3495F" w:rsidRPr="00D2126A" w:rsidRDefault="00F3495F" w:rsidP="006B7D29">
            <w:pPr>
              <w:pStyle w:val="Date"/>
              <w:rPr>
                <w:sz w:val="20"/>
                <w:szCs w:val="20"/>
              </w:rPr>
            </w:pPr>
          </w:p>
          <w:p w14:paraId="5C4B6BB7" w14:textId="77777777" w:rsidR="00F3495F" w:rsidRPr="00D2126A" w:rsidRDefault="000E5A86" w:rsidP="006B7D29">
            <w:pPr>
              <w:rPr>
                <w:sz w:val="20"/>
                <w:szCs w:val="20"/>
                <w:u w:val="single"/>
              </w:rPr>
            </w:pPr>
            <w:r>
              <w:rPr>
                <w:sz w:val="20"/>
                <w:u w:val="single"/>
              </w:rPr>
              <w:t>Fréquent</w:t>
            </w:r>
          </w:p>
          <w:p w14:paraId="5470289E" w14:textId="77777777" w:rsidR="00F3495F" w:rsidRPr="00D2126A" w:rsidRDefault="000E5A86" w:rsidP="006B7D29">
            <w:pPr>
              <w:rPr>
                <w:sz w:val="20"/>
                <w:szCs w:val="20"/>
              </w:rPr>
            </w:pPr>
            <w:r>
              <w:rPr>
                <w:sz w:val="20"/>
              </w:rPr>
              <w:t>Vascularite, hypotension</w:t>
            </w:r>
            <w:r>
              <w:rPr>
                <w:sz w:val="20"/>
                <w:vertAlign w:val="superscript"/>
              </w:rPr>
              <w:t>◊◊</w:t>
            </w:r>
            <w:r>
              <w:rPr>
                <w:sz w:val="20"/>
              </w:rPr>
              <w:t>, hypertension</w:t>
            </w:r>
          </w:p>
          <w:p w14:paraId="6DD306C5" w14:textId="77777777" w:rsidR="00F3495F" w:rsidRPr="00D2126A" w:rsidRDefault="00F3495F" w:rsidP="006B7D29">
            <w:pPr>
              <w:pStyle w:val="Date"/>
              <w:rPr>
                <w:sz w:val="20"/>
                <w:szCs w:val="20"/>
              </w:rPr>
            </w:pPr>
          </w:p>
          <w:p w14:paraId="53B79772" w14:textId="77777777" w:rsidR="00F3495F" w:rsidRPr="00D2126A" w:rsidRDefault="000E5A86" w:rsidP="006B7D29">
            <w:pPr>
              <w:rPr>
                <w:sz w:val="20"/>
                <w:szCs w:val="20"/>
                <w:u w:val="single"/>
              </w:rPr>
            </w:pPr>
            <w:r>
              <w:rPr>
                <w:sz w:val="20"/>
                <w:u w:val="single"/>
              </w:rPr>
              <w:t>Peu fréquent</w:t>
            </w:r>
          </w:p>
          <w:p w14:paraId="4539CF33" w14:textId="77777777" w:rsidR="00F3495F" w:rsidRPr="00D2126A" w:rsidRDefault="000E5A86" w:rsidP="006B7D29">
            <w:pPr>
              <w:rPr>
                <w:b/>
                <w:i/>
                <w:sz w:val="20"/>
                <w:szCs w:val="20"/>
              </w:rPr>
            </w:pPr>
            <w:r>
              <w:rPr>
                <w:sz w:val="20"/>
              </w:rPr>
              <w:t>Ischémie, ischémie périphérique, thrombose du sinus veineux intracrânien</w:t>
            </w:r>
          </w:p>
        </w:tc>
      </w:tr>
      <w:tr w:rsidR="00D5485C" w:rsidRPr="00D2126A" w14:paraId="03B7A81F" w14:textId="77777777" w:rsidTr="0097536F">
        <w:trPr>
          <w:cantSplit/>
          <w:trHeight w:val="57"/>
        </w:trPr>
        <w:tc>
          <w:tcPr>
            <w:tcW w:w="1042" w:type="pct"/>
            <w:shd w:val="clear" w:color="auto" w:fill="auto"/>
          </w:tcPr>
          <w:p w14:paraId="742CA3B1" w14:textId="77777777" w:rsidR="00F3495F" w:rsidRPr="00D2126A" w:rsidRDefault="000E5A86" w:rsidP="006B7D29">
            <w:pPr>
              <w:snapToGrid w:val="0"/>
              <w:rPr>
                <w:b/>
                <w:bCs/>
                <w:sz w:val="20"/>
                <w:szCs w:val="20"/>
              </w:rPr>
            </w:pPr>
            <w:r>
              <w:rPr>
                <w:b/>
                <w:sz w:val="20"/>
              </w:rPr>
              <w:t>Affections respiratoires, thoraciques et médiastinales</w:t>
            </w:r>
          </w:p>
        </w:tc>
        <w:tc>
          <w:tcPr>
            <w:tcW w:w="2280" w:type="pct"/>
            <w:shd w:val="clear" w:color="auto" w:fill="auto"/>
          </w:tcPr>
          <w:p w14:paraId="6F90A440" w14:textId="77777777" w:rsidR="00F3495F" w:rsidRPr="00D2126A" w:rsidRDefault="000E5A86" w:rsidP="006B7D29">
            <w:pPr>
              <w:rPr>
                <w:sz w:val="20"/>
                <w:szCs w:val="20"/>
                <w:u w:val="single"/>
              </w:rPr>
            </w:pPr>
            <w:r>
              <w:rPr>
                <w:sz w:val="20"/>
                <w:u w:val="single"/>
              </w:rPr>
              <w:t>Très fréquent</w:t>
            </w:r>
          </w:p>
          <w:p w14:paraId="1AFA1B45" w14:textId="6CC265E9" w:rsidR="00DF11E0" w:rsidRPr="00D2126A" w:rsidRDefault="000E5A86" w:rsidP="006B7D29">
            <w:pPr>
              <w:rPr>
                <w:sz w:val="20"/>
                <w:szCs w:val="20"/>
                <w:shd w:val="clear" w:color="auto" w:fill="C0C0C0"/>
              </w:rPr>
            </w:pPr>
            <w:r>
              <w:rPr>
                <w:sz w:val="20"/>
              </w:rPr>
              <w:t>Dyspnée</w:t>
            </w:r>
            <w:r>
              <w:rPr>
                <w:sz w:val="20"/>
                <w:vertAlign w:val="superscript"/>
              </w:rPr>
              <w:t>◊,◊◊</w:t>
            </w:r>
            <w:r>
              <w:rPr>
                <w:sz w:val="20"/>
              </w:rPr>
              <w:t>, épistaxis^, toux</w:t>
            </w:r>
          </w:p>
          <w:p w14:paraId="07F4EED3" w14:textId="77777777" w:rsidR="00DF11E0" w:rsidRPr="00D2126A" w:rsidRDefault="00DF11E0" w:rsidP="006B7D29">
            <w:pPr>
              <w:rPr>
                <w:sz w:val="20"/>
                <w:szCs w:val="20"/>
              </w:rPr>
            </w:pPr>
          </w:p>
          <w:p w14:paraId="5A7AD670" w14:textId="77777777" w:rsidR="00DF11E0" w:rsidRPr="00D2126A" w:rsidRDefault="000E5A86" w:rsidP="006B7D29">
            <w:pPr>
              <w:rPr>
                <w:sz w:val="20"/>
                <w:szCs w:val="20"/>
                <w:u w:val="single"/>
              </w:rPr>
            </w:pPr>
            <w:r>
              <w:rPr>
                <w:sz w:val="20"/>
                <w:u w:val="single"/>
              </w:rPr>
              <w:t>Fréquent</w:t>
            </w:r>
          </w:p>
          <w:p w14:paraId="358172F6" w14:textId="77777777" w:rsidR="00F3495F" w:rsidRPr="00D2126A" w:rsidRDefault="000E5A86" w:rsidP="006B7D29">
            <w:pPr>
              <w:rPr>
                <w:sz w:val="20"/>
                <w:szCs w:val="20"/>
                <w:shd w:val="clear" w:color="auto" w:fill="C0C0C0"/>
              </w:rPr>
            </w:pPr>
            <w:r>
              <w:rPr>
                <w:sz w:val="20"/>
              </w:rPr>
              <w:t>Dysphonie</w:t>
            </w:r>
          </w:p>
        </w:tc>
        <w:tc>
          <w:tcPr>
            <w:tcW w:w="1678" w:type="pct"/>
            <w:shd w:val="clear" w:color="auto" w:fill="auto"/>
          </w:tcPr>
          <w:p w14:paraId="42240CE7" w14:textId="77777777" w:rsidR="00F3495F" w:rsidRPr="00D2126A" w:rsidRDefault="000E5A86" w:rsidP="006B7D29">
            <w:pPr>
              <w:snapToGrid w:val="0"/>
              <w:rPr>
                <w:sz w:val="20"/>
                <w:szCs w:val="20"/>
                <w:u w:val="single"/>
              </w:rPr>
            </w:pPr>
            <w:r>
              <w:rPr>
                <w:sz w:val="20"/>
                <w:u w:val="single"/>
              </w:rPr>
              <w:t>Fréquent</w:t>
            </w:r>
          </w:p>
          <w:p w14:paraId="7C0FC2F8" w14:textId="09DFE0DE" w:rsidR="00F3495F" w:rsidRPr="00D2126A" w:rsidRDefault="000E5A86" w:rsidP="006B7D29">
            <w:pPr>
              <w:rPr>
                <w:sz w:val="20"/>
                <w:szCs w:val="20"/>
                <w:shd w:val="clear" w:color="auto" w:fill="C0C0C0"/>
              </w:rPr>
            </w:pPr>
            <w:r>
              <w:rPr>
                <w:sz w:val="20"/>
              </w:rPr>
              <w:t>Détresse respiratoire</w:t>
            </w:r>
            <w:r>
              <w:rPr>
                <w:sz w:val="20"/>
                <w:vertAlign w:val="superscript"/>
              </w:rPr>
              <w:t>◊</w:t>
            </w:r>
            <w:r>
              <w:rPr>
                <w:sz w:val="20"/>
              </w:rPr>
              <w:t>, dyspnée</w:t>
            </w:r>
            <w:r>
              <w:rPr>
                <w:sz w:val="20"/>
                <w:vertAlign w:val="superscript"/>
              </w:rPr>
              <w:t>◊,◊◊</w:t>
            </w:r>
            <w:r>
              <w:rPr>
                <w:sz w:val="20"/>
              </w:rPr>
              <w:t>, douleur pleurale</w:t>
            </w:r>
            <w:r>
              <w:rPr>
                <w:sz w:val="20"/>
                <w:vertAlign w:val="superscript"/>
              </w:rPr>
              <w:t>◊◊</w:t>
            </w:r>
            <w:r>
              <w:rPr>
                <w:sz w:val="20"/>
              </w:rPr>
              <w:t>,</w:t>
            </w:r>
            <w:r>
              <w:rPr>
                <w:sz w:val="20"/>
                <w:vertAlign w:val="superscript"/>
              </w:rPr>
              <w:t xml:space="preserve"> </w:t>
            </w:r>
            <w:r>
              <w:rPr>
                <w:sz w:val="20"/>
              </w:rPr>
              <w:t>hypoxie</w:t>
            </w:r>
            <w:r>
              <w:rPr>
                <w:sz w:val="20"/>
                <w:vertAlign w:val="superscript"/>
              </w:rPr>
              <w:t>◊◊</w:t>
            </w:r>
          </w:p>
        </w:tc>
      </w:tr>
      <w:tr w:rsidR="00D5485C" w:rsidRPr="00D2126A" w14:paraId="61545471" w14:textId="77777777" w:rsidTr="0097536F">
        <w:trPr>
          <w:cantSplit/>
          <w:trHeight w:val="57"/>
        </w:trPr>
        <w:tc>
          <w:tcPr>
            <w:tcW w:w="1042" w:type="pct"/>
            <w:shd w:val="clear" w:color="auto" w:fill="auto"/>
          </w:tcPr>
          <w:p w14:paraId="37B962D6" w14:textId="77777777" w:rsidR="00F3495F" w:rsidRPr="00D2126A" w:rsidRDefault="000E5A86" w:rsidP="006B7D29">
            <w:pPr>
              <w:snapToGrid w:val="0"/>
              <w:rPr>
                <w:b/>
                <w:bCs/>
                <w:sz w:val="20"/>
                <w:szCs w:val="20"/>
              </w:rPr>
            </w:pPr>
            <w:r>
              <w:rPr>
                <w:b/>
                <w:sz w:val="20"/>
              </w:rPr>
              <w:t>Affections gastro</w:t>
            </w:r>
            <w:r>
              <w:rPr>
                <w:b/>
                <w:sz w:val="20"/>
              </w:rPr>
              <w:noBreakHyphen/>
              <w:t>intestinales</w:t>
            </w:r>
          </w:p>
        </w:tc>
        <w:tc>
          <w:tcPr>
            <w:tcW w:w="2280" w:type="pct"/>
            <w:shd w:val="clear" w:color="auto" w:fill="auto"/>
          </w:tcPr>
          <w:p w14:paraId="5E1180B6" w14:textId="77777777" w:rsidR="00F3495F" w:rsidRPr="00D2126A" w:rsidRDefault="000E5A86" w:rsidP="006B7D29">
            <w:pPr>
              <w:snapToGrid w:val="0"/>
              <w:rPr>
                <w:sz w:val="20"/>
                <w:szCs w:val="20"/>
                <w:u w:val="single"/>
              </w:rPr>
            </w:pPr>
            <w:r>
              <w:rPr>
                <w:sz w:val="20"/>
                <w:u w:val="single"/>
              </w:rPr>
              <w:t>Très fréquent</w:t>
            </w:r>
          </w:p>
          <w:p w14:paraId="60839F35" w14:textId="17A8FDFD" w:rsidR="00F3495F" w:rsidRPr="00D2126A" w:rsidRDefault="000E5A86" w:rsidP="006B7D29">
            <w:pPr>
              <w:rPr>
                <w:sz w:val="20"/>
                <w:szCs w:val="20"/>
              </w:rPr>
            </w:pPr>
            <w:r>
              <w:rPr>
                <w:sz w:val="20"/>
              </w:rPr>
              <w:t>Diarrhée</w:t>
            </w:r>
            <w:r>
              <w:rPr>
                <w:sz w:val="20"/>
                <w:vertAlign w:val="superscript"/>
              </w:rPr>
              <w:t>◊,◊◊</w:t>
            </w:r>
            <w:r>
              <w:rPr>
                <w:sz w:val="20"/>
              </w:rPr>
              <w:t>, constipation</w:t>
            </w:r>
            <w:r>
              <w:rPr>
                <w:sz w:val="20"/>
                <w:vertAlign w:val="superscript"/>
              </w:rPr>
              <w:t>◊</w:t>
            </w:r>
            <w:r>
              <w:rPr>
                <w:sz w:val="20"/>
              </w:rPr>
              <w:t>, douleur abdominale</w:t>
            </w:r>
            <w:r>
              <w:rPr>
                <w:sz w:val="20"/>
                <w:vertAlign w:val="superscript"/>
              </w:rPr>
              <w:t>◊◊</w:t>
            </w:r>
            <w:r>
              <w:rPr>
                <w:sz w:val="20"/>
              </w:rPr>
              <w:t>, nausées, vomissements</w:t>
            </w:r>
            <w:r>
              <w:rPr>
                <w:sz w:val="20"/>
                <w:vertAlign w:val="superscript"/>
              </w:rPr>
              <w:t>◊◊</w:t>
            </w:r>
            <w:r>
              <w:rPr>
                <w:sz w:val="20"/>
              </w:rPr>
              <w:t>, dyspepsie, sécheresse buccale, stomatite</w:t>
            </w:r>
          </w:p>
          <w:p w14:paraId="347F8CF8" w14:textId="77777777" w:rsidR="00F3495F" w:rsidRPr="00D2126A" w:rsidRDefault="00F3495F" w:rsidP="006B7D29">
            <w:pPr>
              <w:pStyle w:val="Date"/>
              <w:rPr>
                <w:sz w:val="20"/>
                <w:szCs w:val="20"/>
              </w:rPr>
            </w:pPr>
          </w:p>
          <w:p w14:paraId="1C4FE255" w14:textId="77777777" w:rsidR="00F3495F" w:rsidRPr="00D2126A" w:rsidRDefault="000E5A86" w:rsidP="006B7D29">
            <w:pPr>
              <w:rPr>
                <w:sz w:val="20"/>
                <w:szCs w:val="20"/>
                <w:u w:val="single"/>
              </w:rPr>
            </w:pPr>
            <w:r>
              <w:rPr>
                <w:sz w:val="20"/>
                <w:u w:val="single"/>
              </w:rPr>
              <w:t>Fréquent</w:t>
            </w:r>
          </w:p>
          <w:p w14:paraId="3FAAA15C" w14:textId="14A7732A" w:rsidR="00F3495F" w:rsidRPr="00D2126A" w:rsidRDefault="000E5A86" w:rsidP="006B7D29">
            <w:pPr>
              <w:rPr>
                <w:sz w:val="20"/>
                <w:szCs w:val="20"/>
              </w:rPr>
            </w:pPr>
            <w:r>
              <w:rPr>
                <w:sz w:val="20"/>
              </w:rPr>
              <w:t>Hémorragie gastro</w:t>
            </w:r>
            <w:r>
              <w:rPr>
                <w:sz w:val="20"/>
              </w:rPr>
              <w:noBreakHyphen/>
              <w:t>intestinale (y compris hémorragie rectale, hémorragie hémorroïdaire, ulcère gastro</w:t>
            </w:r>
            <w:r>
              <w:rPr>
                <w:sz w:val="20"/>
              </w:rPr>
              <w:noBreakHyphen/>
              <w:t>duodénal hémorragique et saignement gingival)^</w:t>
            </w:r>
            <w:r>
              <w:rPr>
                <w:sz w:val="20"/>
                <w:vertAlign w:val="superscript"/>
              </w:rPr>
              <w:t>,◊◊</w:t>
            </w:r>
            <w:r>
              <w:rPr>
                <w:sz w:val="20"/>
              </w:rPr>
              <w:t>, dysphagie</w:t>
            </w:r>
          </w:p>
          <w:p w14:paraId="0FFD0F08" w14:textId="77777777" w:rsidR="00F3495F" w:rsidRPr="00D2126A" w:rsidRDefault="00F3495F" w:rsidP="006B7D29">
            <w:pPr>
              <w:pStyle w:val="Date"/>
              <w:rPr>
                <w:sz w:val="20"/>
                <w:szCs w:val="20"/>
              </w:rPr>
            </w:pPr>
          </w:p>
          <w:p w14:paraId="7A3659C1" w14:textId="77777777" w:rsidR="00F3495F" w:rsidRPr="00D2126A" w:rsidRDefault="000E5A86" w:rsidP="006B7D29">
            <w:pPr>
              <w:rPr>
                <w:sz w:val="20"/>
                <w:szCs w:val="20"/>
                <w:u w:val="single"/>
              </w:rPr>
            </w:pPr>
            <w:r>
              <w:rPr>
                <w:sz w:val="20"/>
                <w:u w:val="single"/>
              </w:rPr>
              <w:t>Peu fréquent</w:t>
            </w:r>
          </w:p>
          <w:p w14:paraId="121E35A1" w14:textId="06F7D14C" w:rsidR="00F3495F" w:rsidRPr="00D2126A" w:rsidRDefault="000E5A86" w:rsidP="006B7D29">
            <w:pPr>
              <w:rPr>
                <w:b/>
                <w:i/>
                <w:sz w:val="20"/>
                <w:szCs w:val="20"/>
              </w:rPr>
            </w:pPr>
            <w:r>
              <w:rPr>
                <w:sz w:val="20"/>
              </w:rPr>
              <w:t>Colite, inflammation du caecum</w:t>
            </w:r>
          </w:p>
        </w:tc>
        <w:tc>
          <w:tcPr>
            <w:tcW w:w="1678" w:type="pct"/>
            <w:shd w:val="clear" w:color="auto" w:fill="auto"/>
          </w:tcPr>
          <w:p w14:paraId="2BFC2659" w14:textId="77777777" w:rsidR="00F3495F" w:rsidRPr="00D2126A" w:rsidRDefault="000E5A86" w:rsidP="006B7D29">
            <w:pPr>
              <w:snapToGrid w:val="0"/>
              <w:rPr>
                <w:sz w:val="20"/>
                <w:szCs w:val="20"/>
                <w:u w:val="single"/>
              </w:rPr>
            </w:pPr>
            <w:r>
              <w:rPr>
                <w:sz w:val="20"/>
                <w:u w:val="single"/>
              </w:rPr>
              <w:t>Fréquent</w:t>
            </w:r>
          </w:p>
          <w:p w14:paraId="0357FB67" w14:textId="302C928B" w:rsidR="00F3495F" w:rsidRPr="00D2126A" w:rsidRDefault="000E5A86" w:rsidP="006B7D29">
            <w:pPr>
              <w:rPr>
                <w:b/>
                <w:i/>
                <w:sz w:val="20"/>
                <w:szCs w:val="20"/>
              </w:rPr>
            </w:pPr>
            <w:r>
              <w:rPr>
                <w:sz w:val="20"/>
              </w:rPr>
              <w:t>Hémorragie gastro</w:t>
            </w:r>
            <w:r>
              <w:rPr>
                <w:sz w:val="20"/>
              </w:rPr>
              <w:noBreakHyphen/>
              <w:t>intestinale^</w:t>
            </w:r>
            <w:r>
              <w:rPr>
                <w:sz w:val="20"/>
                <w:vertAlign w:val="superscript"/>
              </w:rPr>
              <w:t>,◊,◊◊</w:t>
            </w:r>
            <w:r>
              <w:rPr>
                <w:sz w:val="20"/>
              </w:rPr>
              <w:t>, occlusion de l’intestin grêle</w:t>
            </w:r>
            <w:r>
              <w:rPr>
                <w:sz w:val="20"/>
                <w:vertAlign w:val="superscript"/>
              </w:rPr>
              <w:t>◊◊</w:t>
            </w:r>
            <w:r>
              <w:rPr>
                <w:sz w:val="20"/>
              </w:rPr>
              <w:t>, diarrhée</w:t>
            </w:r>
            <w:r>
              <w:rPr>
                <w:sz w:val="20"/>
                <w:vertAlign w:val="superscript"/>
              </w:rPr>
              <w:t>◊◊</w:t>
            </w:r>
            <w:r>
              <w:rPr>
                <w:sz w:val="20"/>
              </w:rPr>
              <w:t>, constipation</w:t>
            </w:r>
            <w:r>
              <w:rPr>
                <w:sz w:val="20"/>
                <w:vertAlign w:val="superscript"/>
              </w:rPr>
              <w:t>◊</w:t>
            </w:r>
            <w:r>
              <w:rPr>
                <w:sz w:val="20"/>
              </w:rPr>
              <w:t>, douleur abdominale</w:t>
            </w:r>
            <w:r>
              <w:rPr>
                <w:sz w:val="20"/>
                <w:vertAlign w:val="superscript"/>
              </w:rPr>
              <w:t>◊◊</w:t>
            </w:r>
            <w:r>
              <w:rPr>
                <w:sz w:val="20"/>
              </w:rPr>
              <w:t>, nausées, vomissements</w:t>
            </w:r>
            <w:r>
              <w:rPr>
                <w:sz w:val="20"/>
                <w:vertAlign w:val="superscript"/>
              </w:rPr>
              <w:t>◊◊</w:t>
            </w:r>
          </w:p>
        </w:tc>
      </w:tr>
      <w:tr w:rsidR="00D5485C" w:rsidRPr="00D2126A" w14:paraId="149AE39B" w14:textId="77777777" w:rsidTr="0097536F">
        <w:trPr>
          <w:cantSplit/>
          <w:trHeight w:val="57"/>
        </w:trPr>
        <w:tc>
          <w:tcPr>
            <w:tcW w:w="1042" w:type="pct"/>
            <w:shd w:val="clear" w:color="auto" w:fill="auto"/>
          </w:tcPr>
          <w:p w14:paraId="7B384B76" w14:textId="77777777" w:rsidR="00F3495F" w:rsidRPr="00D2126A" w:rsidRDefault="000E5A86" w:rsidP="006B7D29">
            <w:pPr>
              <w:snapToGrid w:val="0"/>
              <w:rPr>
                <w:b/>
                <w:bCs/>
                <w:sz w:val="20"/>
                <w:szCs w:val="20"/>
              </w:rPr>
            </w:pPr>
            <w:r>
              <w:rPr>
                <w:b/>
                <w:sz w:val="20"/>
              </w:rPr>
              <w:t>Affections hépatobiliaires</w:t>
            </w:r>
          </w:p>
        </w:tc>
        <w:tc>
          <w:tcPr>
            <w:tcW w:w="2280" w:type="pct"/>
            <w:shd w:val="clear" w:color="auto" w:fill="auto"/>
          </w:tcPr>
          <w:p w14:paraId="39B3FAF5" w14:textId="77777777" w:rsidR="00DF11E0" w:rsidRPr="00D2126A" w:rsidRDefault="000E5A86" w:rsidP="006B7D29">
            <w:pPr>
              <w:rPr>
                <w:sz w:val="20"/>
                <w:szCs w:val="20"/>
                <w:u w:val="single"/>
              </w:rPr>
            </w:pPr>
            <w:r>
              <w:rPr>
                <w:sz w:val="20"/>
                <w:u w:val="single"/>
              </w:rPr>
              <w:t>Très fréquent</w:t>
            </w:r>
          </w:p>
          <w:p w14:paraId="48AF640B" w14:textId="77777777" w:rsidR="00DF11E0" w:rsidRPr="00D2126A" w:rsidRDefault="000E5A86" w:rsidP="006B7D29">
            <w:pPr>
              <w:rPr>
                <w:sz w:val="20"/>
                <w:szCs w:val="20"/>
              </w:rPr>
            </w:pPr>
            <w:r>
              <w:rPr>
                <w:sz w:val="20"/>
              </w:rPr>
              <w:t>Augmentation de l’alanine aminotransférase, augmentation de l’aspartate aminotransférase</w:t>
            </w:r>
          </w:p>
          <w:p w14:paraId="0B9DC813" w14:textId="77777777" w:rsidR="00DF11E0" w:rsidRPr="00D2126A" w:rsidRDefault="00DF11E0" w:rsidP="006B7D29">
            <w:pPr>
              <w:rPr>
                <w:sz w:val="20"/>
                <w:szCs w:val="20"/>
                <w:u w:val="single"/>
              </w:rPr>
            </w:pPr>
          </w:p>
          <w:p w14:paraId="3F113EB8" w14:textId="77777777" w:rsidR="00F3495F" w:rsidRPr="00D2126A" w:rsidRDefault="000E5A86" w:rsidP="006B7D29">
            <w:pPr>
              <w:rPr>
                <w:sz w:val="20"/>
                <w:szCs w:val="20"/>
                <w:u w:val="single"/>
              </w:rPr>
            </w:pPr>
            <w:r>
              <w:rPr>
                <w:sz w:val="20"/>
                <w:u w:val="single"/>
              </w:rPr>
              <w:t>Fréquent</w:t>
            </w:r>
          </w:p>
          <w:p w14:paraId="139FED11" w14:textId="77777777" w:rsidR="00F3495F" w:rsidRPr="00D2126A" w:rsidRDefault="000E5A86" w:rsidP="006B7D29">
            <w:pPr>
              <w:rPr>
                <w:sz w:val="20"/>
                <w:szCs w:val="20"/>
              </w:rPr>
            </w:pPr>
            <w:r>
              <w:rPr>
                <w:sz w:val="20"/>
              </w:rPr>
              <w:t>Lésion hépatocellulaire</w:t>
            </w:r>
            <w:r>
              <w:rPr>
                <w:sz w:val="20"/>
                <w:vertAlign w:val="superscript"/>
              </w:rPr>
              <w:t>◊◊</w:t>
            </w:r>
            <w:r>
              <w:rPr>
                <w:sz w:val="20"/>
              </w:rPr>
              <w:t>, perturbation du bilan hépatique</w:t>
            </w:r>
            <w:r>
              <w:rPr>
                <w:sz w:val="20"/>
                <w:vertAlign w:val="superscript"/>
              </w:rPr>
              <w:t>◊</w:t>
            </w:r>
            <w:r>
              <w:rPr>
                <w:sz w:val="20"/>
              </w:rPr>
              <w:t>, hyperbilirubinémie</w:t>
            </w:r>
          </w:p>
          <w:p w14:paraId="79565EF1" w14:textId="77777777" w:rsidR="00F3495F" w:rsidRPr="00D2126A" w:rsidRDefault="00F3495F" w:rsidP="006B7D29">
            <w:pPr>
              <w:pStyle w:val="Date"/>
              <w:rPr>
                <w:sz w:val="20"/>
                <w:szCs w:val="20"/>
              </w:rPr>
            </w:pPr>
          </w:p>
          <w:p w14:paraId="0185457B" w14:textId="77777777" w:rsidR="00F3495F" w:rsidRPr="00D2126A" w:rsidRDefault="000E5A86" w:rsidP="006B7D29">
            <w:pPr>
              <w:rPr>
                <w:sz w:val="20"/>
                <w:szCs w:val="20"/>
                <w:u w:val="single"/>
              </w:rPr>
            </w:pPr>
            <w:r>
              <w:rPr>
                <w:sz w:val="20"/>
                <w:u w:val="single"/>
              </w:rPr>
              <w:t>Peu fréquent</w:t>
            </w:r>
          </w:p>
          <w:p w14:paraId="70C731F5" w14:textId="77777777" w:rsidR="00F3495F" w:rsidRPr="00D2126A" w:rsidRDefault="000E5A86" w:rsidP="006B7D29">
            <w:pPr>
              <w:pStyle w:val="Date"/>
              <w:rPr>
                <w:sz w:val="20"/>
                <w:szCs w:val="20"/>
              </w:rPr>
            </w:pPr>
            <w:r>
              <w:rPr>
                <w:sz w:val="20"/>
              </w:rPr>
              <w:t>Insuffisance hépatique^</w:t>
            </w:r>
          </w:p>
        </w:tc>
        <w:tc>
          <w:tcPr>
            <w:tcW w:w="1678" w:type="pct"/>
            <w:shd w:val="clear" w:color="auto" w:fill="auto"/>
          </w:tcPr>
          <w:p w14:paraId="24D47FA4" w14:textId="77777777" w:rsidR="00F3495F" w:rsidRPr="00D2126A" w:rsidRDefault="000E5A86" w:rsidP="006B7D29">
            <w:pPr>
              <w:snapToGrid w:val="0"/>
              <w:rPr>
                <w:sz w:val="20"/>
                <w:szCs w:val="20"/>
                <w:u w:val="single"/>
              </w:rPr>
            </w:pPr>
            <w:r>
              <w:rPr>
                <w:sz w:val="20"/>
                <w:u w:val="single"/>
              </w:rPr>
              <w:t>Fréquent</w:t>
            </w:r>
          </w:p>
          <w:p w14:paraId="07316A5B" w14:textId="77777777" w:rsidR="00F3495F" w:rsidRPr="00D2126A" w:rsidRDefault="000E5A86" w:rsidP="006B7D29">
            <w:pPr>
              <w:rPr>
                <w:sz w:val="20"/>
                <w:szCs w:val="20"/>
              </w:rPr>
            </w:pPr>
            <w:r>
              <w:rPr>
                <w:sz w:val="20"/>
              </w:rPr>
              <w:t>Cholestase</w:t>
            </w:r>
            <w:r>
              <w:rPr>
                <w:sz w:val="20"/>
                <w:vertAlign w:val="superscript"/>
              </w:rPr>
              <w:t>◊</w:t>
            </w:r>
            <w:r>
              <w:rPr>
                <w:sz w:val="20"/>
              </w:rPr>
              <w:t>, hépatotoxicité, lésion hépatocellulaire</w:t>
            </w:r>
            <w:r>
              <w:rPr>
                <w:sz w:val="20"/>
                <w:vertAlign w:val="superscript"/>
              </w:rPr>
              <w:t>◊◊</w:t>
            </w:r>
            <w:r>
              <w:rPr>
                <w:sz w:val="20"/>
              </w:rPr>
              <w:t>, augmentation de l’alanine aminotransférase, perturbation du bilan hépatique</w:t>
            </w:r>
            <w:r>
              <w:rPr>
                <w:sz w:val="20"/>
                <w:vertAlign w:val="superscript"/>
              </w:rPr>
              <w:t>◊</w:t>
            </w:r>
          </w:p>
          <w:p w14:paraId="0DC9EC3E" w14:textId="77777777" w:rsidR="00F3495F" w:rsidRPr="00D2126A" w:rsidRDefault="00F3495F" w:rsidP="006B7D29">
            <w:pPr>
              <w:rPr>
                <w:sz w:val="20"/>
                <w:szCs w:val="20"/>
              </w:rPr>
            </w:pPr>
          </w:p>
          <w:p w14:paraId="1678CF6E" w14:textId="77777777" w:rsidR="00F3495F" w:rsidRPr="00D2126A" w:rsidRDefault="000E5A86" w:rsidP="006B7D29">
            <w:pPr>
              <w:rPr>
                <w:sz w:val="20"/>
                <w:szCs w:val="20"/>
                <w:u w:val="single"/>
              </w:rPr>
            </w:pPr>
            <w:r>
              <w:rPr>
                <w:sz w:val="20"/>
                <w:u w:val="single"/>
              </w:rPr>
              <w:t>Peu fréquent</w:t>
            </w:r>
          </w:p>
          <w:p w14:paraId="33BA7EB0" w14:textId="77777777" w:rsidR="00F3495F" w:rsidRPr="00D2126A" w:rsidRDefault="000E5A86" w:rsidP="006B7D29">
            <w:pPr>
              <w:pStyle w:val="Date"/>
              <w:rPr>
                <w:sz w:val="20"/>
                <w:szCs w:val="20"/>
              </w:rPr>
            </w:pPr>
            <w:r>
              <w:rPr>
                <w:sz w:val="20"/>
              </w:rPr>
              <w:t>Insuffisance hépatique^</w:t>
            </w:r>
          </w:p>
        </w:tc>
      </w:tr>
      <w:tr w:rsidR="00D5485C" w:rsidRPr="00D2126A" w14:paraId="1FB3B6CA" w14:textId="77777777" w:rsidTr="0097536F">
        <w:trPr>
          <w:cantSplit/>
          <w:trHeight w:val="57"/>
        </w:trPr>
        <w:tc>
          <w:tcPr>
            <w:tcW w:w="1042" w:type="pct"/>
            <w:shd w:val="clear" w:color="auto" w:fill="auto"/>
          </w:tcPr>
          <w:p w14:paraId="151A7798" w14:textId="77777777" w:rsidR="00F3495F" w:rsidRPr="00D2126A" w:rsidRDefault="000E5A86" w:rsidP="006B7D29">
            <w:pPr>
              <w:snapToGrid w:val="0"/>
              <w:rPr>
                <w:b/>
                <w:bCs/>
                <w:sz w:val="20"/>
                <w:szCs w:val="20"/>
              </w:rPr>
            </w:pPr>
            <w:r>
              <w:rPr>
                <w:b/>
                <w:sz w:val="20"/>
              </w:rPr>
              <w:t>Affections de la peau et du tissu sous</w:t>
            </w:r>
            <w:r>
              <w:rPr>
                <w:b/>
                <w:sz w:val="20"/>
              </w:rPr>
              <w:noBreakHyphen/>
              <w:t>cutané</w:t>
            </w:r>
          </w:p>
        </w:tc>
        <w:tc>
          <w:tcPr>
            <w:tcW w:w="2280" w:type="pct"/>
            <w:shd w:val="clear" w:color="auto" w:fill="auto"/>
          </w:tcPr>
          <w:p w14:paraId="336AC43B" w14:textId="77777777" w:rsidR="00F3495F" w:rsidRPr="00D2126A" w:rsidRDefault="000E5A86" w:rsidP="006B7D29">
            <w:pPr>
              <w:snapToGrid w:val="0"/>
              <w:rPr>
                <w:sz w:val="20"/>
                <w:szCs w:val="20"/>
                <w:u w:val="single"/>
              </w:rPr>
            </w:pPr>
            <w:r>
              <w:rPr>
                <w:sz w:val="20"/>
                <w:u w:val="single"/>
              </w:rPr>
              <w:t>Très fréquent</w:t>
            </w:r>
          </w:p>
          <w:p w14:paraId="21F6E640" w14:textId="77777777" w:rsidR="00F3495F" w:rsidRPr="00D2126A" w:rsidRDefault="000E5A86" w:rsidP="006B7D29">
            <w:pPr>
              <w:rPr>
                <w:sz w:val="20"/>
                <w:szCs w:val="20"/>
              </w:rPr>
            </w:pPr>
            <w:r>
              <w:rPr>
                <w:sz w:val="20"/>
              </w:rPr>
              <w:t>Éruptions cutanées</w:t>
            </w:r>
            <w:r>
              <w:rPr>
                <w:sz w:val="20"/>
                <w:vertAlign w:val="superscript"/>
              </w:rPr>
              <w:t>◊◊</w:t>
            </w:r>
            <w:r>
              <w:rPr>
                <w:sz w:val="20"/>
              </w:rPr>
              <w:t>, prurit</w:t>
            </w:r>
          </w:p>
          <w:p w14:paraId="17EBDE6C" w14:textId="77777777" w:rsidR="00F3495F" w:rsidRPr="00D2126A" w:rsidRDefault="00F3495F" w:rsidP="006B7D29">
            <w:pPr>
              <w:rPr>
                <w:sz w:val="20"/>
                <w:szCs w:val="20"/>
                <w:shd w:val="clear" w:color="auto" w:fill="C0C0C0"/>
              </w:rPr>
            </w:pPr>
          </w:p>
          <w:p w14:paraId="4EC09F6A" w14:textId="77777777" w:rsidR="00F3495F" w:rsidRPr="00D2126A" w:rsidRDefault="000E5A86" w:rsidP="006B7D29">
            <w:pPr>
              <w:rPr>
                <w:sz w:val="20"/>
                <w:szCs w:val="20"/>
                <w:u w:val="single"/>
              </w:rPr>
            </w:pPr>
            <w:r>
              <w:rPr>
                <w:sz w:val="20"/>
                <w:u w:val="single"/>
              </w:rPr>
              <w:t>Fréquent</w:t>
            </w:r>
          </w:p>
          <w:p w14:paraId="4EB0789A" w14:textId="593B80C5" w:rsidR="00F3495F" w:rsidRPr="00D2126A" w:rsidRDefault="000E5A86" w:rsidP="006B7D29">
            <w:pPr>
              <w:rPr>
                <w:sz w:val="20"/>
                <w:szCs w:val="20"/>
              </w:rPr>
            </w:pPr>
            <w:r>
              <w:rPr>
                <w:sz w:val="20"/>
              </w:rPr>
              <w:t>Urticaire, hyperhidrose, sécheresse cutanée, hyperpigmentation de la peau, eczéma, érythème</w:t>
            </w:r>
          </w:p>
          <w:p w14:paraId="630F96A4" w14:textId="77777777" w:rsidR="00F3495F" w:rsidRPr="00D2126A" w:rsidRDefault="00F3495F" w:rsidP="006B7D29">
            <w:pPr>
              <w:pStyle w:val="Date"/>
              <w:rPr>
                <w:sz w:val="20"/>
                <w:szCs w:val="20"/>
              </w:rPr>
            </w:pPr>
          </w:p>
          <w:p w14:paraId="68130497" w14:textId="77777777" w:rsidR="00F3495F" w:rsidRPr="00D2126A" w:rsidRDefault="000E5A86" w:rsidP="006B7D29">
            <w:pPr>
              <w:rPr>
                <w:sz w:val="20"/>
                <w:szCs w:val="20"/>
                <w:u w:val="single"/>
              </w:rPr>
            </w:pPr>
            <w:r>
              <w:rPr>
                <w:sz w:val="20"/>
                <w:u w:val="single"/>
              </w:rPr>
              <w:t>Peu fréquent</w:t>
            </w:r>
          </w:p>
          <w:p w14:paraId="3CA40E17" w14:textId="4E6F58AB" w:rsidR="00F3495F" w:rsidRPr="00D2126A" w:rsidRDefault="000E5A86" w:rsidP="006B7D29">
            <w:pPr>
              <w:rPr>
                <w:b/>
                <w:i/>
                <w:sz w:val="20"/>
                <w:szCs w:val="20"/>
              </w:rPr>
            </w:pPr>
            <w:r>
              <w:rPr>
                <w:sz w:val="20"/>
              </w:rPr>
              <w:t>Réaction médicamenteuse accompagnée d’une éosinophilie et de symptômes systémiques (DRESS)</w:t>
            </w:r>
            <w:r>
              <w:rPr>
                <w:sz w:val="20"/>
                <w:vertAlign w:val="superscript"/>
              </w:rPr>
              <w:t>◊◊</w:t>
            </w:r>
            <w:r>
              <w:rPr>
                <w:sz w:val="20"/>
              </w:rPr>
              <w:t>, anomalie de la coloration cutanée, réaction de photosensibilité</w:t>
            </w:r>
          </w:p>
        </w:tc>
        <w:tc>
          <w:tcPr>
            <w:tcW w:w="1678" w:type="pct"/>
            <w:shd w:val="clear" w:color="auto" w:fill="auto"/>
          </w:tcPr>
          <w:p w14:paraId="7CBD5E25" w14:textId="77777777" w:rsidR="00F3495F" w:rsidRPr="00D2126A" w:rsidRDefault="000E5A86" w:rsidP="006B7D29">
            <w:pPr>
              <w:snapToGrid w:val="0"/>
              <w:rPr>
                <w:sz w:val="20"/>
                <w:szCs w:val="20"/>
                <w:u w:val="single"/>
              </w:rPr>
            </w:pPr>
            <w:r>
              <w:rPr>
                <w:sz w:val="20"/>
                <w:u w:val="single"/>
              </w:rPr>
              <w:t>Fréquent</w:t>
            </w:r>
          </w:p>
          <w:p w14:paraId="07D1B0D3" w14:textId="77777777" w:rsidR="00BF3B31" w:rsidRPr="00D2126A" w:rsidRDefault="000E5A86" w:rsidP="006B7D29">
            <w:pPr>
              <w:rPr>
                <w:sz w:val="20"/>
                <w:szCs w:val="20"/>
              </w:rPr>
            </w:pPr>
            <w:r>
              <w:rPr>
                <w:sz w:val="20"/>
              </w:rPr>
              <w:t>Éruptions cutanées</w:t>
            </w:r>
            <w:r>
              <w:rPr>
                <w:sz w:val="20"/>
                <w:vertAlign w:val="superscript"/>
              </w:rPr>
              <w:t>◊◊</w:t>
            </w:r>
          </w:p>
          <w:p w14:paraId="12793A0A" w14:textId="77777777" w:rsidR="00BF3B31" w:rsidRPr="00D2126A" w:rsidRDefault="00BF3B31" w:rsidP="006B7D29">
            <w:pPr>
              <w:rPr>
                <w:sz w:val="20"/>
                <w:szCs w:val="20"/>
              </w:rPr>
            </w:pPr>
          </w:p>
          <w:p w14:paraId="4FB44BA0" w14:textId="77777777" w:rsidR="00BF3B31" w:rsidRPr="00D2126A" w:rsidRDefault="000E5A86" w:rsidP="006B7D29">
            <w:pPr>
              <w:pStyle w:val="Date"/>
              <w:rPr>
                <w:sz w:val="20"/>
                <w:szCs w:val="20"/>
                <w:u w:val="single"/>
              </w:rPr>
            </w:pPr>
            <w:r>
              <w:rPr>
                <w:sz w:val="20"/>
                <w:u w:val="single"/>
              </w:rPr>
              <w:t>Peu fréquent</w:t>
            </w:r>
          </w:p>
          <w:p w14:paraId="52C62997" w14:textId="77777777" w:rsidR="00BF3B31" w:rsidRPr="00D2126A" w:rsidRDefault="000E5A86" w:rsidP="006B7D29">
            <w:pPr>
              <w:pStyle w:val="Date"/>
              <w:rPr>
                <w:sz w:val="20"/>
                <w:szCs w:val="20"/>
              </w:rPr>
            </w:pPr>
            <w:r>
              <w:rPr>
                <w:sz w:val="20"/>
              </w:rPr>
              <w:t>Réaction médicamenteuse accompagnée d’une éosinophilie et de symptômes systémiques (DRESS)</w:t>
            </w:r>
            <w:r>
              <w:rPr>
                <w:sz w:val="20"/>
                <w:vertAlign w:val="superscript"/>
              </w:rPr>
              <w:t>◊◊</w:t>
            </w:r>
          </w:p>
          <w:p w14:paraId="17367859" w14:textId="77777777" w:rsidR="00F3495F" w:rsidRPr="00D2126A" w:rsidRDefault="00F3495F" w:rsidP="006B7D29">
            <w:pPr>
              <w:rPr>
                <w:sz w:val="20"/>
                <w:szCs w:val="20"/>
              </w:rPr>
            </w:pPr>
          </w:p>
        </w:tc>
      </w:tr>
      <w:tr w:rsidR="00D5485C" w:rsidRPr="00D2126A" w14:paraId="5FA305D4" w14:textId="77777777" w:rsidTr="0097536F">
        <w:trPr>
          <w:cantSplit/>
          <w:trHeight w:val="57"/>
        </w:trPr>
        <w:tc>
          <w:tcPr>
            <w:tcW w:w="1042" w:type="pct"/>
            <w:shd w:val="clear" w:color="auto" w:fill="auto"/>
          </w:tcPr>
          <w:p w14:paraId="4C782FA9" w14:textId="77777777" w:rsidR="00F3495F" w:rsidRPr="00D2126A" w:rsidRDefault="000E5A86" w:rsidP="006B7D29">
            <w:pPr>
              <w:snapToGrid w:val="0"/>
              <w:rPr>
                <w:b/>
                <w:bCs/>
                <w:sz w:val="20"/>
                <w:szCs w:val="20"/>
              </w:rPr>
            </w:pPr>
            <w:r>
              <w:rPr>
                <w:b/>
                <w:sz w:val="20"/>
              </w:rPr>
              <w:t>Affections musculo</w:t>
            </w:r>
            <w:r>
              <w:rPr>
                <w:b/>
                <w:sz w:val="20"/>
              </w:rPr>
              <w:noBreakHyphen/>
              <w:t>squelettiques et systémiques</w:t>
            </w:r>
          </w:p>
        </w:tc>
        <w:tc>
          <w:tcPr>
            <w:tcW w:w="2280" w:type="pct"/>
            <w:shd w:val="clear" w:color="auto" w:fill="auto"/>
          </w:tcPr>
          <w:p w14:paraId="39C93CCA" w14:textId="77777777" w:rsidR="00F3495F" w:rsidRPr="00D2126A" w:rsidRDefault="000E5A86" w:rsidP="006B7D29">
            <w:pPr>
              <w:snapToGrid w:val="0"/>
              <w:rPr>
                <w:sz w:val="20"/>
                <w:szCs w:val="20"/>
                <w:u w:val="single"/>
              </w:rPr>
            </w:pPr>
            <w:r>
              <w:rPr>
                <w:sz w:val="20"/>
                <w:u w:val="single"/>
              </w:rPr>
              <w:t>Très fréquent</w:t>
            </w:r>
          </w:p>
          <w:p w14:paraId="782DD56A" w14:textId="38FEA9F3" w:rsidR="00F3495F" w:rsidRPr="00D2126A" w:rsidRDefault="000E5A86" w:rsidP="006B7D29">
            <w:pPr>
              <w:rPr>
                <w:sz w:val="20"/>
                <w:szCs w:val="20"/>
              </w:rPr>
            </w:pPr>
            <w:r>
              <w:rPr>
                <w:sz w:val="20"/>
              </w:rPr>
              <w:t>Faiblesse musculaire</w:t>
            </w:r>
            <w:r>
              <w:rPr>
                <w:sz w:val="20"/>
                <w:vertAlign w:val="superscript"/>
              </w:rPr>
              <w:t>◊◊</w:t>
            </w:r>
            <w:r>
              <w:rPr>
                <w:sz w:val="20"/>
              </w:rPr>
              <w:t>, spasmes musculaires, douleur osseuse</w:t>
            </w:r>
            <w:r>
              <w:rPr>
                <w:sz w:val="20"/>
                <w:vertAlign w:val="superscript"/>
              </w:rPr>
              <w:t>◊</w:t>
            </w:r>
            <w:r>
              <w:rPr>
                <w:sz w:val="20"/>
              </w:rPr>
              <w:t>, douleur et gêne musculo</w:t>
            </w:r>
            <w:r>
              <w:rPr>
                <w:sz w:val="20"/>
              </w:rPr>
              <w:noBreakHyphen/>
              <w:t>squelettique et du tissu conjonctif (y compris dorsalgies</w:t>
            </w:r>
            <w:r>
              <w:rPr>
                <w:sz w:val="20"/>
                <w:vertAlign w:val="superscript"/>
              </w:rPr>
              <w:t>◊,◊◊)</w:t>
            </w:r>
            <w:r>
              <w:rPr>
                <w:sz w:val="20"/>
              </w:rPr>
              <w:t>, douleur dans les extrémités, myalgies, arthralgies</w:t>
            </w:r>
            <w:r>
              <w:rPr>
                <w:sz w:val="20"/>
                <w:vertAlign w:val="superscript"/>
              </w:rPr>
              <w:t>◊</w:t>
            </w:r>
          </w:p>
          <w:p w14:paraId="11614104" w14:textId="77777777" w:rsidR="00F3495F" w:rsidRPr="00D2126A" w:rsidRDefault="00F3495F" w:rsidP="006B7D29">
            <w:pPr>
              <w:pStyle w:val="Date"/>
              <w:rPr>
                <w:sz w:val="20"/>
                <w:szCs w:val="20"/>
              </w:rPr>
            </w:pPr>
          </w:p>
          <w:p w14:paraId="5B07F385" w14:textId="77777777" w:rsidR="00F3495F" w:rsidRPr="00D2126A" w:rsidRDefault="000E5A86" w:rsidP="006B7D29">
            <w:pPr>
              <w:pStyle w:val="Date"/>
              <w:rPr>
                <w:sz w:val="20"/>
                <w:szCs w:val="20"/>
              </w:rPr>
            </w:pPr>
            <w:r>
              <w:rPr>
                <w:sz w:val="20"/>
                <w:u w:val="single"/>
              </w:rPr>
              <w:t>Fréquent</w:t>
            </w:r>
          </w:p>
          <w:p w14:paraId="5B161094" w14:textId="77777777" w:rsidR="00F3495F" w:rsidRPr="00D2126A" w:rsidRDefault="000E5A86" w:rsidP="006B7D29">
            <w:pPr>
              <w:pStyle w:val="Date"/>
              <w:rPr>
                <w:sz w:val="20"/>
                <w:szCs w:val="20"/>
              </w:rPr>
            </w:pPr>
            <w:r>
              <w:rPr>
                <w:sz w:val="20"/>
              </w:rPr>
              <w:t>Gonflement articulaire</w:t>
            </w:r>
          </w:p>
        </w:tc>
        <w:tc>
          <w:tcPr>
            <w:tcW w:w="1678" w:type="pct"/>
            <w:shd w:val="clear" w:color="auto" w:fill="auto"/>
          </w:tcPr>
          <w:p w14:paraId="7886E0BE" w14:textId="77777777" w:rsidR="00F3495F" w:rsidRPr="00D2126A" w:rsidRDefault="000E5A86" w:rsidP="006B7D29">
            <w:pPr>
              <w:snapToGrid w:val="0"/>
              <w:rPr>
                <w:sz w:val="20"/>
                <w:szCs w:val="20"/>
                <w:u w:val="single"/>
              </w:rPr>
            </w:pPr>
            <w:r>
              <w:rPr>
                <w:sz w:val="20"/>
                <w:u w:val="single"/>
              </w:rPr>
              <w:t>Fréquent</w:t>
            </w:r>
          </w:p>
          <w:p w14:paraId="6968D733" w14:textId="1CCAA5BF" w:rsidR="003123BD" w:rsidRPr="00D2126A" w:rsidRDefault="000E5A86" w:rsidP="006B7D29">
            <w:pPr>
              <w:rPr>
                <w:sz w:val="20"/>
                <w:szCs w:val="20"/>
              </w:rPr>
            </w:pPr>
            <w:r>
              <w:rPr>
                <w:sz w:val="20"/>
              </w:rPr>
              <w:t>Faiblesse musculaire</w:t>
            </w:r>
            <w:r>
              <w:rPr>
                <w:sz w:val="20"/>
                <w:vertAlign w:val="superscript"/>
              </w:rPr>
              <w:t>◊◊</w:t>
            </w:r>
            <w:r>
              <w:rPr>
                <w:sz w:val="20"/>
              </w:rPr>
              <w:t>, douleur osseuse</w:t>
            </w:r>
            <w:r>
              <w:rPr>
                <w:sz w:val="20"/>
                <w:vertAlign w:val="superscript"/>
              </w:rPr>
              <w:t>◊</w:t>
            </w:r>
            <w:r>
              <w:rPr>
                <w:sz w:val="20"/>
              </w:rPr>
              <w:t>, douleur et gêne musculo</w:t>
            </w:r>
            <w:r>
              <w:rPr>
                <w:sz w:val="20"/>
              </w:rPr>
              <w:noBreakHyphen/>
              <w:t>squelettique et du tissu conjonctif (y compris dorsalgies</w:t>
            </w:r>
            <w:r>
              <w:rPr>
                <w:sz w:val="20"/>
                <w:vertAlign w:val="superscript"/>
              </w:rPr>
              <w:t>◊,◊◊</w:t>
            </w:r>
            <w:r>
              <w:rPr>
                <w:sz w:val="20"/>
              </w:rPr>
              <w:t>)</w:t>
            </w:r>
          </w:p>
          <w:p w14:paraId="7614BB3B" w14:textId="77777777" w:rsidR="00F3495F" w:rsidRPr="00D2126A" w:rsidRDefault="00F3495F" w:rsidP="006B7D29">
            <w:pPr>
              <w:pStyle w:val="Date"/>
              <w:rPr>
                <w:sz w:val="20"/>
                <w:szCs w:val="20"/>
              </w:rPr>
            </w:pPr>
          </w:p>
          <w:p w14:paraId="145FC25E" w14:textId="77777777" w:rsidR="00F3495F" w:rsidRPr="00D2126A" w:rsidRDefault="000E5A86" w:rsidP="006B7D29">
            <w:pPr>
              <w:rPr>
                <w:sz w:val="20"/>
                <w:szCs w:val="20"/>
                <w:u w:val="single"/>
              </w:rPr>
            </w:pPr>
            <w:r>
              <w:rPr>
                <w:sz w:val="20"/>
                <w:u w:val="single"/>
              </w:rPr>
              <w:t>Peu fréquent</w:t>
            </w:r>
          </w:p>
          <w:p w14:paraId="38B05469" w14:textId="77777777" w:rsidR="00F3495F" w:rsidRPr="00D2126A" w:rsidRDefault="000E5A86" w:rsidP="006B7D29">
            <w:pPr>
              <w:rPr>
                <w:sz w:val="20"/>
                <w:szCs w:val="20"/>
              </w:rPr>
            </w:pPr>
            <w:r>
              <w:rPr>
                <w:sz w:val="20"/>
              </w:rPr>
              <w:t>Gonflement articulaire</w:t>
            </w:r>
          </w:p>
        </w:tc>
      </w:tr>
      <w:tr w:rsidR="00D5485C" w:rsidRPr="00D2126A" w14:paraId="61EE3254" w14:textId="77777777" w:rsidTr="0097536F">
        <w:trPr>
          <w:cantSplit/>
          <w:trHeight w:val="57"/>
        </w:trPr>
        <w:tc>
          <w:tcPr>
            <w:tcW w:w="1042" w:type="pct"/>
            <w:shd w:val="clear" w:color="auto" w:fill="auto"/>
          </w:tcPr>
          <w:p w14:paraId="0C236D03" w14:textId="77777777" w:rsidR="00F3495F" w:rsidRPr="00D2126A" w:rsidRDefault="000E5A86" w:rsidP="006B7D29">
            <w:pPr>
              <w:rPr>
                <w:b/>
                <w:bCs/>
                <w:sz w:val="20"/>
                <w:szCs w:val="20"/>
              </w:rPr>
            </w:pPr>
            <w:r>
              <w:rPr>
                <w:b/>
                <w:sz w:val="20"/>
              </w:rPr>
              <w:t>Affections du rein et des voies urinaires</w:t>
            </w:r>
          </w:p>
        </w:tc>
        <w:tc>
          <w:tcPr>
            <w:tcW w:w="2280" w:type="pct"/>
            <w:shd w:val="clear" w:color="auto" w:fill="auto"/>
          </w:tcPr>
          <w:p w14:paraId="4619BB25" w14:textId="77777777" w:rsidR="00F3495F" w:rsidRPr="00D2126A" w:rsidRDefault="000E5A86" w:rsidP="006B7D29">
            <w:pPr>
              <w:snapToGrid w:val="0"/>
              <w:rPr>
                <w:sz w:val="20"/>
                <w:szCs w:val="20"/>
                <w:u w:val="single"/>
              </w:rPr>
            </w:pPr>
            <w:r>
              <w:rPr>
                <w:sz w:val="20"/>
                <w:u w:val="single"/>
              </w:rPr>
              <w:t>Très fréquent</w:t>
            </w:r>
          </w:p>
          <w:p w14:paraId="642D56FA" w14:textId="65EA3D10" w:rsidR="00F3495F" w:rsidRPr="00D2126A" w:rsidRDefault="000E5A86" w:rsidP="006B7D29">
            <w:pPr>
              <w:snapToGrid w:val="0"/>
              <w:rPr>
                <w:sz w:val="20"/>
                <w:szCs w:val="20"/>
              </w:rPr>
            </w:pPr>
            <w:r>
              <w:rPr>
                <w:sz w:val="20"/>
              </w:rPr>
              <w:t>Insuffisance rénale (y compris aiguë)</w:t>
            </w:r>
            <w:r>
              <w:rPr>
                <w:sz w:val="20"/>
                <w:vertAlign w:val="superscript"/>
              </w:rPr>
              <w:t>◊,◊◊</w:t>
            </w:r>
          </w:p>
          <w:p w14:paraId="3A6E9B2C" w14:textId="77777777" w:rsidR="00F3495F" w:rsidRPr="00D2126A" w:rsidRDefault="00F3495F" w:rsidP="006B7D29">
            <w:pPr>
              <w:pStyle w:val="Date"/>
              <w:rPr>
                <w:sz w:val="20"/>
                <w:szCs w:val="20"/>
              </w:rPr>
            </w:pPr>
          </w:p>
          <w:p w14:paraId="4043C578" w14:textId="77777777" w:rsidR="00F3495F" w:rsidRPr="00D2126A" w:rsidRDefault="000E5A86" w:rsidP="006B7D29">
            <w:pPr>
              <w:snapToGrid w:val="0"/>
              <w:rPr>
                <w:sz w:val="20"/>
                <w:szCs w:val="20"/>
                <w:u w:val="single"/>
              </w:rPr>
            </w:pPr>
            <w:r>
              <w:rPr>
                <w:sz w:val="20"/>
                <w:u w:val="single"/>
              </w:rPr>
              <w:t>Fréquent</w:t>
            </w:r>
          </w:p>
          <w:p w14:paraId="02FB684F" w14:textId="308BF332" w:rsidR="00F3495F" w:rsidRPr="00D2126A" w:rsidRDefault="000E5A86" w:rsidP="006B7D29">
            <w:pPr>
              <w:rPr>
                <w:sz w:val="20"/>
                <w:szCs w:val="20"/>
              </w:rPr>
            </w:pPr>
            <w:r>
              <w:rPr>
                <w:sz w:val="20"/>
              </w:rPr>
              <w:t>Hématurie^, rétention urinaire, incontinence urinaire</w:t>
            </w:r>
          </w:p>
          <w:p w14:paraId="01DD5EC4" w14:textId="77777777" w:rsidR="00F3495F" w:rsidRPr="00D2126A" w:rsidRDefault="00F3495F" w:rsidP="006B7D29">
            <w:pPr>
              <w:rPr>
                <w:sz w:val="20"/>
                <w:szCs w:val="20"/>
              </w:rPr>
            </w:pPr>
          </w:p>
          <w:p w14:paraId="2489444C" w14:textId="77777777" w:rsidR="00F3495F" w:rsidRPr="00D2126A" w:rsidRDefault="000E5A86" w:rsidP="006B7D29">
            <w:pPr>
              <w:rPr>
                <w:sz w:val="20"/>
                <w:szCs w:val="20"/>
                <w:u w:val="single"/>
              </w:rPr>
            </w:pPr>
            <w:r>
              <w:rPr>
                <w:sz w:val="20"/>
                <w:u w:val="single"/>
              </w:rPr>
              <w:t>Peu fréquent</w:t>
            </w:r>
          </w:p>
          <w:p w14:paraId="410DDFD6" w14:textId="77777777" w:rsidR="00F3495F" w:rsidRPr="00D2126A" w:rsidRDefault="000E5A86" w:rsidP="006B7D29">
            <w:pPr>
              <w:rPr>
                <w:sz w:val="20"/>
                <w:szCs w:val="20"/>
              </w:rPr>
            </w:pPr>
            <w:r>
              <w:rPr>
                <w:sz w:val="20"/>
              </w:rPr>
              <w:t>Syndrome de Fanconi acquis</w:t>
            </w:r>
          </w:p>
        </w:tc>
        <w:tc>
          <w:tcPr>
            <w:tcW w:w="1678" w:type="pct"/>
            <w:shd w:val="clear" w:color="auto" w:fill="auto"/>
          </w:tcPr>
          <w:p w14:paraId="4C50EAD6" w14:textId="77777777" w:rsidR="00F3495F" w:rsidRPr="00D2126A" w:rsidRDefault="000E5A86" w:rsidP="006B7D29">
            <w:pPr>
              <w:rPr>
                <w:sz w:val="20"/>
                <w:szCs w:val="20"/>
                <w:u w:val="single"/>
              </w:rPr>
            </w:pPr>
            <w:r>
              <w:rPr>
                <w:sz w:val="20"/>
                <w:u w:val="single"/>
              </w:rPr>
              <w:t>Peu fréquent</w:t>
            </w:r>
          </w:p>
          <w:p w14:paraId="574DE244" w14:textId="77777777" w:rsidR="00F3495F" w:rsidRPr="00D2126A" w:rsidRDefault="000E5A86" w:rsidP="006B7D29">
            <w:pPr>
              <w:rPr>
                <w:sz w:val="20"/>
                <w:szCs w:val="20"/>
              </w:rPr>
            </w:pPr>
            <w:r>
              <w:rPr>
                <w:sz w:val="20"/>
              </w:rPr>
              <w:t>Nécrose tubulaire rénale</w:t>
            </w:r>
          </w:p>
        </w:tc>
      </w:tr>
      <w:tr w:rsidR="00D5485C" w:rsidRPr="00D2126A" w14:paraId="14A3F47A" w14:textId="77777777" w:rsidTr="0097536F">
        <w:trPr>
          <w:cantSplit/>
          <w:trHeight w:val="57"/>
        </w:trPr>
        <w:tc>
          <w:tcPr>
            <w:tcW w:w="1042" w:type="pct"/>
            <w:shd w:val="clear" w:color="auto" w:fill="auto"/>
          </w:tcPr>
          <w:p w14:paraId="0A0DA260" w14:textId="77777777" w:rsidR="00F3495F" w:rsidRPr="00D2126A" w:rsidRDefault="000E5A86" w:rsidP="006B7D29">
            <w:pPr>
              <w:snapToGrid w:val="0"/>
              <w:rPr>
                <w:b/>
                <w:bCs/>
                <w:sz w:val="20"/>
                <w:szCs w:val="20"/>
              </w:rPr>
            </w:pPr>
            <w:r>
              <w:rPr>
                <w:b/>
                <w:sz w:val="20"/>
              </w:rPr>
              <w:t>Affections des organes de reproduction et du sein</w:t>
            </w:r>
          </w:p>
        </w:tc>
        <w:tc>
          <w:tcPr>
            <w:tcW w:w="2280" w:type="pct"/>
            <w:shd w:val="clear" w:color="auto" w:fill="auto"/>
          </w:tcPr>
          <w:p w14:paraId="481AF8E4" w14:textId="77777777" w:rsidR="00F3495F" w:rsidRPr="00D2126A" w:rsidRDefault="000E5A86" w:rsidP="006B7D29">
            <w:pPr>
              <w:snapToGrid w:val="0"/>
              <w:rPr>
                <w:sz w:val="20"/>
                <w:szCs w:val="20"/>
                <w:u w:val="single"/>
              </w:rPr>
            </w:pPr>
            <w:r>
              <w:rPr>
                <w:sz w:val="20"/>
                <w:u w:val="single"/>
              </w:rPr>
              <w:t>Fréquent</w:t>
            </w:r>
          </w:p>
          <w:p w14:paraId="4DCB2FA0" w14:textId="77777777" w:rsidR="00F3495F" w:rsidRPr="00D2126A" w:rsidRDefault="000E5A86" w:rsidP="006B7D29">
            <w:pPr>
              <w:rPr>
                <w:sz w:val="20"/>
                <w:szCs w:val="20"/>
              </w:rPr>
            </w:pPr>
            <w:r>
              <w:rPr>
                <w:sz w:val="20"/>
              </w:rPr>
              <w:t>Dysfonctionnement érectile</w:t>
            </w:r>
          </w:p>
        </w:tc>
        <w:tc>
          <w:tcPr>
            <w:tcW w:w="1678" w:type="pct"/>
            <w:shd w:val="clear" w:color="auto" w:fill="auto"/>
          </w:tcPr>
          <w:p w14:paraId="06EEDD14" w14:textId="77777777" w:rsidR="00F3495F" w:rsidRPr="00D2126A" w:rsidRDefault="00F3495F" w:rsidP="006B7D29">
            <w:pPr>
              <w:snapToGrid w:val="0"/>
              <w:rPr>
                <w:b/>
                <w:sz w:val="20"/>
                <w:szCs w:val="20"/>
                <w:u w:val="single"/>
              </w:rPr>
            </w:pPr>
          </w:p>
        </w:tc>
      </w:tr>
      <w:tr w:rsidR="00D5485C" w:rsidRPr="00D2126A" w14:paraId="37B6527C" w14:textId="77777777" w:rsidTr="0097536F">
        <w:trPr>
          <w:cantSplit/>
          <w:trHeight w:val="57"/>
        </w:trPr>
        <w:tc>
          <w:tcPr>
            <w:tcW w:w="1042" w:type="pct"/>
            <w:shd w:val="clear" w:color="auto" w:fill="auto"/>
          </w:tcPr>
          <w:p w14:paraId="70E6A63D" w14:textId="77777777" w:rsidR="00F3495F" w:rsidRPr="00D2126A" w:rsidRDefault="000E5A86" w:rsidP="006B7D29">
            <w:pPr>
              <w:snapToGrid w:val="0"/>
              <w:rPr>
                <w:b/>
                <w:bCs/>
                <w:sz w:val="20"/>
                <w:szCs w:val="20"/>
              </w:rPr>
            </w:pPr>
            <w:r>
              <w:rPr>
                <w:b/>
                <w:sz w:val="20"/>
              </w:rPr>
              <w:t>Troubles généraux et anomalies au site d’administration</w:t>
            </w:r>
          </w:p>
        </w:tc>
        <w:tc>
          <w:tcPr>
            <w:tcW w:w="2280" w:type="pct"/>
            <w:shd w:val="clear" w:color="auto" w:fill="auto"/>
          </w:tcPr>
          <w:p w14:paraId="5B845BA8" w14:textId="77777777" w:rsidR="00F3495F" w:rsidRPr="00D2126A" w:rsidRDefault="000E5A86" w:rsidP="006B7D29">
            <w:pPr>
              <w:snapToGrid w:val="0"/>
              <w:rPr>
                <w:sz w:val="20"/>
                <w:szCs w:val="20"/>
                <w:u w:val="single"/>
              </w:rPr>
            </w:pPr>
            <w:r>
              <w:rPr>
                <w:sz w:val="20"/>
                <w:u w:val="single"/>
              </w:rPr>
              <w:t>Très fréquent</w:t>
            </w:r>
          </w:p>
          <w:p w14:paraId="7FBD32A4" w14:textId="7E2A980D" w:rsidR="00F3495F" w:rsidRPr="00D2126A" w:rsidRDefault="000E5A86" w:rsidP="006B7D29">
            <w:pPr>
              <w:rPr>
                <w:sz w:val="20"/>
                <w:szCs w:val="20"/>
              </w:rPr>
            </w:pPr>
            <w:r>
              <w:rPr>
                <w:sz w:val="20"/>
              </w:rPr>
              <w:t>Fatigue</w:t>
            </w:r>
            <w:r>
              <w:rPr>
                <w:sz w:val="20"/>
                <w:vertAlign w:val="superscript"/>
              </w:rPr>
              <w:t>◊,◊◊</w:t>
            </w:r>
            <w:r>
              <w:rPr>
                <w:sz w:val="20"/>
              </w:rPr>
              <w:t>, œdème (y compris œdème périphérique), pyrexie</w:t>
            </w:r>
            <w:r>
              <w:rPr>
                <w:sz w:val="20"/>
                <w:vertAlign w:val="superscript"/>
              </w:rPr>
              <w:t>◊,◊◊</w:t>
            </w:r>
            <w:r>
              <w:rPr>
                <w:sz w:val="20"/>
              </w:rPr>
              <w:t>, asthénie, syndrome pseudo</w:t>
            </w:r>
            <w:r>
              <w:rPr>
                <w:sz w:val="20"/>
              </w:rPr>
              <w:noBreakHyphen/>
              <w:t>grippal (y compris pyrexie, toux, myalgie, douleur musculo</w:t>
            </w:r>
            <w:r>
              <w:rPr>
                <w:sz w:val="20"/>
              </w:rPr>
              <w:noBreakHyphen/>
              <w:t>squelettique, céphalées et raideurs)</w:t>
            </w:r>
          </w:p>
          <w:p w14:paraId="184CAC06" w14:textId="77777777" w:rsidR="00F3495F" w:rsidRPr="00D2126A" w:rsidRDefault="00F3495F" w:rsidP="006B7D29">
            <w:pPr>
              <w:pStyle w:val="Date"/>
              <w:rPr>
                <w:sz w:val="20"/>
                <w:szCs w:val="20"/>
              </w:rPr>
            </w:pPr>
          </w:p>
          <w:p w14:paraId="50703221" w14:textId="77777777" w:rsidR="00F3495F" w:rsidRPr="00D2126A" w:rsidRDefault="000E5A86" w:rsidP="006B7D29">
            <w:pPr>
              <w:rPr>
                <w:sz w:val="20"/>
                <w:szCs w:val="20"/>
                <w:u w:val="single"/>
              </w:rPr>
            </w:pPr>
            <w:r>
              <w:rPr>
                <w:sz w:val="20"/>
                <w:u w:val="single"/>
              </w:rPr>
              <w:t>Fréquent</w:t>
            </w:r>
          </w:p>
          <w:p w14:paraId="7B3FEE8E" w14:textId="121817DB" w:rsidR="00F3495F" w:rsidRPr="00D2126A" w:rsidRDefault="000E5A86" w:rsidP="006B7D29">
            <w:pPr>
              <w:rPr>
                <w:sz w:val="20"/>
                <w:szCs w:val="20"/>
              </w:rPr>
            </w:pPr>
            <w:r>
              <w:rPr>
                <w:sz w:val="20"/>
              </w:rPr>
              <w:t>Douleur thoracique</w:t>
            </w:r>
            <w:r>
              <w:rPr>
                <w:sz w:val="20"/>
                <w:vertAlign w:val="superscript"/>
              </w:rPr>
              <w:t>◊,◊◊</w:t>
            </w:r>
            <w:r>
              <w:rPr>
                <w:sz w:val="20"/>
              </w:rPr>
              <w:t>, léthargie</w:t>
            </w:r>
          </w:p>
        </w:tc>
        <w:tc>
          <w:tcPr>
            <w:tcW w:w="1678" w:type="pct"/>
            <w:shd w:val="clear" w:color="auto" w:fill="auto"/>
          </w:tcPr>
          <w:p w14:paraId="5EAFC43B" w14:textId="77777777" w:rsidR="006E6647" w:rsidRPr="00D2126A" w:rsidRDefault="000E5A86" w:rsidP="006B7D29">
            <w:pPr>
              <w:snapToGrid w:val="0"/>
              <w:rPr>
                <w:sz w:val="20"/>
                <w:szCs w:val="20"/>
                <w:u w:val="single"/>
              </w:rPr>
            </w:pPr>
            <w:r>
              <w:rPr>
                <w:sz w:val="20"/>
                <w:u w:val="single"/>
              </w:rPr>
              <w:t>Très fréquent</w:t>
            </w:r>
          </w:p>
          <w:p w14:paraId="1807F503" w14:textId="4157E774" w:rsidR="006E6647" w:rsidRPr="00D2126A" w:rsidRDefault="000E5A86" w:rsidP="006B7D29">
            <w:pPr>
              <w:snapToGrid w:val="0"/>
              <w:rPr>
                <w:sz w:val="20"/>
                <w:szCs w:val="20"/>
                <w:u w:val="single"/>
              </w:rPr>
            </w:pPr>
            <w:r>
              <w:rPr>
                <w:sz w:val="20"/>
              </w:rPr>
              <w:t>Fatigue</w:t>
            </w:r>
            <w:r>
              <w:rPr>
                <w:sz w:val="20"/>
                <w:vertAlign w:val="superscript"/>
              </w:rPr>
              <w:t>◊,◊◊</w:t>
            </w:r>
          </w:p>
          <w:p w14:paraId="044F24F2" w14:textId="77777777" w:rsidR="006E6647" w:rsidRPr="00D2126A" w:rsidRDefault="006E6647" w:rsidP="006B7D29">
            <w:pPr>
              <w:snapToGrid w:val="0"/>
              <w:rPr>
                <w:sz w:val="20"/>
                <w:szCs w:val="20"/>
                <w:u w:val="single"/>
              </w:rPr>
            </w:pPr>
          </w:p>
          <w:p w14:paraId="6B491BDF" w14:textId="77777777" w:rsidR="00F3495F" w:rsidRPr="00D2126A" w:rsidRDefault="000E5A86" w:rsidP="006B7D29">
            <w:pPr>
              <w:snapToGrid w:val="0"/>
              <w:rPr>
                <w:sz w:val="20"/>
                <w:szCs w:val="20"/>
                <w:u w:val="single"/>
              </w:rPr>
            </w:pPr>
            <w:r>
              <w:rPr>
                <w:sz w:val="20"/>
                <w:u w:val="single"/>
              </w:rPr>
              <w:t>Fréquent</w:t>
            </w:r>
          </w:p>
          <w:p w14:paraId="6EBF308C" w14:textId="25455B64" w:rsidR="00F3495F" w:rsidRPr="00D2126A" w:rsidRDefault="000E5A86" w:rsidP="006B7D29">
            <w:pPr>
              <w:rPr>
                <w:sz w:val="20"/>
                <w:szCs w:val="20"/>
              </w:rPr>
            </w:pPr>
            <w:r>
              <w:rPr>
                <w:sz w:val="20"/>
              </w:rPr>
              <w:t>Œdème périphérique, pyrexie</w:t>
            </w:r>
            <w:r>
              <w:rPr>
                <w:sz w:val="20"/>
                <w:vertAlign w:val="superscript"/>
              </w:rPr>
              <w:t>◊,◊◊</w:t>
            </w:r>
            <w:r>
              <w:rPr>
                <w:sz w:val="20"/>
              </w:rPr>
              <w:t>, asthénie</w:t>
            </w:r>
          </w:p>
        </w:tc>
      </w:tr>
      <w:tr w:rsidR="00D5485C" w:rsidRPr="00D2126A" w14:paraId="0CF95101" w14:textId="77777777" w:rsidTr="0097536F">
        <w:trPr>
          <w:cantSplit/>
          <w:trHeight w:val="57"/>
        </w:trPr>
        <w:tc>
          <w:tcPr>
            <w:tcW w:w="1042" w:type="pct"/>
            <w:shd w:val="clear" w:color="auto" w:fill="auto"/>
          </w:tcPr>
          <w:p w14:paraId="688740FA" w14:textId="77777777" w:rsidR="00F3495F" w:rsidRPr="00D2126A" w:rsidRDefault="000E5A86" w:rsidP="006B7D29">
            <w:pPr>
              <w:keepNext/>
              <w:snapToGrid w:val="0"/>
              <w:rPr>
                <w:b/>
                <w:bCs/>
                <w:sz w:val="20"/>
                <w:szCs w:val="20"/>
              </w:rPr>
            </w:pPr>
            <w:r>
              <w:rPr>
                <w:b/>
                <w:sz w:val="20"/>
              </w:rPr>
              <w:t>Investigations</w:t>
            </w:r>
          </w:p>
        </w:tc>
        <w:tc>
          <w:tcPr>
            <w:tcW w:w="2280" w:type="pct"/>
            <w:shd w:val="clear" w:color="auto" w:fill="auto"/>
          </w:tcPr>
          <w:p w14:paraId="27D4A02C" w14:textId="77777777" w:rsidR="006E6647" w:rsidRPr="00D2126A" w:rsidRDefault="000E5A86" w:rsidP="006B7D29">
            <w:pPr>
              <w:keepNext/>
              <w:snapToGrid w:val="0"/>
              <w:rPr>
                <w:sz w:val="20"/>
                <w:szCs w:val="20"/>
                <w:u w:val="single"/>
              </w:rPr>
            </w:pPr>
            <w:r>
              <w:rPr>
                <w:sz w:val="20"/>
                <w:u w:val="single"/>
              </w:rPr>
              <w:t>Très fréquent</w:t>
            </w:r>
          </w:p>
          <w:p w14:paraId="23117A4C" w14:textId="77777777" w:rsidR="006E6647" w:rsidRPr="00D2126A" w:rsidRDefault="000E5A86" w:rsidP="006B7D29">
            <w:pPr>
              <w:keepNext/>
              <w:snapToGrid w:val="0"/>
              <w:rPr>
                <w:sz w:val="20"/>
                <w:szCs w:val="20"/>
              </w:rPr>
            </w:pPr>
            <w:r>
              <w:rPr>
                <w:sz w:val="20"/>
              </w:rPr>
              <w:t>Augmentation des phosphatases alcalines sanguines</w:t>
            </w:r>
          </w:p>
          <w:p w14:paraId="708D85EE" w14:textId="77777777" w:rsidR="006E6647" w:rsidRPr="00D2126A" w:rsidRDefault="006E6647" w:rsidP="006B7D29">
            <w:pPr>
              <w:keepNext/>
              <w:snapToGrid w:val="0"/>
              <w:rPr>
                <w:sz w:val="20"/>
                <w:szCs w:val="20"/>
                <w:u w:val="single"/>
              </w:rPr>
            </w:pPr>
          </w:p>
          <w:p w14:paraId="0057F0E1" w14:textId="77777777" w:rsidR="00F3495F" w:rsidRPr="00D2126A" w:rsidRDefault="000E5A86" w:rsidP="006B7D29">
            <w:pPr>
              <w:keepNext/>
              <w:snapToGrid w:val="0"/>
              <w:rPr>
                <w:sz w:val="20"/>
                <w:szCs w:val="20"/>
                <w:u w:val="single"/>
              </w:rPr>
            </w:pPr>
            <w:r>
              <w:rPr>
                <w:sz w:val="20"/>
                <w:u w:val="single"/>
              </w:rPr>
              <w:t>Fréquent</w:t>
            </w:r>
          </w:p>
          <w:p w14:paraId="48C08D21" w14:textId="1F23D58B" w:rsidR="00F3495F" w:rsidRPr="00D2126A" w:rsidRDefault="000E5A86" w:rsidP="006B7D29">
            <w:pPr>
              <w:keepNext/>
              <w:snapToGrid w:val="0"/>
              <w:rPr>
                <w:sz w:val="20"/>
                <w:szCs w:val="20"/>
                <w:u w:val="single"/>
              </w:rPr>
            </w:pPr>
            <w:r>
              <w:rPr>
                <w:sz w:val="20"/>
              </w:rPr>
              <w:t>Augmentation de la protéine C réactive</w:t>
            </w:r>
          </w:p>
        </w:tc>
        <w:tc>
          <w:tcPr>
            <w:tcW w:w="1678" w:type="pct"/>
            <w:shd w:val="clear" w:color="auto" w:fill="auto"/>
          </w:tcPr>
          <w:p w14:paraId="1DF2F6F8" w14:textId="77777777" w:rsidR="00F3495F" w:rsidRPr="00D2126A" w:rsidRDefault="00F3495F" w:rsidP="006B7D29">
            <w:pPr>
              <w:keepNext/>
              <w:snapToGrid w:val="0"/>
              <w:rPr>
                <w:sz w:val="20"/>
                <w:szCs w:val="20"/>
                <w:u w:val="single"/>
              </w:rPr>
            </w:pPr>
          </w:p>
        </w:tc>
      </w:tr>
      <w:tr w:rsidR="00D5485C" w:rsidRPr="00D2126A" w14:paraId="5952127C" w14:textId="77777777" w:rsidTr="0097536F">
        <w:trPr>
          <w:cantSplit/>
          <w:trHeight w:val="57"/>
        </w:trPr>
        <w:tc>
          <w:tcPr>
            <w:tcW w:w="1042" w:type="pct"/>
            <w:shd w:val="clear" w:color="auto" w:fill="auto"/>
          </w:tcPr>
          <w:p w14:paraId="53A53CB9" w14:textId="77777777" w:rsidR="00F3495F" w:rsidRPr="00D2126A" w:rsidRDefault="000E5A86" w:rsidP="006B7D29">
            <w:pPr>
              <w:keepNext/>
              <w:snapToGrid w:val="0"/>
              <w:rPr>
                <w:b/>
                <w:bCs/>
                <w:sz w:val="20"/>
                <w:szCs w:val="20"/>
              </w:rPr>
            </w:pPr>
            <w:r>
              <w:rPr>
                <w:b/>
                <w:sz w:val="20"/>
              </w:rPr>
              <w:t>Lésions, intoxications et complications liées aux procédures</w:t>
            </w:r>
          </w:p>
        </w:tc>
        <w:tc>
          <w:tcPr>
            <w:tcW w:w="2280" w:type="pct"/>
            <w:shd w:val="clear" w:color="auto" w:fill="auto"/>
          </w:tcPr>
          <w:p w14:paraId="0517693D" w14:textId="77777777" w:rsidR="00F3495F" w:rsidRPr="00D2126A" w:rsidRDefault="000E5A86" w:rsidP="006B7D29">
            <w:pPr>
              <w:keepNext/>
              <w:snapToGrid w:val="0"/>
              <w:rPr>
                <w:bCs/>
                <w:sz w:val="20"/>
                <w:szCs w:val="20"/>
                <w:u w:val="single"/>
              </w:rPr>
            </w:pPr>
            <w:r>
              <w:rPr>
                <w:sz w:val="20"/>
                <w:u w:val="single"/>
              </w:rPr>
              <w:t>Fréquent</w:t>
            </w:r>
          </w:p>
          <w:p w14:paraId="6E2D0F71" w14:textId="77777777" w:rsidR="00F3495F" w:rsidRPr="00D2126A" w:rsidRDefault="000E5A86" w:rsidP="006B7D29">
            <w:pPr>
              <w:keepNext/>
              <w:rPr>
                <w:bCs/>
                <w:sz w:val="20"/>
                <w:szCs w:val="20"/>
              </w:rPr>
            </w:pPr>
            <w:r>
              <w:rPr>
                <w:sz w:val="20"/>
              </w:rPr>
              <w:t>Chute, contusion^</w:t>
            </w:r>
          </w:p>
        </w:tc>
        <w:tc>
          <w:tcPr>
            <w:tcW w:w="1678" w:type="pct"/>
            <w:shd w:val="clear" w:color="auto" w:fill="auto"/>
          </w:tcPr>
          <w:p w14:paraId="51B64A6D" w14:textId="77777777" w:rsidR="00F3495F" w:rsidRPr="00D2126A" w:rsidRDefault="00F3495F" w:rsidP="006B7D29">
            <w:pPr>
              <w:keepNext/>
              <w:snapToGrid w:val="0"/>
              <w:rPr>
                <w:b/>
                <w:sz w:val="20"/>
                <w:szCs w:val="20"/>
                <w:u w:val="single"/>
              </w:rPr>
            </w:pPr>
          </w:p>
        </w:tc>
      </w:tr>
    </w:tbl>
    <w:p w14:paraId="697C4FAA" w14:textId="1F9149D7" w:rsidR="00036363" w:rsidRPr="00D2126A" w:rsidRDefault="000E5A86" w:rsidP="0094597D">
      <w:pPr>
        <w:pStyle w:val="StyleTablenotes8"/>
      </w:pPr>
      <w:r>
        <w:rPr>
          <w:vertAlign w:val="superscript"/>
        </w:rPr>
        <w:t xml:space="preserve">◊ ◊ </w:t>
      </w:r>
      <w:r>
        <w:t>Effets indésirables rapportés comme graves dans les études cliniques menées chez des patients présentant un myélome multiple non préalablement traité qui recevaient le lénalidomide en association avec le bortézomib et la dexaméthasone.</w:t>
      </w:r>
    </w:p>
    <w:p w14:paraId="488DB848" w14:textId="514875D4" w:rsidR="004F6B74" w:rsidRPr="00D2126A" w:rsidRDefault="000E5A86" w:rsidP="0094597D">
      <w:pPr>
        <w:pStyle w:val="StyleTablenotes8"/>
      </w:pPr>
      <w:r>
        <w:t>^ Voir rubrique 4.8 Description de certains effets indésirables.</w:t>
      </w:r>
    </w:p>
    <w:p w14:paraId="7FE3759F" w14:textId="56B9093D" w:rsidR="003123BD" w:rsidRPr="00D2126A" w:rsidRDefault="000E5A86" w:rsidP="0094597D">
      <w:pPr>
        <w:pStyle w:val="StyleTablenotes8"/>
      </w:pPr>
      <w:r>
        <w:rPr>
          <w:vertAlign w:val="superscript"/>
        </w:rPr>
        <w:t xml:space="preserve">◊ </w:t>
      </w:r>
      <w:r>
        <w:t>Effets indésirables rapportés comme graves dans les études cliniques menées chez des patients présentant un myélome multiple traités par le lénalidomide en association avec la dexaméthasone ou avec le melphalan et la prednisone.</w:t>
      </w:r>
    </w:p>
    <w:p w14:paraId="5424624D" w14:textId="77777777" w:rsidR="00F3495F" w:rsidRPr="00D2126A" w:rsidRDefault="000E5A86" w:rsidP="0094597D">
      <w:pPr>
        <w:pStyle w:val="StyleTablenotes8"/>
      </w:pPr>
      <w:r>
        <w:rPr>
          <w:vertAlign w:val="superscript"/>
        </w:rPr>
        <w:t>+</w:t>
      </w:r>
      <w:r>
        <w:t xml:space="preserve"> S’applique uniquement aux effets indésirables graves.</w:t>
      </w:r>
    </w:p>
    <w:p w14:paraId="12DC0276" w14:textId="77777777" w:rsidR="00F3495F" w:rsidRPr="00D2126A" w:rsidRDefault="000E5A86" w:rsidP="0094597D">
      <w:pPr>
        <w:pStyle w:val="StyleTablenotes8"/>
      </w:pPr>
      <w:r>
        <w:rPr>
          <w:vertAlign w:val="superscript"/>
        </w:rPr>
        <w:t>*</w:t>
      </w:r>
      <w:r>
        <w:t xml:space="preserve"> Des épithéliomas spinocellulaires ont été rapportés dans les études cliniques chez les patients atteints de myélome multiple préalablement traité recevant le lénalidomide en association avec la dexaméthasone par rapport aux témoins.</w:t>
      </w:r>
    </w:p>
    <w:p w14:paraId="1D571E38" w14:textId="77777777" w:rsidR="004F07A1" w:rsidRPr="00D2126A" w:rsidRDefault="000E5A86" w:rsidP="0094597D">
      <w:pPr>
        <w:pStyle w:val="StyleTablenotes8"/>
      </w:pPr>
      <w:r>
        <w:rPr>
          <w:vertAlign w:val="superscript"/>
        </w:rPr>
        <w:t>**</w:t>
      </w:r>
      <w:r>
        <w:t xml:space="preserve"> Des épithéliomas spinocellulaires ont été rapportés dans une étude clinique chez des patients présentant un myélome multiple non préalablement traité recevant le lénamidomide en association avec la dexaméthasone par rapport aux témoins.</w:t>
      </w:r>
    </w:p>
    <w:p w14:paraId="322F0A69" w14:textId="77777777" w:rsidR="00F537EC" w:rsidRPr="00D2126A" w:rsidRDefault="00F537EC" w:rsidP="00C93C76">
      <w:pPr>
        <w:pStyle w:val="Date"/>
        <w:rPr>
          <w:i/>
          <w:u w:val="single"/>
        </w:rPr>
      </w:pPr>
    </w:p>
    <w:p w14:paraId="33FE19DB" w14:textId="77777777" w:rsidR="00036363" w:rsidRPr="00D2126A" w:rsidRDefault="000E5A86" w:rsidP="00C93C76">
      <w:pPr>
        <w:pStyle w:val="Date"/>
        <w:keepNext/>
        <w:rPr>
          <w:i/>
          <w:u w:val="single"/>
        </w:rPr>
      </w:pPr>
      <w:r>
        <w:rPr>
          <w:i/>
          <w:u w:val="single"/>
        </w:rPr>
        <w:t>Résumé tabulé pour le traitement en monothérapie</w:t>
      </w:r>
    </w:p>
    <w:p w14:paraId="46015E63" w14:textId="610911D6" w:rsidR="004F07A1" w:rsidRPr="00D2126A" w:rsidRDefault="000E5A86" w:rsidP="00C93C76">
      <w:pPr>
        <w:pStyle w:val="Date"/>
      </w:pPr>
      <w:r>
        <w:t>Les tableaux suivants résultent des données collectées lors des principales études du lénalidomide en monothérapie dans les syndromes myélodysplasiques et le lymphome à cellules du manteau.</w:t>
      </w:r>
    </w:p>
    <w:p w14:paraId="3D8EE2C4" w14:textId="77777777" w:rsidR="004F07A1" w:rsidRPr="00D2126A" w:rsidRDefault="004F07A1" w:rsidP="00C93C76"/>
    <w:p w14:paraId="2D9E5B23" w14:textId="77777777" w:rsidR="00F3495F" w:rsidRPr="00D2126A" w:rsidRDefault="000E5A86" w:rsidP="00C93C76">
      <w:pPr>
        <w:pStyle w:val="C-TableHeader"/>
        <w:spacing w:before="0" w:after="0"/>
      </w:pPr>
      <w:r>
        <w:t>Tableau 3. Effets indésirables rapportés lors des études cliniques chez les patients présentant des syndromes myélodysplasiques traités par le lénalidomide#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322"/>
        <w:gridCol w:w="3575"/>
        <w:gridCol w:w="3389"/>
      </w:tblGrid>
      <w:tr w:rsidR="00D5485C" w:rsidRPr="00D2126A" w14:paraId="25892416" w14:textId="77777777" w:rsidTr="00F003F4">
        <w:trPr>
          <w:cantSplit/>
          <w:trHeight w:val="57"/>
          <w:tblHeader/>
        </w:trPr>
        <w:tc>
          <w:tcPr>
            <w:tcW w:w="1250" w:type="pct"/>
            <w:shd w:val="clear" w:color="auto" w:fill="auto"/>
          </w:tcPr>
          <w:p w14:paraId="2F1B10B4" w14:textId="34353BFE" w:rsidR="00F3495F" w:rsidRPr="00D2126A" w:rsidRDefault="000E5A86" w:rsidP="006B7D29">
            <w:pPr>
              <w:keepNext/>
              <w:snapToGrid w:val="0"/>
              <w:rPr>
                <w:b/>
                <w:bCs/>
                <w:sz w:val="20"/>
                <w:szCs w:val="20"/>
              </w:rPr>
            </w:pPr>
            <w:r>
              <w:rPr>
                <w:b/>
                <w:sz w:val="20"/>
              </w:rPr>
              <w:t>Classe de systèmes d’organes / Terme préférentiel</w:t>
            </w:r>
          </w:p>
        </w:tc>
        <w:tc>
          <w:tcPr>
            <w:tcW w:w="1925" w:type="pct"/>
            <w:shd w:val="clear" w:color="auto" w:fill="auto"/>
          </w:tcPr>
          <w:p w14:paraId="3C5C8BB4" w14:textId="77777777" w:rsidR="00F3495F" w:rsidRPr="00D2126A" w:rsidRDefault="000E5A86" w:rsidP="006B7D29">
            <w:pPr>
              <w:keepNext/>
              <w:snapToGrid w:val="0"/>
              <w:rPr>
                <w:b/>
                <w:sz w:val="20"/>
                <w:szCs w:val="20"/>
              </w:rPr>
            </w:pPr>
            <w:r>
              <w:rPr>
                <w:b/>
                <w:sz w:val="20"/>
              </w:rPr>
              <w:t>Effets indésirables de tous grades / Fréquence</w:t>
            </w:r>
          </w:p>
        </w:tc>
        <w:tc>
          <w:tcPr>
            <w:tcW w:w="1825" w:type="pct"/>
            <w:shd w:val="clear" w:color="auto" w:fill="auto"/>
          </w:tcPr>
          <w:p w14:paraId="456848B7" w14:textId="5DBB0A14" w:rsidR="00F3495F" w:rsidRPr="00D2126A" w:rsidRDefault="000E5A86" w:rsidP="006B7D29">
            <w:pPr>
              <w:keepNext/>
              <w:snapToGrid w:val="0"/>
              <w:rPr>
                <w:b/>
                <w:sz w:val="20"/>
                <w:szCs w:val="20"/>
              </w:rPr>
            </w:pPr>
            <w:r>
              <w:rPr>
                <w:b/>
                <w:sz w:val="20"/>
              </w:rPr>
              <w:t>Effets indésirables de grade 3–4 / Fréquence</w:t>
            </w:r>
          </w:p>
          <w:p w14:paraId="4CBA6388" w14:textId="77777777" w:rsidR="00F3495F" w:rsidRPr="00D2126A" w:rsidRDefault="00F3495F" w:rsidP="006B7D29">
            <w:pPr>
              <w:keepNext/>
              <w:rPr>
                <w:b/>
                <w:sz w:val="20"/>
                <w:szCs w:val="20"/>
              </w:rPr>
            </w:pPr>
          </w:p>
        </w:tc>
      </w:tr>
      <w:tr w:rsidR="00D5485C" w:rsidRPr="00D2126A" w14:paraId="5DA04F95" w14:textId="77777777" w:rsidTr="00F003F4">
        <w:trPr>
          <w:cantSplit/>
          <w:trHeight w:val="57"/>
        </w:trPr>
        <w:tc>
          <w:tcPr>
            <w:tcW w:w="1250" w:type="pct"/>
            <w:shd w:val="clear" w:color="auto" w:fill="auto"/>
          </w:tcPr>
          <w:p w14:paraId="193A2501" w14:textId="77777777" w:rsidR="00F3495F" w:rsidRPr="00D2126A" w:rsidRDefault="000E5A86" w:rsidP="006B7D29">
            <w:pPr>
              <w:snapToGrid w:val="0"/>
              <w:rPr>
                <w:b/>
                <w:bCs/>
                <w:sz w:val="20"/>
                <w:szCs w:val="20"/>
              </w:rPr>
            </w:pPr>
            <w:r>
              <w:rPr>
                <w:b/>
                <w:sz w:val="20"/>
              </w:rPr>
              <w:t>Infections et infestations</w:t>
            </w:r>
          </w:p>
        </w:tc>
        <w:tc>
          <w:tcPr>
            <w:tcW w:w="1925" w:type="pct"/>
            <w:shd w:val="clear" w:color="auto" w:fill="auto"/>
          </w:tcPr>
          <w:p w14:paraId="66AA5600" w14:textId="77777777" w:rsidR="00F3495F" w:rsidRPr="00D2126A" w:rsidRDefault="000E5A86" w:rsidP="006B7D29">
            <w:pPr>
              <w:rPr>
                <w:sz w:val="20"/>
                <w:szCs w:val="20"/>
                <w:u w:val="single"/>
                <w:shd w:val="clear" w:color="auto" w:fill="C0C0C0"/>
              </w:rPr>
            </w:pPr>
            <w:r>
              <w:rPr>
                <w:sz w:val="20"/>
                <w:u w:val="single"/>
              </w:rPr>
              <w:t>Très fréquent</w:t>
            </w:r>
          </w:p>
          <w:p w14:paraId="2FB23882" w14:textId="77777777" w:rsidR="00F3495F" w:rsidRPr="00D2126A" w:rsidRDefault="000E5A86" w:rsidP="006B7D29">
            <w:pPr>
              <w:rPr>
                <w:sz w:val="20"/>
                <w:szCs w:val="20"/>
              </w:rPr>
            </w:pPr>
            <w:r>
              <w:rPr>
                <w:sz w:val="20"/>
              </w:rPr>
              <w:t>Infections bactériennes, virales et fongiques (y compris infections opportunistes)</w:t>
            </w:r>
            <w:r>
              <w:rPr>
                <w:sz w:val="20"/>
                <w:vertAlign w:val="superscript"/>
              </w:rPr>
              <w:t>◊</w:t>
            </w:r>
          </w:p>
        </w:tc>
        <w:tc>
          <w:tcPr>
            <w:tcW w:w="1825" w:type="pct"/>
            <w:shd w:val="clear" w:color="auto" w:fill="auto"/>
          </w:tcPr>
          <w:p w14:paraId="632EAC64" w14:textId="77777777" w:rsidR="00F3495F" w:rsidRPr="00D2126A" w:rsidRDefault="000E5A86" w:rsidP="006B7D29">
            <w:pPr>
              <w:snapToGrid w:val="0"/>
              <w:rPr>
                <w:sz w:val="20"/>
                <w:szCs w:val="20"/>
                <w:u w:val="single"/>
              </w:rPr>
            </w:pPr>
            <w:r>
              <w:rPr>
                <w:sz w:val="20"/>
                <w:u w:val="single"/>
              </w:rPr>
              <w:t>Très fréquent</w:t>
            </w:r>
          </w:p>
          <w:p w14:paraId="10985804" w14:textId="77777777" w:rsidR="00F3495F" w:rsidRPr="00D2126A" w:rsidRDefault="000E5A86" w:rsidP="006B7D29">
            <w:pPr>
              <w:rPr>
                <w:sz w:val="20"/>
                <w:szCs w:val="20"/>
              </w:rPr>
            </w:pPr>
            <w:r>
              <w:rPr>
                <w:sz w:val="20"/>
              </w:rPr>
              <w:t>Pneumonie</w:t>
            </w:r>
            <w:r>
              <w:rPr>
                <w:sz w:val="20"/>
                <w:vertAlign w:val="superscript"/>
              </w:rPr>
              <w:t>◊</w:t>
            </w:r>
          </w:p>
          <w:p w14:paraId="3F754335" w14:textId="77777777" w:rsidR="00F3495F" w:rsidRPr="00D2126A" w:rsidRDefault="00F3495F" w:rsidP="006B7D29">
            <w:pPr>
              <w:rPr>
                <w:sz w:val="20"/>
                <w:szCs w:val="20"/>
              </w:rPr>
            </w:pPr>
          </w:p>
          <w:p w14:paraId="10A0131C" w14:textId="77777777" w:rsidR="00F3495F" w:rsidRPr="00D2126A" w:rsidRDefault="000E5A86" w:rsidP="006B7D29">
            <w:pPr>
              <w:rPr>
                <w:sz w:val="20"/>
                <w:szCs w:val="20"/>
              </w:rPr>
            </w:pPr>
            <w:r>
              <w:rPr>
                <w:sz w:val="20"/>
                <w:u w:val="single"/>
              </w:rPr>
              <w:t>Fréquent</w:t>
            </w:r>
          </w:p>
          <w:p w14:paraId="6809DE41" w14:textId="77777777" w:rsidR="00F3495F" w:rsidRPr="00D2126A" w:rsidRDefault="000E5A86" w:rsidP="006B7D29">
            <w:pPr>
              <w:rPr>
                <w:sz w:val="20"/>
                <w:szCs w:val="20"/>
              </w:rPr>
            </w:pPr>
            <w:r>
              <w:rPr>
                <w:sz w:val="20"/>
              </w:rPr>
              <w:t>Infections bactériennes, virales et fongiques (y compris infections opportunistes)</w:t>
            </w:r>
            <w:r>
              <w:rPr>
                <w:sz w:val="20"/>
                <w:vertAlign w:val="superscript"/>
              </w:rPr>
              <w:t>◊</w:t>
            </w:r>
            <w:r>
              <w:rPr>
                <w:sz w:val="20"/>
              </w:rPr>
              <w:t>, bronchite</w:t>
            </w:r>
          </w:p>
        </w:tc>
      </w:tr>
      <w:tr w:rsidR="00D5485C" w:rsidRPr="00D2126A" w14:paraId="27BDFB2E" w14:textId="77777777" w:rsidTr="00F003F4">
        <w:trPr>
          <w:cantSplit/>
          <w:trHeight w:val="57"/>
        </w:trPr>
        <w:tc>
          <w:tcPr>
            <w:tcW w:w="1250" w:type="pct"/>
            <w:shd w:val="clear" w:color="auto" w:fill="auto"/>
          </w:tcPr>
          <w:p w14:paraId="6A19FD83" w14:textId="77777777" w:rsidR="00F3495F" w:rsidRPr="00D2126A" w:rsidRDefault="000E5A86" w:rsidP="006B7D29">
            <w:pPr>
              <w:snapToGrid w:val="0"/>
              <w:rPr>
                <w:b/>
                <w:bCs/>
                <w:sz w:val="20"/>
                <w:szCs w:val="20"/>
              </w:rPr>
            </w:pPr>
            <w:r>
              <w:rPr>
                <w:b/>
                <w:sz w:val="20"/>
              </w:rPr>
              <w:t>Affections hématologiques et du système lymphatique</w:t>
            </w:r>
          </w:p>
        </w:tc>
        <w:tc>
          <w:tcPr>
            <w:tcW w:w="1925" w:type="pct"/>
            <w:shd w:val="clear" w:color="auto" w:fill="auto"/>
          </w:tcPr>
          <w:p w14:paraId="021F8A7F" w14:textId="77777777" w:rsidR="00F3495F" w:rsidRPr="00D2126A" w:rsidRDefault="000E5A86" w:rsidP="006B7D29">
            <w:pPr>
              <w:snapToGrid w:val="0"/>
              <w:rPr>
                <w:sz w:val="20"/>
                <w:szCs w:val="20"/>
                <w:u w:val="single"/>
              </w:rPr>
            </w:pPr>
            <w:r>
              <w:rPr>
                <w:sz w:val="20"/>
                <w:u w:val="single"/>
              </w:rPr>
              <w:t>Très fréquent</w:t>
            </w:r>
          </w:p>
          <w:p w14:paraId="156BBDB4" w14:textId="7191E00F" w:rsidR="00F3495F" w:rsidRPr="00D2126A" w:rsidRDefault="000E5A86" w:rsidP="006B7D29">
            <w:pPr>
              <w:rPr>
                <w:sz w:val="20"/>
                <w:szCs w:val="20"/>
              </w:rPr>
            </w:pPr>
            <w:r>
              <w:rPr>
                <w:sz w:val="20"/>
              </w:rPr>
              <w:t>Thrombopénie^</w:t>
            </w:r>
            <w:r>
              <w:rPr>
                <w:sz w:val="20"/>
                <w:vertAlign w:val="superscript"/>
              </w:rPr>
              <w:t>,◊</w:t>
            </w:r>
            <w:r>
              <w:rPr>
                <w:sz w:val="20"/>
              </w:rPr>
              <w:t>, neutropénie^</w:t>
            </w:r>
            <w:r>
              <w:rPr>
                <w:sz w:val="20"/>
                <w:vertAlign w:val="superscript"/>
              </w:rPr>
              <w:t>,◊</w:t>
            </w:r>
            <w:r>
              <w:rPr>
                <w:sz w:val="20"/>
              </w:rPr>
              <w:t>, anémie</w:t>
            </w:r>
            <w:r>
              <w:rPr>
                <w:sz w:val="20"/>
                <w:vertAlign w:val="superscript"/>
              </w:rPr>
              <w:t>◊</w:t>
            </w:r>
            <w:r>
              <w:rPr>
                <w:sz w:val="20"/>
              </w:rPr>
              <w:t>, leucopénie</w:t>
            </w:r>
          </w:p>
        </w:tc>
        <w:tc>
          <w:tcPr>
            <w:tcW w:w="1825" w:type="pct"/>
            <w:shd w:val="clear" w:color="auto" w:fill="auto"/>
          </w:tcPr>
          <w:p w14:paraId="61595FC1" w14:textId="77777777" w:rsidR="00F3495F" w:rsidRPr="00D2126A" w:rsidRDefault="000E5A86" w:rsidP="006B7D29">
            <w:pPr>
              <w:snapToGrid w:val="0"/>
              <w:rPr>
                <w:sz w:val="20"/>
                <w:szCs w:val="20"/>
                <w:u w:val="single"/>
              </w:rPr>
            </w:pPr>
            <w:r>
              <w:rPr>
                <w:sz w:val="20"/>
                <w:u w:val="single"/>
              </w:rPr>
              <w:t>Très fréquent</w:t>
            </w:r>
          </w:p>
          <w:p w14:paraId="3CBB6640" w14:textId="2F99AAEF" w:rsidR="00F3495F" w:rsidRPr="00D2126A" w:rsidRDefault="000E5A86" w:rsidP="006B7D29">
            <w:pPr>
              <w:rPr>
                <w:sz w:val="20"/>
                <w:szCs w:val="20"/>
              </w:rPr>
            </w:pPr>
            <w:r>
              <w:rPr>
                <w:sz w:val="20"/>
              </w:rPr>
              <w:t>Thrombopénie^</w:t>
            </w:r>
            <w:r>
              <w:rPr>
                <w:sz w:val="20"/>
                <w:vertAlign w:val="superscript"/>
              </w:rPr>
              <w:t>,◊</w:t>
            </w:r>
            <w:r>
              <w:rPr>
                <w:sz w:val="20"/>
              </w:rPr>
              <w:t>, neutropénie^</w:t>
            </w:r>
            <w:r>
              <w:rPr>
                <w:sz w:val="20"/>
                <w:vertAlign w:val="superscript"/>
              </w:rPr>
              <w:t>,◊</w:t>
            </w:r>
            <w:r>
              <w:rPr>
                <w:sz w:val="20"/>
              </w:rPr>
              <w:t>, anémie</w:t>
            </w:r>
            <w:r>
              <w:rPr>
                <w:sz w:val="20"/>
                <w:vertAlign w:val="superscript"/>
              </w:rPr>
              <w:t>◊</w:t>
            </w:r>
            <w:r>
              <w:rPr>
                <w:sz w:val="20"/>
              </w:rPr>
              <w:t>, leucopénie</w:t>
            </w:r>
          </w:p>
          <w:p w14:paraId="7C4E77BE" w14:textId="77777777" w:rsidR="00F3495F" w:rsidRPr="00D2126A" w:rsidRDefault="00F3495F" w:rsidP="006B7D29">
            <w:pPr>
              <w:pStyle w:val="Date"/>
              <w:rPr>
                <w:sz w:val="20"/>
                <w:szCs w:val="20"/>
              </w:rPr>
            </w:pPr>
          </w:p>
          <w:p w14:paraId="6954B3B3" w14:textId="77777777" w:rsidR="00F3495F" w:rsidRPr="00D2126A" w:rsidRDefault="000E5A86" w:rsidP="006B7D29">
            <w:pPr>
              <w:rPr>
                <w:sz w:val="20"/>
                <w:szCs w:val="20"/>
                <w:u w:val="single"/>
              </w:rPr>
            </w:pPr>
            <w:r>
              <w:rPr>
                <w:sz w:val="20"/>
                <w:u w:val="single"/>
              </w:rPr>
              <w:t>Fréquent</w:t>
            </w:r>
          </w:p>
          <w:p w14:paraId="717EC7A5" w14:textId="6C24F300" w:rsidR="00F3495F" w:rsidRPr="00D2126A" w:rsidRDefault="000E5A86" w:rsidP="006B7D29">
            <w:pPr>
              <w:rPr>
                <w:b/>
                <w:sz w:val="20"/>
                <w:szCs w:val="20"/>
                <w:u w:val="single"/>
              </w:rPr>
            </w:pPr>
            <w:r>
              <w:rPr>
                <w:sz w:val="20"/>
              </w:rPr>
              <w:t>Neutropénie fébrile^</w:t>
            </w:r>
            <w:r>
              <w:rPr>
                <w:sz w:val="20"/>
                <w:vertAlign w:val="superscript"/>
              </w:rPr>
              <w:t>,◊</w:t>
            </w:r>
          </w:p>
        </w:tc>
      </w:tr>
      <w:tr w:rsidR="00D5485C" w:rsidRPr="00D2126A" w14:paraId="0854D072" w14:textId="77777777" w:rsidTr="00F003F4">
        <w:trPr>
          <w:cantSplit/>
          <w:trHeight w:val="57"/>
        </w:trPr>
        <w:tc>
          <w:tcPr>
            <w:tcW w:w="1250" w:type="pct"/>
            <w:shd w:val="clear" w:color="auto" w:fill="auto"/>
          </w:tcPr>
          <w:p w14:paraId="3E59DF77" w14:textId="77777777" w:rsidR="00F3495F" w:rsidRPr="00D2126A" w:rsidRDefault="000E5A86" w:rsidP="006B7D29">
            <w:pPr>
              <w:snapToGrid w:val="0"/>
              <w:rPr>
                <w:b/>
                <w:bCs/>
                <w:sz w:val="20"/>
                <w:szCs w:val="20"/>
              </w:rPr>
            </w:pPr>
            <w:r>
              <w:rPr>
                <w:b/>
                <w:sz w:val="20"/>
              </w:rPr>
              <w:t>Affections endocriniennes</w:t>
            </w:r>
          </w:p>
        </w:tc>
        <w:tc>
          <w:tcPr>
            <w:tcW w:w="1925" w:type="pct"/>
            <w:shd w:val="clear" w:color="auto" w:fill="auto"/>
          </w:tcPr>
          <w:p w14:paraId="18DEA436" w14:textId="77777777" w:rsidR="00F3495F" w:rsidRPr="00D2126A" w:rsidRDefault="000E5A86" w:rsidP="006B7D29">
            <w:pPr>
              <w:pStyle w:val="Style3"/>
            </w:pPr>
            <w:r>
              <w:t>Très fréquent</w:t>
            </w:r>
          </w:p>
          <w:p w14:paraId="304E6623" w14:textId="77777777" w:rsidR="00F3495F" w:rsidRPr="00D2126A" w:rsidRDefault="000E5A86" w:rsidP="006B7D29">
            <w:pPr>
              <w:snapToGrid w:val="0"/>
              <w:rPr>
                <w:sz w:val="20"/>
                <w:szCs w:val="20"/>
                <w:u w:val="single"/>
              </w:rPr>
            </w:pPr>
            <w:r>
              <w:rPr>
                <w:sz w:val="20"/>
              </w:rPr>
              <w:t>Hypothyroïdie</w:t>
            </w:r>
          </w:p>
        </w:tc>
        <w:tc>
          <w:tcPr>
            <w:tcW w:w="1825" w:type="pct"/>
            <w:shd w:val="clear" w:color="auto" w:fill="auto"/>
          </w:tcPr>
          <w:p w14:paraId="4AB1213C" w14:textId="77777777" w:rsidR="00F3495F" w:rsidRPr="00D2126A" w:rsidRDefault="00F3495F" w:rsidP="006B7D29">
            <w:pPr>
              <w:snapToGrid w:val="0"/>
              <w:rPr>
                <w:sz w:val="20"/>
                <w:szCs w:val="20"/>
                <w:u w:val="single"/>
              </w:rPr>
            </w:pPr>
          </w:p>
        </w:tc>
      </w:tr>
      <w:tr w:rsidR="00D5485C" w:rsidRPr="00D2126A" w14:paraId="1124E0CC" w14:textId="77777777" w:rsidTr="00F003F4">
        <w:trPr>
          <w:cantSplit/>
          <w:trHeight w:val="57"/>
        </w:trPr>
        <w:tc>
          <w:tcPr>
            <w:tcW w:w="1250" w:type="pct"/>
            <w:shd w:val="clear" w:color="auto" w:fill="auto"/>
          </w:tcPr>
          <w:p w14:paraId="38CD4A21" w14:textId="77777777" w:rsidR="00F3495F" w:rsidRPr="00D2126A" w:rsidRDefault="000E5A86" w:rsidP="006B7D29">
            <w:pPr>
              <w:snapToGrid w:val="0"/>
              <w:rPr>
                <w:b/>
                <w:bCs/>
                <w:sz w:val="20"/>
                <w:szCs w:val="20"/>
              </w:rPr>
            </w:pPr>
            <w:r>
              <w:rPr>
                <w:b/>
                <w:sz w:val="20"/>
              </w:rPr>
              <w:t>Troubles du métabolisme et de la nutrition</w:t>
            </w:r>
          </w:p>
        </w:tc>
        <w:tc>
          <w:tcPr>
            <w:tcW w:w="1925" w:type="pct"/>
            <w:shd w:val="clear" w:color="auto" w:fill="auto"/>
          </w:tcPr>
          <w:p w14:paraId="36A1ADFA" w14:textId="77777777" w:rsidR="00F3495F" w:rsidRPr="00D2126A" w:rsidRDefault="000E5A86" w:rsidP="006B7D29">
            <w:pPr>
              <w:pStyle w:val="Style3"/>
            </w:pPr>
            <w:r>
              <w:t>Très fréquent</w:t>
            </w:r>
          </w:p>
          <w:p w14:paraId="739C2F6D" w14:textId="77777777" w:rsidR="00F3495F" w:rsidRPr="00D2126A" w:rsidRDefault="000E5A86" w:rsidP="006B7D29">
            <w:pPr>
              <w:rPr>
                <w:sz w:val="20"/>
                <w:szCs w:val="20"/>
              </w:rPr>
            </w:pPr>
            <w:r>
              <w:rPr>
                <w:sz w:val="20"/>
              </w:rPr>
              <w:t>Diminution de l’appétit</w:t>
            </w:r>
          </w:p>
          <w:p w14:paraId="49D4601C" w14:textId="77777777" w:rsidR="00F3495F" w:rsidRPr="00D2126A" w:rsidRDefault="00F3495F" w:rsidP="006B7D29">
            <w:pPr>
              <w:pStyle w:val="Date"/>
              <w:rPr>
                <w:sz w:val="20"/>
                <w:szCs w:val="20"/>
              </w:rPr>
            </w:pPr>
          </w:p>
          <w:p w14:paraId="7377E138" w14:textId="77777777" w:rsidR="00F3495F" w:rsidRPr="00D2126A" w:rsidRDefault="000E5A86" w:rsidP="006B7D29">
            <w:pPr>
              <w:rPr>
                <w:sz w:val="20"/>
                <w:szCs w:val="20"/>
                <w:u w:val="single"/>
              </w:rPr>
            </w:pPr>
            <w:r>
              <w:rPr>
                <w:sz w:val="20"/>
                <w:u w:val="single"/>
              </w:rPr>
              <w:t>Fréquent</w:t>
            </w:r>
          </w:p>
          <w:p w14:paraId="59081362" w14:textId="77777777" w:rsidR="00F3495F" w:rsidRPr="00D2126A" w:rsidRDefault="000E5A86" w:rsidP="006B7D29">
            <w:pPr>
              <w:rPr>
                <w:sz w:val="20"/>
                <w:szCs w:val="20"/>
              </w:rPr>
            </w:pPr>
            <w:r>
              <w:rPr>
                <w:sz w:val="20"/>
              </w:rPr>
              <w:t>Surcharge martiale, perte de poids</w:t>
            </w:r>
          </w:p>
        </w:tc>
        <w:tc>
          <w:tcPr>
            <w:tcW w:w="1825" w:type="pct"/>
            <w:shd w:val="clear" w:color="auto" w:fill="auto"/>
          </w:tcPr>
          <w:p w14:paraId="25DC8220" w14:textId="77777777" w:rsidR="00F3495F" w:rsidRPr="00D2126A" w:rsidRDefault="000E5A86" w:rsidP="006B7D29">
            <w:pPr>
              <w:snapToGrid w:val="0"/>
              <w:rPr>
                <w:sz w:val="20"/>
                <w:szCs w:val="20"/>
                <w:u w:val="single"/>
              </w:rPr>
            </w:pPr>
            <w:r>
              <w:rPr>
                <w:sz w:val="20"/>
                <w:u w:val="single"/>
              </w:rPr>
              <w:t>Fréquent</w:t>
            </w:r>
          </w:p>
          <w:p w14:paraId="1778D234" w14:textId="77777777" w:rsidR="00F3495F" w:rsidRPr="00D2126A" w:rsidRDefault="000E5A86" w:rsidP="006B7D29">
            <w:pPr>
              <w:rPr>
                <w:sz w:val="20"/>
                <w:szCs w:val="20"/>
                <w:shd w:val="clear" w:color="auto" w:fill="C0C0C0"/>
              </w:rPr>
            </w:pPr>
            <w:r>
              <w:rPr>
                <w:sz w:val="20"/>
              </w:rPr>
              <w:t>Hyperglycémie</w:t>
            </w:r>
            <w:r>
              <w:rPr>
                <w:sz w:val="20"/>
                <w:vertAlign w:val="superscript"/>
              </w:rPr>
              <w:t>◊</w:t>
            </w:r>
            <w:r>
              <w:rPr>
                <w:sz w:val="20"/>
              </w:rPr>
              <w:t>, diminution de l’appétit</w:t>
            </w:r>
          </w:p>
        </w:tc>
      </w:tr>
      <w:tr w:rsidR="00D5485C" w:rsidRPr="00D2126A" w14:paraId="7FABAF86" w14:textId="77777777" w:rsidTr="00F003F4">
        <w:trPr>
          <w:cantSplit/>
          <w:trHeight w:val="57"/>
        </w:trPr>
        <w:tc>
          <w:tcPr>
            <w:tcW w:w="1250" w:type="pct"/>
            <w:shd w:val="clear" w:color="auto" w:fill="auto"/>
          </w:tcPr>
          <w:p w14:paraId="4ED0A5A9" w14:textId="77777777" w:rsidR="00F3495F" w:rsidRPr="00D2126A" w:rsidRDefault="000E5A86" w:rsidP="006B7D29">
            <w:pPr>
              <w:snapToGrid w:val="0"/>
              <w:rPr>
                <w:b/>
                <w:bCs/>
                <w:sz w:val="20"/>
                <w:szCs w:val="20"/>
              </w:rPr>
            </w:pPr>
            <w:r>
              <w:rPr>
                <w:b/>
                <w:sz w:val="20"/>
              </w:rPr>
              <w:t>Affections psychiatriques</w:t>
            </w:r>
          </w:p>
        </w:tc>
        <w:tc>
          <w:tcPr>
            <w:tcW w:w="1925" w:type="pct"/>
            <w:shd w:val="clear" w:color="auto" w:fill="auto"/>
          </w:tcPr>
          <w:p w14:paraId="35701D09" w14:textId="77777777" w:rsidR="00F3495F" w:rsidRPr="00D2126A" w:rsidRDefault="00F3495F" w:rsidP="006B7D29">
            <w:pPr>
              <w:rPr>
                <w:sz w:val="20"/>
                <w:szCs w:val="20"/>
              </w:rPr>
            </w:pPr>
          </w:p>
        </w:tc>
        <w:tc>
          <w:tcPr>
            <w:tcW w:w="1825" w:type="pct"/>
            <w:shd w:val="clear" w:color="auto" w:fill="auto"/>
          </w:tcPr>
          <w:p w14:paraId="2916B78A" w14:textId="77777777" w:rsidR="00F3495F" w:rsidRPr="00D2126A" w:rsidRDefault="000E5A86" w:rsidP="006B7D29">
            <w:pPr>
              <w:snapToGrid w:val="0"/>
              <w:rPr>
                <w:sz w:val="20"/>
                <w:szCs w:val="20"/>
                <w:u w:val="single"/>
              </w:rPr>
            </w:pPr>
            <w:r>
              <w:rPr>
                <w:sz w:val="20"/>
                <w:u w:val="single"/>
              </w:rPr>
              <w:t>Fréquent</w:t>
            </w:r>
          </w:p>
          <w:p w14:paraId="678BF7BB" w14:textId="353F6EFD" w:rsidR="00F3495F" w:rsidRPr="00D2126A" w:rsidRDefault="000E5A86" w:rsidP="006B7D29">
            <w:pPr>
              <w:rPr>
                <w:sz w:val="20"/>
                <w:szCs w:val="20"/>
              </w:rPr>
            </w:pPr>
            <w:r>
              <w:rPr>
                <w:sz w:val="20"/>
              </w:rPr>
              <w:t>Troubles de l’humeur</w:t>
            </w:r>
            <w:r>
              <w:rPr>
                <w:sz w:val="20"/>
                <w:vertAlign w:val="superscript"/>
              </w:rPr>
              <w:t>◊,~</w:t>
            </w:r>
          </w:p>
        </w:tc>
      </w:tr>
      <w:tr w:rsidR="00D5485C" w:rsidRPr="00D2126A" w14:paraId="7304AB60" w14:textId="77777777" w:rsidTr="00F003F4">
        <w:trPr>
          <w:cantSplit/>
          <w:trHeight w:val="57"/>
        </w:trPr>
        <w:tc>
          <w:tcPr>
            <w:tcW w:w="1250" w:type="pct"/>
            <w:shd w:val="clear" w:color="auto" w:fill="auto"/>
          </w:tcPr>
          <w:p w14:paraId="7879ABC6" w14:textId="77777777" w:rsidR="00F3495F" w:rsidRPr="00D2126A" w:rsidRDefault="000E5A86" w:rsidP="006B7D29">
            <w:pPr>
              <w:snapToGrid w:val="0"/>
              <w:rPr>
                <w:b/>
                <w:bCs/>
                <w:sz w:val="20"/>
                <w:szCs w:val="20"/>
              </w:rPr>
            </w:pPr>
            <w:r>
              <w:rPr>
                <w:b/>
                <w:sz w:val="20"/>
              </w:rPr>
              <w:t>Affections du système nerveux</w:t>
            </w:r>
          </w:p>
        </w:tc>
        <w:tc>
          <w:tcPr>
            <w:tcW w:w="1925" w:type="pct"/>
            <w:shd w:val="clear" w:color="auto" w:fill="auto"/>
          </w:tcPr>
          <w:p w14:paraId="6EBFD41F" w14:textId="77777777" w:rsidR="00F3495F" w:rsidRPr="00D2126A" w:rsidRDefault="000E5A86" w:rsidP="006B7D29">
            <w:pPr>
              <w:pStyle w:val="Style3"/>
            </w:pPr>
            <w:r>
              <w:t>Très fréquent</w:t>
            </w:r>
          </w:p>
          <w:p w14:paraId="50399994" w14:textId="77777777" w:rsidR="00F3495F" w:rsidRPr="00D2126A" w:rsidRDefault="000E5A86" w:rsidP="006B7D29">
            <w:pPr>
              <w:rPr>
                <w:sz w:val="20"/>
                <w:szCs w:val="20"/>
              </w:rPr>
            </w:pPr>
            <w:r>
              <w:rPr>
                <w:sz w:val="20"/>
              </w:rPr>
              <w:t>Étourdissements, céphalées</w:t>
            </w:r>
          </w:p>
          <w:p w14:paraId="4CC5A765" w14:textId="77777777" w:rsidR="00F3495F" w:rsidRPr="00D2126A" w:rsidRDefault="00F3495F" w:rsidP="006B7D29">
            <w:pPr>
              <w:rPr>
                <w:sz w:val="20"/>
                <w:szCs w:val="20"/>
              </w:rPr>
            </w:pPr>
          </w:p>
          <w:p w14:paraId="55B3A55B" w14:textId="77777777" w:rsidR="00F3495F" w:rsidRPr="00D2126A" w:rsidRDefault="000E5A86" w:rsidP="006B7D29">
            <w:pPr>
              <w:rPr>
                <w:sz w:val="20"/>
                <w:szCs w:val="20"/>
                <w:u w:val="single"/>
              </w:rPr>
            </w:pPr>
            <w:r>
              <w:rPr>
                <w:sz w:val="20"/>
                <w:u w:val="single"/>
              </w:rPr>
              <w:t>Fréquent</w:t>
            </w:r>
          </w:p>
          <w:p w14:paraId="67DB81D4" w14:textId="77777777" w:rsidR="00F3495F" w:rsidRPr="00D2126A" w:rsidRDefault="000E5A86" w:rsidP="006B7D29">
            <w:pPr>
              <w:rPr>
                <w:sz w:val="20"/>
                <w:szCs w:val="20"/>
              </w:rPr>
            </w:pPr>
            <w:r>
              <w:rPr>
                <w:sz w:val="20"/>
              </w:rPr>
              <w:t>Paresthésies</w:t>
            </w:r>
          </w:p>
        </w:tc>
        <w:tc>
          <w:tcPr>
            <w:tcW w:w="1825" w:type="pct"/>
            <w:shd w:val="clear" w:color="auto" w:fill="auto"/>
          </w:tcPr>
          <w:p w14:paraId="6B107FD3" w14:textId="77777777" w:rsidR="00F3495F" w:rsidRPr="00D2126A" w:rsidRDefault="00F3495F" w:rsidP="006B7D29">
            <w:pPr>
              <w:rPr>
                <w:sz w:val="20"/>
                <w:szCs w:val="20"/>
              </w:rPr>
            </w:pPr>
          </w:p>
        </w:tc>
      </w:tr>
      <w:tr w:rsidR="00D5485C" w:rsidRPr="00D2126A" w14:paraId="67110063" w14:textId="77777777" w:rsidTr="00F003F4">
        <w:trPr>
          <w:cantSplit/>
          <w:trHeight w:val="57"/>
        </w:trPr>
        <w:tc>
          <w:tcPr>
            <w:tcW w:w="1250" w:type="pct"/>
            <w:shd w:val="clear" w:color="auto" w:fill="auto"/>
          </w:tcPr>
          <w:p w14:paraId="152F671B" w14:textId="77777777" w:rsidR="00F3495F" w:rsidRPr="00D2126A" w:rsidRDefault="000E5A86" w:rsidP="006B7D29">
            <w:pPr>
              <w:snapToGrid w:val="0"/>
              <w:rPr>
                <w:b/>
                <w:bCs/>
                <w:sz w:val="20"/>
                <w:szCs w:val="20"/>
              </w:rPr>
            </w:pPr>
            <w:r>
              <w:rPr>
                <w:b/>
                <w:sz w:val="20"/>
              </w:rPr>
              <w:t>Affections cardiaques</w:t>
            </w:r>
          </w:p>
        </w:tc>
        <w:tc>
          <w:tcPr>
            <w:tcW w:w="1925" w:type="pct"/>
            <w:shd w:val="clear" w:color="auto" w:fill="auto"/>
          </w:tcPr>
          <w:p w14:paraId="56933992" w14:textId="77777777" w:rsidR="00F3495F" w:rsidRPr="00D2126A" w:rsidRDefault="00F3495F" w:rsidP="006B7D29">
            <w:pPr>
              <w:rPr>
                <w:b/>
                <w:i/>
                <w:sz w:val="20"/>
                <w:szCs w:val="20"/>
              </w:rPr>
            </w:pPr>
          </w:p>
        </w:tc>
        <w:tc>
          <w:tcPr>
            <w:tcW w:w="1825" w:type="pct"/>
            <w:shd w:val="clear" w:color="auto" w:fill="auto"/>
          </w:tcPr>
          <w:p w14:paraId="691469CF" w14:textId="77777777" w:rsidR="00F3495F" w:rsidRPr="00D2126A" w:rsidRDefault="000E5A86" w:rsidP="006B7D29">
            <w:pPr>
              <w:snapToGrid w:val="0"/>
              <w:rPr>
                <w:sz w:val="20"/>
                <w:szCs w:val="20"/>
                <w:u w:val="single"/>
              </w:rPr>
            </w:pPr>
            <w:r>
              <w:rPr>
                <w:sz w:val="20"/>
                <w:u w:val="single"/>
              </w:rPr>
              <w:t>Fréquent</w:t>
            </w:r>
          </w:p>
          <w:p w14:paraId="4F2C06E3" w14:textId="608B2F26" w:rsidR="00F3495F" w:rsidRPr="00D2126A" w:rsidRDefault="000E5A86" w:rsidP="006B7D29">
            <w:pPr>
              <w:rPr>
                <w:sz w:val="20"/>
                <w:szCs w:val="20"/>
              </w:rPr>
            </w:pPr>
            <w:r>
              <w:rPr>
                <w:sz w:val="20"/>
              </w:rPr>
              <w:t>Infarctus du myocarde aigu^</w:t>
            </w:r>
            <w:r>
              <w:rPr>
                <w:sz w:val="20"/>
                <w:vertAlign w:val="superscript"/>
              </w:rPr>
              <w:t>,◊</w:t>
            </w:r>
            <w:r>
              <w:rPr>
                <w:sz w:val="20"/>
              </w:rPr>
              <w:t>, fibrillation auriculaire</w:t>
            </w:r>
            <w:r>
              <w:rPr>
                <w:sz w:val="20"/>
                <w:vertAlign w:val="superscript"/>
              </w:rPr>
              <w:t>◊</w:t>
            </w:r>
            <w:r>
              <w:rPr>
                <w:sz w:val="20"/>
              </w:rPr>
              <w:t>, insuffisance cardiaque</w:t>
            </w:r>
            <w:r>
              <w:rPr>
                <w:sz w:val="20"/>
                <w:vertAlign w:val="superscript"/>
              </w:rPr>
              <w:t>◊</w:t>
            </w:r>
          </w:p>
        </w:tc>
      </w:tr>
      <w:tr w:rsidR="00D5485C" w:rsidRPr="00D2126A" w14:paraId="311F434E" w14:textId="77777777" w:rsidTr="00F003F4">
        <w:trPr>
          <w:cantSplit/>
          <w:trHeight w:val="57"/>
        </w:trPr>
        <w:tc>
          <w:tcPr>
            <w:tcW w:w="1250" w:type="pct"/>
            <w:shd w:val="clear" w:color="auto" w:fill="auto"/>
          </w:tcPr>
          <w:p w14:paraId="1248D293" w14:textId="77777777" w:rsidR="00F3495F" w:rsidRPr="00D2126A" w:rsidRDefault="000E5A86" w:rsidP="006B7D29">
            <w:pPr>
              <w:snapToGrid w:val="0"/>
              <w:rPr>
                <w:b/>
                <w:bCs/>
                <w:sz w:val="20"/>
                <w:szCs w:val="20"/>
              </w:rPr>
            </w:pPr>
            <w:r>
              <w:rPr>
                <w:b/>
                <w:sz w:val="20"/>
              </w:rPr>
              <w:t>Affections vasculaires</w:t>
            </w:r>
          </w:p>
        </w:tc>
        <w:tc>
          <w:tcPr>
            <w:tcW w:w="1925" w:type="pct"/>
            <w:shd w:val="clear" w:color="auto" w:fill="auto"/>
          </w:tcPr>
          <w:p w14:paraId="0EC30781" w14:textId="77777777" w:rsidR="00F3495F" w:rsidRPr="00D2126A" w:rsidRDefault="000E5A86" w:rsidP="006B7D29">
            <w:pPr>
              <w:rPr>
                <w:sz w:val="20"/>
                <w:szCs w:val="20"/>
                <w:u w:val="single"/>
              </w:rPr>
            </w:pPr>
            <w:r>
              <w:rPr>
                <w:sz w:val="20"/>
                <w:u w:val="single"/>
              </w:rPr>
              <w:t>Fréquent</w:t>
            </w:r>
          </w:p>
          <w:p w14:paraId="6B0398E2" w14:textId="77777777" w:rsidR="00F3495F" w:rsidRPr="00D2126A" w:rsidRDefault="000E5A86" w:rsidP="006B7D29">
            <w:pPr>
              <w:rPr>
                <w:sz w:val="20"/>
                <w:szCs w:val="20"/>
              </w:rPr>
            </w:pPr>
            <w:r>
              <w:rPr>
                <w:sz w:val="20"/>
              </w:rPr>
              <w:t>Hypertension, hématomes</w:t>
            </w:r>
          </w:p>
        </w:tc>
        <w:tc>
          <w:tcPr>
            <w:tcW w:w="1825" w:type="pct"/>
            <w:shd w:val="clear" w:color="auto" w:fill="auto"/>
          </w:tcPr>
          <w:p w14:paraId="040CF8B6" w14:textId="77777777" w:rsidR="00F3495F" w:rsidRPr="00D2126A" w:rsidRDefault="000E5A86" w:rsidP="006B7D29">
            <w:pPr>
              <w:rPr>
                <w:b/>
                <w:sz w:val="20"/>
                <w:szCs w:val="20"/>
                <w:u w:val="single"/>
                <w:shd w:val="clear" w:color="auto" w:fill="C0C0C0"/>
              </w:rPr>
            </w:pPr>
            <w:r>
              <w:rPr>
                <w:sz w:val="20"/>
                <w:u w:val="single"/>
              </w:rPr>
              <w:t>Fréquent</w:t>
            </w:r>
          </w:p>
          <w:p w14:paraId="00AE1318" w14:textId="373732F6" w:rsidR="00F3495F" w:rsidRPr="00D2126A" w:rsidRDefault="000E5A86" w:rsidP="006B7D29">
            <w:pPr>
              <w:rPr>
                <w:sz w:val="20"/>
                <w:szCs w:val="20"/>
              </w:rPr>
            </w:pPr>
            <w:r>
              <w:rPr>
                <w:sz w:val="20"/>
              </w:rPr>
              <w:t>Événements thrombo</w:t>
            </w:r>
            <w:r>
              <w:rPr>
                <w:sz w:val="20"/>
              </w:rPr>
              <w:noBreakHyphen/>
              <w:t>emboliques veineux, essentiellement thrombose veineuse profonde et embolie pulmonaire^</w:t>
            </w:r>
            <w:r>
              <w:rPr>
                <w:sz w:val="20"/>
                <w:vertAlign w:val="superscript"/>
              </w:rPr>
              <w:t>,◊</w:t>
            </w:r>
          </w:p>
        </w:tc>
      </w:tr>
      <w:tr w:rsidR="00D5485C" w:rsidRPr="00D2126A" w14:paraId="46F8CA3D" w14:textId="77777777" w:rsidTr="00F003F4">
        <w:trPr>
          <w:cantSplit/>
          <w:trHeight w:val="57"/>
        </w:trPr>
        <w:tc>
          <w:tcPr>
            <w:tcW w:w="1250" w:type="pct"/>
            <w:shd w:val="clear" w:color="auto" w:fill="auto"/>
          </w:tcPr>
          <w:p w14:paraId="1765DB09" w14:textId="77777777" w:rsidR="00F3495F" w:rsidRPr="00D2126A" w:rsidRDefault="000E5A86" w:rsidP="006B7D29">
            <w:pPr>
              <w:snapToGrid w:val="0"/>
              <w:rPr>
                <w:b/>
                <w:bCs/>
                <w:sz w:val="20"/>
                <w:szCs w:val="20"/>
              </w:rPr>
            </w:pPr>
            <w:r>
              <w:rPr>
                <w:b/>
                <w:sz w:val="20"/>
              </w:rPr>
              <w:t>Affections respiratoires, thoraciques et médiastinales</w:t>
            </w:r>
          </w:p>
        </w:tc>
        <w:tc>
          <w:tcPr>
            <w:tcW w:w="1925" w:type="pct"/>
            <w:shd w:val="clear" w:color="auto" w:fill="auto"/>
          </w:tcPr>
          <w:p w14:paraId="3990A320" w14:textId="77777777" w:rsidR="00F3495F" w:rsidRPr="00D2126A" w:rsidRDefault="000E5A86" w:rsidP="006B7D29">
            <w:pPr>
              <w:rPr>
                <w:b/>
                <w:sz w:val="20"/>
                <w:szCs w:val="20"/>
                <w:u w:val="single"/>
              </w:rPr>
            </w:pPr>
            <w:r>
              <w:rPr>
                <w:sz w:val="20"/>
                <w:u w:val="single"/>
              </w:rPr>
              <w:t>Très fréquent</w:t>
            </w:r>
          </w:p>
          <w:p w14:paraId="7CCEE351" w14:textId="77777777" w:rsidR="00F3495F" w:rsidRPr="00D2126A" w:rsidRDefault="000E5A86" w:rsidP="006B7D29">
            <w:pPr>
              <w:rPr>
                <w:sz w:val="20"/>
                <w:szCs w:val="20"/>
                <w:shd w:val="clear" w:color="auto" w:fill="C0C0C0"/>
              </w:rPr>
            </w:pPr>
            <w:r>
              <w:rPr>
                <w:sz w:val="20"/>
              </w:rPr>
              <w:t>Épistaxis^</w:t>
            </w:r>
          </w:p>
        </w:tc>
        <w:tc>
          <w:tcPr>
            <w:tcW w:w="1825" w:type="pct"/>
            <w:shd w:val="clear" w:color="auto" w:fill="auto"/>
          </w:tcPr>
          <w:p w14:paraId="27F3971C" w14:textId="77777777" w:rsidR="00F3495F" w:rsidRPr="00D2126A" w:rsidRDefault="00F3495F" w:rsidP="006B7D29">
            <w:pPr>
              <w:rPr>
                <w:sz w:val="20"/>
                <w:szCs w:val="20"/>
              </w:rPr>
            </w:pPr>
          </w:p>
        </w:tc>
      </w:tr>
      <w:tr w:rsidR="00D5485C" w:rsidRPr="00D2126A" w14:paraId="3617D2FD" w14:textId="77777777" w:rsidTr="00F003F4">
        <w:trPr>
          <w:cantSplit/>
          <w:trHeight w:val="57"/>
        </w:trPr>
        <w:tc>
          <w:tcPr>
            <w:tcW w:w="1250" w:type="pct"/>
            <w:shd w:val="clear" w:color="auto" w:fill="auto"/>
          </w:tcPr>
          <w:p w14:paraId="5173616C" w14:textId="77777777" w:rsidR="00F3495F" w:rsidRPr="00D2126A" w:rsidRDefault="000E5A86" w:rsidP="006B7D29">
            <w:pPr>
              <w:snapToGrid w:val="0"/>
              <w:rPr>
                <w:b/>
                <w:bCs/>
                <w:sz w:val="20"/>
                <w:szCs w:val="20"/>
              </w:rPr>
            </w:pPr>
            <w:r>
              <w:rPr>
                <w:b/>
                <w:sz w:val="20"/>
              </w:rPr>
              <w:t>Affections gastro</w:t>
            </w:r>
            <w:r>
              <w:rPr>
                <w:b/>
                <w:sz w:val="20"/>
              </w:rPr>
              <w:noBreakHyphen/>
              <w:t>intestinales</w:t>
            </w:r>
          </w:p>
        </w:tc>
        <w:tc>
          <w:tcPr>
            <w:tcW w:w="1925" w:type="pct"/>
            <w:shd w:val="clear" w:color="auto" w:fill="auto"/>
          </w:tcPr>
          <w:p w14:paraId="526D4F37" w14:textId="77777777" w:rsidR="00F3495F" w:rsidRPr="00D2126A" w:rsidRDefault="000E5A86" w:rsidP="006B7D29">
            <w:pPr>
              <w:snapToGrid w:val="0"/>
              <w:rPr>
                <w:b/>
                <w:sz w:val="20"/>
                <w:szCs w:val="20"/>
                <w:u w:val="single"/>
              </w:rPr>
            </w:pPr>
            <w:r>
              <w:rPr>
                <w:sz w:val="20"/>
                <w:u w:val="single"/>
              </w:rPr>
              <w:t>Très fréquent</w:t>
            </w:r>
          </w:p>
          <w:p w14:paraId="4684C8CC" w14:textId="77777777" w:rsidR="00F3495F" w:rsidRPr="00D2126A" w:rsidRDefault="000E5A86" w:rsidP="006B7D29">
            <w:pPr>
              <w:rPr>
                <w:sz w:val="20"/>
                <w:szCs w:val="20"/>
              </w:rPr>
            </w:pPr>
            <w:r>
              <w:rPr>
                <w:sz w:val="20"/>
              </w:rPr>
              <w:t>Diarrhée</w:t>
            </w:r>
            <w:r>
              <w:rPr>
                <w:sz w:val="20"/>
                <w:vertAlign w:val="superscript"/>
              </w:rPr>
              <w:t>◊</w:t>
            </w:r>
            <w:r>
              <w:rPr>
                <w:sz w:val="20"/>
              </w:rPr>
              <w:t>, douleur abdominale (y compris douleur abdominale haute), nausées, vomissements, constipation</w:t>
            </w:r>
          </w:p>
          <w:p w14:paraId="6F180F73" w14:textId="77777777" w:rsidR="00F3495F" w:rsidRPr="00D2126A" w:rsidRDefault="00F3495F" w:rsidP="006B7D29">
            <w:pPr>
              <w:pStyle w:val="Date"/>
              <w:rPr>
                <w:sz w:val="20"/>
                <w:szCs w:val="20"/>
              </w:rPr>
            </w:pPr>
          </w:p>
          <w:p w14:paraId="0915AAB6" w14:textId="77777777" w:rsidR="00F3495F" w:rsidRPr="00D2126A" w:rsidRDefault="000E5A86" w:rsidP="006B7D29">
            <w:pPr>
              <w:rPr>
                <w:sz w:val="20"/>
                <w:szCs w:val="20"/>
                <w:u w:val="single"/>
              </w:rPr>
            </w:pPr>
            <w:r>
              <w:rPr>
                <w:sz w:val="20"/>
                <w:u w:val="single"/>
              </w:rPr>
              <w:t>Fréquent</w:t>
            </w:r>
          </w:p>
          <w:p w14:paraId="1F42CC61" w14:textId="77777777" w:rsidR="00F3495F" w:rsidRPr="00D2126A" w:rsidRDefault="000E5A86" w:rsidP="006B7D29">
            <w:pPr>
              <w:rPr>
                <w:sz w:val="20"/>
                <w:szCs w:val="20"/>
              </w:rPr>
            </w:pPr>
            <w:r>
              <w:rPr>
                <w:sz w:val="20"/>
              </w:rPr>
              <w:t>Sécheresse de la bouche, dyspepsie</w:t>
            </w:r>
          </w:p>
        </w:tc>
        <w:tc>
          <w:tcPr>
            <w:tcW w:w="1825" w:type="pct"/>
            <w:shd w:val="clear" w:color="auto" w:fill="auto"/>
          </w:tcPr>
          <w:p w14:paraId="60A76AEC" w14:textId="77777777" w:rsidR="00F3495F" w:rsidRPr="00D2126A" w:rsidRDefault="000E5A86" w:rsidP="006B7D29">
            <w:pPr>
              <w:snapToGrid w:val="0"/>
              <w:rPr>
                <w:sz w:val="20"/>
                <w:szCs w:val="20"/>
                <w:u w:val="single"/>
              </w:rPr>
            </w:pPr>
            <w:r>
              <w:rPr>
                <w:sz w:val="20"/>
                <w:u w:val="single"/>
              </w:rPr>
              <w:t>Fréquent</w:t>
            </w:r>
          </w:p>
          <w:p w14:paraId="11BDB6BB" w14:textId="77777777" w:rsidR="00F3495F" w:rsidRPr="00D2126A" w:rsidRDefault="000E5A86" w:rsidP="006B7D29">
            <w:pPr>
              <w:rPr>
                <w:b/>
                <w:i/>
                <w:sz w:val="20"/>
                <w:szCs w:val="20"/>
              </w:rPr>
            </w:pPr>
            <w:r>
              <w:rPr>
                <w:sz w:val="20"/>
              </w:rPr>
              <w:t>Diarrhée</w:t>
            </w:r>
            <w:r>
              <w:rPr>
                <w:sz w:val="20"/>
                <w:vertAlign w:val="superscript"/>
              </w:rPr>
              <w:t>◊</w:t>
            </w:r>
            <w:r>
              <w:rPr>
                <w:sz w:val="20"/>
              </w:rPr>
              <w:t>, nausées, odontalgie</w:t>
            </w:r>
          </w:p>
        </w:tc>
      </w:tr>
      <w:tr w:rsidR="00D5485C" w:rsidRPr="00D2126A" w14:paraId="0AF11864" w14:textId="77777777" w:rsidTr="00F003F4">
        <w:trPr>
          <w:cantSplit/>
          <w:trHeight w:val="57"/>
        </w:trPr>
        <w:tc>
          <w:tcPr>
            <w:tcW w:w="1250" w:type="pct"/>
            <w:shd w:val="clear" w:color="auto" w:fill="auto"/>
          </w:tcPr>
          <w:p w14:paraId="4B061072" w14:textId="77777777" w:rsidR="00F3495F" w:rsidRPr="00D2126A" w:rsidRDefault="000E5A86" w:rsidP="006B7D29">
            <w:pPr>
              <w:snapToGrid w:val="0"/>
              <w:rPr>
                <w:b/>
                <w:bCs/>
                <w:sz w:val="20"/>
                <w:szCs w:val="20"/>
              </w:rPr>
            </w:pPr>
            <w:r>
              <w:rPr>
                <w:b/>
                <w:sz w:val="20"/>
              </w:rPr>
              <w:t>Affections hépatobiliaires</w:t>
            </w:r>
          </w:p>
        </w:tc>
        <w:tc>
          <w:tcPr>
            <w:tcW w:w="1925" w:type="pct"/>
            <w:shd w:val="clear" w:color="auto" w:fill="auto"/>
          </w:tcPr>
          <w:p w14:paraId="42B1CBC4" w14:textId="77777777" w:rsidR="00F3495F" w:rsidRPr="00D2126A" w:rsidRDefault="000E5A86" w:rsidP="006B7D29">
            <w:pPr>
              <w:rPr>
                <w:sz w:val="20"/>
                <w:szCs w:val="20"/>
                <w:u w:val="single"/>
              </w:rPr>
            </w:pPr>
            <w:r>
              <w:rPr>
                <w:sz w:val="20"/>
                <w:u w:val="single"/>
              </w:rPr>
              <w:t>Fréquent</w:t>
            </w:r>
          </w:p>
          <w:p w14:paraId="39E2FCB0" w14:textId="569CB13A" w:rsidR="00F3495F" w:rsidRPr="00D2126A" w:rsidRDefault="000E5A86" w:rsidP="006B7D29">
            <w:pPr>
              <w:rPr>
                <w:sz w:val="20"/>
                <w:szCs w:val="20"/>
              </w:rPr>
            </w:pPr>
            <w:r>
              <w:rPr>
                <w:sz w:val="20"/>
              </w:rPr>
              <w:t>Perturbation du bilan hépatique</w:t>
            </w:r>
          </w:p>
        </w:tc>
        <w:tc>
          <w:tcPr>
            <w:tcW w:w="1825" w:type="pct"/>
            <w:shd w:val="clear" w:color="auto" w:fill="auto"/>
          </w:tcPr>
          <w:p w14:paraId="5404C7A6" w14:textId="77777777" w:rsidR="00F3495F" w:rsidRPr="00D2126A" w:rsidRDefault="000E5A86" w:rsidP="006B7D29">
            <w:pPr>
              <w:snapToGrid w:val="0"/>
              <w:rPr>
                <w:sz w:val="20"/>
                <w:szCs w:val="20"/>
                <w:u w:val="single"/>
              </w:rPr>
            </w:pPr>
            <w:r>
              <w:rPr>
                <w:sz w:val="20"/>
                <w:u w:val="single"/>
              </w:rPr>
              <w:t>Fréquent</w:t>
            </w:r>
          </w:p>
          <w:p w14:paraId="566C11BB" w14:textId="5447D18A" w:rsidR="00F3495F" w:rsidRPr="00D2126A" w:rsidRDefault="000E5A86" w:rsidP="006B7D29">
            <w:pPr>
              <w:rPr>
                <w:b/>
                <w:strike/>
                <w:sz w:val="20"/>
                <w:szCs w:val="20"/>
              </w:rPr>
            </w:pPr>
            <w:r>
              <w:rPr>
                <w:sz w:val="20"/>
              </w:rPr>
              <w:t>Perturbation du bilan hépatique</w:t>
            </w:r>
          </w:p>
        </w:tc>
      </w:tr>
      <w:tr w:rsidR="00D5485C" w:rsidRPr="00D2126A" w14:paraId="082C7F87" w14:textId="77777777" w:rsidTr="00F003F4">
        <w:trPr>
          <w:cantSplit/>
          <w:trHeight w:val="57"/>
        </w:trPr>
        <w:tc>
          <w:tcPr>
            <w:tcW w:w="1250" w:type="pct"/>
            <w:shd w:val="clear" w:color="auto" w:fill="auto"/>
          </w:tcPr>
          <w:p w14:paraId="5E41658E" w14:textId="77777777" w:rsidR="00F3495F" w:rsidRPr="00D2126A" w:rsidRDefault="000E5A86" w:rsidP="006B7D29">
            <w:pPr>
              <w:snapToGrid w:val="0"/>
              <w:rPr>
                <w:b/>
                <w:bCs/>
                <w:sz w:val="20"/>
                <w:szCs w:val="20"/>
              </w:rPr>
            </w:pPr>
            <w:r>
              <w:rPr>
                <w:b/>
                <w:sz w:val="20"/>
              </w:rPr>
              <w:t>Affections de la peau et du tissu sous</w:t>
            </w:r>
            <w:r>
              <w:rPr>
                <w:b/>
                <w:sz w:val="20"/>
              </w:rPr>
              <w:noBreakHyphen/>
              <w:t>cutané</w:t>
            </w:r>
          </w:p>
        </w:tc>
        <w:tc>
          <w:tcPr>
            <w:tcW w:w="1925" w:type="pct"/>
            <w:shd w:val="clear" w:color="auto" w:fill="auto"/>
          </w:tcPr>
          <w:p w14:paraId="0DE1DF64" w14:textId="77777777" w:rsidR="00F3495F" w:rsidRPr="00D2126A" w:rsidRDefault="000E5A86" w:rsidP="006B7D29">
            <w:pPr>
              <w:snapToGrid w:val="0"/>
              <w:rPr>
                <w:b/>
                <w:sz w:val="20"/>
                <w:szCs w:val="20"/>
                <w:u w:val="single"/>
              </w:rPr>
            </w:pPr>
            <w:r>
              <w:rPr>
                <w:sz w:val="20"/>
                <w:u w:val="single"/>
              </w:rPr>
              <w:t>Très fréquent</w:t>
            </w:r>
          </w:p>
          <w:p w14:paraId="2D43BAE6" w14:textId="623E824F" w:rsidR="00F3495F" w:rsidRPr="00D2126A" w:rsidRDefault="000E5A86" w:rsidP="006B7D29">
            <w:pPr>
              <w:rPr>
                <w:b/>
                <w:i/>
                <w:sz w:val="20"/>
                <w:szCs w:val="20"/>
              </w:rPr>
            </w:pPr>
            <w:r>
              <w:rPr>
                <w:sz w:val="20"/>
              </w:rPr>
              <w:t>Éruptions cutanées, sécheresse cutanée, prurit</w:t>
            </w:r>
          </w:p>
        </w:tc>
        <w:tc>
          <w:tcPr>
            <w:tcW w:w="1825" w:type="pct"/>
            <w:shd w:val="clear" w:color="auto" w:fill="auto"/>
          </w:tcPr>
          <w:p w14:paraId="1A65CC8B" w14:textId="77777777" w:rsidR="00F3495F" w:rsidRPr="00D2126A" w:rsidRDefault="000E5A86" w:rsidP="006B7D29">
            <w:pPr>
              <w:snapToGrid w:val="0"/>
              <w:rPr>
                <w:sz w:val="20"/>
                <w:szCs w:val="20"/>
                <w:u w:val="single"/>
              </w:rPr>
            </w:pPr>
            <w:r>
              <w:rPr>
                <w:sz w:val="20"/>
                <w:u w:val="single"/>
              </w:rPr>
              <w:t>Fréquent</w:t>
            </w:r>
          </w:p>
          <w:p w14:paraId="4E64B2CF" w14:textId="77777777" w:rsidR="00F3495F" w:rsidRPr="00D2126A" w:rsidRDefault="000E5A86" w:rsidP="006B7D29">
            <w:pPr>
              <w:rPr>
                <w:sz w:val="20"/>
                <w:szCs w:val="20"/>
              </w:rPr>
            </w:pPr>
            <w:r>
              <w:rPr>
                <w:sz w:val="20"/>
              </w:rPr>
              <w:t>Éruptions cutanées, prurit</w:t>
            </w:r>
          </w:p>
        </w:tc>
      </w:tr>
      <w:tr w:rsidR="00D5485C" w:rsidRPr="00D2126A" w14:paraId="426B369B" w14:textId="77777777" w:rsidTr="00F003F4">
        <w:trPr>
          <w:cantSplit/>
          <w:trHeight w:val="57"/>
        </w:trPr>
        <w:tc>
          <w:tcPr>
            <w:tcW w:w="1250" w:type="pct"/>
            <w:shd w:val="clear" w:color="auto" w:fill="auto"/>
          </w:tcPr>
          <w:p w14:paraId="2E2506BB" w14:textId="77777777" w:rsidR="00F3495F" w:rsidRPr="00D2126A" w:rsidRDefault="000E5A86" w:rsidP="006B7D29">
            <w:pPr>
              <w:snapToGrid w:val="0"/>
              <w:rPr>
                <w:b/>
                <w:bCs/>
                <w:sz w:val="20"/>
                <w:szCs w:val="20"/>
              </w:rPr>
            </w:pPr>
            <w:r>
              <w:rPr>
                <w:b/>
                <w:sz w:val="20"/>
              </w:rPr>
              <w:t>Affections musculo</w:t>
            </w:r>
            <w:r>
              <w:rPr>
                <w:b/>
                <w:sz w:val="20"/>
              </w:rPr>
              <w:noBreakHyphen/>
              <w:t>squelettiques et systémiques</w:t>
            </w:r>
          </w:p>
        </w:tc>
        <w:tc>
          <w:tcPr>
            <w:tcW w:w="1925" w:type="pct"/>
            <w:shd w:val="clear" w:color="auto" w:fill="auto"/>
          </w:tcPr>
          <w:p w14:paraId="5D7FFF9C" w14:textId="77777777" w:rsidR="00F3495F" w:rsidRPr="00D2126A" w:rsidRDefault="000E5A86" w:rsidP="006B7D29">
            <w:pPr>
              <w:snapToGrid w:val="0"/>
              <w:rPr>
                <w:b/>
                <w:sz w:val="20"/>
                <w:szCs w:val="20"/>
                <w:u w:val="single"/>
              </w:rPr>
            </w:pPr>
            <w:r>
              <w:rPr>
                <w:sz w:val="20"/>
                <w:u w:val="single"/>
              </w:rPr>
              <w:t>Très fréquent</w:t>
            </w:r>
          </w:p>
          <w:p w14:paraId="127DEF0C" w14:textId="1319EF1D" w:rsidR="00F3495F" w:rsidRPr="00D2126A" w:rsidRDefault="000E5A86" w:rsidP="006B7D29">
            <w:pPr>
              <w:rPr>
                <w:strike/>
                <w:sz w:val="20"/>
                <w:szCs w:val="20"/>
              </w:rPr>
            </w:pPr>
            <w:r>
              <w:rPr>
                <w:sz w:val="20"/>
              </w:rPr>
              <w:t>Spasmes musculaires, douleur musculo</w:t>
            </w:r>
            <w:r>
              <w:rPr>
                <w:sz w:val="20"/>
              </w:rPr>
              <w:noBreakHyphen/>
              <w:t>squelettique (incluant dorsalgies</w:t>
            </w:r>
            <w:r>
              <w:rPr>
                <w:sz w:val="20"/>
                <w:vertAlign w:val="superscript"/>
              </w:rPr>
              <w:t>◊</w:t>
            </w:r>
            <w:r>
              <w:rPr>
                <w:sz w:val="20"/>
              </w:rPr>
              <w:t xml:space="preserve"> et douleurs dans les membres), arthralgies, myalgies</w:t>
            </w:r>
          </w:p>
        </w:tc>
        <w:tc>
          <w:tcPr>
            <w:tcW w:w="1825" w:type="pct"/>
            <w:shd w:val="clear" w:color="auto" w:fill="auto"/>
          </w:tcPr>
          <w:p w14:paraId="04485E01" w14:textId="77777777" w:rsidR="00F3495F" w:rsidRPr="00D2126A" w:rsidRDefault="000E5A86" w:rsidP="006B7D29">
            <w:pPr>
              <w:snapToGrid w:val="0"/>
              <w:rPr>
                <w:sz w:val="20"/>
                <w:szCs w:val="20"/>
                <w:u w:val="single"/>
              </w:rPr>
            </w:pPr>
            <w:r>
              <w:rPr>
                <w:sz w:val="20"/>
                <w:u w:val="single"/>
              </w:rPr>
              <w:t>Fréquent</w:t>
            </w:r>
          </w:p>
          <w:p w14:paraId="674AFA24" w14:textId="77777777" w:rsidR="00F3495F" w:rsidRPr="00D2126A" w:rsidRDefault="000E5A86" w:rsidP="006B7D29">
            <w:pPr>
              <w:rPr>
                <w:sz w:val="20"/>
                <w:szCs w:val="20"/>
              </w:rPr>
            </w:pPr>
            <w:r>
              <w:rPr>
                <w:sz w:val="20"/>
              </w:rPr>
              <w:t>Dorsalgies</w:t>
            </w:r>
            <w:r>
              <w:rPr>
                <w:sz w:val="20"/>
                <w:vertAlign w:val="superscript"/>
              </w:rPr>
              <w:t>◊</w:t>
            </w:r>
          </w:p>
        </w:tc>
      </w:tr>
      <w:tr w:rsidR="00D5485C" w:rsidRPr="00D2126A" w14:paraId="668EA880" w14:textId="77777777" w:rsidTr="00F003F4">
        <w:trPr>
          <w:cantSplit/>
          <w:trHeight w:val="57"/>
        </w:trPr>
        <w:tc>
          <w:tcPr>
            <w:tcW w:w="1250" w:type="pct"/>
            <w:shd w:val="clear" w:color="auto" w:fill="auto"/>
          </w:tcPr>
          <w:p w14:paraId="261AB7FE" w14:textId="77777777" w:rsidR="00F3495F" w:rsidRPr="00D2126A" w:rsidRDefault="000E5A86" w:rsidP="006B7D29">
            <w:pPr>
              <w:snapToGrid w:val="0"/>
              <w:rPr>
                <w:b/>
                <w:bCs/>
                <w:sz w:val="20"/>
                <w:szCs w:val="20"/>
              </w:rPr>
            </w:pPr>
            <w:r>
              <w:rPr>
                <w:b/>
                <w:sz w:val="20"/>
              </w:rPr>
              <w:t>Affections du rein et des voies urinaires</w:t>
            </w:r>
          </w:p>
        </w:tc>
        <w:tc>
          <w:tcPr>
            <w:tcW w:w="1925" w:type="pct"/>
            <w:shd w:val="clear" w:color="auto" w:fill="auto"/>
          </w:tcPr>
          <w:p w14:paraId="6A116363" w14:textId="77777777" w:rsidR="00F3495F" w:rsidRPr="00D2126A" w:rsidRDefault="00F3495F" w:rsidP="006B7D29">
            <w:pPr>
              <w:rPr>
                <w:sz w:val="20"/>
                <w:szCs w:val="20"/>
              </w:rPr>
            </w:pPr>
          </w:p>
        </w:tc>
        <w:tc>
          <w:tcPr>
            <w:tcW w:w="1825" w:type="pct"/>
            <w:shd w:val="clear" w:color="auto" w:fill="auto"/>
          </w:tcPr>
          <w:p w14:paraId="381EBE2F" w14:textId="77777777" w:rsidR="00F3495F" w:rsidRPr="00D2126A" w:rsidRDefault="000E5A86" w:rsidP="006B7D29">
            <w:pPr>
              <w:snapToGrid w:val="0"/>
              <w:rPr>
                <w:sz w:val="20"/>
                <w:szCs w:val="20"/>
                <w:u w:val="single"/>
              </w:rPr>
            </w:pPr>
            <w:r>
              <w:rPr>
                <w:sz w:val="20"/>
                <w:u w:val="single"/>
              </w:rPr>
              <w:t>Fréquent</w:t>
            </w:r>
          </w:p>
          <w:p w14:paraId="0E72D629" w14:textId="77777777" w:rsidR="00F3495F" w:rsidRPr="00D2126A" w:rsidRDefault="000E5A86" w:rsidP="006B7D29">
            <w:pPr>
              <w:rPr>
                <w:sz w:val="20"/>
                <w:szCs w:val="20"/>
              </w:rPr>
            </w:pPr>
            <w:r>
              <w:rPr>
                <w:sz w:val="20"/>
              </w:rPr>
              <w:t>Insuffisance rénale</w:t>
            </w:r>
            <w:r>
              <w:rPr>
                <w:sz w:val="20"/>
                <w:vertAlign w:val="superscript"/>
              </w:rPr>
              <w:t>◊</w:t>
            </w:r>
          </w:p>
        </w:tc>
      </w:tr>
      <w:tr w:rsidR="00D5485C" w:rsidRPr="00D2126A" w14:paraId="137260B0" w14:textId="77777777" w:rsidTr="00F003F4">
        <w:trPr>
          <w:cantSplit/>
          <w:trHeight w:val="57"/>
        </w:trPr>
        <w:tc>
          <w:tcPr>
            <w:tcW w:w="1250" w:type="pct"/>
            <w:shd w:val="clear" w:color="auto" w:fill="auto"/>
          </w:tcPr>
          <w:p w14:paraId="09E32CE4" w14:textId="77777777" w:rsidR="00F3495F" w:rsidRPr="00D2126A" w:rsidRDefault="000E5A86" w:rsidP="006B7D29">
            <w:pPr>
              <w:keepNext/>
              <w:snapToGrid w:val="0"/>
              <w:rPr>
                <w:b/>
                <w:bCs/>
                <w:sz w:val="20"/>
                <w:szCs w:val="20"/>
              </w:rPr>
            </w:pPr>
            <w:r>
              <w:rPr>
                <w:b/>
                <w:sz w:val="20"/>
              </w:rPr>
              <w:t>Troubles généraux et anomalies au site d’administration</w:t>
            </w:r>
          </w:p>
        </w:tc>
        <w:tc>
          <w:tcPr>
            <w:tcW w:w="1925" w:type="pct"/>
            <w:shd w:val="clear" w:color="auto" w:fill="auto"/>
          </w:tcPr>
          <w:p w14:paraId="6B3DDA00" w14:textId="77777777" w:rsidR="00F3495F" w:rsidRPr="00D2126A" w:rsidRDefault="000E5A86" w:rsidP="006B7D29">
            <w:pPr>
              <w:pStyle w:val="Style3"/>
            </w:pPr>
            <w:r>
              <w:t>Très fréquent</w:t>
            </w:r>
          </w:p>
          <w:p w14:paraId="3EE13487" w14:textId="77777777" w:rsidR="00F3495F" w:rsidRPr="00D2126A" w:rsidRDefault="000E5A86" w:rsidP="006B7D29">
            <w:pPr>
              <w:keepNext/>
              <w:rPr>
                <w:sz w:val="20"/>
                <w:szCs w:val="20"/>
                <w:shd w:val="clear" w:color="auto" w:fill="C0C0C0"/>
              </w:rPr>
            </w:pPr>
            <w:r>
              <w:rPr>
                <w:sz w:val="20"/>
              </w:rPr>
              <w:t>Fatigue, œdème périphérique, syndrome pseudo</w:t>
            </w:r>
            <w:r>
              <w:rPr>
                <w:sz w:val="20"/>
              </w:rPr>
              <w:noBreakHyphen/>
              <w:t>grippal (y compris pyrexie, toux, pharyngite, myalgie, douleur musculo</w:t>
            </w:r>
            <w:r>
              <w:rPr>
                <w:sz w:val="20"/>
              </w:rPr>
              <w:noBreakHyphen/>
              <w:t>squelettique, céphalées)</w:t>
            </w:r>
          </w:p>
        </w:tc>
        <w:tc>
          <w:tcPr>
            <w:tcW w:w="1825" w:type="pct"/>
            <w:shd w:val="clear" w:color="auto" w:fill="auto"/>
          </w:tcPr>
          <w:p w14:paraId="60A8E2B4" w14:textId="77777777" w:rsidR="00F3495F" w:rsidRPr="00D2126A" w:rsidRDefault="000E5A86" w:rsidP="006B7D29">
            <w:pPr>
              <w:keepNext/>
              <w:snapToGrid w:val="0"/>
              <w:rPr>
                <w:sz w:val="20"/>
                <w:szCs w:val="20"/>
                <w:u w:val="single"/>
              </w:rPr>
            </w:pPr>
            <w:r>
              <w:rPr>
                <w:sz w:val="20"/>
                <w:u w:val="single"/>
              </w:rPr>
              <w:t>Fréquent</w:t>
            </w:r>
          </w:p>
          <w:p w14:paraId="4A0DEE0E" w14:textId="77777777" w:rsidR="00F3495F" w:rsidRPr="00D2126A" w:rsidRDefault="000E5A86" w:rsidP="006B7D29">
            <w:pPr>
              <w:keepNext/>
              <w:rPr>
                <w:sz w:val="20"/>
                <w:szCs w:val="20"/>
              </w:rPr>
            </w:pPr>
            <w:r>
              <w:rPr>
                <w:sz w:val="20"/>
              </w:rPr>
              <w:t>Pyrexie</w:t>
            </w:r>
          </w:p>
        </w:tc>
      </w:tr>
      <w:tr w:rsidR="00D5485C" w:rsidRPr="00D2126A" w14:paraId="457A64B5" w14:textId="77777777" w:rsidTr="00F003F4">
        <w:trPr>
          <w:cantSplit/>
          <w:trHeight w:val="57"/>
        </w:trPr>
        <w:tc>
          <w:tcPr>
            <w:tcW w:w="1250" w:type="pct"/>
            <w:shd w:val="clear" w:color="auto" w:fill="auto"/>
          </w:tcPr>
          <w:p w14:paraId="25F3EBFF" w14:textId="77777777" w:rsidR="00F3495F" w:rsidRPr="00D2126A" w:rsidRDefault="000E5A86" w:rsidP="006B7D29">
            <w:pPr>
              <w:keepNext/>
              <w:snapToGrid w:val="0"/>
              <w:rPr>
                <w:b/>
                <w:bCs/>
                <w:sz w:val="20"/>
                <w:szCs w:val="20"/>
              </w:rPr>
            </w:pPr>
            <w:r>
              <w:rPr>
                <w:b/>
                <w:sz w:val="20"/>
              </w:rPr>
              <w:t>Lésions, intoxications et complications liées aux procédures</w:t>
            </w:r>
          </w:p>
        </w:tc>
        <w:tc>
          <w:tcPr>
            <w:tcW w:w="1925" w:type="pct"/>
            <w:shd w:val="clear" w:color="auto" w:fill="auto"/>
          </w:tcPr>
          <w:p w14:paraId="19B167FC" w14:textId="77777777" w:rsidR="00F3495F" w:rsidRPr="00D2126A" w:rsidRDefault="00F3495F" w:rsidP="006B7D29">
            <w:pPr>
              <w:keepNext/>
              <w:snapToGrid w:val="0"/>
              <w:rPr>
                <w:sz w:val="20"/>
                <w:szCs w:val="20"/>
                <w:u w:val="single"/>
              </w:rPr>
            </w:pPr>
          </w:p>
        </w:tc>
        <w:tc>
          <w:tcPr>
            <w:tcW w:w="1825" w:type="pct"/>
            <w:shd w:val="clear" w:color="auto" w:fill="auto"/>
          </w:tcPr>
          <w:p w14:paraId="45EEF9ED" w14:textId="77777777" w:rsidR="00F3495F" w:rsidRPr="00D2126A" w:rsidRDefault="000E5A86" w:rsidP="006B7D29">
            <w:pPr>
              <w:keepNext/>
              <w:snapToGrid w:val="0"/>
              <w:rPr>
                <w:sz w:val="20"/>
                <w:szCs w:val="20"/>
                <w:u w:val="single"/>
              </w:rPr>
            </w:pPr>
            <w:r>
              <w:rPr>
                <w:sz w:val="20"/>
                <w:u w:val="single"/>
              </w:rPr>
              <w:t>Fréquent</w:t>
            </w:r>
          </w:p>
          <w:p w14:paraId="7BF6C898" w14:textId="77777777" w:rsidR="00F3495F" w:rsidRPr="00D2126A" w:rsidRDefault="000E5A86" w:rsidP="006B7D29">
            <w:pPr>
              <w:keepNext/>
              <w:snapToGrid w:val="0"/>
              <w:rPr>
                <w:sz w:val="20"/>
                <w:szCs w:val="20"/>
                <w:u w:val="single"/>
              </w:rPr>
            </w:pPr>
            <w:r>
              <w:rPr>
                <w:sz w:val="20"/>
              </w:rPr>
              <w:t>Chute</w:t>
            </w:r>
          </w:p>
        </w:tc>
      </w:tr>
    </w:tbl>
    <w:p w14:paraId="03764667" w14:textId="7C094251" w:rsidR="00F3495F" w:rsidRPr="00D2126A" w:rsidRDefault="000E5A86" w:rsidP="00C93C76">
      <w:pPr>
        <w:rPr>
          <w:sz w:val="16"/>
          <w:szCs w:val="16"/>
        </w:rPr>
      </w:pPr>
      <w:r>
        <w:rPr>
          <w:sz w:val="16"/>
        </w:rPr>
        <w:t>^ Voir rubrique 4.8 Description de certains effets indésirables.</w:t>
      </w:r>
    </w:p>
    <w:p w14:paraId="6B779E4E" w14:textId="7E26AA9F" w:rsidR="00F3495F" w:rsidRPr="00D2126A" w:rsidRDefault="000E5A86" w:rsidP="00C93C76">
      <w:pPr>
        <w:pStyle w:val="Date"/>
        <w:rPr>
          <w:sz w:val="16"/>
          <w:szCs w:val="16"/>
        </w:rPr>
      </w:pPr>
      <w:r>
        <w:rPr>
          <w:sz w:val="16"/>
          <w:vertAlign w:val="superscript"/>
        </w:rPr>
        <w:t xml:space="preserve">◊ </w:t>
      </w:r>
      <w:r>
        <w:rPr>
          <w:sz w:val="16"/>
        </w:rPr>
        <w:t>Effets indésirables rapportés comme graves dans les études cliniques menées dans les syndromes myélodysplasiques.</w:t>
      </w:r>
    </w:p>
    <w:p w14:paraId="5353E301" w14:textId="2C6C8974" w:rsidR="00036363" w:rsidRPr="00D2126A" w:rsidRDefault="000E5A86" w:rsidP="00C93C76">
      <w:pPr>
        <w:pStyle w:val="Date"/>
        <w:rPr>
          <w:sz w:val="16"/>
          <w:szCs w:val="16"/>
        </w:rPr>
      </w:pPr>
      <w:r>
        <w:rPr>
          <w:sz w:val="16"/>
        </w:rPr>
        <w:t>~ Les troubles de l’humeur ont été un événement indésirable grave fréquent dans l’étude de phase 3 dans les syndromes myélodysplasiques ; aucun événement de grade 3 ou 4 n’a été rapporté.</w:t>
      </w:r>
    </w:p>
    <w:p w14:paraId="2BC56C2E" w14:textId="04A04FE8" w:rsidR="00F3495F" w:rsidRPr="00D2126A" w:rsidRDefault="000E5A86" w:rsidP="00C93C76">
      <w:pPr>
        <w:pStyle w:val="Date"/>
        <w:rPr>
          <w:sz w:val="16"/>
          <w:szCs w:val="16"/>
        </w:rPr>
      </w:pPr>
      <w:r>
        <w:rPr>
          <w:sz w:val="16"/>
        </w:rPr>
        <w:t>Algorithme utilisé pour l’inclusion dans le RCP : tous les effets indésirables enregistrés à l’aide de l’algorithme de l’étude de phase 3 sont répertoriés dans le RCP européen. Pour ces effets indésirables, un contrôle supplémentaire de la fréquence des effets indésirables enregistrés à l’aide de l’algorithme de l’étude de phase 2 a été effectué ; si la fréquence de l’effet indésirable dans l’étude de phase 2 était supérieure à celle rapportée dans l’étude de phase 3, l’événement a été répertorié dans le RCP européen dans la catégorie de fréquence observée dans l’étude de phase 2.</w:t>
      </w:r>
    </w:p>
    <w:p w14:paraId="4FD3EC3D" w14:textId="77777777" w:rsidR="00F3495F" w:rsidRPr="00D2126A" w:rsidRDefault="000E5A86" w:rsidP="00C93C76">
      <w:pPr>
        <w:pStyle w:val="Date"/>
        <w:keepNext/>
        <w:rPr>
          <w:sz w:val="16"/>
          <w:szCs w:val="16"/>
        </w:rPr>
      </w:pPr>
      <w:r>
        <w:rPr>
          <w:sz w:val="16"/>
        </w:rPr>
        <w:t># Algorithme utilisé pour les syndromes myélodysplasiques :</w:t>
      </w:r>
    </w:p>
    <w:p w14:paraId="1478A09E" w14:textId="77777777" w:rsidR="00036363" w:rsidRPr="00D2126A" w:rsidRDefault="000E5A86" w:rsidP="00C93C76">
      <w:pPr>
        <w:pStyle w:val="Date"/>
        <w:keepNext/>
        <w:numPr>
          <w:ilvl w:val="0"/>
          <w:numId w:val="33"/>
        </w:numPr>
        <w:tabs>
          <w:tab w:val="clear" w:pos="720"/>
          <w:tab w:val="num" w:pos="567"/>
        </w:tabs>
        <w:ind w:left="567" w:hanging="567"/>
        <w:rPr>
          <w:sz w:val="16"/>
          <w:szCs w:val="16"/>
        </w:rPr>
      </w:pPr>
      <w:r>
        <w:rPr>
          <w:sz w:val="16"/>
        </w:rPr>
        <w:t>Étude de phase 3 dans les syndromes myélodysplasiques (population étudiée en tolérance en double aveugle, différence entre les groupes lénalidomide 5/10 mg et placebo, en fonction du schéma posologique initial, survenus chez au moins 2 patients)</w:t>
      </w:r>
    </w:p>
    <w:p w14:paraId="6CE85D76" w14:textId="543871F5"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Tous les effets indésirables apparus sous traitement rapportés chez ≥ 5 % des patients traités par le lénalidomide et avec une différence d’au moins 2 % entre le lénalidomide et le placebo.</w:t>
      </w:r>
    </w:p>
    <w:p w14:paraId="295671A1" w14:textId="45F066D2" w:rsidR="00F3495F" w:rsidRPr="00D2126A" w:rsidRDefault="000E5A86" w:rsidP="00C93C76">
      <w:pPr>
        <w:pStyle w:val="Date"/>
        <w:keepNext/>
        <w:numPr>
          <w:ilvl w:val="1"/>
          <w:numId w:val="33"/>
        </w:numPr>
        <w:tabs>
          <w:tab w:val="clear" w:pos="1440"/>
          <w:tab w:val="num" w:pos="1134"/>
        </w:tabs>
        <w:ind w:left="1134" w:hanging="567"/>
        <w:rPr>
          <w:sz w:val="16"/>
          <w:szCs w:val="16"/>
        </w:rPr>
      </w:pPr>
      <w:r>
        <w:rPr>
          <w:sz w:val="16"/>
        </w:rPr>
        <w:t>Tous les effets indésirables apparus sous traitement de grade 3 ou 4 rapportés chez 1 % des patients traités par le lénalidomide et avec une différence d’au moins 1 % entre le lénalidomide et le placebo.</w:t>
      </w:r>
    </w:p>
    <w:p w14:paraId="7451E768"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Tous les effets indésirables graves apparus sous traitement rapportés chez 1 % des patients traités par le lénalidomide et avec une différence d’au moins 1 % entre le lénalidomide et le placebo.</w:t>
      </w:r>
    </w:p>
    <w:p w14:paraId="05276A49" w14:textId="101784A0" w:rsidR="00F3495F" w:rsidRPr="00D2126A" w:rsidRDefault="000E5A86" w:rsidP="00C93C76">
      <w:pPr>
        <w:keepNext/>
        <w:numPr>
          <w:ilvl w:val="0"/>
          <w:numId w:val="33"/>
        </w:numPr>
        <w:tabs>
          <w:tab w:val="clear" w:pos="720"/>
          <w:tab w:val="num" w:pos="567"/>
        </w:tabs>
        <w:ind w:left="567" w:hanging="567"/>
        <w:rPr>
          <w:sz w:val="16"/>
          <w:szCs w:val="16"/>
        </w:rPr>
      </w:pPr>
      <w:r>
        <w:rPr>
          <w:sz w:val="16"/>
        </w:rPr>
        <w:t>Étude de phase 2 dans les syndromes myélodysplasiques</w:t>
      </w:r>
    </w:p>
    <w:p w14:paraId="54251C67" w14:textId="654014E8"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Tous les effets indésirables apparus sous traitement rapportés chez ≥ 5 % des patients traités par le lénalidomide.</w:t>
      </w:r>
    </w:p>
    <w:p w14:paraId="2EBF89DD" w14:textId="4A5AE91A" w:rsidR="00F3495F" w:rsidRPr="00D2126A" w:rsidRDefault="000E5A86" w:rsidP="00C93C76">
      <w:pPr>
        <w:keepNext/>
        <w:numPr>
          <w:ilvl w:val="1"/>
          <w:numId w:val="33"/>
        </w:numPr>
        <w:tabs>
          <w:tab w:val="clear" w:pos="1440"/>
          <w:tab w:val="num" w:pos="1134"/>
        </w:tabs>
        <w:ind w:left="1134" w:hanging="567"/>
        <w:rPr>
          <w:sz w:val="16"/>
          <w:szCs w:val="16"/>
        </w:rPr>
      </w:pPr>
      <w:r>
        <w:rPr>
          <w:sz w:val="16"/>
        </w:rPr>
        <w:t>Tous les effets indésirables apparus sous traitement de grade 3 ou 4 rapportés chez 1 % des patients traités par le lénalidomide.</w:t>
      </w:r>
    </w:p>
    <w:p w14:paraId="0518B316"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Tous les effets indésirables graves apparus sous traitement rapportés chez 1 % des patients traités par le lénalidomide.</w:t>
      </w:r>
    </w:p>
    <w:p w14:paraId="1F9B17A1" w14:textId="77777777" w:rsidR="00F3495F" w:rsidRPr="00AB0414" w:rsidRDefault="00F3495F" w:rsidP="00C93C76">
      <w:pPr>
        <w:pStyle w:val="C-BodyText"/>
        <w:spacing w:before="0" w:after="0" w:line="240" w:lineRule="auto"/>
        <w:rPr>
          <w:sz w:val="22"/>
          <w:szCs w:val="22"/>
        </w:rPr>
      </w:pPr>
    </w:p>
    <w:p w14:paraId="1BE63DA7" w14:textId="77777777" w:rsidR="00F3495F" w:rsidRPr="00D2126A" w:rsidRDefault="000E5A86" w:rsidP="00C93C76">
      <w:pPr>
        <w:pStyle w:val="C-TableHeader"/>
        <w:spacing w:before="0" w:after="0"/>
        <w:rPr>
          <w:i/>
        </w:rPr>
      </w:pPr>
      <w:r>
        <w:t>Tableau 4. Effets indésirables rapportés lors des études cliniques chez les patients présentant un lymphome à cellules du manteau traités par le lénalidomide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75"/>
        <w:gridCol w:w="3631"/>
        <w:gridCol w:w="3880"/>
      </w:tblGrid>
      <w:tr w:rsidR="00D5485C" w:rsidRPr="00D2126A" w14:paraId="3B695719" w14:textId="77777777" w:rsidTr="00F003F4">
        <w:trPr>
          <w:cantSplit/>
          <w:trHeight w:val="57"/>
          <w:tblHeader/>
        </w:trPr>
        <w:tc>
          <w:tcPr>
            <w:tcW w:w="955" w:type="pct"/>
            <w:shd w:val="clear" w:color="auto" w:fill="auto"/>
          </w:tcPr>
          <w:p w14:paraId="6AD7F20D" w14:textId="5B5E76EE" w:rsidR="00F3495F" w:rsidRPr="00D2126A" w:rsidRDefault="000E5A86" w:rsidP="006B7D29">
            <w:pPr>
              <w:keepNext/>
              <w:snapToGrid w:val="0"/>
              <w:rPr>
                <w:b/>
                <w:bCs/>
                <w:sz w:val="20"/>
                <w:szCs w:val="20"/>
              </w:rPr>
            </w:pPr>
            <w:r>
              <w:rPr>
                <w:b/>
                <w:sz w:val="20"/>
              </w:rPr>
              <w:t>Classe de systèmes d’organes / Terme préférentiel</w:t>
            </w:r>
          </w:p>
        </w:tc>
        <w:tc>
          <w:tcPr>
            <w:tcW w:w="1955" w:type="pct"/>
            <w:shd w:val="clear" w:color="auto" w:fill="auto"/>
          </w:tcPr>
          <w:p w14:paraId="796DDA60" w14:textId="77777777" w:rsidR="00F3495F" w:rsidRPr="00D2126A" w:rsidRDefault="000E5A86" w:rsidP="006B7D29">
            <w:pPr>
              <w:keepNext/>
              <w:snapToGrid w:val="0"/>
              <w:rPr>
                <w:b/>
                <w:sz w:val="20"/>
                <w:szCs w:val="20"/>
              </w:rPr>
            </w:pPr>
            <w:r>
              <w:rPr>
                <w:b/>
                <w:sz w:val="20"/>
              </w:rPr>
              <w:t>Effets indésirables de tous grades / Fréquence</w:t>
            </w:r>
          </w:p>
        </w:tc>
        <w:tc>
          <w:tcPr>
            <w:tcW w:w="2089" w:type="pct"/>
            <w:shd w:val="clear" w:color="auto" w:fill="auto"/>
          </w:tcPr>
          <w:p w14:paraId="19ADCB9F" w14:textId="734A72AB" w:rsidR="00F3495F" w:rsidRPr="00D2126A" w:rsidRDefault="000E5A86" w:rsidP="006B7D29">
            <w:pPr>
              <w:keepNext/>
              <w:snapToGrid w:val="0"/>
              <w:rPr>
                <w:b/>
                <w:sz w:val="20"/>
                <w:szCs w:val="20"/>
              </w:rPr>
            </w:pPr>
            <w:r>
              <w:rPr>
                <w:b/>
                <w:sz w:val="20"/>
              </w:rPr>
              <w:t>Effets indésirables de grade 3–4 / Fréquence</w:t>
            </w:r>
          </w:p>
        </w:tc>
      </w:tr>
      <w:tr w:rsidR="00D5485C" w:rsidRPr="00D2126A" w14:paraId="0113DFA3" w14:textId="77777777" w:rsidTr="00F003F4">
        <w:trPr>
          <w:cantSplit/>
          <w:trHeight w:val="57"/>
        </w:trPr>
        <w:tc>
          <w:tcPr>
            <w:tcW w:w="955" w:type="pct"/>
            <w:shd w:val="clear" w:color="auto" w:fill="auto"/>
          </w:tcPr>
          <w:p w14:paraId="533F26BC" w14:textId="77777777" w:rsidR="00F3495F" w:rsidRPr="00D2126A" w:rsidRDefault="000E5A86" w:rsidP="006B7D29">
            <w:pPr>
              <w:snapToGrid w:val="0"/>
              <w:rPr>
                <w:b/>
                <w:bCs/>
                <w:sz w:val="20"/>
                <w:szCs w:val="20"/>
              </w:rPr>
            </w:pPr>
            <w:r>
              <w:rPr>
                <w:b/>
                <w:sz w:val="20"/>
              </w:rPr>
              <w:t>Infections et infestations</w:t>
            </w:r>
          </w:p>
        </w:tc>
        <w:tc>
          <w:tcPr>
            <w:tcW w:w="1955" w:type="pct"/>
            <w:shd w:val="clear" w:color="auto" w:fill="auto"/>
          </w:tcPr>
          <w:p w14:paraId="38BDCD2B" w14:textId="77777777" w:rsidR="00F3495F" w:rsidRPr="00D2126A" w:rsidRDefault="000E5A86" w:rsidP="006B7D29">
            <w:pPr>
              <w:rPr>
                <w:sz w:val="20"/>
                <w:szCs w:val="20"/>
                <w:u w:val="single"/>
                <w:shd w:val="clear" w:color="auto" w:fill="C0C0C0"/>
              </w:rPr>
            </w:pPr>
            <w:r>
              <w:rPr>
                <w:sz w:val="20"/>
                <w:u w:val="single"/>
              </w:rPr>
              <w:t>Très fréquent</w:t>
            </w:r>
          </w:p>
          <w:p w14:paraId="6474C069" w14:textId="77777777" w:rsidR="00F3495F" w:rsidRPr="00D2126A" w:rsidRDefault="000E5A86" w:rsidP="006B7D29">
            <w:pPr>
              <w:rPr>
                <w:sz w:val="20"/>
                <w:szCs w:val="20"/>
              </w:rPr>
            </w:pPr>
            <w:r>
              <w:rPr>
                <w:sz w:val="20"/>
              </w:rPr>
              <w:t>Infections bactériennes, virales et fongiques (y compris infections opportunistes)</w:t>
            </w:r>
            <w:r>
              <w:rPr>
                <w:sz w:val="20"/>
                <w:vertAlign w:val="superscript"/>
              </w:rPr>
              <w:t>◊</w:t>
            </w:r>
            <w:r>
              <w:rPr>
                <w:sz w:val="20"/>
              </w:rPr>
              <w:t>, rhinopharyngite, pharyngite, pneumonie</w:t>
            </w:r>
            <w:r>
              <w:rPr>
                <w:sz w:val="20"/>
                <w:vertAlign w:val="superscript"/>
              </w:rPr>
              <w:t>◊</w:t>
            </w:r>
          </w:p>
          <w:p w14:paraId="6E067B85" w14:textId="77777777" w:rsidR="00F3495F" w:rsidRPr="00D2126A" w:rsidRDefault="00F3495F" w:rsidP="006B7D29">
            <w:pPr>
              <w:pStyle w:val="Date"/>
              <w:rPr>
                <w:sz w:val="20"/>
                <w:szCs w:val="20"/>
              </w:rPr>
            </w:pPr>
          </w:p>
          <w:p w14:paraId="09BD956E" w14:textId="77777777" w:rsidR="00F3495F" w:rsidRPr="00D2126A" w:rsidRDefault="000E5A86" w:rsidP="006B7D29">
            <w:pPr>
              <w:rPr>
                <w:sz w:val="20"/>
                <w:szCs w:val="20"/>
                <w:u w:val="single"/>
              </w:rPr>
            </w:pPr>
            <w:r>
              <w:rPr>
                <w:sz w:val="20"/>
                <w:u w:val="single"/>
              </w:rPr>
              <w:t>Fréquent</w:t>
            </w:r>
          </w:p>
          <w:p w14:paraId="491A5708" w14:textId="77777777" w:rsidR="00F3495F" w:rsidRPr="00D2126A" w:rsidRDefault="000E5A86" w:rsidP="006B7D29">
            <w:pPr>
              <w:pStyle w:val="Date"/>
              <w:rPr>
                <w:sz w:val="20"/>
                <w:szCs w:val="20"/>
              </w:rPr>
            </w:pPr>
            <w:r>
              <w:rPr>
                <w:sz w:val="20"/>
              </w:rPr>
              <w:t>Sinusite</w:t>
            </w:r>
          </w:p>
        </w:tc>
        <w:tc>
          <w:tcPr>
            <w:tcW w:w="2089" w:type="pct"/>
            <w:shd w:val="clear" w:color="auto" w:fill="auto"/>
          </w:tcPr>
          <w:p w14:paraId="12899EFB" w14:textId="77777777" w:rsidR="00F3495F" w:rsidRPr="00D2126A" w:rsidRDefault="000E5A86" w:rsidP="006B7D29">
            <w:pPr>
              <w:rPr>
                <w:sz w:val="20"/>
                <w:szCs w:val="20"/>
              </w:rPr>
            </w:pPr>
            <w:r>
              <w:rPr>
                <w:sz w:val="20"/>
                <w:u w:val="single"/>
              </w:rPr>
              <w:t>Fréquent</w:t>
            </w:r>
          </w:p>
          <w:p w14:paraId="44A4CB31" w14:textId="77777777" w:rsidR="00F3495F" w:rsidRPr="00D2126A" w:rsidRDefault="000E5A86" w:rsidP="006B7D29">
            <w:pPr>
              <w:rPr>
                <w:sz w:val="20"/>
                <w:szCs w:val="20"/>
                <w:vertAlign w:val="superscript"/>
              </w:rPr>
            </w:pPr>
            <w:r>
              <w:rPr>
                <w:sz w:val="20"/>
              </w:rPr>
              <w:t>Infections bactériennes, virales et fongiques (y compris infections opportunistes)</w:t>
            </w:r>
            <w:r>
              <w:rPr>
                <w:sz w:val="20"/>
                <w:vertAlign w:val="superscript"/>
              </w:rPr>
              <w:t>◊</w:t>
            </w:r>
            <w:r>
              <w:rPr>
                <w:sz w:val="20"/>
              </w:rPr>
              <w:t>, pneumonie</w:t>
            </w:r>
            <w:r>
              <w:rPr>
                <w:sz w:val="20"/>
                <w:vertAlign w:val="superscript"/>
              </w:rPr>
              <w:t>◊</w:t>
            </w:r>
          </w:p>
        </w:tc>
      </w:tr>
      <w:tr w:rsidR="00D5485C" w:rsidRPr="00D2126A" w14:paraId="0800A481" w14:textId="77777777" w:rsidTr="00F003F4">
        <w:trPr>
          <w:cantSplit/>
          <w:trHeight w:val="57"/>
        </w:trPr>
        <w:tc>
          <w:tcPr>
            <w:tcW w:w="955" w:type="pct"/>
            <w:shd w:val="clear" w:color="auto" w:fill="auto"/>
          </w:tcPr>
          <w:p w14:paraId="7277129B" w14:textId="77777777" w:rsidR="00F3495F" w:rsidRPr="00D2126A" w:rsidRDefault="000E5A86" w:rsidP="006B7D29">
            <w:pPr>
              <w:snapToGrid w:val="0"/>
              <w:rPr>
                <w:b/>
                <w:bCs/>
                <w:sz w:val="20"/>
                <w:szCs w:val="20"/>
              </w:rPr>
            </w:pPr>
            <w:r>
              <w:rPr>
                <w:b/>
                <w:sz w:val="20"/>
              </w:rPr>
              <w:t>Tumeurs bénignes, malignes et non précisées (incluant kystes et polypes)</w:t>
            </w:r>
          </w:p>
        </w:tc>
        <w:tc>
          <w:tcPr>
            <w:tcW w:w="1955" w:type="pct"/>
            <w:shd w:val="clear" w:color="auto" w:fill="auto"/>
          </w:tcPr>
          <w:p w14:paraId="5D11AC75" w14:textId="77777777" w:rsidR="00F3495F" w:rsidRPr="00D2126A" w:rsidRDefault="000E5A86" w:rsidP="006B7D29">
            <w:pPr>
              <w:rPr>
                <w:sz w:val="20"/>
                <w:szCs w:val="20"/>
                <w:u w:val="single"/>
              </w:rPr>
            </w:pPr>
            <w:r>
              <w:rPr>
                <w:sz w:val="20"/>
                <w:u w:val="single"/>
              </w:rPr>
              <w:t>Fréquent</w:t>
            </w:r>
          </w:p>
          <w:p w14:paraId="0A11FC51" w14:textId="77777777" w:rsidR="00F3495F" w:rsidRPr="00D2126A" w:rsidRDefault="000E5A86" w:rsidP="006B7D29">
            <w:pPr>
              <w:pStyle w:val="Date"/>
              <w:rPr>
                <w:sz w:val="20"/>
                <w:szCs w:val="20"/>
              </w:rPr>
            </w:pPr>
            <w:r>
              <w:rPr>
                <w:sz w:val="20"/>
              </w:rPr>
              <w:t>Réaction de poussée tumorale</w:t>
            </w:r>
          </w:p>
        </w:tc>
        <w:tc>
          <w:tcPr>
            <w:tcW w:w="2089" w:type="pct"/>
            <w:shd w:val="clear" w:color="auto" w:fill="auto"/>
          </w:tcPr>
          <w:p w14:paraId="6F0973E8" w14:textId="77777777" w:rsidR="00F3495F" w:rsidRPr="00D2126A" w:rsidRDefault="000E5A86" w:rsidP="006B7D29">
            <w:pPr>
              <w:rPr>
                <w:sz w:val="20"/>
                <w:szCs w:val="20"/>
                <w:u w:val="single"/>
              </w:rPr>
            </w:pPr>
            <w:r>
              <w:rPr>
                <w:sz w:val="20"/>
                <w:u w:val="single"/>
              </w:rPr>
              <w:t>Fréquent</w:t>
            </w:r>
          </w:p>
          <w:p w14:paraId="58B08C3B" w14:textId="374942CB" w:rsidR="00F3495F" w:rsidRPr="00D2126A" w:rsidRDefault="000E5A86" w:rsidP="006B7D29">
            <w:pPr>
              <w:snapToGrid w:val="0"/>
              <w:rPr>
                <w:sz w:val="20"/>
                <w:szCs w:val="20"/>
                <w:u w:val="single"/>
              </w:rPr>
            </w:pPr>
            <w:r>
              <w:rPr>
                <w:sz w:val="20"/>
              </w:rPr>
              <w:t>Réaction de poussée tumorale, épithélioma spinocellulaire^</w:t>
            </w:r>
            <w:r>
              <w:rPr>
                <w:sz w:val="20"/>
                <w:vertAlign w:val="superscript"/>
              </w:rPr>
              <w:t>,◊</w:t>
            </w:r>
            <w:r>
              <w:rPr>
                <w:sz w:val="20"/>
              </w:rPr>
              <w:t>, épithélioma basocellulaire^</w:t>
            </w:r>
            <w:r>
              <w:rPr>
                <w:sz w:val="20"/>
                <w:vertAlign w:val="superscript"/>
              </w:rPr>
              <w:t>,◊</w:t>
            </w:r>
          </w:p>
        </w:tc>
      </w:tr>
      <w:tr w:rsidR="00D5485C" w:rsidRPr="00D2126A" w14:paraId="437891AD" w14:textId="77777777" w:rsidTr="00F003F4">
        <w:trPr>
          <w:cantSplit/>
          <w:trHeight w:val="57"/>
        </w:trPr>
        <w:tc>
          <w:tcPr>
            <w:tcW w:w="955" w:type="pct"/>
            <w:shd w:val="clear" w:color="auto" w:fill="auto"/>
          </w:tcPr>
          <w:p w14:paraId="1BB3A003" w14:textId="77777777" w:rsidR="00F3495F" w:rsidRPr="00D2126A" w:rsidRDefault="000E5A86" w:rsidP="006B7D29">
            <w:pPr>
              <w:snapToGrid w:val="0"/>
              <w:rPr>
                <w:b/>
                <w:bCs/>
                <w:sz w:val="20"/>
                <w:szCs w:val="20"/>
              </w:rPr>
            </w:pPr>
            <w:r>
              <w:rPr>
                <w:b/>
                <w:sz w:val="20"/>
              </w:rPr>
              <w:t>Affections hématologiques et du système lymphatique</w:t>
            </w:r>
          </w:p>
        </w:tc>
        <w:tc>
          <w:tcPr>
            <w:tcW w:w="1955" w:type="pct"/>
            <w:shd w:val="clear" w:color="auto" w:fill="auto"/>
          </w:tcPr>
          <w:p w14:paraId="550E60F0" w14:textId="77777777" w:rsidR="00F3495F" w:rsidRPr="00D2126A" w:rsidRDefault="000E5A86" w:rsidP="006B7D29">
            <w:pPr>
              <w:snapToGrid w:val="0"/>
              <w:rPr>
                <w:sz w:val="20"/>
                <w:szCs w:val="20"/>
                <w:u w:val="single"/>
              </w:rPr>
            </w:pPr>
            <w:r>
              <w:rPr>
                <w:sz w:val="20"/>
                <w:u w:val="single"/>
              </w:rPr>
              <w:t>Très fréquent</w:t>
            </w:r>
          </w:p>
          <w:p w14:paraId="23A9CCD4" w14:textId="21F67390" w:rsidR="00F3495F" w:rsidRPr="00D2126A" w:rsidRDefault="000E5A86" w:rsidP="006B7D29">
            <w:pPr>
              <w:rPr>
                <w:sz w:val="20"/>
                <w:szCs w:val="20"/>
              </w:rPr>
            </w:pPr>
            <w:r>
              <w:rPr>
                <w:sz w:val="20"/>
              </w:rPr>
              <w:t>Thrombopénie^, neutropénie^</w:t>
            </w:r>
            <w:r>
              <w:rPr>
                <w:sz w:val="20"/>
                <w:vertAlign w:val="superscript"/>
              </w:rPr>
              <w:t>,◊</w:t>
            </w:r>
            <w:r>
              <w:rPr>
                <w:sz w:val="20"/>
              </w:rPr>
              <w:t>, leucopénie</w:t>
            </w:r>
            <w:r>
              <w:rPr>
                <w:sz w:val="20"/>
                <w:vertAlign w:val="superscript"/>
              </w:rPr>
              <w:t>◊</w:t>
            </w:r>
            <w:r>
              <w:rPr>
                <w:sz w:val="20"/>
              </w:rPr>
              <w:t>, anémie</w:t>
            </w:r>
            <w:r>
              <w:rPr>
                <w:sz w:val="20"/>
                <w:vertAlign w:val="superscript"/>
              </w:rPr>
              <w:t>◊</w:t>
            </w:r>
          </w:p>
          <w:p w14:paraId="44239B3C" w14:textId="77777777" w:rsidR="00A02D2A" w:rsidRPr="00D2126A" w:rsidRDefault="00A02D2A" w:rsidP="006B7D29">
            <w:pPr>
              <w:pStyle w:val="Date"/>
              <w:rPr>
                <w:sz w:val="20"/>
                <w:szCs w:val="20"/>
                <w:u w:val="single"/>
              </w:rPr>
            </w:pPr>
          </w:p>
          <w:p w14:paraId="25072BCF" w14:textId="77777777" w:rsidR="00F3495F" w:rsidRPr="00D2126A" w:rsidRDefault="000E5A86" w:rsidP="006B7D29">
            <w:pPr>
              <w:pStyle w:val="Date"/>
              <w:rPr>
                <w:sz w:val="20"/>
                <w:szCs w:val="20"/>
                <w:u w:val="single"/>
              </w:rPr>
            </w:pPr>
            <w:r>
              <w:rPr>
                <w:sz w:val="20"/>
                <w:u w:val="single"/>
              </w:rPr>
              <w:t>Fréquent</w:t>
            </w:r>
          </w:p>
          <w:p w14:paraId="1F2863F7" w14:textId="06BC275E" w:rsidR="00F3495F" w:rsidRPr="00D2126A" w:rsidRDefault="000E5A86" w:rsidP="006B7D29">
            <w:pPr>
              <w:rPr>
                <w:sz w:val="20"/>
                <w:szCs w:val="20"/>
              </w:rPr>
            </w:pPr>
            <w:r>
              <w:rPr>
                <w:sz w:val="20"/>
              </w:rPr>
              <w:t>Neutropénie fébrile^</w:t>
            </w:r>
            <w:r>
              <w:rPr>
                <w:sz w:val="20"/>
                <w:vertAlign w:val="superscript"/>
              </w:rPr>
              <w:t>,◊</w:t>
            </w:r>
          </w:p>
        </w:tc>
        <w:tc>
          <w:tcPr>
            <w:tcW w:w="2089" w:type="pct"/>
            <w:shd w:val="clear" w:color="auto" w:fill="auto"/>
          </w:tcPr>
          <w:p w14:paraId="6B8FC44F" w14:textId="77777777" w:rsidR="00F3495F" w:rsidRPr="00D2126A" w:rsidRDefault="000E5A86" w:rsidP="006B7D29">
            <w:pPr>
              <w:snapToGrid w:val="0"/>
              <w:rPr>
                <w:sz w:val="20"/>
                <w:szCs w:val="20"/>
                <w:u w:val="single"/>
              </w:rPr>
            </w:pPr>
            <w:r>
              <w:rPr>
                <w:sz w:val="20"/>
                <w:u w:val="single"/>
              </w:rPr>
              <w:t>Très fréquent</w:t>
            </w:r>
          </w:p>
          <w:p w14:paraId="056AF2C7" w14:textId="10943D0A" w:rsidR="00F3495F" w:rsidRPr="00D2126A" w:rsidRDefault="000E5A86" w:rsidP="006B7D29">
            <w:pPr>
              <w:rPr>
                <w:sz w:val="20"/>
                <w:szCs w:val="20"/>
                <w:vertAlign w:val="superscript"/>
              </w:rPr>
            </w:pPr>
            <w:r>
              <w:rPr>
                <w:sz w:val="20"/>
              </w:rPr>
              <w:t>Thrombopénie^, neutropénie^</w:t>
            </w:r>
            <w:r>
              <w:rPr>
                <w:sz w:val="20"/>
                <w:vertAlign w:val="superscript"/>
              </w:rPr>
              <w:t>,◊</w:t>
            </w:r>
            <w:r>
              <w:rPr>
                <w:sz w:val="20"/>
              </w:rPr>
              <w:t>, anémie</w:t>
            </w:r>
            <w:r>
              <w:rPr>
                <w:sz w:val="20"/>
                <w:vertAlign w:val="superscript"/>
              </w:rPr>
              <w:t>◊</w:t>
            </w:r>
          </w:p>
          <w:p w14:paraId="72F07B4E" w14:textId="77777777" w:rsidR="00F3495F" w:rsidRPr="00D2126A" w:rsidRDefault="00F3495F" w:rsidP="006B7D29">
            <w:pPr>
              <w:pStyle w:val="Date"/>
              <w:rPr>
                <w:sz w:val="20"/>
                <w:szCs w:val="20"/>
              </w:rPr>
            </w:pPr>
          </w:p>
          <w:p w14:paraId="0EB75653" w14:textId="77777777" w:rsidR="00F3495F" w:rsidRPr="00D2126A" w:rsidRDefault="000E5A86" w:rsidP="006B7D29">
            <w:pPr>
              <w:rPr>
                <w:sz w:val="20"/>
                <w:szCs w:val="20"/>
                <w:u w:val="single"/>
              </w:rPr>
            </w:pPr>
            <w:r>
              <w:rPr>
                <w:sz w:val="20"/>
                <w:u w:val="single"/>
              </w:rPr>
              <w:t>Fréquent</w:t>
            </w:r>
          </w:p>
          <w:p w14:paraId="2A7772B7" w14:textId="7B3F02A2" w:rsidR="00F3495F" w:rsidRPr="00D2126A" w:rsidRDefault="000E5A86" w:rsidP="006B7D29">
            <w:pPr>
              <w:rPr>
                <w:b/>
                <w:sz w:val="20"/>
                <w:szCs w:val="20"/>
                <w:u w:val="single"/>
              </w:rPr>
            </w:pPr>
            <w:r>
              <w:rPr>
                <w:sz w:val="20"/>
              </w:rPr>
              <w:t>Neutropénie fébrile^</w:t>
            </w:r>
            <w:r>
              <w:rPr>
                <w:sz w:val="20"/>
                <w:vertAlign w:val="superscript"/>
              </w:rPr>
              <w:t>,◊</w:t>
            </w:r>
            <w:r>
              <w:rPr>
                <w:sz w:val="20"/>
              </w:rPr>
              <w:t>, leucopénie</w:t>
            </w:r>
            <w:r>
              <w:rPr>
                <w:sz w:val="20"/>
                <w:vertAlign w:val="superscript"/>
              </w:rPr>
              <w:t>◊</w:t>
            </w:r>
          </w:p>
        </w:tc>
      </w:tr>
      <w:tr w:rsidR="00D5485C" w:rsidRPr="00D2126A" w14:paraId="11996E47" w14:textId="77777777" w:rsidTr="00F003F4">
        <w:trPr>
          <w:cantSplit/>
          <w:trHeight w:val="57"/>
        </w:trPr>
        <w:tc>
          <w:tcPr>
            <w:tcW w:w="955" w:type="pct"/>
            <w:shd w:val="clear" w:color="auto" w:fill="auto"/>
          </w:tcPr>
          <w:p w14:paraId="0379605C" w14:textId="77777777" w:rsidR="00F3495F" w:rsidRPr="00D2126A" w:rsidRDefault="000E5A86" w:rsidP="006B7D29">
            <w:pPr>
              <w:snapToGrid w:val="0"/>
              <w:rPr>
                <w:b/>
                <w:bCs/>
                <w:sz w:val="20"/>
                <w:szCs w:val="20"/>
              </w:rPr>
            </w:pPr>
            <w:r>
              <w:rPr>
                <w:b/>
                <w:sz w:val="20"/>
              </w:rPr>
              <w:t>Troubles du métabolisme et de la nutrition</w:t>
            </w:r>
          </w:p>
        </w:tc>
        <w:tc>
          <w:tcPr>
            <w:tcW w:w="1955" w:type="pct"/>
            <w:shd w:val="clear" w:color="auto" w:fill="auto"/>
          </w:tcPr>
          <w:p w14:paraId="627259F9" w14:textId="77777777" w:rsidR="00F3495F" w:rsidRPr="00D2126A" w:rsidRDefault="000E5A86" w:rsidP="006B7D29">
            <w:pPr>
              <w:pStyle w:val="Style3"/>
            </w:pPr>
            <w:r>
              <w:t>Très fréquent</w:t>
            </w:r>
          </w:p>
          <w:p w14:paraId="57F29A45" w14:textId="77777777" w:rsidR="00F3495F" w:rsidRPr="00D2126A" w:rsidRDefault="000E5A86" w:rsidP="006B7D29">
            <w:pPr>
              <w:rPr>
                <w:sz w:val="20"/>
                <w:szCs w:val="20"/>
              </w:rPr>
            </w:pPr>
            <w:r>
              <w:rPr>
                <w:sz w:val="20"/>
              </w:rPr>
              <w:t>Diminution de l’appétit, perte de poids, hypokaliémie</w:t>
            </w:r>
          </w:p>
          <w:p w14:paraId="111529BA" w14:textId="77777777" w:rsidR="00F3495F" w:rsidRPr="00D2126A" w:rsidRDefault="00F3495F" w:rsidP="006B7D29">
            <w:pPr>
              <w:pStyle w:val="Date"/>
              <w:rPr>
                <w:sz w:val="20"/>
                <w:szCs w:val="20"/>
              </w:rPr>
            </w:pPr>
          </w:p>
          <w:p w14:paraId="73EE842E" w14:textId="77777777" w:rsidR="00F3495F" w:rsidRPr="00D2126A" w:rsidRDefault="000E5A86" w:rsidP="006B7D29">
            <w:pPr>
              <w:rPr>
                <w:sz w:val="20"/>
                <w:szCs w:val="20"/>
                <w:u w:val="single"/>
              </w:rPr>
            </w:pPr>
            <w:r>
              <w:rPr>
                <w:sz w:val="20"/>
                <w:u w:val="single"/>
              </w:rPr>
              <w:t>Fréquent</w:t>
            </w:r>
          </w:p>
          <w:p w14:paraId="2051E115" w14:textId="77777777" w:rsidR="00F3495F" w:rsidRPr="00D2126A" w:rsidRDefault="000E5A86" w:rsidP="006B7D29">
            <w:pPr>
              <w:rPr>
                <w:sz w:val="20"/>
                <w:szCs w:val="20"/>
              </w:rPr>
            </w:pPr>
            <w:r>
              <w:rPr>
                <w:sz w:val="20"/>
              </w:rPr>
              <w:t>Déshydratation</w:t>
            </w:r>
            <w:r>
              <w:rPr>
                <w:sz w:val="20"/>
                <w:vertAlign w:val="superscript"/>
              </w:rPr>
              <w:t>◊</w:t>
            </w:r>
          </w:p>
        </w:tc>
        <w:tc>
          <w:tcPr>
            <w:tcW w:w="2089" w:type="pct"/>
            <w:shd w:val="clear" w:color="auto" w:fill="auto"/>
          </w:tcPr>
          <w:p w14:paraId="0034AC96" w14:textId="77777777" w:rsidR="00F3495F" w:rsidRPr="00D2126A" w:rsidRDefault="000E5A86" w:rsidP="006B7D29">
            <w:pPr>
              <w:snapToGrid w:val="0"/>
              <w:rPr>
                <w:sz w:val="20"/>
                <w:szCs w:val="20"/>
                <w:u w:val="single"/>
              </w:rPr>
            </w:pPr>
            <w:r>
              <w:rPr>
                <w:sz w:val="20"/>
                <w:u w:val="single"/>
              </w:rPr>
              <w:t>Fréquent</w:t>
            </w:r>
          </w:p>
          <w:p w14:paraId="7FCDB4AE" w14:textId="77777777" w:rsidR="00F3495F" w:rsidRPr="00D2126A" w:rsidRDefault="000E5A86" w:rsidP="006B7D29">
            <w:pPr>
              <w:rPr>
                <w:sz w:val="20"/>
                <w:szCs w:val="20"/>
              </w:rPr>
            </w:pPr>
            <w:r>
              <w:rPr>
                <w:sz w:val="20"/>
              </w:rPr>
              <w:t>Déshydratation</w:t>
            </w:r>
            <w:r>
              <w:rPr>
                <w:sz w:val="20"/>
                <w:vertAlign w:val="superscript"/>
              </w:rPr>
              <w:t>◊</w:t>
            </w:r>
            <w:r>
              <w:rPr>
                <w:sz w:val="20"/>
              </w:rPr>
              <w:t>, hyponatrémie, hypocalcémie</w:t>
            </w:r>
          </w:p>
        </w:tc>
      </w:tr>
      <w:tr w:rsidR="00D5485C" w:rsidRPr="00D2126A" w14:paraId="6EB3D5C4" w14:textId="77777777" w:rsidTr="00F003F4">
        <w:trPr>
          <w:cantSplit/>
          <w:trHeight w:val="57"/>
        </w:trPr>
        <w:tc>
          <w:tcPr>
            <w:tcW w:w="955" w:type="pct"/>
            <w:shd w:val="clear" w:color="auto" w:fill="auto"/>
          </w:tcPr>
          <w:p w14:paraId="46284D6B" w14:textId="77777777" w:rsidR="00F3495F" w:rsidRPr="00D2126A" w:rsidRDefault="000E5A86" w:rsidP="006B7D29">
            <w:pPr>
              <w:snapToGrid w:val="0"/>
              <w:rPr>
                <w:b/>
                <w:bCs/>
                <w:sz w:val="20"/>
                <w:szCs w:val="20"/>
              </w:rPr>
            </w:pPr>
            <w:r>
              <w:rPr>
                <w:b/>
                <w:sz w:val="20"/>
              </w:rPr>
              <w:t>Affections psychiatriques</w:t>
            </w:r>
          </w:p>
        </w:tc>
        <w:tc>
          <w:tcPr>
            <w:tcW w:w="1955" w:type="pct"/>
            <w:shd w:val="clear" w:color="auto" w:fill="auto"/>
          </w:tcPr>
          <w:p w14:paraId="132EE17C" w14:textId="77777777" w:rsidR="00F3495F" w:rsidRPr="00D2126A" w:rsidRDefault="000E5A86" w:rsidP="006B7D29">
            <w:pPr>
              <w:rPr>
                <w:sz w:val="20"/>
                <w:szCs w:val="20"/>
                <w:u w:val="single"/>
              </w:rPr>
            </w:pPr>
            <w:r>
              <w:rPr>
                <w:sz w:val="20"/>
                <w:u w:val="single"/>
              </w:rPr>
              <w:t>Fréquent</w:t>
            </w:r>
          </w:p>
          <w:p w14:paraId="088CFCD6" w14:textId="77777777" w:rsidR="00F3495F" w:rsidRPr="00D2126A" w:rsidRDefault="000E5A86" w:rsidP="006B7D29">
            <w:pPr>
              <w:rPr>
                <w:sz w:val="20"/>
                <w:szCs w:val="20"/>
              </w:rPr>
            </w:pPr>
            <w:r>
              <w:rPr>
                <w:sz w:val="20"/>
              </w:rPr>
              <w:t>Insomnie</w:t>
            </w:r>
          </w:p>
        </w:tc>
        <w:tc>
          <w:tcPr>
            <w:tcW w:w="2089" w:type="pct"/>
            <w:shd w:val="clear" w:color="auto" w:fill="auto"/>
          </w:tcPr>
          <w:p w14:paraId="23CC465B" w14:textId="77777777" w:rsidR="00F3495F" w:rsidRPr="00D2126A" w:rsidRDefault="00F3495F" w:rsidP="006B7D29">
            <w:pPr>
              <w:rPr>
                <w:sz w:val="20"/>
                <w:szCs w:val="20"/>
              </w:rPr>
            </w:pPr>
          </w:p>
        </w:tc>
      </w:tr>
      <w:tr w:rsidR="00D5485C" w:rsidRPr="00D2126A" w14:paraId="66E22D26" w14:textId="77777777" w:rsidTr="00F003F4">
        <w:trPr>
          <w:cantSplit/>
          <w:trHeight w:val="57"/>
        </w:trPr>
        <w:tc>
          <w:tcPr>
            <w:tcW w:w="955" w:type="pct"/>
            <w:shd w:val="clear" w:color="auto" w:fill="auto"/>
          </w:tcPr>
          <w:p w14:paraId="041CAFB3" w14:textId="77777777" w:rsidR="00F3495F" w:rsidRPr="00D2126A" w:rsidRDefault="000E5A86" w:rsidP="006B7D29">
            <w:pPr>
              <w:snapToGrid w:val="0"/>
              <w:rPr>
                <w:b/>
                <w:bCs/>
                <w:sz w:val="20"/>
                <w:szCs w:val="20"/>
              </w:rPr>
            </w:pPr>
            <w:r>
              <w:rPr>
                <w:b/>
                <w:sz w:val="20"/>
              </w:rPr>
              <w:t>Affections du système nerveux</w:t>
            </w:r>
          </w:p>
        </w:tc>
        <w:tc>
          <w:tcPr>
            <w:tcW w:w="1955" w:type="pct"/>
            <w:shd w:val="clear" w:color="auto" w:fill="auto"/>
          </w:tcPr>
          <w:p w14:paraId="5B8D244B" w14:textId="77777777" w:rsidR="00F3495F" w:rsidRPr="00D2126A" w:rsidRDefault="000E5A86" w:rsidP="006B7D29">
            <w:pPr>
              <w:rPr>
                <w:sz w:val="20"/>
                <w:szCs w:val="20"/>
                <w:u w:val="single"/>
              </w:rPr>
            </w:pPr>
            <w:r>
              <w:rPr>
                <w:sz w:val="20"/>
                <w:u w:val="single"/>
              </w:rPr>
              <w:t>Très fréquent</w:t>
            </w:r>
          </w:p>
          <w:p w14:paraId="50B628E9" w14:textId="77777777" w:rsidR="00F3495F" w:rsidRPr="00D2126A" w:rsidRDefault="000E5A86" w:rsidP="006B7D29">
            <w:pPr>
              <w:rPr>
                <w:sz w:val="20"/>
                <w:szCs w:val="20"/>
              </w:rPr>
            </w:pPr>
            <w:r>
              <w:rPr>
                <w:sz w:val="20"/>
              </w:rPr>
              <w:t>Dysgueusie, céphalées, neuropathie périphérique</w:t>
            </w:r>
          </w:p>
        </w:tc>
        <w:tc>
          <w:tcPr>
            <w:tcW w:w="2089" w:type="pct"/>
            <w:shd w:val="clear" w:color="auto" w:fill="auto"/>
          </w:tcPr>
          <w:p w14:paraId="774C6069" w14:textId="77777777" w:rsidR="00F3495F" w:rsidRPr="00D2126A" w:rsidRDefault="000E5A86" w:rsidP="006B7D29">
            <w:pPr>
              <w:rPr>
                <w:sz w:val="20"/>
                <w:szCs w:val="20"/>
                <w:u w:val="single"/>
              </w:rPr>
            </w:pPr>
            <w:r>
              <w:rPr>
                <w:sz w:val="20"/>
                <w:u w:val="single"/>
              </w:rPr>
              <w:t>Fréquent</w:t>
            </w:r>
          </w:p>
          <w:p w14:paraId="481BA051" w14:textId="77777777" w:rsidR="00F3495F" w:rsidRPr="00D2126A" w:rsidRDefault="000E5A86" w:rsidP="006B7D29">
            <w:pPr>
              <w:pStyle w:val="Date"/>
              <w:rPr>
                <w:sz w:val="20"/>
                <w:szCs w:val="20"/>
              </w:rPr>
            </w:pPr>
            <w:r>
              <w:rPr>
                <w:sz w:val="20"/>
              </w:rPr>
              <w:t>Neuropathie sensitive périphérique, léthargie</w:t>
            </w:r>
          </w:p>
        </w:tc>
      </w:tr>
      <w:tr w:rsidR="00D5485C" w:rsidRPr="00D2126A" w14:paraId="47166520" w14:textId="77777777" w:rsidTr="00F003F4">
        <w:trPr>
          <w:cantSplit/>
          <w:trHeight w:val="57"/>
        </w:trPr>
        <w:tc>
          <w:tcPr>
            <w:tcW w:w="955" w:type="pct"/>
            <w:shd w:val="clear" w:color="auto" w:fill="auto"/>
          </w:tcPr>
          <w:p w14:paraId="0DEAEFF6" w14:textId="77777777" w:rsidR="00F3495F" w:rsidRPr="00D2126A" w:rsidRDefault="000E5A86" w:rsidP="006B7D29">
            <w:pPr>
              <w:snapToGrid w:val="0"/>
              <w:rPr>
                <w:b/>
                <w:bCs/>
                <w:sz w:val="20"/>
                <w:szCs w:val="20"/>
              </w:rPr>
            </w:pPr>
            <w:r>
              <w:rPr>
                <w:b/>
                <w:sz w:val="20"/>
              </w:rPr>
              <w:t>Affections de l’oreille et du labyrinthe</w:t>
            </w:r>
          </w:p>
        </w:tc>
        <w:tc>
          <w:tcPr>
            <w:tcW w:w="1955" w:type="pct"/>
            <w:shd w:val="clear" w:color="auto" w:fill="auto"/>
          </w:tcPr>
          <w:p w14:paraId="09046C17" w14:textId="77777777" w:rsidR="00F3495F" w:rsidRPr="00D2126A" w:rsidRDefault="000E5A86" w:rsidP="006B7D29">
            <w:pPr>
              <w:snapToGrid w:val="0"/>
              <w:rPr>
                <w:sz w:val="20"/>
                <w:szCs w:val="20"/>
                <w:u w:val="single"/>
              </w:rPr>
            </w:pPr>
            <w:r>
              <w:rPr>
                <w:sz w:val="20"/>
                <w:u w:val="single"/>
              </w:rPr>
              <w:t>Fréquent</w:t>
            </w:r>
          </w:p>
          <w:p w14:paraId="09B358EB" w14:textId="77777777" w:rsidR="00F3495F" w:rsidRPr="00D2126A" w:rsidRDefault="000E5A86" w:rsidP="006B7D29">
            <w:pPr>
              <w:snapToGrid w:val="0"/>
              <w:rPr>
                <w:sz w:val="20"/>
                <w:szCs w:val="20"/>
                <w:u w:val="single"/>
              </w:rPr>
            </w:pPr>
            <w:r>
              <w:rPr>
                <w:sz w:val="20"/>
              </w:rPr>
              <w:t>Vertiges</w:t>
            </w:r>
          </w:p>
        </w:tc>
        <w:tc>
          <w:tcPr>
            <w:tcW w:w="2089" w:type="pct"/>
            <w:shd w:val="clear" w:color="auto" w:fill="auto"/>
          </w:tcPr>
          <w:p w14:paraId="4066E971" w14:textId="77777777" w:rsidR="00F3495F" w:rsidRPr="00D2126A" w:rsidRDefault="00F3495F" w:rsidP="006B7D29">
            <w:pPr>
              <w:rPr>
                <w:sz w:val="20"/>
                <w:szCs w:val="20"/>
                <w:u w:val="single"/>
              </w:rPr>
            </w:pPr>
          </w:p>
        </w:tc>
      </w:tr>
      <w:tr w:rsidR="00D5485C" w:rsidRPr="00D2126A" w14:paraId="240E8D08" w14:textId="77777777" w:rsidTr="00F003F4">
        <w:trPr>
          <w:cantSplit/>
          <w:trHeight w:val="57"/>
        </w:trPr>
        <w:tc>
          <w:tcPr>
            <w:tcW w:w="955" w:type="pct"/>
            <w:shd w:val="clear" w:color="auto" w:fill="auto"/>
          </w:tcPr>
          <w:p w14:paraId="413244A2" w14:textId="77777777" w:rsidR="00F3495F" w:rsidRPr="00D2126A" w:rsidRDefault="000E5A86" w:rsidP="006B7D29">
            <w:pPr>
              <w:snapToGrid w:val="0"/>
              <w:rPr>
                <w:b/>
                <w:bCs/>
                <w:sz w:val="20"/>
                <w:szCs w:val="20"/>
              </w:rPr>
            </w:pPr>
            <w:r>
              <w:rPr>
                <w:b/>
                <w:sz w:val="20"/>
              </w:rPr>
              <w:t>Affections cardiaques</w:t>
            </w:r>
          </w:p>
        </w:tc>
        <w:tc>
          <w:tcPr>
            <w:tcW w:w="1955" w:type="pct"/>
            <w:shd w:val="clear" w:color="auto" w:fill="auto"/>
          </w:tcPr>
          <w:p w14:paraId="407FC3AF" w14:textId="77777777" w:rsidR="00F3495F" w:rsidRPr="00D2126A" w:rsidRDefault="00F3495F" w:rsidP="006B7D29">
            <w:pPr>
              <w:rPr>
                <w:b/>
                <w:i/>
                <w:sz w:val="20"/>
                <w:szCs w:val="20"/>
              </w:rPr>
            </w:pPr>
          </w:p>
        </w:tc>
        <w:tc>
          <w:tcPr>
            <w:tcW w:w="2089" w:type="pct"/>
            <w:shd w:val="clear" w:color="auto" w:fill="auto"/>
          </w:tcPr>
          <w:p w14:paraId="0082D955" w14:textId="77777777" w:rsidR="00F3495F" w:rsidRPr="00D2126A" w:rsidRDefault="000E5A86" w:rsidP="006B7D29">
            <w:pPr>
              <w:snapToGrid w:val="0"/>
              <w:rPr>
                <w:sz w:val="20"/>
                <w:szCs w:val="20"/>
                <w:u w:val="single"/>
              </w:rPr>
            </w:pPr>
            <w:r>
              <w:rPr>
                <w:sz w:val="20"/>
                <w:u w:val="single"/>
              </w:rPr>
              <w:t>Fréquent</w:t>
            </w:r>
          </w:p>
          <w:p w14:paraId="36D853AB" w14:textId="64F6D9EA" w:rsidR="00F3495F" w:rsidRPr="00D2126A" w:rsidRDefault="000E5A86" w:rsidP="006B7D29">
            <w:pPr>
              <w:rPr>
                <w:sz w:val="20"/>
                <w:szCs w:val="20"/>
              </w:rPr>
            </w:pPr>
            <w:r>
              <w:rPr>
                <w:sz w:val="20"/>
              </w:rPr>
              <w:t>Infarctus du myocarde (y compris aigu)^</w:t>
            </w:r>
            <w:r>
              <w:rPr>
                <w:sz w:val="20"/>
                <w:vertAlign w:val="superscript"/>
              </w:rPr>
              <w:t>,◊</w:t>
            </w:r>
            <w:r>
              <w:rPr>
                <w:sz w:val="20"/>
              </w:rPr>
              <w:t>, insuffisance cardiaque</w:t>
            </w:r>
          </w:p>
        </w:tc>
      </w:tr>
      <w:tr w:rsidR="00D5485C" w:rsidRPr="00D2126A" w14:paraId="1D64F3DF" w14:textId="77777777" w:rsidTr="00F003F4">
        <w:trPr>
          <w:cantSplit/>
          <w:trHeight w:val="57"/>
        </w:trPr>
        <w:tc>
          <w:tcPr>
            <w:tcW w:w="955" w:type="pct"/>
            <w:shd w:val="clear" w:color="auto" w:fill="auto"/>
          </w:tcPr>
          <w:p w14:paraId="5D453CE7" w14:textId="77777777" w:rsidR="00F3495F" w:rsidRPr="00D2126A" w:rsidRDefault="000E5A86" w:rsidP="006B7D29">
            <w:pPr>
              <w:snapToGrid w:val="0"/>
              <w:rPr>
                <w:b/>
                <w:bCs/>
                <w:sz w:val="20"/>
                <w:szCs w:val="20"/>
              </w:rPr>
            </w:pPr>
            <w:r>
              <w:rPr>
                <w:b/>
                <w:sz w:val="20"/>
              </w:rPr>
              <w:t>Affections vasculaires</w:t>
            </w:r>
          </w:p>
        </w:tc>
        <w:tc>
          <w:tcPr>
            <w:tcW w:w="1955" w:type="pct"/>
            <w:shd w:val="clear" w:color="auto" w:fill="auto"/>
          </w:tcPr>
          <w:p w14:paraId="443E5152" w14:textId="77777777" w:rsidR="00F3495F" w:rsidRPr="00D2126A" w:rsidRDefault="000E5A86" w:rsidP="006B7D29">
            <w:pPr>
              <w:rPr>
                <w:sz w:val="20"/>
                <w:szCs w:val="20"/>
                <w:u w:val="single"/>
              </w:rPr>
            </w:pPr>
            <w:r>
              <w:rPr>
                <w:sz w:val="20"/>
                <w:u w:val="single"/>
              </w:rPr>
              <w:t>Fréquent</w:t>
            </w:r>
          </w:p>
          <w:p w14:paraId="25C283BE" w14:textId="77777777" w:rsidR="00F3495F" w:rsidRPr="00D2126A" w:rsidRDefault="000E5A86" w:rsidP="006B7D29">
            <w:pPr>
              <w:rPr>
                <w:sz w:val="20"/>
                <w:szCs w:val="20"/>
              </w:rPr>
            </w:pPr>
            <w:r>
              <w:rPr>
                <w:sz w:val="20"/>
              </w:rPr>
              <w:t>Hypotension</w:t>
            </w:r>
            <w:r>
              <w:rPr>
                <w:sz w:val="20"/>
                <w:vertAlign w:val="superscript"/>
              </w:rPr>
              <w:t>◊</w:t>
            </w:r>
          </w:p>
        </w:tc>
        <w:tc>
          <w:tcPr>
            <w:tcW w:w="2089" w:type="pct"/>
            <w:shd w:val="clear" w:color="auto" w:fill="auto"/>
          </w:tcPr>
          <w:p w14:paraId="3244D868" w14:textId="77777777" w:rsidR="00F3495F" w:rsidRPr="00D2126A" w:rsidRDefault="000E5A86" w:rsidP="006B7D29">
            <w:pPr>
              <w:rPr>
                <w:b/>
                <w:sz w:val="20"/>
                <w:szCs w:val="20"/>
                <w:u w:val="single"/>
                <w:shd w:val="clear" w:color="auto" w:fill="C0C0C0"/>
              </w:rPr>
            </w:pPr>
            <w:r>
              <w:rPr>
                <w:sz w:val="20"/>
                <w:u w:val="single"/>
              </w:rPr>
              <w:t>Fréquent</w:t>
            </w:r>
          </w:p>
          <w:p w14:paraId="162ED318" w14:textId="45AC1821" w:rsidR="00F3495F" w:rsidRPr="00D2126A" w:rsidRDefault="000E5A86" w:rsidP="006B7D29">
            <w:pPr>
              <w:rPr>
                <w:sz w:val="20"/>
                <w:szCs w:val="20"/>
              </w:rPr>
            </w:pPr>
            <w:r>
              <w:rPr>
                <w:sz w:val="20"/>
              </w:rPr>
              <w:t>Thrombose veineuse profonde</w:t>
            </w:r>
            <w:r>
              <w:rPr>
                <w:sz w:val="20"/>
                <w:vertAlign w:val="superscript"/>
              </w:rPr>
              <w:t>◊</w:t>
            </w:r>
            <w:r>
              <w:rPr>
                <w:sz w:val="20"/>
              </w:rPr>
              <w:t>, embolie pulmonaire^</w:t>
            </w:r>
            <w:r>
              <w:rPr>
                <w:sz w:val="20"/>
                <w:vertAlign w:val="superscript"/>
              </w:rPr>
              <w:t>,◊</w:t>
            </w:r>
            <w:r>
              <w:rPr>
                <w:sz w:val="20"/>
              </w:rPr>
              <w:t>, hypotension</w:t>
            </w:r>
            <w:r>
              <w:rPr>
                <w:sz w:val="20"/>
                <w:vertAlign w:val="superscript"/>
              </w:rPr>
              <w:t>◊</w:t>
            </w:r>
          </w:p>
        </w:tc>
      </w:tr>
      <w:tr w:rsidR="00D5485C" w:rsidRPr="00D2126A" w14:paraId="14FC2985" w14:textId="77777777" w:rsidTr="00F003F4">
        <w:trPr>
          <w:cantSplit/>
          <w:trHeight w:val="57"/>
        </w:trPr>
        <w:tc>
          <w:tcPr>
            <w:tcW w:w="955" w:type="pct"/>
            <w:shd w:val="clear" w:color="auto" w:fill="auto"/>
          </w:tcPr>
          <w:p w14:paraId="44EC75AC" w14:textId="77777777" w:rsidR="00F3495F" w:rsidRPr="00D2126A" w:rsidRDefault="000E5A86" w:rsidP="006B7D29">
            <w:pPr>
              <w:snapToGrid w:val="0"/>
              <w:rPr>
                <w:b/>
                <w:bCs/>
                <w:sz w:val="20"/>
                <w:szCs w:val="20"/>
              </w:rPr>
            </w:pPr>
            <w:r>
              <w:rPr>
                <w:b/>
                <w:sz w:val="20"/>
              </w:rPr>
              <w:t>Affections respiratoires, thoraciques et médiastinales</w:t>
            </w:r>
          </w:p>
        </w:tc>
        <w:tc>
          <w:tcPr>
            <w:tcW w:w="1955" w:type="pct"/>
            <w:shd w:val="clear" w:color="auto" w:fill="auto"/>
          </w:tcPr>
          <w:p w14:paraId="3E6B2226" w14:textId="77777777" w:rsidR="00F3495F" w:rsidRPr="00D2126A" w:rsidRDefault="000E5A86" w:rsidP="006B7D29">
            <w:pPr>
              <w:rPr>
                <w:b/>
                <w:sz w:val="20"/>
                <w:szCs w:val="20"/>
                <w:u w:val="single"/>
              </w:rPr>
            </w:pPr>
            <w:r>
              <w:rPr>
                <w:sz w:val="20"/>
                <w:u w:val="single"/>
              </w:rPr>
              <w:t>Très fréquent</w:t>
            </w:r>
          </w:p>
          <w:p w14:paraId="2F09DD67" w14:textId="77777777" w:rsidR="00F3495F" w:rsidRPr="00D2126A" w:rsidRDefault="000E5A86" w:rsidP="006B7D29">
            <w:pPr>
              <w:rPr>
                <w:sz w:val="20"/>
                <w:szCs w:val="20"/>
                <w:shd w:val="clear" w:color="auto" w:fill="C0C0C0"/>
              </w:rPr>
            </w:pPr>
            <w:r>
              <w:rPr>
                <w:sz w:val="20"/>
              </w:rPr>
              <w:t>Dyspnée</w:t>
            </w:r>
            <w:r>
              <w:rPr>
                <w:sz w:val="20"/>
                <w:vertAlign w:val="superscript"/>
              </w:rPr>
              <w:t>◊</w:t>
            </w:r>
          </w:p>
        </w:tc>
        <w:tc>
          <w:tcPr>
            <w:tcW w:w="2089" w:type="pct"/>
            <w:shd w:val="clear" w:color="auto" w:fill="auto"/>
          </w:tcPr>
          <w:p w14:paraId="287F8AD7" w14:textId="77777777" w:rsidR="00F3495F" w:rsidRPr="00D2126A" w:rsidRDefault="000E5A86" w:rsidP="006B7D29">
            <w:pPr>
              <w:snapToGrid w:val="0"/>
              <w:rPr>
                <w:sz w:val="20"/>
                <w:szCs w:val="20"/>
                <w:u w:val="single"/>
              </w:rPr>
            </w:pPr>
            <w:r>
              <w:rPr>
                <w:sz w:val="20"/>
                <w:u w:val="single"/>
              </w:rPr>
              <w:t>Fréquent</w:t>
            </w:r>
          </w:p>
          <w:p w14:paraId="3FFE2C74" w14:textId="77777777" w:rsidR="00F3495F" w:rsidRPr="00D2126A" w:rsidRDefault="000E5A86" w:rsidP="006B7D29">
            <w:pPr>
              <w:rPr>
                <w:sz w:val="20"/>
                <w:szCs w:val="20"/>
              </w:rPr>
            </w:pPr>
            <w:r>
              <w:rPr>
                <w:sz w:val="20"/>
              </w:rPr>
              <w:t>Dyspnée</w:t>
            </w:r>
            <w:r>
              <w:rPr>
                <w:sz w:val="20"/>
                <w:vertAlign w:val="superscript"/>
              </w:rPr>
              <w:t>◊</w:t>
            </w:r>
          </w:p>
        </w:tc>
      </w:tr>
      <w:tr w:rsidR="00D5485C" w:rsidRPr="00D2126A" w14:paraId="6CD96A5A" w14:textId="77777777" w:rsidTr="00F003F4">
        <w:trPr>
          <w:cantSplit/>
          <w:trHeight w:val="57"/>
        </w:trPr>
        <w:tc>
          <w:tcPr>
            <w:tcW w:w="955" w:type="pct"/>
            <w:shd w:val="clear" w:color="auto" w:fill="auto"/>
          </w:tcPr>
          <w:p w14:paraId="28D1A2D1" w14:textId="77777777" w:rsidR="00F3495F" w:rsidRPr="00D2126A" w:rsidRDefault="000E5A86" w:rsidP="006B7D29">
            <w:pPr>
              <w:snapToGrid w:val="0"/>
              <w:rPr>
                <w:b/>
                <w:bCs/>
                <w:sz w:val="20"/>
                <w:szCs w:val="20"/>
              </w:rPr>
            </w:pPr>
            <w:r>
              <w:rPr>
                <w:b/>
                <w:sz w:val="20"/>
              </w:rPr>
              <w:t>Affections gastro</w:t>
            </w:r>
            <w:r>
              <w:rPr>
                <w:b/>
                <w:sz w:val="20"/>
              </w:rPr>
              <w:noBreakHyphen/>
              <w:t>intestinales</w:t>
            </w:r>
          </w:p>
        </w:tc>
        <w:tc>
          <w:tcPr>
            <w:tcW w:w="1955" w:type="pct"/>
            <w:shd w:val="clear" w:color="auto" w:fill="auto"/>
          </w:tcPr>
          <w:p w14:paraId="0D5FFB0E" w14:textId="77777777" w:rsidR="00F3495F" w:rsidRPr="00D2126A" w:rsidRDefault="000E5A86" w:rsidP="006B7D29">
            <w:pPr>
              <w:snapToGrid w:val="0"/>
              <w:rPr>
                <w:b/>
                <w:sz w:val="20"/>
                <w:szCs w:val="20"/>
                <w:u w:val="single"/>
              </w:rPr>
            </w:pPr>
            <w:r>
              <w:rPr>
                <w:sz w:val="20"/>
                <w:u w:val="single"/>
              </w:rPr>
              <w:t>Très fréquent</w:t>
            </w:r>
          </w:p>
          <w:p w14:paraId="362EF45F" w14:textId="77777777" w:rsidR="00F3495F" w:rsidRPr="00D2126A" w:rsidRDefault="000E5A86" w:rsidP="006B7D29">
            <w:pPr>
              <w:rPr>
                <w:sz w:val="20"/>
                <w:szCs w:val="20"/>
              </w:rPr>
            </w:pPr>
            <w:r>
              <w:rPr>
                <w:sz w:val="20"/>
              </w:rPr>
              <w:t>Diarrhée</w:t>
            </w:r>
            <w:r>
              <w:rPr>
                <w:sz w:val="20"/>
                <w:vertAlign w:val="superscript"/>
              </w:rPr>
              <w:t>◊</w:t>
            </w:r>
            <w:r>
              <w:rPr>
                <w:sz w:val="20"/>
              </w:rPr>
              <w:t>, nausées</w:t>
            </w:r>
            <w:r>
              <w:rPr>
                <w:sz w:val="20"/>
                <w:vertAlign w:val="superscript"/>
              </w:rPr>
              <w:t>◊</w:t>
            </w:r>
            <w:r>
              <w:rPr>
                <w:sz w:val="20"/>
              </w:rPr>
              <w:t>, vomissements</w:t>
            </w:r>
            <w:r>
              <w:rPr>
                <w:sz w:val="20"/>
                <w:vertAlign w:val="superscript"/>
              </w:rPr>
              <w:t>◊</w:t>
            </w:r>
            <w:r>
              <w:rPr>
                <w:sz w:val="20"/>
              </w:rPr>
              <w:t>, constipation</w:t>
            </w:r>
          </w:p>
          <w:p w14:paraId="4261A166" w14:textId="77777777" w:rsidR="00F3495F" w:rsidRPr="00D2126A" w:rsidRDefault="00F3495F" w:rsidP="006B7D29">
            <w:pPr>
              <w:pStyle w:val="Date"/>
              <w:rPr>
                <w:sz w:val="20"/>
                <w:szCs w:val="20"/>
              </w:rPr>
            </w:pPr>
          </w:p>
          <w:p w14:paraId="3679AB6F" w14:textId="77777777" w:rsidR="00F3495F" w:rsidRPr="00D2126A" w:rsidRDefault="000E5A86" w:rsidP="006B7D29">
            <w:pPr>
              <w:rPr>
                <w:sz w:val="20"/>
                <w:szCs w:val="20"/>
                <w:u w:val="single"/>
              </w:rPr>
            </w:pPr>
            <w:r>
              <w:rPr>
                <w:sz w:val="20"/>
                <w:u w:val="single"/>
              </w:rPr>
              <w:t>Fréquent</w:t>
            </w:r>
          </w:p>
          <w:p w14:paraId="74B291F2" w14:textId="77777777" w:rsidR="00F3495F" w:rsidRPr="00D2126A" w:rsidRDefault="000E5A86" w:rsidP="006B7D29">
            <w:pPr>
              <w:rPr>
                <w:strike/>
                <w:sz w:val="20"/>
                <w:szCs w:val="20"/>
              </w:rPr>
            </w:pPr>
            <w:r>
              <w:rPr>
                <w:sz w:val="20"/>
              </w:rPr>
              <w:t>Douleur abdominale</w:t>
            </w:r>
          </w:p>
        </w:tc>
        <w:tc>
          <w:tcPr>
            <w:tcW w:w="2089" w:type="pct"/>
            <w:shd w:val="clear" w:color="auto" w:fill="auto"/>
          </w:tcPr>
          <w:p w14:paraId="0195DBD7" w14:textId="77777777" w:rsidR="00F3495F" w:rsidRPr="00D2126A" w:rsidRDefault="000E5A86" w:rsidP="006B7D29">
            <w:pPr>
              <w:snapToGrid w:val="0"/>
              <w:rPr>
                <w:sz w:val="20"/>
                <w:szCs w:val="20"/>
                <w:u w:val="single"/>
              </w:rPr>
            </w:pPr>
            <w:r>
              <w:rPr>
                <w:sz w:val="20"/>
                <w:u w:val="single"/>
              </w:rPr>
              <w:t>Fréquent</w:t>
            </w:r>
          </w:p>
          <w:p w14:paraId="6D1F825F" w14:textId="77777777" w:rsidR="00F3495F" w:rsidRPr="00D2126A" w:rsidRDefault="000E5A86" w:rsidP="006B7D29">
            <w:pPr>
              <w:rPr>
                <w:b/>
                <w:i/>
                <w:sz w:val="20"/>
                <w:szCs w:val="20"/>
              </w:rPr>
            </w:pPr>
            <w:r>
              <w:rPr>
                <w:sz w:val="20"/>
              </w:rPr>
              <w:t>Diarrhée</w:t>
            </w:r>
            <w:r>
              <w:rPr>
                <w:sz w:val="20"/>
                <w:vertAlign w:val="superscript"/>
              </w:rPr>
              <w:t>◊</w:t>
            </w:r>
            <w:r>
              <w:rPr>
                <w:sz w:val="20"/>
              </w:rPr>
              <w:t>, douleur abdominale</w:t>
            </w:r>
            <w:r>
              <w:rPr>
                <w:sz w:val="20"/>
                <w:vertAlign w:val="superscript"/>
              </w:rPr>
              <w:t>◊</w:t>
            </w:r>
            <w:r>
              <w:rPr>
                <w:sz w:val="20"/>
              </w:rPr>
              <w:t>, constipation</w:t>
            </w:r>
          </w:p>
        </w:tc>
      </w:tr>
      <w:tr w:rsidR="00D5485C" w:rsidRPr="00D2126A" w14:paraId="78963E15" w14:textId="77777777" w:rsidTr="00F003F4">
        <w:trPr>
          <w:cantSplit/>
          <w:trHeight w:val="57"/>
        </w:trPr>
        <w:tc>
          <w:tcPr>
            <w:tcW w:w="955" w:type="pct"/>
            <w:shd w:val="clear" w:color="auto" w:fill="auto"/>
          </w:tcPr>
          <w:p w14:paraId="6BD1DD07" w14:textId="77777777" w:rsidR="00F3495F" w:rsidRPr="00D2126A" w:rsidRDefault="000E5A86" w:rsidP="006B7D29">
            <w:pPr>
              <w:snapToGrid w:val="0"/>
              <w:rPr>
                <w:b/>
                <w:bCs/>
                <w:sz w:val="20"/>
                <w:szCs w:val="20"/>
              </w:rPr>
            </w:pPr>
            <w:r>
              <w:rPr>
                <w:b/>
                <w:sz w:val="20"/>
              </w:rPr>
              <w:t>Affections de la peau et du tissu sous</w:t>
            </w:r>
            <w:r>
              <w:rPr>
                <w:b/>
                <w:sz w:val="20"/>
              </w:rPr>
              <w:noBreakHyphen/>
              <w:t>cutané</w:t>
            </w:r>
          </w:p>
        </w:tc>
        <w:tc>
          <w:tcPr>
            <w:tcW w:w="1955" w:type="pct"/>
            <w:shd w:val="clear" w:color="auto" w:fill="auto"/>
          </w:tcPr>
          <w:p w14:paraId="6D1949C1" w14:textId="77777777" w:rsidR="00F3495F" w:rsidRPr="00D2126A" w:rsidRDefault="000E5A86" w:rsidP="006B7D29">
            <w:pPr>
              <w:snapToGrid w:val="0"/>
              <w:rPr>
                <w:b/>
                <w:sz w:val="20"/>
                <w:szCs w:val="20"/>
                <w:u w:val="single"/>
              </w:rPr>
            </w:pPr>
            <w:r>
              <w:rPr>
                <w:sz w:val="20"/>
                <w:u w:val="single"/>
              </w:rPr>
              <w:t>Très fréquent</w:t>
            </w:r>
          </w:p>
          <w:p w14:paraId="7E2F66D2" w14:textId="77777777" w:rsidR="00F3495F" w:rsidRPr="00D2126A" w:rsidRDefault="000E5A86" w:rsidP="006B7D29">
            <w:pPr>
              <w:snapToGrid w:val="0"/>
              <w:rPr>
                <w:sz w:val="20"/>
                <w:szCs w:val="20"/>
              </w:rPr>
            </w:pPr>
            <w:r>
              <w:rPr>
                <w:sz w:val="20"/>
              </w:rPr>
              <w:t>Éruptions cutanées (y compris dermatite allergique), prurit</w:t>
            </w:r>
          </w:p>
          <w:p w14:paraId="7B889446" w14:textId="77777777" w:rsidR="00F3495F" w:rsidRPr="00D2126A" w:rsidRDefault="00F3495F" w:rsidP="006B7D29">
            <w:pPr>
              <w:pStyle w:val="Date"/>
              <w:rPr>
                <w:sz w:val="20"/>
                <w:szCs w:val="20"/>
              </w:rPr>
            </w:pPr>
          </w:p>
          <w:p w14:paraId="41AD49B9" w14:textId="77777777" w:rsidR="00F3495F" w:rsidRPr="00D2126A" w:rsidRDefault="000E5A86" w:rsidP="006B7D29">
            <w:pPr>
              <w:snapToGrid w:val="0"/>
              <w:rPr>
                <w:sz w:val="20"/>
                <w:szCs w:val="20"/>
                <w:u w:val="single"/>
              </w:rPr>
            </w:pPr>
            <w:r>
              <w:rPr>
                <w:sz w:val="20"/>
                <w:u w:val="single"/>
              </w:rPr>
              <w:t>Fréquent</w:t>
            </w:r>
          </w:p>
          <w:p w14:paraId="2FF227A2" w14:textId="6D12D08E" w:rsidR="00F3495F" w:rsidRPr="00D2126A" w:rsidRDefault="000E5A86" w:rsidP="006B7D29">
            <w:pPr>
              <w:rPr>
                <w:b/>
                <w:i/>
                <w:sz w:val="20"/>
                <w:szCs w:val="20"/>
              </w:rPr>
            </w:pPr>
            <w:r>
              <w:rPr>
                <w:sz w:val="20"/>
              </w:rPr>
              <w:t>Sueurs nocturnes, sécheresse cutanée</w:t>
            </w:r>
          </w:p>
        </w:tc>
        <w:tc>
          <w:tcPr>
            <w:tcW w:w="2089" w:type="pct"/>
            <w:shd w:val="clear" w:color="auto" w:fill="auto"/>
          </w:tcPr>
          <w:p w14:paraId="77E73B21" w14:textId="77777777" w:rsidR="00F3495F" w:rsidRPr="00D2126A" w:rsidRDefault="000E5A86" w:rsidP="006B7D29">
            <w:pPr>
              <w:snapToGrid w:val="0"/>
              <w:rPr>
                <w:sz w:val="20"/>
                <w:szCs w:val="20"/>
                <w:u w:val="single"/>
              </w:rPr>
            </w:pPr>
            <w:r>
              <w:rPr>
                <w:sz w:val="20"/>
                <w:u w:val="single"/>
              </w:rPr>
              <w:t>Fréquent</w:t>
            </w:r>
          </w:p>
          <w:p w14:paraId="7CD4538D" w14:textId="77777777" w:rsidR="00F3495F" w:rsidRPr="00D2126A" w:rsidRDefault="000E5A86" w:rsidP="006B7D29">
            <w:pPr>
              <w:rPr>
                <w:sz w:val="20"/>
                <w:szCs w:val="20"/>
              </w:rPr>
            </w:pPr>
            <w:r>
              <w:rPr>
                <w:sz w:val="20"/>
              </w:rPr>
              <w:t>Éruptions cutanées</w:t>
            </w:r>
          </w:p>
        </w:tc>
      </w:tr>
      <w:tr w:rsidR="00D5485C" w:rsidRPr="00D2126A" w14:paraId="0CDFC304" w14:textId="77777777" w:rsidTr="00F003F4">
        <w:trPr>
          <w:cantSplit/>
          <w:trHeight w:val="57"/>
        </w:trPr>
        <w:tc>
          <w:tcPr>
            <w:tcW w:w="955" w:type="pct"/>
            <w:shd w:val="clear" w:color="auto" w:fill="auto"/>
          </w:tcPr>
          <w:p w14:paraId="36D8A131" w14:textId="77777777" w:rsidR="00F3495F" w:rsidRPr="00D2126A" w:rsidRDefault="000E5A86" w:rsidP="006B7D29">
            <w:pPr>
              <w:snapToGrid w:val="0"/>
              <w:rPr>
                <w:b/>
                <w:bCs/>
                <w:sz w:val="20"/>
                <w:szCs w:val="20"/>
              </w:rPr>
            </w:pPr>
            <w:r>
              <w:rPr>
                <w:b/>
                <w:sz w:val="20"/>
              </w:rPr>
              <w:t>Affections musculo</w:t>
            </w:r>
            <w:r>
              <w:rPr>
                <w:b/>
                <w:sz w:val="20"/>
              </w:rPr>
              <w:noBreakHyphen/>
              <w:t>squelettiques et systémiques</w:t>
            </w:r>
          </w:p>
        </w:tc>
        <w:tc>
          <w:tcPr>
            <w:tcW w:w="1955" w:type="pct"/>
            <w:shd w:val="clear" w:color="auto" w:fill="auto"/>
          </w:tcPr>
          <w:p w14:paraId="2FACAE7E" w14:textId="77777777" w:rsidR="00F3495F" w:rsidRPr="00D2126A" w:rsidRDefault="000E5A86" w:rsidP="006B7D29">
            <w:pPr>
              <w:snapToGrid w:val="0"/>
              <w:rPr>
                <w:b/>
                <w:sz w:val="20"/>
                <w:szCs w:val="20"/>
                <w:u w:val="single"/>
              </w:rPr>
            </w:pPr>
            <w:r>
              <w:rPr>
                <w:sz w:val="20"/>
                <w:u w:val="single"/>
              </w:rPr>
              <w:t>Très fréquent</w:t>
            </w:r>
          </w:p>
          <w:p w14:paraId="0EAEDB83" w14:textId="77777777" w:rsidR="00F3495F" w:rsidRPr="00D2126A" w:rsidRDefault="000E5A86" w:rsidP="006B7D29">
            <w:pPr>
              <w:rPr>
                <w:strike/>
                <w:sz w:val="20"/>
                <w:szCs w:val="20"/>
              </w:rPr>
            </w:pPr>
            <w:r>
              <w:rPr>
                <w:sz w:val="20"/>
              </w:rPr>
              <w:t>Spasmes musculaires, dorsalgies</w:t>
            </w:r>
          </w:p>
          <w:p w14:paraId="6527EBDB" w14:textId="77777777" w:rsidR="00F3495F" w:rsidRPr="00D2126A" w:rsidRDefault="00F3495F" w:rsidP="006B7D29">
            <w:pPr>
              <w:rPr>
                <w:strike/>
                <w:sz w:val="20"/>
                <w:szCs w:val="20"/>
              </w:rPr>
            </w:pPr>
          </w:p>
          <w:p w14:paraId="47902466" w14:textId="77777777" w:rsidR="00F3495F" w:rsidRPr="00D2126A" w:rsidRDefault="000E5A86" w:rsidP="006B7D29">
            <w:pPr>
              <w:pStyle w:val="Date"/>
              <w:rPr>
                <w:sz w:val="20"/>
                <w:szCs w:val="20"/>
                <w:u w:val="single"/>
              </w:rPr>
            </w:pPr>
            <w:r>
              <w:rPr>
                <w:sz w:val="20"/>
                <w:u w:val="single"/>
              </w:rPr>
              <w:t>Fréquent</w:t>
            </w:r>
          </w:p>
          <w:p w14:paraId="7FD12FD9" w14:textId="77777777" w:rsidR="00F3495F" w:rsidRPr="00D2126A" w:rsidRDefault="000E5A86" w:rsidP="006B7D29">
            <w:pPr>
              <w:rPr>
                <w:sz w:val="20"/>
                <w:szCs w:val="20"/>
              </w:rPr>
            </w:pPr>
            <w:r>
              <w:rPr>
                <w:sz w:val="20"/>
              </w:rPr>
              <w:t>Arthralgies, douleurs dans les extrémités, faiblesse musculaire</w:t>
            </w:r>
            <w:r>
              <w:rPr>
                <w:sz w:val="20"/>
                <w:vertAlign w:val="superscript"/>
              </w:rPr>
              <w:t>◊</w:t>
            </w:r>
          </w:p>
        </w:tc>
        <w:tc>
          <w:tcPr>
            <w:tcW w:w="2089" w:type="pct"/>
            <w:shd w:val="clear" w:color="auto" w:fill="auto"/>
          </w:tcPr>
          <w:p w14:paraId="17258D06" w14:textId="77777777" w:rsidR="00F3495F" w:rsidRPr="00D2126A" w:rsidRDefault="000E5A86" w:rsidP="006B7D29">
            <w:pPr>
              <w:snapToGrid w:val="0"/>
              <w:rPr>
                <w:sz w:val="20"/>
                <w:szCs w:val="20"/>
                <w:u w:val="single"/>
              </w:rPr>
            </w:pPr>
            <w:r>
              <w:rPr>
                <w:sz w:val="20"/>
                <w:u w:val="single"/>
              </w:rPr>
              <w:t>Fréquent</w:t>
            </w:r>
          </w:p>
          <w:p w14:paraId="169FD5F5" w14:textId="77777777" w:rsidR="00F3495F" w:rsidRPr="00D2126A" w:rsidRDefault="000E5A86" w:rsidP="006B7D29">
            <w:pPr>
              <w:rPr>
                <w:sz w:val="20"/>
                <w:szCs w:val="20"/>
              </w:rPr>
            </w:pPr>
            <w:r>
              <w:rPr>
                <w:sz w:val="20"/>
              </w:rPr>
              <w:t>Dorsalgies, faiblesse musculaire</w:t>
            </w:r>
            <w:r>
              <w:rPr>
                <w:sz w:val="20"/>
                <w:vertAlign w:val="superscript"/>
              </w:rPr>
              <w:t>◊</w:t>
            </w:r>
            <w:r>
              <w:rPr>
                <w:sz w:val="20"/>
              </w:rPr>
              <w:t>, arthralgies, douleurs dans les extrémités</w:t>
            </w:r>
          </w:p>
        </w:tc>
      </w:tr>
      <w:tr w:rsidR="00D5485C" w:rsidRPr="00D2126A" w14:paraId="35702199" w14:textId="77777777" w:rsidTr="00F003F4">
        <w:trPr>
          <w:cantSplit/>
          <w:trHeight w:val="57"/>
        </w:trPr>
        <w:tc>
          <w:tcPr>
            <w:tcW w:w="955" w:type="pct"/>
            <w:shd w:val="clear" w:color="auto" w:fill="auto"/>
          </w:tcPr>
          <w:p w14:paraId="7F492DF7" w14:textId="77777777" w:rsidR="00F3495F" w:rsidRPr="00D2126A" w:rsidRDefault="000E5A86" w:rsidP="006B7D29">
            <w:pPr>
              <w:keepNext/>
              <w:snapToGrid w:val="0"/>
              <w:rPr>
                <w:b/>
                <w:bCs/>
                <w:sz w:val="20"/>
                <w:szCs w:val="20"/>
              </w:rPr>
            </w:pPr>
            <w:r>
              <w:rPr>
                <w:b/>
                <w:sz w:val="20"/>
              </w:rPr>
              <w:t>Affections du rein et des voies urinaires</w:t>
            </w:r>
          </w:p>
        </w:tc>
        <w:tc>
          <w:tcPr>
            <w:tcW w:w="1955" w:type="pct"/>
            <w:shd w:val="clear" w:color="auto" w:fill="auto"/>
          </w:tcPr>
          <w:p w14:paraId="357561CE" w14:textId="77777777" w:rsidR="00F3495F" w:rsidRPr="00D2126A" w:rsidRDefault="00F3495F" w:rsidP="006B7D29">
            <w:pPr>
              <w:keepNext/>
              <w:rPr>
                <w:sz w:val="20"/>
                <w:szCs w:val="20"/>
              </w:rPr>
            </w:pPr>
          </w:p>
        </w:tc>
        <w:tc>
          <w:tcPr>
            <w:tcW w:w="2089" w:type="pct"/>
            <w:shd w:val="clear" w:color="auto" w:fill="auto"/>
          </w:tcPr>
          <w:p w14:paraId="7335E616" w14:textId="77777777" w:rsidR="00F3495F" w:rsidRPr="00D2126A" w:rsidRDefault="000E5A86" w:rsidP="006B7D29">
            <w:pPr>
              <w:keepNext/>
              <w:snapToGrid w:val="0"/>
              <w:rPr>
                <w:sz w:val="20"/>
                <w:szCs w:val="20"/>
                <w:u w:val="single"/>
              </w:rPr>
            </w:pPr>
            <w:r>
              <w:rPr>
                <w:sz w:val="20"/>
                <w:u w:val="single"/>
              </w:rPr>
              <w:t>Fréquent</w:t>
            </w:r>
          </w:p>
          <w:p w14:paraId="75C8DA6B" w14:textId="77777777" w:rsidR="00F3495F" w:rsidRPr="00D2126A" w:rsidRDefault="000E5A86" w:rsidP="006B7D29">
            <w:pPr>
              <w:keepNext/>
              <w:rPr>
                <w:sz w:val="20"/>
                <w:szCs w:val="20"/>
              </w:rPr>
            </w:pPr>
            <w:r>
              <w:rPr>
                <w:sz w:val="20"/>
              </w:rPr>
              <w:t>Insuffisance rénale</w:t>
            </w:r>
            <w:r>
              <w:rPr>
                <w:sz w:val="20"/>
                <w:vertAlign w:val="superscript"/>
              </w:rPr>
              <w:t>◊</w:t>
            </w:r>
          </w:p>
        </w:tc>
      </w:tr>
      <w:tr w:rsidR="00D5485C" w:rsidRPr="00D2126A" w14:paraId="7480C91C" w14:textId="77777777" w:rsidTr="00F003F4">
        <w:trPr>
          <w:cantSplit/>
          <w:trHeight w:val="57"/>
        </w:trPr>
        <w:tc>
          <w:tcPr>
            <w:tcW w:w="955" w:type="pct"/>
            <w:shd w:val="clear" w:color="auto" w:fill="auto"/>
          </w:tcPr>
          <w:p w14:paraId="29C5C59F" w14:textId="77777777" w:rsidR="00F3495F" w:rsidRPr="00D2126A" w:rsidRDefault="000E5A86" w:rsidP="006B7D29">
            <w:pPr>
              <w:keepNext/>
              <w:snapToGrid w:val="0"/>
              <w:rPr>
                <w:b/>
                <w:bCs/>
                <w:sz w:val="20"/>
                <w:szCs w:val="20"/>
              </w:rPr>
            </w:pPr>
            <w:r>
              <w:rPr>
                <w:b/>
                <w:sz w:val="20"/>
              </w:rPr>
              <w:t>Troubles généraux et anomalies au site d’administration</w:t>
            </w:r>
          </w:p>
        </w:tc>
        <w:tc>
          <w:tcPr>
            <w:tcW w:w="1955" w:type="pct"/>
            <w:shd w:val="clear" w:color="auto" w:fill="auto"/>
          </w:tcPr>
          <w:p w14:paraId="233B32D7" w14:textId="77777777" w:rsidR="00F3495F" w:rsidRPr="00D2126A" w:rsidRDefault="000E5A86" w:rsidP="006B7D29">
            <w:pPr>
              <w:keepNext/>
              <w:snapToGrid w:val="0"/>
              <w:rPr>
                <w:b/>
                <w:sz w:val="20"/>
                <w:szCs w:val="20"/>
                <w:u w:val="single"/>
              </w:rPr>
            </w:pPr>
            <w:r>
              <w:rPr>
                <w:sz w:val="20"/>
                <w:u w:val="single"/>
              </w:rPr>
              <w:t>Très fréquent</w:t>
            </w:r>
          </w:p>
          <w:p w14:paraId="311A1FEC" w14:textId="77777777" w:rsidR="00F3495F" w:rsidRPr="00D2126A" w:rsidRDefault="000E5A86" w:rsidP="006B7D29">
            <w:pPr>
              <w:keepNext/>
              <w:rPr>
                <w:sz w:val="20"/>
                <w:szCs w:val="20"/>
              </w:rPr>
            </w:pPr>
            <w:r>
              <w:rPr>
                <w:sz w:val="20"/>
              </w:rPr>
              <w:t>Fatigue, asthénie</w:t>
            </w:r>
            <w:r>
              <w:rPr>
                <w:sz w:val="20"/>
                <w:vertAlign w:val="superscript"/>
              </w:rPr>
              <w:t>◊</w:t>
            </w:r>
            <w:r>
              <w:rPr>
                <w:sz w:val="20"/>
              </w:rPr>
              <w:t>, œdème périphérique, syndrome pseudo</w:t>
            </w:r>
            <w:r>
              <w:rPr>
                <w:sz w:val="20"/>
              </w:rPr>
              <w:noBreakHyphen/>
              <w:t>grippal (y compris pyrexie</w:t>
            </w:r>
            <w:r>
              <w:rPr>
                <w:sz w:val="20"/>
                <w:vertAlign w:val="superscript"/>
              </w:rPr>
              <w:t>◊</w:t>
            </w:r>
            <w:r>
              <w:rPr>
                <w:sz w:val="20"/>
              </w:rPr>
              <w:t>, toux)</w:t>
            </w:r>
          </w:p>
          <w:p w14:paraId="524774F4" w14:textId="77777777" w:rsidR="00F3495F" w:rsidRPr="00D2126A" w:rsidRDefault="00F3495F" w:rsidP="006B7D29">
            <w:pPr>
              <w:pStyle w:val="Date"/>
              <w:keepNext/>
              <w:rPr>
                <w:sz w:val="20"/>
                <w:szCs w:val="20"/>
              </w:rPr>
            </w:pPr>
          </w:p>
          <w:p w14:paraId="1A5E94C7" w14:textId="77777777" w:rsidR="00F3495F" w:rsidRPr="00D2126A" w:rsidRDefault="000E5A86" w:rsidP="006B7D29">
            <w:pPr>
              <w:pStyle w:val="Date"/>
              <w:keepNext/>
              <w:rPr>
                <w:sz w:val="20"/>
                <w:szCs w:val="20"/>
                <w:u w:val="single"/>
              </w:rPr>
            </w:pPr>
            <w:r>
              <w:rPr>
                <w:sz w:val="20"/>
                <w:u w:val="single"/>
              </w:rPr>
              <w:t>Fréquent</w:t>
            </w:r>
          </w:p>
          <w:p w14:paraId="397E4B7E" w14:textId="77777777" w:rsidR="00F3495F" w:rsidRPr="00D2126A" w:rsidRDefault="000E5A86" w:rsidP="006B7D29">
            <w:pPr>
              <w:keepNext/>
              <w:rPr>
                <w:sz w:val="20"/>
                <w:szCs w:val="20"/>
              </w:rPr>
            </w:pPr>
            <w:r>
              <w:rPr>
                <w:sz w:val="20"/>
              </w:rPr>
              <w:t>Frissons</w:t>
            </w:r>
          </w:p>
        </w:tc>
        <w:tc>
          <w:tcPr>
            <w:tcW w:w="2089" w:type="pct"/>
            <w:shd w:val="clear" w:color="auto" w:fill="auto"/>
          </w:tcPr>
          <w:p w14:paraId="3D22F944" w14:textId="77777777" w:rsidR="00F3495F" w:rsidRPr="00D2126A" w:rsidRDefault="000E5A86" w:rsidP="006B7D29">
            <w:pPr>
              <w:keepNext/>
              <w:snapToGrid w:val="0"/>
              <w:rPr>
                <w:sz w:val="20"/>
                <w:szCs w:val="20"/>
                <w:u w:val="single"/>
              </w:rPr>
            </w:pPr>
            <w:r>
              <w:rPr>
                <w:sz w:val="20"/>
                <w:u w:val="single"/>
              </w:rPr>
              <w:t>Fréquent</w:t>
            </w:r>
          </w:p>
          <w:p w14:paraId="01C16D0A" w14:textId="77777777" w:rsidR="00F3495F" w:rsidRPr="00D2126A" w:rsidRDefault="000E5A86" w:rsidP="006B7D29">
            <w:pPr>
              <w:keepNext/>
              <w:rPr>
                <w:sz w:val="20"/>
                <w:szCs w:val="20"/>
              </w:rPr>
            </w:pPr>
            <w:r>
              <w:rPr>
                <w:sz w:val="20"/>
              </w:rPr>
              <w:t>Pyrexie</w:t>
            </w:r>
            <w:r>
              <w:rPr>
                <w:sz w:val="20"/>
                <w:vertAlign w:val="superscript"/>
              </w:rPr>
              <w:t>◊</w:t>
            </w:r>
            <w:r>
              <w:rPr>
                <w:sz w:val="20"/>
              </w:rPr>
              <w:t>, asthénie</w:t>
            </w:r>
            <w:r>
              <w:rPr>
                <w:sz w:val="20"/>
                <w:vertAlign w:val="superscript"/>
              </w:rPr>
              <w:t>◊</w:t>
            </w:r>
            <w:r>
              <w:rPr>
                <w:sz w:val="20"/>
              </w:rPr>
              <w:t>, fatigue</w:t>
            </w:r>
          </w:p>
        </w:tc>
      </w:tr>
    </w:tbl>
    <w:p w14:paraId="0BB02506" w14:textId="1D65AADD" w:rsidR="00F3495F" w:rsidRPr="00D2126A" w:rsidRDefault="000E5A86" w:rsidP="00C93C76">
      <w:pPr>
        <w:rPr>
          <w:sz w:val="16"/>
          <w:szCs w:val="16"/>
        </w:rPr>
      </w:pPr>
      <w:r>
        <w:rPr>
          <w:sz w:val="16"/>
        </w:rPr>
        <w:t>^ Voir rubrique 4.8 Description de certains effets indésirables.</w:t>
      </w:r>
    </w:p>
    <w:p w14:paraId="6A8E17B3" w14:textId="6058AF42" w:rsidR="00CE1A4F" w:rsidRPr="00D2126A" w:rsidRDefault="000E5A86" w:rsidP="00C93C76">
      <w:pPr>
        <w:pStyle w:val="Date"/>
        <w:keepNext/>
        <w:rPr>
          <w:sz w:val="16"/>
          <w:szCs w:val="16"/>
        </w:rPr>
      </w:pPr>
      <w:r>
        <w:rPr>
          <w:sz w:val="16"/>
          <w:vertAlign w:val="superscript"/>
        </w:rPr>
        <w:t xml:space="preserve">◊ </w:t>
      </w:r>
      <w:r>
        <w:rPr>
          <w:sz w:val="16"/>
        </w:rPr>
        <w:t>Effets indésirables rapportés comme graves dans les études cliniques menées dans le lymphome à cellules du manteau.</w:t>
      </w:r>
    </w:p>
    <w:p w14:paraId="7F89064E" w14:textId="785EDE96" w:rsidR="00F3495F" w:rsidRPr="00D2126A" w:rsidRDefault="000E5A86" w:rsidP="00C93C76">
      <w:pPr>
        <w:pStyle w:val="Date"/>
        <w:keepNext/>
        <w:rPr>
          <w:sz w:val="16"/>
          <w:szCs w:val="16"/>
        </w:rPr>
      </w:pPr>
      <w:r>
        <w:rPr>
          <w:sz w:val="16"/>
        </w:rPr>
        <w:t>Algorithme utilisé pour le lymphome à cellules du manteau :</w:t>
      </w:r>
    </w:p>
    <w:p w14:paraId="46C3E834" w14:textId="6075C865" w:rsidR="00F3495F" w:rsidRPr="00D2126A" w:rsidRDefault="000E5A86" w:rsidP="00C93C76">
      <w:pPr>
        <w:pStyle w:val="Date"/>
        <w:keepNext/>
        <w:numPr>
          <w:ilvl w:val="0"/>
          <w:numId w:val="33"/>
        </w:numPr>
        <w:tabs>
          <w:tab w:val="clear" w:pos="720"/>
          <w:tab w:val="num" w:pos="567"/>
        </w:tabs>
        <w:ind w:left="567" w:hanging="567"/>
        <w:rPr>
          <w:sz w:val="16"/>
          <w:szCs w:val="16"/>
        </w:rPr>
      </w:pPr>
      <w:r>
        <w:rPr>
          <w:sz w:val="16"/>
        </w:rPr>
        <w:t>Étude de phase 2 contrôlée dans le lymphome à cellules du manteau</w:t>
      </w:r>
    </w:p>
    <w:p w14:paraId="64AFF51F" w14:textId="22A615ED"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Tous les effets indésirables apparus sous traitement rapportés chez ≥ 5 % des patients du bras lénalidomide et avec une différence d’au moins 2 % entre le bras lénalidomide et le bras contrôle.</w:t>
      </w:r>
    </w:p>
    <w:p w14:paraId="4D5B851F" w14:textId="58A3F485" w:rsidR="00F3495F" w:rsidRPr="00D2126A" w:rsidRDefault="000E5A86" w:rsidP="00C93C76">
      <w:pPr>
        <w:pStyle w:val="Date"/>
        <w:keepNext/>
        <w:numPr>
          <w:ilvl w:val="1"/>
          <w:numId w:val="33"/>
        </w:numPr>
        <w:tabs>
          <w:tab w:val="clear" w:pos="1440"/>
          <w:tab w:val="num" w:pos="1134"/>
        </w:tabs>
        <w:ind w:left="1134" w:hanging="567"/>
        <w:rPr>
          <w:sz w:val="16"/>
          <w:szCs w:val="16"/>
        </w:rPr>
      </w:pPr>
      <w:r>
        <w:rPr>
          <w:sz w:val="16"/>
        </w:rPr>
        <w:t>Tous les effets indésirables apparus sous traitement de grade 3 ou 4 rapportés chez ≥ 1 % des patients du bras lénalidomide et avec une différence d’au moins 1 % entre le bras lénalidomide et le bras contrôle.</w:t>
      </w:r>
    </w:p>
    <w:p w14:paraId="4B0ECE74" w14:textId="24E880D6"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Tous les effets indésirables graves apparus sous traitement rapportés chez ≥ 1 % des patients du bras lénalidomide et avec une différence d’au moins 1 % entre le bras lénalidomide et le bras contrôle.</w:t>
      </w:r>
    </w:p>
    <w:p w14:paraId="121309F7" w14:textId="45ED2A1A" w:rsidR="00F3495F" w:rsidRPr="00D2126A" w:rsidRDefault="000E5A86" w:rsidP="00C93C76">
      <w:pPr>
        <w:keepNext/>
        <w:numPr>
          <w:ilvl w:val="0"/>
          <w:numId w:val="33"/>
        </w:numPr>
        <w:tabs>
          <w:tab w:val="clear" w:pos="720"/>
          <w:tab w:val="num" w:pos="567"/>
        </w:tabs>
        <w:ind w:left="567" w:hanging="567"/>
        <w:rPr>
          <w:sz w:val="16"/>
          <w:szCs w:val="16"/>
        </w:rPr>
      </w:pPr>
      <w:r>
        <w:rPr>
          <w:sz w:val="16"/>
        </w:rPr>
        <w:t>Étude de phase 2 en un seul bras dans le lymphome à cellules du manteau</w:t>
      </w:r>
    </w:p>
    <w:p w14:paraId="7F7209B1" w14:textId="4B43DA6E"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Tous les effets indésirables apparus sous traitement rapportés chez ≥ 5 % des patients.</w:t>
      </w:r>
    </w:p>
    <w:p w14:paraId="54EAB7A5" w14:textId="4400E532" w:rsidR="00F3495F" w:rsidRPr="00D2126A" w:rsidRDefault="000E5A86" w:rsidP="00C93C76">
      <w:pPr>
        <w:keepNext/>
        <w:numPr>
          <w:ilvl w:val="1"/>
          <w:numId w:val="33"/>
        </w:numPr>
        <w:tabs>
          <w:tab w:val="clear" w:pos="1440"/>
          <w:tab w:val="num" w:pos="1134"/>
        </w:tabs>
        <w:ind w:left="1134" w:hanging="567"/>
        <w:rPr>
          <w:sz w:val="16"/>
          <w:szCs w:val="16"/>
        </w:rPr>
      </w:pPr>
      <w:r>
        <w:rPr>
          <w:sz w:val="16"/>
        </w:rPr>
        <w:t>Tous les effets indésirables apparus sous traitement de grade 3 ou 4 rapportés chez au moins 2 patients.</w:t>
      </w:r>
    </w:p>
    <w:p w14:paraId="4B9427F5"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Tous les effets indésirables graves apparus sous traitement rapportés chez au moins 2 patients.</w:t>
      </w:r>
    </w:p>
    <w:p w14:paraId="0DCDB4E1" w14:textId="77777777" w:rsidR="00A86FBC" w:rsidRPr="00AB0414" w:rsidRDefault="00A86FBC" w:rsidP="00C93C76">
      <w:pPr>
        <w:pStyle w:val="C-BodyText"/>
        <w:spacing w:before="0" w:after="0" w:line="240" w:lineRule="auto"/>
        <w:rPr>
          <w:sz w:val="22"/>
          <w:szCs w:val="22"/>
        </w:rPr>
      </w:pPr>
    </w:p>
    <w:p w14:paraId="27A0CB2B" w14:textId="77777777" w:rsidR="00931CD5" w:rsidRPr="00D2126A" w:rsidRDefault="000E5A86" w:rsidP="00C93C76">
      <w:pPr>
        <w:keepNext/>
        <w:rPr>
          <w:i/>
          <w:u w:val="single"/>
        </w:rPr>
      </w:pPr>
      <w:r>
        <w:rPr>
          <w:i/>
          <w:u w:val="single"/>
        </w:rPr>
        <w:t>Résumé tabulé pour le traitement en association dans le lymphome folliculaire</w:t>
      </w:r>
    </w:p>
    <w:p w14:paraId="5E9F09A2" w14:textId="758B29A6" w:rsidR="00931CD5" w:rsidRPr="00D2126A" w:rsidRDefault="000E5A86" w:rsidP="00C93C76">
      <w:pPr>
        <w:pStyle w:val="Date"/>
      </w:pPr>
      <w:r>
        <w:t>Le tableau suivant résulte des données collectées lors des principales études (NHL</w:t>
      </w:r>
      <w:r>
        <w:noBreakHyphen/>
        <w:t>007 et NHL</w:t>
      </w:r>
      <w:r>
        <w:noBreakHyphen/>
        <w:t>008) du lénalidomide en association avec le rituximab menées chez des patients atteints d’un lymphome folliculaire.</w:t>
      </w:r>
    </w:p>
    <w:p w14:paraId="164183F7" w14:textId="77777777" w:rsidR="003927E7" w:rsidRPr="00AB0414" w:rsidRDefault="003927E7" w:rsidP="00C93C76">
      <w:pPr>
        <w:pStyle w:val="C-BodyText"/>
        <w:spacing w:before="0" w:after="0" w:line="240" w:lineRule="auto"/>
        <w:rPr>
          <w:color w:val="000000"/>
          <w:sz w:val="22"/>
          <w:szCs w:val="22"/>
        </w:rPr>
      </w:pPr>
    </w:p>
    <w:p w14:paraId="6A7054B9" w14:textId="28F98EFF" w:rsidR="00931CD5" w:rsidRPr="00D2126A" w:rsidRDefault="000E5A86" w:rsidP="00C93C76">
      <w:pPr>
        <w:pStyle w:val="Date"/>
        <w:keepNext/>
        <w:rPr>
          <w:b/>
        </w:rPr>
      </w:pPr>
      <w:r>
        <w:rPr>
          <w:b/>
        </w:rPr>
        <w:t>Tableau 5. Effets indésirables rapportés lors des études cliniques chez les patients atteints d’un lymphome folliculaire, traités par le lénalidomide en association avec le rituximab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322"/>
        <w:gridCol w:w="3575"/>
        <w:gridCol w:w="3389"/>
      </w:tblGrid>
      <w:tr w:rsidR="00D5485C" w:rsidRPr="00D2126A" w14:paraId="188A04EF" w14:textId="77777777" w:rsidTr="00F003F4">
        <w:trPr>
          <w:cantSplit/>
          <w:trHeight w:val="57"/>
          <w:tblHeader/>
        </w:trPr>
        <w:tc>
          <w:tcPr>
            <w:tcW w:w="1250" w:type="pct"/>
            <w:shd w:val="clear" w:color="auto" w:fill="auto"/>
          </w:tcPr>
          <w:p w14:paraId="726F2DAC" w14:textId="34456DE3" w:rsidR="003927E7" w:rsidRPr="00D2126A" w:rsidRDefault="000E5A86" w:rsidP="006B7D29">
            <w:pPr>
              <w:keepNext/>
              <w:snapToGrid w:val="0"/>
              <w:rPr>
                <w:b/>
                <w:bCs/>
                <w:sz w:val="20"/>
                <w:szCs w:val="20"/>
              </w:rPr>
            </w:pPr>
            <w:r>
              <w:rPr>
                <w:b/>
                <w:sz w:val="20"/>
              </w:rPr>
              <w:t>Classe de systèmes d’organes / Terme préférentiel</w:t>
            </w:r>
          </w:p>
        </w:tc>
        <w:tc>
          <w:tcPr>
            <w:tcW w:w="1925" w:type="pct"/>
            <w:shd w:val="clear" w:color="auto" w:fill="auto"/>
          </w:tcPr>
          <w:p w14:paraId="2E3811FA" w14:textId="77777777" w:rsidR="003927E7" w:rsidRPr="00D2126A" w:rsidRDefault="000E5A86" w:rsidP="006B7D29">
            <w:pPr>
              <w:keepNext/>
              <w:snapToGrid w:val="0"/>
              <w:rPr>
                <w:b/>
                <w:sz w:val="20"/>
                <w:szCs w:val="20"/>
              </w:rPr>
            </w:pPr>
            <w:r>
              <w:rPr>
                <w:b/>
                <w:sz w:val="20"/>
              </w:rPr>
              <w:t>Effets indésirables de tous grades / Fréquence</w:t>
            </w:r>
          </w:p>
        </w:tc>
        <w:tc>
          <w:tcPr>
            <w:tcW w:w="1825" w:type="pct"/>
            <w:shd w:val="clear" w:color="auto" w:fill="auto"/>
          </w:tcPr>
          <w:p w14:paraId="4F44AC12" w14:textId="68CA766B" w:rsidR="003927E7" w:rsidRPr="00D2126A" w:rsidRDefault="000E5A86" w:rsidP="006B7D29">
            <w:pPr>
              <w:keepNext/>
              <w:snapToGrid w:val="0"/>
              <w:rPr>
                <w:b/>
                <w:sz w:val="20"/>
                <w:szCs w:val="20"/>
              </w:rPr>
            </w:pPr>
            <w:r>
              <w:rPr>
                <w:b/>
                <w:sz w:val="20"/>
              </w:rPr>
              <w:t>Effets indésirables de grade 3–4 / Fréquence</w:t>
            </w:r>
          </w:p>
        </w:tc>
      </w:tr>
      <w:tr w:rsidR="00D5485C" w:rsidRPr="00D2126A" w14:paraId="40BBA8A6" w14:textId="77777777" w:rsidTr="00F003F4">
        <w:trPr>
          <w:cantSplit/>
          <w:trHeight w:val="57"/>
        </w:trPr>
        <w:tc>
          <w:tcPr>
            <w:tcW w:w="1250" w:type="pct"/>
            <w:shd w:val="clear" w:color="auto" w:fill="auto"/>
          </w:tcPr>
          <w:p w14:paraId="01EC08DD" w14:textId="77777777" w:rsidR="003927E7" w:rsidRPr="00D2126A" w:rsidRDefault="000E5A86" w:rsidP="006B7D29">
            <w:pPr>
              <w:snapToGrid w:val="0"/>
              <w:rPr>
                <w:b/>
                <w:bCs/>
                <w:sz w:val="20"/>
                <w:szCs w:val="20"/>
              </w:rPr>
            </w:pPr>
            <w:r>
              <w:rPr>
                <w:b/>
                <w:sz w:val="20"/>
              </w:rPr>
              <w:t>Infections et infestations</w:t>
            </w:r>
          </w:p>
        </w:tc>
        <w:tc>
          <w:tcPr>
            <w:tcW w:w="1925" w:type="pct"/>
            <w:shd w:val="clear" w:color="auto" w:fill="auto"/>
          </w:tcPr>
          <w:p w14:paraId="571CB710" w14:textId="77777777" w:rsidR="003927E7" w:rsidRPr="00D2126A" w:rsidRDefault="000E5A86" w:rsidP="006B7D29">
            <w:pPr>
              <w:rPr>
                <w:sz w:val="20"/>
                <w:szCs w:val="20"/>
                <w:u w:val="single"/>
              </w:rPr>
            </w:pPr>
            <w:r>
              <w:rPr>
                <w:sz w:val="20"/>
                <w:u w:val="single"/>
              </w:rPr>
              <w:t>Très fréquent</w:t>
            </w:r>
          </w:p>
          <w:p w14:paraId="6166416C" w14:textId="77777777" w:rsidR="00036363" w:rsidRPr="00D2126A" w:rsidRDefault="000E5A86" w:rsidP="006B7D29">
            <w:pPr>
              <w:pStyle w:val="Date"/>
              <w:rPr>
                <w:sz w:val="20"/>
                <w:szCs w:val="20"/>
              </w:rPr>
            </w:pPr>
            <w:r>
              <w:rPr>
                <w:sz w:val="20"/>
              </w:rPr>
              <w:t>Infection des voies respiratoires supérieures</w:t>
            </w:r>
          </w:p>
          <w:p w14:paraId="561D90EB" w14:textId="72B6945A" w:rsidR="00A02D2A" w:rsidRPr="00D2126A" w:rsidRDefault="00A02D2A" w:rsidP="006B7D29">
            <w:pPr>
              <w:rPr>
                <w:sz w:val="20"/>
                <w:szCs w:val="20"/>
                <w:u w:val="single"/>
              </w:rPr>
            </w:pPr>
          </w:p>
          <w:p w14:paraId="474D6568" w14:textId="77777777" w:rsidR="003927E7" w:rsidRPr="00D2126A" w:rsidRDefault="000E5A86" w:rsidP="006B7D29">
            <w:pPr>
              <w:rPr>
                <w:sz w:val="20"/>
                <w:szCs w:val="20"/>
                <w:u w:val="single"/>
              </w:rPr>
            </w:pPr>
            <w:r>
              <w:rPr>
                <w:sz w:val="20"/>
                <w:u w:val="single"/>
              </w:rPr>
              <w:t>Fréquent</w:t>
            </w:r>
          </w:p>
          <w:p w14:paraId="7F381F0B" w14:textId="05D7BCAB" w:rsidR="003927E7" w:rsidRPr="00D2126A" w:rsidRDefault="000E5A86" w:rsidP="006B7D29">
            <w:pPr>
              <w:pStyle w:val="Date"/>
              <w:rPr>
                <w:sz w:val="20"/>
                <w:szCs w:val="20"/>
              </w:rPr>
            </w:pPr>
            <w:r>
              <w:rPr>
                <w:sz w:val="20"/>
              </w:rPr>
              <w:t>Pneumonie</w:t>
            </w:r>
            <w:r>
              <w:rPr>
                <w:sz w:val="20"/>
                <w:vertAlign w:val="superscript"/>
              </w:rPr>
              <w:t>◊</w:t>
            </w:r>
            <w:r>
              <w:rPr>
                <w:sz w:val="20"/>
              </w:rPr>
              <w:t>, grippe, bronchite, sinusite, infection urinaire</w:t>
            </w:r>
          </w:p>
        </w:tc>
        <w:tc>
          <w:tcPr>
            <w:tcW w:w="1825" w:type="pct"/>
            <w:shd w:val="clear" w:color="auto" w:fill="auto"/>
          </w:tcPr>
          <w:p w14:paraId="270BE827" w14:textId="77777777" w:rsidR="003927E7" w:rsidRPr="00D2126A" w:rsidRDefault="000E5A86" w:rsidP="006B7D29">
            <w:pPr>
              <w:rPr>
                <w:sz w:val="20"/>
                <w:szCs w:val="20"/>
                <w:u w:val="single"/>
              </w:rPr>
            </w:pPr>
            <w:r>
              <w:rPr>
                <w:sz w:val="20"/>
                <w:u w:val="single"/>
              </w:rPr>
              <w:t>Fréquent</w:t>
            </w:r>
          </w:p>
          <w:p w14:paraId="0ED5DD17" w14:textId="77777777" w:rsidR="000479A6" w:rsidRPr="00D2126A" w:rsidRDefault="000E5A86" w:rsidP="006B7D29">
            <w:pPr>
              <w:pStyle w:val="Date"/>
              <w:rPr>
                <w:sz w:val="20"/>
                <w:szCs w:val="20"/>
              </w:rPr>
            </w:pPr>
            <w:r>
              <w:rPr>
                <w:sz w:val="20"/>
              </w:rPr>
              <w:t>Pneumonie</w:t>
            </w:r>
            <w:r>
              <w:rPr>
                <w:sz w:val="20"/>
                <w:vertAlign w:val="superscript"/>
              </w:rPr>
              <w:t>◊</w:t>
            </w:r>
            <w:r>
              <w:rPr>
                <w:sz w:val="20"/>
              </w:rPr>
              <w:t>, septicémie</w:t>
            </w:r>
            <w:r>
              <w:rPr>
                <w:sz w:val="20"/>
                <w:vertAlign w:val="superscript"/>
              </w:rPr>
              <w:t>◊</w:t>
            </w:r>
            <w:r>
              <w:rPr>
                <w:sz w:val="20"/>
              </w:rPr>
              <w:t>, infection pulmonaire, bronchite, gastro</w:t>
            </w:r>
            <w:r>
              <w:rPr>
                <w:sz w:val="20"/>
              </w:rPr>
              <w:noBreakHyphen/>
              <w:t>entérite, sinusite, infection urinaire, cellulite</w:t>
            </w:r>
            <w:r>
              <w:rPr>
                <w:sz w:val="20"/>
                <w:vertAlign w:val="superscript"/>
              </w:rPr>
              <w:t>◊</w:t>
            </w:r>
          </w:p>
          <w:p w14:paraId="3D8F6252" w14:textId="77777777" w:rsidR="003927E7" w:rsidRPr="00D2126A" w:rsidRDefault="003927E7" w:rsidP="006B7D29">
            <w:pPr>
              <w:pStyle w:val="Date"/>
              <w:rPr>
                <w:sz w:val="20"/>
                <w:szCs w:val="20"/>
              </w:rPr>
            </w:pPr>
          </w:p>
        </w:tc>
      </w:tr>
      <w:tr w:rsidR="00D5485C" w:rsidRPr="00D2126A" w14:paraId="313DCD94" w14:textId="77777777" w:rsidTr="00F003F4">
        <w:trPr>
          <w:cantSplit/>
          <w:trHeight w:val="57"/>
        </w:trPr>
        <w:tc>
          <w:tcPr>
            <w:tcW w:w="1250" w:type="pct"/>
            <w:shd w:val="clear" w:color="auto" w:fill="auto"/>
          </w:tcPr>
          <w:p w14:paraId="7A41BF5E" w14:textId="77777777" w:rsidR="003927E7" w:rsidRPr="00D2126A" w:rsidRDefault="000E5A86" w:rsidP="006B7D29">
            <w:pPr>
              <w:snapToGrid w:val="0"/>
              <w:rPr>
                <w:b/>
                <w:bCs/>
                <w:sz w:val="20"/>
                <w:szCs w:val="20"/>
              </w:rPr>
            </w:pPr>
            <w:r>
              <w:rPr>
                <w:b/>
                <w:sz w:val="20"/>
              </w:rPr>
              <w:t>Tumeurs bénignes, malignes et non précisées (incluant kystes et polypes)</w:t>
            </w:r>
          </w:p>
        </w:tc>
        <w:tc>
          <w:tcPr>
            <w:tcW w:w="1925" w:type="pct"/>
            <w:shd w:val="clear" w:color="auto" w:fill="auto"/>
          </w:tcPr>
          <w:p w14:paraId="47577BE6" w14:textId="77777777" w:rsidR="003927E7" w:rsidRPr="00D2126A" w:rsidRDefault="000E5A86" w:rsidP="006B7D29">
            <w:pPr>
              <w:rPr>
                <w:sz w:val="20"/>
                <w:szCs w:val="20"/>
                <w:u w:val="single"/>
              </w:rPr>
            </w:pPr>
            <w:r>
              <w:rPr>
                <w:sz w:val="20"/>
                <w:u w:val="single"/>
              </w:rPr>
              <w:t>Très fréquent</w:t>
            </w:r>
          </w:p>
          <w:p w14:paraId="0238FF0D" w14:textId="77777777" w:rsidR="003927E7" w:rsidRPr="00D2126A" w:rsidRDefault="000E5A86" w:rsidP="006B7D29">
            <w:pPr>
              <w:pStyle w:val="Date"/>
              <w:rPr>
                <w:sz w:val="20"/>
                <w:szCs w:val="20"/>
              </w:rPr>
            </w:pPr>
            <w:r>
              <w:rPr>
                <w:sz w:val="20"/>
              </w:rPr>
              <w:t>Poussée tumorale^</w:t>
            </w:r>
          </w:p>
          <w:p w14:paraId="5F9D36B1" w14:textId="77777777" w:rsidR="00A02D2A" w:rsidRPr="00D2126A" w:rsidRDefault="00A02D2A" w:rsidP="006B7D29">
            <w:pPr>
              <w:rPr>
                <w:sz w:val="20"/>
                <w:szCs w:val="20"/>
                <w:u w:val="single"/>
              </w:rPr>
            </w:pPr>
          </w:p>
          <w:p w14:paraId="2D47FB25" w14:textId="77777777" w:rsidR="003927E7" w:rsidRPr="00D2126A" w:rsidRDefault="000E5A86" w:rsidP="006B7D29">
            <w:pPr>
              <w:rPr>
                <w:sz w:val="20"/>
                <w:szCs w:val="20"/>
                <w:u w:val="single"/>
              </w:rPr>
            </w:pPr>
            <w:r>
              <w:rPr>
                <w:sz w:val="20"/>
                <w:u w:val="single"/>
              </w:rPr>
              <w:t>Fréquent</w:t>
            </w:r>
          </w:p>
          <w:p w14:paraId="3D7A98ED" w14:textId="579A1B42" w:rsidR="003927E7" w:rsidRPr="00D2126A" w:rsidRDefault="000E5A86" w:rsidP="006B7D29">
            <w:pPr>
              <w:pStyle w:val="Date"/>
              <w:rPr>
                <w:sz w:val="20"/>
                <w:szCs w:val="20"/>
              </w:rPr>
            </w:pPr>
            <w:r>
              <w:rPr>
                <w:sz w:val="20"/>
              </w:rPr>
              <w:t>Épithélioma spinocellulaire</w:t>
            </w:r>
            <w:r>
              <w:rPr>
                <w:sz w:val="20"/>
                <w:vertAlign w:val="superscript"/>
              </w:rPr>
              <w:t>◊,</w:t>
            </w:r>
            <w:r>
              <w:rPr>
                <w:sz w:val="20"/>
              </w:rPr>
              <w:t>^</w:t>
            </w:r>
            <w:r>
              <w:rPr>
                <w:sz w:val="20"/>
                <w:vertAlign w:val="superscript"/>
              </w:rPr>
              <w:t>,+</w:t>
            </w:r>
          </w:p>
        </w:tc>
        <w:tc>
          <w:tcPr>
            <w:tcW w:w="1825" w:type="pct"/>
            <w:shd w:val="clear" w:color="auto" w:fill="auto"/>
          </w:tcPr>
          <w:p w14:paraId="234997D0" w14:textId="77777777" w:rsidR="003927E7" w:rsidRPr="00D2126A" w:rsidRDefault="000E5A86" w:rsidP="006B7D29">
            <w:pPr>
              <w:rPr>
                <w:sz w:val="20"/>
                <w:szCs w:val="20"/>
                <w:u w:val="single"/>
              </w:rPr>
            </w:pPr>
            <w:r>
              <w:rPr>
                <w:sz w:val="20"/>
                <w:u w:val="single"/>
              </w:rPr>
              <w:t>Fréquent</w:t>
            </w:r>
          </w:p>
          <w:p w14:paraId="5951C6A0" w14:textId="034141A4" w:rsidR="003927E7" w:rsidRPr="00D2126A" w:rsidRDefault="000E5A86" w:rsidP="006B7D29">
            <w:pPr>
              <w:pStyle w:val="Date"/>
              <w:rPr>
                <w:sz w:val="20"/>
                <w:szCs w:val="20"/>
              </w:rPr>
            </w:pPr>
            <w:r>
              <w:rPr>
                <w:sz w:val="20"/>
              </w:rPr>
              <w:t>Épithélioma basocellulaire^</w:t>
            </w:r>
            <w:r>
              <w:rPr>
                <w:sz w:val="20"/>
                <w:vertAlign w:val="superscript"/>
              </w:rPr>
              <w:t>,◊</w:t>
            </w:r>
          </w:p>
        </w:tc>
      </w:tr>
      <w:tr w:rsidR="00D5485C" w:rsidRPr="00D2126A" w14:paraId="4EBC3DAF" w14:textId="77777777" w:rsidTr="00F003F4">
        <w:trPr>
          <w:cantSplit/>
          <w:trHeight w:val="57"/>
        </w:trPr>
        <w:tc>
          <w:tcPr>
            <w:tcW w:w="1250" w:type="pct"/>
            <w:shd w:val="clear" w:color="auto" w:fill="auto"/>
          </w:tcPr>
          <w:p w14:paraId="2B047E5C" w14:textId="77777777" w:rsidR="000479A6" w:rsidRPr="00D2126A" w:rsidRDefault="000E5A86" w:rsidP="006B7D29">
            <w:pPr>
              <w:snapToGrid w:val="0"/>
              <w:rPr>
                <w:b/>
                <w:bCs/>
                <w:sz w:val="20"/>
                <w:szCs w:val="20"/>
              </w:rPr>
            </w:pPr>
            <w:r>
              <w:rPr>
                <w:b/>
                <w:sz w:val="20"/>
              </w:rPr>
              <w:t>Affections hématologiques et du système lymphatique</w:t>
            </w:r>
          </w:p>
        </w:tc>
        <w:tc>
          <w:tcPr>
            <w:tcW w:w="1925" w:type="pct"/>
            <w:shd w:val="clear" w:color="auto" w:fill="auto"/>
          </w:tcPr>
          <w:p w14:paraId="66704FDC" w14:textId="77777777" w:rsidR="000479A6" w:rsidRPr="00D2126A" w:rsidRDefault="000E5A86" w:rsidP="006B7D29">
            <w:pPr>
              <w:rPr>
                <w:sz w:val="20"/>
                <w:szCs w:val="20"/>
                <w:u w:val="single"/>
              </w:rPr>
            </w:pPr>
            <w:r>
              <w:rPr>
                <w:sz w:val="20"/>
                <w:u w:val="single"/>
              </w:rPr>
              <w:t>Très fréquent</w:t>
            </w:r>
          </w:p>
          <w:p w14:paraId="7DB48CDA" w14:textId="1583FB02" w:rsidR="000479A6" w:rsidRPr="00D2126A" w:rsidRDefault="000E5A86" w:rsidP="006B7D29">
            <w:pPr>
              <w:pStyle w:val="Date"/>
              <w:rPr>
                <w:sz w:val="20"/>
                <w:szCs w:val="20"/>
                <w:vertAlign w:val="superscript"/>
              </w:rPr>
            </w:pPr>
            <w:r>
              <w:rPr>
                <w:sz w:val="20"/>
              </w:rPr>
              <w:t>Neutropénie^</w:t>
            </w:r>
            <w:r>
              <w:rPr>
                <w:sz w:val="20"/>
                <w:vertAlign w:val="superscript"/>
              </w:rPr>
              <w:t>,◊</w:t>
            </w:r>
            <w:r>
              <w:rPr>
                <w:sz w:val="20"/>
              </w:rPr>
              <w:t>, anémie</w:t>
            </w:r>
            <w:r>
              <w:rPr>
                <w:sz w:val="20"/>
                <w:vertAlign w:val="superscript"/>
              </w:rPr>
              <w:t>◊</w:t>
            </w:r>
            <w:r>
              <w:rPr>
                <w:sz w:val="20"/>
              </w:rPr>
              <w:t>, thrombopénie^, leucopénie</w:t>
            </w:r>
            <w:r>
              <w:rPr>
                <w:sz w:val="20"/>
                <w:vertAlign w:val="superscript"/>
              </w:rPr>
              <w:t>**</w:t>
            </w:r>
            <w:r>
              <w:rPr>
                <w:sz w:val="20"/>
              </w:rPr>
              <w:t>,</w:t>
            </w:r>
          </w:p>
          <w:p w14:paraId="128C708C" w14:textId="77777777" w:rsidR="000479A6" w:rsidRPr="00D2126A" w:rsidRDefault="000E5A86" w:rsidP="006B7D29">
            <w:pPr>
              <w:rPr>
                <w:sz w:val="20"/>
                <w:szCs w:val="20"/>
              </w:rPr>
            </w:pPr>
            <w:r>
              <w:rPr>
                <w:sz w:val="20"/>
              </w:rPr>
              <w:t>lymphopénie</w:t>
            </w:r>
            <w:r>
              <w:rPr>
                <w:sz w:val="20"/>
                <w:vertAlign w:val="superscript"/>
              </w:rPr>
              <w:t>***</w:t>
            </w:r>
          </w:p>
          <w:p w14:paraId="30C66D52" w14:textId="77777777" w:rsidR="000479A6" w:rsidRPr="00D2126A" w:rsidRDefault="000479A6" w:rsidP="006B7D29">
            <w:pPr>
              <w:pStyle w:val="Date"/>
              <w:rPr>
                <w:sz w:val="20"/>
                <w:szCs w:val="20"/>
              </w:rPr>
            </w:pPr>
          </w:p>
        </w:tc>
        <w:tc>
          <w:tcPr>
            <w:tcW w:w="1825" w:type="pct"/>
            <w:shd w:val="clear" w:color="auto" w:fill="auto"/>
          </w:tcPr>
          <w:p w14:paraId="475CC10C" w14:textId="77777777" w:rsidR="000479A6" w:rsidRPr="00D2126A" w:rsidRDefault="000E5A86" w:rsidP="006B7D29">
            <w:pPr>
              <w:rPr>
                <w:sz w:val="20"/>
                <w:szCs w:val="20"/>
                <w:u w:val="single"/>
              </w:rPr>
            </w:pPr>
            <w:r>
              <w:rPr>
                <w:sz w:val="20"/>
                <w:u w:val="single"/>
              </w:rPr>
              <w:t>Très fréquent</w:t>
            </w:r>
          </w:p>
          <w:p w14:paraId="4C66D688" w14:textId="797FCFBF" w:rsidR="000479A6" w:rsidRPr="00D2126A" w:rsidRDefault="000E5A86" w:rsidP="006B7D29">
            <w:pPr>
              <w:rPr>
                <w:sz w:val="20"/>
                <w:szCs w:val="20"/>
                <w:u w:val="single"/>
              </w:rPr>
            </w:pPr>
            <w:r>
              <w:rPr>
                <w:sz w:val="20"/>
              </w:rPr>
              <w:t>Neutropénie^</w:t>
            </w:r>
            <w:r>
              <w:rPr>
                <w:sz w:val="20"/>
                <w:vertAlign w:val="superscript"/>
              </w:rPr>
              <w:t>,◊</w:t>
            </w:r>
          </w:p>
          <w:p w14:paraId="2040EBD6" w14:textId="77777777" w:rsidR="00A02D2A" w:rsidRPr="00D2126A" w:rsidRDefault="00A02D2A" w:rsidP="006B7D29">
            <w:pPr>
              <w:rPr>
                <w:sz w:val="20"/>
                <w:szCs w:val="20"/>
                <w:u w:val="single"/>
              </w:rPr>
            </w:pPr>
          </w:p>
          <w:p w14:paraId="75A42EB4" w14:textId="77777777" w:rsidR="000479A6" w:rsidRPr="00D2126A" w:rsidRDefault="000E5A86" w:rsidP="006B7D29">
            <w:pPr>
              <w:rPr>
                <w:sz w:val="20"/>
                <w:szCs w:val="20"/>
                <w:u w:val="single"/>
              </w:rPr>
            </w:pPr>
            <w:r>
              <w:rPr>
                <w:sz w:val="20"/>
                <w:u w:val="single"/>
              </w:rPr>
              <w:t>Fréquent</w:t>
            </w:r>
          </w:p>
          <w:p w14:paraId="36A0B7E9" w14:textId="77777777" w:rsidR="000479A6" w:rsidRPr="00D2126A" w:rsidRDefault="000E5A86" w:rsidP="006B7D29">
            <w:pPr>
              <w:pStyle w:val="Date"/>
              <w:rPr>
                <w:sz w:val="20"/>
                <w:szCs w:val="20"/>
              </w:rPr>
            </w:pPr>
            <w:r>
              <w:rPr>
                <w:sz w:val="20"/>
              </w:rPr>
              <w:t>Anémie</w:t>
            </w:r>
            <w:r>
              <w:rPr>
                <w:sz w:val="20"/>
                <w:vertAlign w:val="superscript"/>
              </w:rPr>
              <w:t>◊</w:t>
            </w:r>
            <w:r>
              <w:rPr>
                <w:sz w:val="20"/>
              </w:rPr>
              <w:t>, thrombopénie^, neutropénie fébrile</w:t>
            </w:r>
            <w:r>
              <w:rPr>
                <w:sz w:val="20"/>
                <w:vertAlign w:val="superscript"/>
              </w:rPr>
              <w:t>◊</w:t>
            </w:r>
            <w:r>
              <w:rPr>
                <w:sz w:val="20"/>
              </w:rPr>
              <w:t>, pancytopénie, leucopénie</w:t>
            </w:r>
            <w:r>
              <w:rPr>
                <w:sz w:val="20"/>
                <w:vertAlign w:val="superscript"/>
              </w:rPr>
              <w:t>**</w:t>
            </w:r>
            <w:r>
              <w:rPr>
                <w:sz w:val="20"/>
              </w:rPr>
              <w:t>, lymphopénie</w:t>
            </w:r>
            <w:r>
              <w:rPr>
                <w:sz w:val="20"/>
                <w:vertAlign w:val="superscript"/>
              </w:rPr>
              <w:t>***</w:t>
            </w:r>
          </w:p>
        </w:tc>
      </w:tr>
      <w:tr w:rsidR="00D5485C" w:rsidRPr="00D2126A" w14:paraId="00EE906C" w14:textId="77777777" w:rsidTr="00F003F4">
        <w:trPr>
          <w:cantSplit/>
          <w:trHeight w:val="57"/>
        </w:trPr>
        <w:tc>
          <w:tcPr>
            <w:tcW w:w="1250" w:type="pct"/>
            <w:shd w:val="clear" w:color="auto" w:fill="auto"/>
          </w:tcPr>
          <w:p w14:paraId="26974CD3" w14:textId="77777777" w:rsidR="000479A6" w:rsidRPr="00D2126A" w:rsidRDefault="000E5A86" w:rsidP="006B7D29">
            <w:pPr>
              <w:snapToGrid w:val="0"/>
              <w:rPr>
                <w:b/>
                <w:bCs/>
                <w:sz w:val="20"/>
                <w:szCs w:val="20"/>
              </w:rPr>
            </w:pPr>
            <w:r>
              <w:rPr>
                <w:b/>
                <w:sz w:val="20"/>
              </w:rPr>
              <w:t>Troubles du métabolisme et de la nutrition</w:t>
            </w:r>
          </w:p>
        </w:tc>
        <w:tc>
          <w:tcPr>
            <w:tcW w:w="1925" w:type="pct"/>
            <w:shd w:val="clear" w:color="auto" w:fill="auto"/>
          </w:tcPr>
          <w:p w14:paraId="156B03DC" w14:textId="77777777" w:rsidR="000479A6" w:rsidRPr="00D2126A" w:rsidRDefault="000E5A86" w:rsidP="006B7D29">
            <w:pPr>
              <w:pStyle w:val="Date"/>
              <w:rPr>
                <w:sz w:val="20"/>
                <w:szCs w:val="20"/>
                <w:u w:val="single"/>
              </w:rPr>
            </w:pPr>
            <w:r>
              <w:rPr>
                <w:sz w:val="20"/>
                <w:u w:val="single"/>
              </w:rPr>
              <w:t>Très fréquent</w:t>
            </w:r>
          </w:p>
          <w:p w14:paraId="457FD428" w14:textId="77777777" w:rsidR="000479A6" w:rsidRPr="00D2126A" w:rsidRDefault="000E5A86" w:rsidP="006B7D29">
            <w:pPr>
              <w:rPr>
                <w:sz w:val="20"/>
                <w:szCs w:val="20"/>
              </w:rPr>
            </w:pPr>
            <w:r>
              <w:rPr>
                <w:sz w:val="20"/>
              </w:rPr>
              <w:t>Diminution de l’appétit, hypokaliémie</w:t>
            </w:r>
          </w:p>
          <w:p w14:paraId="53FAD613" w14:textId="77777777" w:rsidR="00A02D2A" w:rsidRPr="00D2126A" w:rsidRDefault="00A02D2A" w:rsidP="006B7D29">
            <w:pPr>
              <w:pStyle w:val="Date"/>
              <w:rPr>
                <w:sz w:val="20"/>
                <w:szCs w:val="20"/>
                <w:u w:val="single"/>
              </w:rPr>
            </w:pPr>
          </w:p>
          <w:p w14:paraId="58F3850C" w14:textId="77777777" w:rsidR="000479A6" w:rsidRPr="00D2126A" w:rsidRDefault="000E5A86" w:rsidP="006B7D29">
            <w:pPr>
              <w:pStyle w:val="Date"/>
              <w:rPr>
                <w:sz w:val="20"/>
                <w:szCs w:val="20"/>
                <w:u w:val="single"/>
              </w:rPr>
            </w:pPr>
            <w:r>
              <w:rPr>
                <w:sz w:val="20"/>
                <w:u w:val="single"/>
              </w:rPr>
              <w:t>Fréquent</w:t>
            </w:r>
          </w:p>
          <w:p w14:paraId="1143F7A7" w14:textId="77777777" w:rsidR="000479A6" w:rsidRPr="00D2126A" w:rsidRDefault="000E5A86" w:rsidP="006B7D29">
            <w:pPr>
              <w:rPr>
                <w:sz w:val="20"/>
                <w:szCs w:val="20"/>
              </w:rPr>
            </w:pPr>
            <w:r>
              <w:rPr>
                <w:sz w:val="20"/>
              </w:rPr>
              <w:t>Hypophosphatémie, déshydratation</w:t>
            </w:r>
          </w:p>
          <w:p w14:paraId="7780706C" w14:textId="77777777" w:rsidR="000479A6" w:rsidRPr="00D2126A" w:rsidRDefault="000479A6" w:rsidP="006B7D29">
            <w:pPr>
              <w:rPr>
                <w:sz w:val="20"/>
                <w:szCs w:val="20"/>
              </w:rPr>
            </w:pPr>
          </w:p>
        </w:tc>
        <w:tc>
          <w:tcPr>
            <w:tcW w:w="1825" w:type="pct"/>
            <w:shd w:val="clear" w:color="auto" w:fill="auto"/>
          </w:tcPr>
          <w:p w14:paraId="1565C644" w14:textId="77777777" w:rsidR="000479A6" w:rsidRPr="00D2126A" w:rsidRDefault="000E5A86" w:rsidP="006B7D29">
            <w:pPr>
              <w:rPr>
                <w:sz w:val="20"/>
                <w:szCs w:val="20"/>
                <w:u w:val="single"/>
              </w:rPr>
            </w:pPr>
            <w:r>
              <w:rPr>
                <w:sz w:val="20"/>
                <w:u w:val="single"/>
              </w:rPr>
              <w:t>Fréquent</w:t>
            </w:r>
          </w:p>
          <w:p w14:paraId="7C73C8E2" w14:textId="77777777" w:rsidR="000479A6" w:rsidRPr="00D2126A" w:rsidRDefault="000E5A86" w:rsidP="006B7D29">
            <w:pPr>
              <w:pStyle w:val="Date"/>
              <w:rPr>
                <w:sz w:val="20"/>
                <w:szCs w:val="20"/>
              </w:rPr>
            </w:pPr>
            <w:r>
              <w:rPr>
                <w:sz w:val="20"/>
              </w:rPr>
              <w:t>Déshydratation, hypercalcémie</w:t>
            </w:r>
            <w:r>
              <w:rPr>
                <w:sz w:val="20"/>
                <w:vertAlign w:val="superscript"/>
              </w:rPr>
              <w:t>◊</w:t>
            </w:r>
            <w:r>
              <w:rPr>
                <w:sz w:val="20"/>
              </w:rPr>
              <w:t>, hypokaliémie, hypophosphatémie, hyperuricémie</w:t>
            </w:r>
          </w:p>
        </w:tc>
      </w:tr>
      <w:tr w:rsidR="00D5485C" w:rsidRPr="00D2126A" w14:paraId="1F17D399" w14:textId="77777777" w:rsidTr="00F003F4">
        <w:trPr>
          <w:cantSplit/>
          <w:trHeight w:val="57"/>
        </w:trPr>
        <w:tc>
          <w:tcPr>
            <w:tcW w:w="1250" w:type="pct"/>
            <w:shd w:val="clear" w:color="auto" w:fill="auto"/>
          </w:tcPr>
          <w:p w14:paraId="5B273EB3" w14:textId="77777777" w:rsidR="000479A6" w:rsidRPr="00D2126A" w:rsidRDefault="000E5A86" w:rsidP="006B7D29">
            <w:pPr>
              <w:snapToGrid w:val="0"/>
              <w:rPr>
                <w:b/>
                <w:bCs/>
                <w:sz w:val="20"/>
                <w:szCs w:val="20"/>
              </w:rPr>
            </w:pPr>
            <w:r>
              <w:rPr>
                <w:b/>
                <w:sz w:val="20"/>
              </w:rPr>
              <w:t>Affections psychiatriques</w:t>
            </w:r>
          </w:p>
        </w:tc>
        <w:tc>
          <w:tcPr>
            <w:tcW w:w="1925" w:type="pct"/>
            <w:shd w:val="clear" w:color="auto" w:fill="auto"/>
          </w:tcPr>
          <w:p w14:paraId="0B9D2D1A" w14:textId="77777777" w:rsidR="000479A6" w:rsidRPr="00D2126A" w:rsidRDefault="000E5A86" w:rsidP="006B7D29">
            <w:pPr>
              <w:rPr>
                <w:sz w:val="20"/>
                <w:szCs w:val="20"/>
                <w:u w:val="single"/>
              </w:rPr>
            </w:pPr>
            <w:r>
              <w:rPr>
                <w:sz w:val="20"/>
                <w:u w:val="single"/>
              </w:rPr>
              <w:t>Fréquent</w:t>
            </w:r>
          </w:p>
          <w:p w14:paraId="27D7F5BF" w14:textId="406DA0F2" w:rsidR="000479A6" w:rsidRPr="00D2126A" w:rsidRDefault="000E5A86" w:rsidP="006B7D29">
            <w:pPr>
              <w:pStyle w:val="Date"/>
              <w:rPr>
                <w:sz w:val="20"/>
                <w:szCs w:val="20"/>
              </w:rPr>
            </w:pPr>
            <w:r>
              <w:rPr>
                <w:sz w:val="20"/>
              </w:rPr>
              <w:t>Dépression, insomnie</w:t>
            </w:r>
          </w:p>
        </w:tc>
        <w:tc>
          <w:tcPr>
            <w:tcW w:w="1825" w:type="pct"/>
            <w:shd w:val="clear" w:color="auto" w:fill="auto"/>
          </w:tcPr>
          <w:p w14:paraId="22FB55D0" w14:textId="77777777" w:rsidR="000479A6" w:rsidRPr="00D2126A" w:rsidRDefault="000479A6" w:rsidP="006B7D29">
            <w:pPr>
              <w:rPr>
                <w:sz w:val="20"/>
                <w:szCs w:val="20"/>
              </w:rPr>
            </w:pPr>
          </w:p>
        </w:tc>
      </w:tr>
      <w:tr w:rsidR="00D5485C" w:rsidRPr="00D2126A" w14:paraId="7DEC0219" w14:textId="77777777" w:rsidTr="00F003F4">
        <w:trPr>
          <w:cantSplit/>
          <w:trHeight w:val="57"/>
        </w:trPr>
        <w:tc>
          <w:tcPr>
            <w:tcW w:w="1250" w:type="pct"/>
            <w:shd w:val="clear" w:color="auto" w:fill="auto"/>
          </w:tcPr>
          <w:p w14:paraId="701D4F8C" w14:textId="77777777" w:rsidR="000479A6" w:rsidRPr="00D2126A" w:rsidRDefault="000E5A86" w:rsidP="006B7D29">
            <w:pPr>
              <w:snapToGrid w:val="0"/>
              <w:rPr>
                <w:b/>
                <w:bCs/>
                <w:sz w:val="20"/>
                <w:szCs w:val="20"/>
              </w:rPr>
            </w:pPr>
            <w:r>
              <w:rPr>
                <w:b/>
                <w:sz w:val="20"/>
              </w:rPr>
              <w:t>Affections du système nerveux</w:t>
            </w:r>
          </w:p>
        </w:tc>
        <w:tc>
          <w:tcPr>
            <w:tcW w:w="1925" w:type="pct"/>
            <w:shd w:val="clear" w:color="auto" w:fill="auto"/>
          </w:tcPr>
          <w:p w14:paraId="2F81AC31" w14:textId="77777777" w:rsidR="000479A6" w:rsidRPr="00D2126A" w:rsidRDefault="000E5A86" w:rsidP="006B7D29">
            <w:pPr>
              <w:rPr>
                <w:sz w:val="20"/>
                <w:szCs w:val="20"/>
                <w:u w:val="single"/>
              </w:rPr>
            </w:pPr>
            <w:r>
              <w:rPr>
                <w:sz w:val="20"/>
                <w:u w:val="single"/>
              </w:rPr>
              <w:t>Très fréquent</w:t>
            </w:r>
          </w:p>
          <w:p w14:paraId="3A93F470" w14:textId="77777777" w:rsidR="00036363" w:rsidRPr="00D2126A" w:rsidRDefault="000E5A86" w:rsidP="006B7D29">
            <w:pPr>
              <w:pStyle w:val="Date"/>
              <w:rPr>
                <w:sz w:val="20"/>
                <w:szCs w:val="20"/>
              </w:rPr>
            </w:pPr>
            <w:r>
              <w:rPr>
                <w:sz w:val="20"/>
              </w:rPr>
              <w:t>Céphalées, vertiges</w:t>
            </w:r>
          </w:p>
          <w:p w14:paraId="493D6FE9" w14:textId="2AE8A879" w:rsidR="00A02D2A" w:rsidRPr="00D2126A" w:rsidRDefault="00A02D2A" w:rsidP="006B7D29">
            <w:pPr>
              <w:rPr>
                <w:sz w:val="20"/>
                <w:szCs w:val="20"/>
                <w:u w:val="single"/>
              </w:rPr>
            </w:pPr>
          </w:p>
          <w:p w14:paraId="54FB20A0" w14:textId="77777777" w:rsidR="000479A6" w:rsidRPr="00D2126A" w:rsidRDefault="000E5A86" w:rsidP="006B7D29">
            <w:pPr>
              <w:rPr>
                <w:sz w:val="20"/>
                <w:szCs w:val="20"/>
                <w:u w:val="single"/>
              </w:rPr>
            </w:pPr>
            <w:r>
              <w:rPr>
                <w:sz w:val="20"/>
                <w:u w:val="single"/>
              </w:rPr>
              <w:t>Fréquent</w:t>
            </w:r>
          </w:p>
          <w:p w14:paraId="411F71F1" w14:textId="48C43FED" w:rsidR="000479A6" w:rsidRPr="00D2126A" w:rsidRDefault="000E5A86" w:rsidP="006B7D29">
            <w:pPr>
              <w:pStyle w:val="Date"/>
              <w:rPr>
                <w:sz w:val="20"/>
                <w:szCs w:val="20"/>
              </w:rPr>
            </w:pPr>
            <w:r>
              <w:rPr>
                <w:sz w:val="20"/>
              </w:rPr>
              <w:t>Neuropathie périphérique, dysgueusie</w:t>
            </w:r>
          </w:p>
        </w:tc>
        <w:tc>
          <w:tcPr>
            <w:tcW w:w="1825" w:type="pct"/>
            <w:shd w:val="clear" w:color="auto" w:fill="auto"/>
          </w:tcPr>
          <w:p w14:paraId="6E62FFE4" w14:textId="77777777" w:rsidR="000479A6" w:rsidRPr="00D2126A" w:rsidRDefault="000E5A86" w:rsidP="006B7D29">
            <w:pPr>
              <w:rPr>
                <w:sz w:val="20"/>
                <w:szCs w:val="20"/>
                <w:u w:val="single"/>
              </w:rPr>
            </w:pPr>
            <w:r>
              <w:rPr>
                <w:sz w:val="20"/>
                <w:u w:val="single"/>
              </w:rPr>
              <w:t>Fréquent</w:t>
            </w:r>
          </w:p>
          <w:p w14:paraId="66FFC9C2" w14:textId="77777777" w:rsidR="000479A6" w:rsidRPr="00D2126A" w:rsidRDefault="000E5A86" w:rsidP="006B7D29">
            <w:pPr>
              <w:pStyle w:val="Date"/>
              <w:rPr>
                <w:sz w:val="20"/>
                <w:szCs w:val="20"/>
              </w:rPr>
            </w:pPr>
            <w:r>
              <w:rPr>
                <w:sz w:val="20"/>
              </w:rPr>
              <w:t>Syncope</w:t>
            </w:r>
          </w:p>
        </w:tc>
      </w:tr>
      <w:tr w:rsidR="00D5485C" w:rsidRPr="00D2126A" w14:paraId="2C231B72" w14:textId="77777777" w:rsidTr="00F003F4">
        <w:trPr>
          <w:cantSplit/>
          <w:trHeight w:val="57"/>
        </w:trPr>
        <w:tc>
          <w:tcPr>
            <w:tcW w:w="1250" w:type="pct"/>
            <w:shd w:val="clear" w:color="auto" w:fill="auto"/>
          </w:tcPr>
          <w:p w14:paraId="62196520" w14:textId="77777777" w:rsidR="000479A6" w:rsidRPr="00D2126A" w:rsidRDefault="000E5A86" w:rsidP="006B7D29">
            <w:pPr>
              <w:snapToGrid w:val="0"/>
              <w:rPr>
                <w:b/>
                <w:bCs/>
                <w:sz w:val="20"/>
                <w:szCs w:val="20"/>
              </w:rPr>
            </w:pPr>
            <w:r>
              <w:rPr>
                <w:b/>
                <w:sz w:val="20"/>
              </w:rPr>
              <w:t>Affections cardiaques</w:t>
            </w:r>
          </w:p>
        </w:tc>
        <w:tc>
          <w:tcPr>
            <w:tcW w:w="1925" w:type="pct"/>
            <w:shd w:val="clear" w:color="auto" w:fill="auto"/>
          </w:tcPr>
          <w:p w14:paraId="03497A22" w14:textId="77777777" w:rsidR="000479A6" w:rsidRPr="00D2126A" w:rsidRDefault="000E5A86" w:rsidP="006B7D29">
            <w:pPr>
              <w:rPr>
                <w:sz w:val="20"/>
                <w:szCs w:val="20"/>
                <w:u w:val="single"/>
              </w:rPr>
            </w:pPr>
            <w:r>
              <w:rPr>
                <w:sz w:val="20"/>
                <w:u w:val="single"/>
              </w:rPr>
              <w:t>Peu fréquent</w:t>
            </w:r>
          </w:p>
          <w:p w14:paraId="34DF2758" w14:textId="77777777" w:rsidR="000479A6" w:rsidRPr="00D2126A" w:rsidRDefault="000E5A86" w:rsidP="006B7D29">
            <w:pPr>
              <w:pStyle w:val="Date"/>
              <w:rPr>
                <w:sz w:val="20"/>
                <w:szCs w:val="20"/>
              </w:rPr>
            </w:pPr>
            <w:r>
              <w:rPr>
                <w:sz w:val="20"/>
              </w:rPr>
              <w:t>Arythmie</w:t>
            </w:r>
            <w:r>
              <w:rPr>
                <w:sz w:val="20"/>
                <w:vertAlign w:val="superscript"/>
              </w:rPr>
              <w:t>◊</w:t>
            </w:r>
          </w:p>
        </w:tc>
        <w:tc>
          <w:tcPr>
            <w:tcW w:w="1825" w:type="pct"/>
            <w:shd w:val="clear" w:color="auto" w:fill="auto"/>
          </w:tcPr>
          <w:p w14:paraId="6FF52F43" w14:textId="77777777" w:rsidR="000479A6" w:rsidRPr="00D2126A" w:rsidRDefault="000479A6" w:rsidP="006B7D29">
            <w:pPr>
              <w:pStyle w:val="Date"/>
              <w:rPr>
                <w:sz w:val="20"/>
                <w:szCs w:val="20"/>
                <w:vertAlign w:val="superscript"/>
              </w:rPr>
            </w:pPr>
          </w:p>
        </w:tc>
      </w:tr>
      <w:tr w:rsidR="00D5485C" w:rsidRPr="00D2126A" w14:paraId="729A1966" w14:textId="77777777" w:rsidTr="00F003F4">
        <w:trPr>
          <w:cantSplit/>
          <w:trHeight w:val="57"/>
        </w:trPr>
        <w:tc>
          <w:tcPr>
            <w:tcW w:w="1250" w:type="pct"/>
            <w:shd w:val="clear" w:color="auto" w:fill="auto"/>
          </w:tcPr>
          <w:p w14:paraId="59E0B2DD" w14:textId="77777777" w:rsidR="000479A6" w:rsidRPr="00D2126A" w:rsidRDefault="000E5A86" w:rsidP="006B7D29">
            <w:pPr>
              <w:snapToGrid w:val="0"/>
              <w:rPr>
                <w:b/>
                <w:bCs/>
                <w:sz w:val="20"/>
                <w:szCs w:val="20"/>
              </w:rPr>
            </w:pPr>
            <w:r>
              <w:rPr>
                <w:b/>
                <w:sz w:val="20"/>
              </w:rPr>
              <w:t>Affections vasculaires</w:t>
            </w:r>
          </w:p>
        </w:tc>
        <w:tc>
          <w:tcPr>
            <w:tcW w:w="1925" w:type="pct"/>
            <w:shd w:val="clear" w:color="auto" w:fill="auto"/>
          </w:tcPr>
          <w:p w14:paraId="1C3AA8F2" w14:textId="77777777" w:rsidR="000479A6" w:rsidRPr="00D2126A" w:rsidRDefault="000E5A86" w:rsidP="006B7D29">
            <w:pPr>
              <w:rPr>
                <w:sz w:val="20"/>
                <w:szCs w:val="20"/>
                <w:u w:val="single"/>
              </w:rPr>
            </w:pPr>
            <w:r>
              <w:rPr>
                <w:sz w:val="20"/>
                <w:u w:val="single"/>
              </w:rPr>
              <w:t>Fréquent</w:t>
            </w:r>
          </w:p>
          <w:p w14:paraId="11700B88" w14:textId="77777777" w:rsidR="000479A6" w:rsidRPr="00D2126A" w:rsidRDefault="000E5A86" w:rsidP="006B7D29">
            <w:pPr>
              <w:pStyle w:val="Date"/>
              <w:rPr>
                <w:sz w:val="20"/>
                <w:szCs w:val="20"/>
              </w:rPr>
            </w:pPr>
            <w:r>
              <w:rPr>
                <w:sz w:val="20"/>
              </w:rPr>
              <w:t>Hypotension</w:t>
            </w:r>
          </w:p>
        </w:tc>
        <w:tc>
          <w:tcPr>
            <w:tcW w:w="1825" w:type="pct"/>
            <w:shd w:val="clear" w:color="auto" w:fill="auto"/>
          </w:tcPr>
          <w:p w14:paraId="12771C0D" w14:textId="77777777" w:rsidR="000479A6" w:rsidRPr="00D2126A" w:rsidRDefault="000E5A86" w:rsidP="006B7D29">
            <w:pPr>
              <w:rPr>
                <w:sz w:val="20"/>
                <w:szCs w:val="20"/>
                <w:u w:val="single"/>
              </w:rPr>
            </w:pPr>
            <w:r>
              <w:rPr>
                <w:sz w:val="20"/>
                <w:u w:val="single"/>
              </w:rPr>
              <w:t>Fréquent</w:t>
            </w:r>
          </w:p>
          <w:p w14:paraId="7E7BE8AC" w14:textId="77777777" w:rsidR="000479A6" w:rsidRPr="00D2126A" w:rsidRDefault="000E5A86" w:rsidP="006B7D29">
            <w:pPr>
              <w:rPr>
                <w:b/>
                <w:sz w:val="20"/>
                <w:szCs w:val="20"/>
                <w:u w:val="single"/>
                <w:shd w:val="clear" w:color="auto" w:fill="C0C0C0"/>
              </w:rPr>
            </w:pPr>
            <w:r>
              <w:rPr>
                <w:sz w:val="20"/>
              </w:rPr>
              <w:t>Embolie pulmonaire ^</w:t>
            </w:r>
            <w:r>
              <w:rPr>
                <w:sz w:val="20"/>
                <w:vertAlign w:val="superscript"/>
              </w:rPr>
              <w:t>,◊</w:t>
            </w:r>
            <w:r>
              <w:rPr>
                <w:sz w:val="20"/>
              </w:rPr>
              <w:t>, hypotension</w:t>
            </w:r>
          </w:p>
        </w:tc>
      </w:tr>
      <w:tr w:rsidR="00D5485C" w:rsidRPr="00D2126A" w14:paraId="1C59C0B4" w14:textId="77777777" w:rsidTr="00F003F4">
        <w:trPr>
          <w:cantSplit/>
          <w:trHeight w:val="57"/>
        </w:trPr>
        <w:tc>
          <w:tcPr>
            <w:tcW w:w="1250" w:type="pct"/>
            <w:shd w:val="clear" w:color="auto" w:fill="auto"/>
          </w:tcPr>
          <w:p w14:paraId="1CCD5545" w14:textId="77777777" w:rsidR="000479A6" w:rsidRPr="00D2126A" w:rsidRDefault="000E5A86" w:rsidP="006B7D29">
            <w:pPr>
              <w:snapToGrid w:val="0"/>
              <w:rPr>
                <w:b/>
                <w:bCs/>
                <w:sz w:val="20"/>
                <w:szCs w:val="20"/>
              </w:rPr>
            </w:pPr>
            <w:r>
              <w:rPr>
                <w:b/>
                <w:sz w:val="20"/>
              </w:rPr>
              <w:t>Affections respiratoires, thoraciques et médiastinales</w:t>
            </w:r>
          </w:p>
        </w:tc>
        <w:tc>
          <w:tcPr>
            <w:tcW w:w="1925" w:type="pct"/>
            <w:shd w:val="clear" w:color="auto" w:fill="auto"/>
          </w:tcPr>
          <w:p w14:paraId="0C4CEB3F" w14:textId="77777777" w:rsidR="000479A6" w:rsidRPr="00D2126A" w:rsidRDefault="000E5A86" w:rsidP="006B7D29">
            <w:pPr>
              <w:rPr>
                <w:sz w:val="20"/>
                <w:szCs w:val="20"/>
                <w:u w:val="single"/>
              </w:rPr>
            </w:pPr>
            <w:r>
              <w:rPr>
                <w:sz w:val="20"/>
                <w:u w:val="single"/>
              </w:rPr>
              <w:t>Très fréquent</w:t>
            </w:r>
          </w:p>
          <w:p w14:paraId="7DE985AF" w14:textId="77777777" w:rsidR="000479A6" w:rsidRPr="00D2126A" w:rsidRDefault="000E5A86" w:rsidP="006B7D29">
            <w:pPr>
              <w:pStyle w:val="Date"/>
              <w:rPr>
                <w:sz w:val="20"/>
                <w:szCs w:val="20"/>
              </w:rPr>
            </w:pPr>
            <w:r>
              <w:rPr>
                <w:sz w:val="20"/>
              </w:rPr>
              <w:t>Dyspnée</w:t>
            </w:r>
            <w:r>
              <w:rPr>
                <w:sz w:val="20"/>
                <w:vertAlign w:val="superscript"/>
              </w:rPr>
              <w:t>◊</w:t>
            </w:r>
            <w:r>
              <w:rPr>
                <w:sz w:val="20"/>
              </w:rPr>
              <w:t>, toux</w:t>
            </w:r>
          </w:p>
          <w:p w14:paraId="02BA7474" w14:textId="77777777" w:rsidR="000479A6" w:rsidRPr="00D2126A" w:rsidRDefault="000E5A86" w:rsidP="006B7D29">
            <w:pPr>
              <w:rPr>
                <w:sz w:val="20"/>
                <w:szCs w:val="20"/>
                <w:u w:val="single"/>
              </w:rPr>
            </w:pPr>
            <w:r>
              <w:rPr>
                <w:sz w:val="20"/>
                <w:u w:val="single"/>
              </w:rPr>
              <w:t>Fréquent</w:t>
            </w:r>
          </w:p>
          <w:p w14:paraId="46122C94" w14:textId="77777777" w:rsidR="000479A6" w:rsidRPr="00D2126A" w:rsidRDefault="000E5A86" w:rsidP="006B7D29">
            <w:pPr>
              <w:pStyle w:val="Date"/>
              <w:rPr>
                <w:sz w:val="20"/>
                <w:szCs w:val="20"/>
              </w:rPr>
            </w:pPr>
            <w:r>
              <w:rPr>
                <w:sz w:val="20"/>
              </w:rPr>
              <w:t>Douleur oropharyngée, dysphonie</w:t>
            </w:r>
          </w:p>
        </w:tc>
        <w:tc>
          <w:tcPr>
            <w:tcW w:w="1825" w:type="pct"/>
            <w:shd w:val="clear" w:color="auto" w:fill="auto"/>
          </w:tcPr>
          <w:p w14:paraId="42450A93" w14:textId="77777777" w:rsidR="000479A6" w:rsidRPr="00D2126A" w:rsidRDefault="000E5A86" w:rsidP="006B7D29">
            <w:pPr>
              <w:rPr>
                <w:sz w:val="20"/>
                <w:szCs w:val="20"/>
                <w:u w:val="single"/>
              </w:rPr>
            </w:pPr>
            <w:r>
              <w:rPr>
                <w:sz w:val="20"/>
                <w:u w:val="single"/>
              </w:rPr>
              <w:t>Fréquent</w:t>
            </w:r>
          </w:p>
          <w:p w14:paraId="6DB38DF4" w14:textId="77777777" w:rsidR="000479A6" w:rsidRPr="00D2126A" w:rsidRDefault="000E5A86" w:rsidP="006B7D29">
            <w:pPr>
              <w:pStyle w:val="Date"/>
              <w:rPr>
                <w:sz w:val="20"/>
                <w:szCs w:val="20"/>
              </w:rPr>
            </w:pPr>
            <w:r>
              <w:rPr>
                <w:sz w:val="20"/>
              </w:rPr>
              <w:t>Dyspnée</w:t>
            </w:r>
            <w:r>
              <w:rPr>
                <w:sz w:val="20"/>
                <w:vertAlign w:val="superscript"/>
              </w:rPr>
              <w:t>◊</w:t>
            </w:r>
          </w:p>
        </w:tc>
      </w:tr>
      <w:tr w:rsidR="00D5485C" w:rsidRPr="00D2126A" w14:paraId="7DB3ADF1" w14:textId="77777777" w:rsidTr="00F003F4">
        <w:trPr>
          <w:cantSplit/>
          <w:trHeight w:val="57"/>
        </w:trPr>
        <w:tc>
          <w:tcPr>
            <w:tcW w:w="1250" w:type="pct"/>
            <w:shd w:val="clear" w:color="auto" w:fill="auto"/>
          </w:tcPr>
          <w:p w14:paraId="3A4284FE" w14:textId="77777777" w:rsidR="000479A6" w:rsidRPr="00D2126A" w:rsidRDefault="000E5A86" w:rsidP="006B7D29">
            <w:pPr>
              <w:snapToGrid w:val="0"/>
              <w:rPr>
                <w:b/>
                <w:bCs/>
                <w:sz w:val="20"/>
                <w:szCs w:val="20"/>
              </w:rPr>
            </w:pPr>
            <w:r>
              <w:rPr>
                <w:b/>
                <w:sz w:val="20"/>
              </w:rPr>
              <w:t>Affections gastro</w:t>
            </w:r>
            <w:r>
              <w:rPr>
                <w:b/>
                <w:sz w:val="20"/>
              </w:rPr>
              <w:noBreakHyphen/>
              <w:t>intestinales</w:t>
            </w:r>
          </w:p>
        </w:tc>
        <w:tc>
          <w:tcPr>
            <w:tcW w:w="1925" w:type="pct"/>
            <w:shd w:val="clear" w:color="auto" w:fill="auto"/>
          </w:tcPr>
          <w:p w14:paraId="24F4E8AE" w14:textId="77777777" w:rsidR="000479A6" w:rsidRPr="00D2126A" w:rsidRDefault="000E5A86" w:rsidP="006B7D29">
            <w:pPr>
              <w:snapToGrid w:val="0"/>
              <w:rPr>
                <w:sz w:val="20"/>
                <w:szCs w:val="20"/>
                <w:u w:val="single"/>
              </w:rPr>
            </w:pPr>
            <w:r>
              <w:rPr>
                <w:sz w:val="20"/>
                <w:u w:val="single"/>
              </w:rPr>
              <w:t>Très fréquent</w:t>
            </w:r>
          </w:p>
          <w:p w14:paraId="628F1DF8" w14:textId="77777777" w:rsidR="000479A6" w:rsidRPr="00D2126A" w:rsidRDefault="000E5A86" w:rsidP="006B7D29">
            <w:pPr>
              <w:pStyle w:val="Date"/>
              <w:rPr>
                <w:sz w:val="20"/>
                <w:szCs w:val="20"/>
              </w:rPr>
            </w:pPr>
            <w:r>
              <w:rPr>
                <w:sz w:val="20"/>
              </w:rPr>
              <w:t>Douleur abdominale</w:t>
            </w:r>
            <w:r>
              <w:rPr>
                <w:sz w:val="20"/>
                <w:vertAlign w:val="superscript"/>
              </w:rPr>
              <w:t>◊</w:t>
            </w:r>
            <w:r>
              <w:rPr>
                <w:sz w:val="20"/>
              </w:rPr>
              <w:t>, diarrhée, constipation, nausées, vomissements, dyspepsie</w:t>
            </w:r>
          </w:p>
          <w:p w14:paraId="277DAD3B" w14:textId="77777777" w:rsidR="00A02D2A" w:rsidRPr="00D2126A" w:rsidRDefault="00A02D2A" w:rsidP="006B7D29">
            <w:pPr>
              <w:rPr>
                <w:sz w:val="20"/>
                <w:szCs w:val="20"/>
                <w:u w:val="single"/>
              </w:rPr>
            </w:pPr>
          </w:p>
          <w:p w14:paraId="1B6B66C2" w14:textId="77777777" w:rsidR="000479A6" w:rsidRPr="00D2126A" w:rsidRDefault="000E5A86" w:rsidP="006B7D29">
            <w:pPr>
              <w:rPr>
                <w:sz w:val="20"/>
                <w:szCs w:val="20"/>
                <w:u w:val="single"/>
              </w:rPr>
            </w:pPr>
            <w:r>
              <w:rPr>
                <w:sz w:val="20"/>
                <w:u w:val="single"/>
              </w:rPr>
              <w:t>Fréquent</w:t>
            </w:r>
          </w:p>
          <w:p w14:paraId="0251EE68" w14:textId="77777777" w:rsidR="000479A6" w:rsidRPr="00D2126A" w:rsidRDefault="000E5A86" w:rsidP="006B7D29">
            <w:pPr>
              <w:pStyle w:val="Date"/>
              <w:rPr>
                <w:sz w:val="20"/>
                <w:szCs w:val="20"/>
              </w:rPr>
            </w:pPr>
            <w:r>
              <w:rPr>
                <w:sz w:val="20"/>
              </w:rPr>
              <w:t>Douleur abdominale haute, stomatite, sécheresse buccale</w:t>
            </w:r>
          </w:p>
        </w:tc>
        <w:tc>
          <w:tcPr>
            <w:tcW w:w="1825" w:type="pct"/>
            <w:shd w:val="clear" w:color="auto" w:fill="auto"/>
          </w:tcPr>
          <w:p w14:paraId="1C33BBAA" w14:textId="77777777" w:rsidR="000479A6" w:rsidRPr="00D2126A" w:rsidRDefault="000E5A86" w:rsidP="006B7D29">
            <w:pPr>
              <w:snapToGrid w:val="0"/>
              <w:rPr>
                <w:sz w:val="20"/>
                <w:szCs w:val="20"/>
                <w:u w:val="single"/>
              </w:rPr>
            </w:pPr>
            <w:r>
              <w:rPr>
                <w:sz w:val="20"/>
                <w:u w:val="single"/>
              </w:rPr>
              <w:t>Fréquent</w:t>
            </w:r>
          </w:p>
          <w:p w14:paraId="07B31EDD" w14:textId="77777777" w:rsidR="000479A6" w:rsidRPr="00D2126A" w:rsidRDefault="000E5A86" w:rsidP="006B7D29">
            <w:pPr>
              <w:pStyle w:val="Date"/>
              <w:rPr>
                <w:sz w:val="20"/>
                <w:szCs w:val="20"/>
              </w:rPr>
            </w:pPr>
            <w:r>
              <w:rPr>
                <w:sz w:val="20"/>
              </w:rPr>
              <w:t>Douleur abdominale</w:t>
            </w:r>
            <w:r>
              <w:rPr>
                <w:sz w:val="20"/>
                <w:vertAlign w:val="superscript"/>
              </w:rPr>
              <w:t>◊</w:t>
            </w:r>
            <w:r>
              <w:rPr>
                <w:sz w:val="20"/>
              </w:rPr>
              <w:t>, diarrhée, constipation, stomatite</w:t>
            </w:r>
          </w:p>
        </w:tc>
      </w:tr>
      <w:tr w:rsidR="00D5485C" w:rsidRPr="00D2126A" w14:paraId="5346A1B0" w14:textId="77777777" w:rsidTr="00F003F4">
        <w:trPr>
          <w:cantSplit/>
          <w:trHeight w:val="57"/>
        </w:trPr>
        <w:tc>
          <w:tcPr>
            <w:tcW w:w="1250" w:type="pct"/>
            <w:shd w:val="clear" w:color="auto" w:fill="auto"/>
          </w:tcPr>
          <w:p w14:paraId="7124F673" w14:textId="77777777" w:rsidR="000479A6" w:rsidRPr="00D2126A" w:rsidRDefault="000E5A86" w:rsidP="006B7D29">
            <w:pPr>
              <w:snapToGrid w:val="0"/>
              <w:rPr>
                <w:b/>
                <w:bCs/>
                <w:sz w:val="20"/>
                <w:szCs w:val="20"/>
              </w:rPr>
            </w:pPr>
            <w:r>
              <w:rPr>
                <w:b/>
                <w:sz w:val="20"/>
              </w:rPr>
              <w:t>Affections de la peau et du tissu sous</w:t>
            </w:r>
            <w:r>
              <w:rPr>
                <w:b/>
                <w:sz w:val="20"/>
              </w:rPr>
              <w:noBreakHyphen/>
              <w:t>cutané</w:t>
            </w:r>
          </w:p>
        </w:tc>
        <w:tc>
          <w:tcPr>
            <w:tcW w:w="1925" w:type="pct"/>
            <w:shd w:val="clear" w:color="auto" w:fill="auto"/>
          </w:tcPr>
          <w:p w14:paraId="320F9C61" w14:textId="77777777" w:rsidR="000479A6" w:rsidRPr="00D2126A" w:rsidRDefault="000E5A86" w:rsidP="006B7D29">
            <w:pPr>
              <w:snapToGrid w:val="0"/>
              <w:rPr>
                <w:sz w:val="20"/>
                <w:szCs w:val="20"/>
                <w:u w:val="single"/>
              </w:rPr>
            </w:pPr>
            <w:r>
              <w:rPr>
                <w:sz w:val="20"/>
                <w:u w:val="single"/>
              </w:rPr>
              <w:t>Très fréquent</w:t>
            </w:r>
          </w:p>
          <w:p w14:paraId="1DAA5876" w14:textId="77777777" w:rsidR="00036363" w:rsidRPr="00D2126A" w:rsidRDefault="000E5A86" w:rsidP="006B7D29">
            <w:pPr>
              <w:pStyle w:val="Date"/>
              <w:rPr>
                <w:sz w:val="20"/>
                <w:szCs w:val="20"/>
              </w:rPr>
            </w:pPr>
            <w:r>
              <w:rPr>
                <w:sz w:val="20"/>
              </w:rPr>
              <w:t>Éruption cutanée</w:t>
            </w:r>
            <w:r>
              <w:rPr>
                <w:sz w:val="20"/>
                <w:vertAlign w:val="superscript"/>
              </w:rPr>
              <w:t>*</w:t>
            </w:r>
            <w:r>
              <w:rPr>
                <w:sz w:val="20"/>
              </w:rPr>
              <w:t>, prurit</w:t>
            </w:r>
          </w:p>
          <w:p w14:paraId="3AD7DE52" w14:textId="5915354B" w:rsidR="00A02D2A" w:rsidRPr="00D2126A" w:rsidRDefault="00A02D2A" w:rsidP="006B7D29">
            <w:pPr>
              <w:rPr>
                <w:sz w:val="20"/>
                <w:szCs w:val="20"/>
                <w:u w:val="single"/>
              </w:rPr>
            </w:pPr>
          </w:p>
          <w:p w14:paraId="0678C5E3" w14:textId="77777777" w:rsidR="000479A6" w:rsidRPr="00D2126A" w:rsidRDefault="000E5A86" w:rsidP="006B7D29">
            <w:pPr>
              <w:rPr>
                <w:sz w:val="20"/>
                <w:szCs w:val="20"/>
                <w:u w:val="single"/>
              </w:rPr>
            </w:pPr>
            <w:r>
              <w:rPr>
                <w:sz w:val="20"/>
                <w:u w:val="single"/>
              </w:rPr>
              <w:t>Fréquent</w:t>
            </w:r>
          </w:p>
          <w:p w14:paraId="624C3DA0" w14:textId="77777777" w:rsidR="000479A6" w:rsidRPr="00D2126A" w:rsidRDefault="000E5A86" w:rsidP="006B7D29">
            <w:pPr>
              <w:pStyle w:val="Date"/>
              <w:rPr>
                <w:sz w:val="20"/>
                <w:szCs w:val="20"/>
              </w:rPr>
            </w:pPr>
            <w:r>
              <w:rPr>
                <w:sz w:val="20"/>
              </w:rPr>
              <w:t>Sécheresse cutanée, sueurs nocturnes, érythème</w:t>
            </w:r>
          </w:p>
        </w:tc>
        <w:tc>
          <w:tcPr>
            <w:tcW w:w="1825" w:type="pct"/>
            <w:shd w:val="clear" w:color="auto" w:fill="auto"/>
          </w:tcPr>
          <w:p w14:paraId="21E50AC1" w14:textId="77777777" w:rsidR="000479A6" w:rsidRPr="00D2126A" w:rsidRDefault="000E5A86" w:rsidP="006B7D29">
            <w:pPr>
              <w:snapToGrid w:val="0"/>
              <w:rPr>
                <w:sz w:val="20"/>
                <w:szCs w:val="20"/>
                <w:u w:val="single"/>
              </w:rPr>
            </w:pPr>
            <w:r>
              <w:rPr>
                <w:sz w:val="20"/>
                <w:u w:val="single"/>
              </w:rPr>
              <w:t>Fréquent</w:t>
            </w:r>
          </w:p>
          <w:p w14:paraId="6ADA499B" w14:textId="2BD54309" w:rsidR="000479A6" w:rsidRPr="00D2126A" w:rsidRDefault="000E5A86" w:rsidP="006B7D29">
            <w:pPr>
              <w:pStyle w:val="Date"/>
              <w:rPr>
                <w:sz w:val="20"/>
                <w:szCs w:val="20"/>
              </w:rPr>
            </w:pPr>
            <w:r>
              <w:rPr>
                <w:sz w:val="20"/>
              </w:rPr>
              <w:t>Éruption cutanée</w:t>
            </w:r>
            <w:r>
              <w:rPr>
                <w:sz w:val="20"/>
                <w:vertAlign w:val="superscript"/>
              </w:rPr>
              <w:t>*</w:t>
            </w:r>
            <w:r>
              <w:rPr>
                <w:sz w:val="20"/>
              </w:rPr>
              <w:t>, prurit</w:t>
            </w:r>
          </w:p>
        </w:tc>
      </w:tr>
      <w:tr w:rsidR="00D5485C" w:rsidRPr="00D2126A" w14:paraId="024BE323" w14:textId="77777777" w:rsidTr="00F003F4">
        <w:trPr>
          <w:cantSplit/>
          <w:trHeight w:val="57"/>
        </w:trPr>
        <w:tc>
          <w:tcPr>
            <w:tcW w:w="1250" w:type="pct"/>
            <w:shd w:val="clear" w:color="auto" w:fill="auto"/>
          </w:tcPr>
          <w:p w14:paraId="57B5C9CF" w14:textId="77777777" w:rsidR="000479A6" w:rsidRPr="00D2126A" w:rsidRDefault="000E5A86" w:rsidP="006B7D29">
            <w:pPr>
              <w:snapToGrid w:val="0"/>
              <w:rPr>
                <w:b/>
                <w:bCs/>
                <w:sz w:val="20"/>
                <w:szCs w:val="20"/>
              </w:rPr>
            </w:pPr>
            <w:r>
              <w:rPr>
                <w:b/>
                <w:sz w:val="20"/>
              </w:rPr>
              <w:t>Affections musculo</w:t>
            </w:r>
            <w:r>
              <w:rPr>
                <w:b/>
                <w:sz w:val="20"/>
              </w:rPr>
              <w:noBreakHyphen/>
              <w:t>squelettiques et systémiques</w:t>
            </w:r>
          </w:p>
        </w:tc>
        <w:tc>
          <w:tcPr>
            <w:tcW w:w="1925" w:type="pct"/>
            <w:shd w:val="clear" w:color="auto" w:fill="auto"/>
          </w:tcPr>
          <w:p w14:paraId="740BE11D" w14:textId="77777777" w:rsidR="000479A6" w:rsidRPr="00D2126A" w:rsidRDefault="000E5A86" w:rsidP="006B7D29">
            <w:pPr>
              <w:rPr>
                <w:sz w:val="20"/>
                <w:szCs w:val="20"/>
                <w:u w:val="single"/>
              </w:rPr>
            </w:pPr>
            <w:r>
              <w:rPr>
                <w:sz w:val="20"/>
                <w:u w:val="single"/>
              </w:rPr>
              <w:t>Très fréquent</w:t>
            </w:r>
          </w:p>
          <w:p w14:paraId="3166059A" w14:textId="77777777" w:rsidR="00036363" w:rsidRPr="00D2126A" w:rsidRDefault="000E5A86" w:rsidP="006B7D29">
            <w:pPr>
              <w:pStyle w:val="Date"/>
              <w:rPr>
                <w:sz w:val="20"/>
                <w:szCs w:val="20"/>
              </w:rPr>
            </w:pPr>
            <w:r>
              <w:rPr>
                <w:sz w:val="20"/>
              </w:rPr>
              <w:t>Spasmes musculaires, dorsalgies, arthralgies</w:t>
            </w:r>
          </w:p>
          <w:p w14:paraId="4341D911" w14:textId="2B107505" w:rsidR="00A02D2A" w:rsidRPr="00D2126A" w:rsidRDefault="00A02D2A" w:rsidP="006B7D29">
            <w:pPr>
              <w:rPr>
                <w:sz w:val="20"/>
                <w:szCs w:val="20"/>
                <w:u w:val="single"/>
              </w:rPr>
            </w:pPr>
          </w:p>
          <w:p w14:paraId="503127C2" w14:textId="77777777" w:rsidR="000479A6" w:rsidRPr="00D2126A" w:rsidRDefault="000E5A86" w:rsidP="006B7D29">
            <w:pPr>
              <w:rPr>
                <w:sz w:val="20"/>
                <w:szCs w:val="20"/>
                <w:u w:val="single"/>
              </w:rPr>
            </w:pPr>
            <w:r>
              <w:rPr>
                <w:sz w:val="20"/>
                <w:u w:val="single"/>
              </w:rPr>
              <w:t>Fréquent</w:t>
            </w:r>
          </w:p>
          <w:p w14:paraId="08CF1B5E" w14:textId="77777777" w:rsidR="000479A6" w:rsidRPr="00D2126A" w:rsidRDefault="000E5A86" w:rsidP="006B7D29">
            <w:pPr>
              <w:pStyle w:val="Date"/>
              <w:rPr>
                <w:sz w:val="20"/>
                <w:szCs w:val="20"/>
              </w:rPr>
            </w:pPr>
            <w:r>
              <w:rPr>
                <w:sz w:val="20"/>
              </w:rPr>
              <w:t>Douleurs dans les extrémités, faiblesse musculaire, douleurs musculo</w:t>
            </w:r>
            <w:r>
              <w:rPr>
                <w:sz w:val="20"/>
              </w:rPr>
              <w:noBreakHyphen/>
              <w:t>squelettiques, myalgies, cervicalgie</w:t>
            </w:r>
          </w:p>
        </w:tc>
        <w:tc>
          <w:tcPr>
            <w:tcW w:w="1825" w:type="pct"/>
            <w:shd w:val="clear" w:color="auto" w:fill="auto"/>
          </w:tcPr>
          <w:p w14:paraId="0C59891E" w14:textId="77777777" w:rsidR="000479A6" w:rsidRPr="00D2126A" w:rsidRDefault="000E5A86" w:rsidP="006B7D29">
            <w:pPr>
              <w:rPr>
                <w:sz w:val="20"/>
                <w:szCs w:val="20"/>
                <w:u w:val="single"/>
              </w:rPr>
            </w:pPr>
            <w:r>
              <w:rPr>
                <w:sz w:val="20"/>
                <w:u w:val="single"/>
              </w:rPr>
              <w:t>Fréquent</w:t>
            </w:r>
          </w:p>
          <w:p w14:paraId="61EDFE91" w14:textId="77777777" w:rsidR="000479A6" w:rsidRPr="00D2126A" w:rsidRDefault="000E5A86" w:rsidP="006B7D29">
            <w:pPr>
              <w:pStyle w:val="Date"/>
              <w:rPr>
                <w:sz w:val="20"/>
                <w:szCs w:val="20"/>
              </w:rPr>
            </w:pPr>
            <w:r>
              <w:rPr>
                <w:sz w:val="20"/>
              </w:rPr>
              <w:t>faiblesse musculaire, cervicalgie</w:t>
            </w:r>
          </w:p>
        </w:tc>
      </w:tr>
      <w:tr w:rsidR="00D5485C" w:rsidRPr="00D2126A" w14:paraId="00273BE3" w14:textId="77777777" w:rsidTr="00F003F4">
        <w:trPr>
          <w:cantSplit/>
          <w:trHeight w:val="57"/>
        </w:trPr>
        <w:tc>
          <w:tcPr>
            <w:tcW w:w="1250" w:type="pct"/>
            <w:shd w:val="clear" w:color="auto" w:fill="auto"/>
          </w:tcPr>
          <w:p w14:paraId="34555CC1" w14:textId="77777777" w:rsidR="000479A6" w:rsidRPr="00D2126A" w:rsidRDefault="000E5A86" w:rsidP="006B7D29">
            <w:pPr>
              <w:snapToGrid w:val="0"/>
              <w:rPr>
                <w:b/>
                <w:bCs/>
                <w:sz w:val="20"/>
                <w:szCs w:val="20"/>
              </w:rPr>
            </w:pPr>
            <w:r>
              <w:rPr>
                <w:b/>
                <w:sz w:val="20"/>
              </w:rPr>
              <w:t>Affections du rein et des voies urinaires</w:t>
            </w:r>
          </w:p>
        </w:tc>
        <w:tc>
          <w:tcPr>
            <w:tcW w:w="1925" w:type="pct"/>
            <w:shd w:val="clear" w:color="auto" w:fill="auto"/>
          </w:tcPr>
          <w:p w14:paraId="49D423F1" w14:textId="77777777" w:rsidR="000479A6" w:rsidRPr="00D2126A" w:rsidRDefault="000479A6" w:rsidP="006B7D29">
            <w:pPr>
              <w:rPr>
                <w:sz w:val="20"/>
                <w:szCs w:val="20"/>
              </w:rPr>
            </w:pPr>
          </w:p>
        </w:tc>
        <w:tc>
          <w:tcPr>
            <w:tcW w:w="1825" w:type="pct"/>
            <w:shd w:val="clear" w:color="auto" w:fill="auto"/>
          </w:tcPr>
          <w:p w14:paraId="6A73BE7F" w14:textId="77777777" w:rsidR="000479A6" w:rsidRPr="00D2126A" w:rsidRDefault="000E5A86" w:rsidP="006B7D29">
            <w:pPr>
              <w:rPr>
                <w:sz w:val="20"/>
                <w:szCs w:val="20"/>
                <w:u w:val="single"/>
              </w:rPr>
            </w:pPr>
            <w:r>
              <w:rPr>
                <w:sz w:val="20"/>
                <w:u w:val="single"/>
              </w:rPr>
              <w:t>Fréquent</w:t>
            </w:r>
          </w:p>
          <w:p w14:paraId="75600831" w14:textId="77777777" w:rsidR="000479A6" w:rsidRPr="00D2126A" w:rsidRDefault="000E5A86" w:rsidP="006B7D29">
            <w:pPr>
              <w:pStyle w:val="Date"/>
              <w:rPr>
                <w:sz w:val="20"/>
                <w:szCs w:val="20"/>
              </w:rPr>
            </w:pPr>
            <w:r>
              <w:rPr>
                <w:sz w:val="20"/>
              </w:rPr>
              <w:t>Atteinte rénale aiguë</w:t>
            </w:r>
            <w:r>
              <w:rPr>
                <w:sz w:val="20"/>
                <w:vertAlign w:val="superscript"/>
              </w:rPr>
              <w:t>◊</w:t>
            </w:r>
          </w:p>
        </w:tc>
      </w:tr>
      <w:tr w:rsidR="00D5485C" w:rsidRPr="00D2126A" w14:paraId="246B5CAD" w14:textId="77777777" w:rsidTr="00F003F4">
        <w:trPr>
          <w:cantSplit/>
          <w:trHeight w:val="57"/>
        </w:trPr>
        <w:tc>
          <w:tcPr>
            <w:tcW w:w="1250" w:type="pct"/>
            <w:shd w:val="clear" w:color="auto" w:fill="auto"/>
          </w:tcPr>
          <w:p w14:paraId="7C311F25" w14:textId="77777777" w:rsidR="000479A6" w:rsidRPr="00D2126A" w:rsidRDefault="000E5A86" w:rsidP="006B7D29">
            <w:pPr>
              <w:keepNext/>
              <w:snapToGrid w:val="0"/>
              <w:rPr>
                <w:b/>
                <w:bCs/>
                <w:sz w:val="20"/>
                <w:szCs w:val="20"/>
              </w:rPr>
            </w:pPr>
            <w:r>
              <w:rPr>
                <w:b/>
                <w:sz w:val="20"/>
              </w:rPr>
              <w:t>Troubles généraux et anomalies au site d’administration</w:t>
            </w:r>
          </w:p>
        </w:tc>
        <w:tc>
          <w:tcPr>
            <w:tcW w:w="1925" w:type="pct"/>
            <w:shd w:val="clear" w:color="auto" w:fill="auto"/>
          </w:tcPr>
          <w:p w14:paraId="0384CAAE" w14:textId="77777777" w:rsidR="000479A6" w:rsidRPr="00D2126A" w:rsidRDefault="000E5A86" w:rsidP="006B7D29">
            <w:pPr>
              <w:keepNext/>
              <w:rPr>
                <w:sz w:val="20"/>
                <w:szCs w:val="20"/>
                <w:u w:val="single"/>
              </w:rPr>
            </w:pPr>
            <w:r>
              <w:rPr>
                <w:sz w:val="20"/>
                <w:u w:val="single"/>
              </w:rPr>
              <w:t>Très fréquent</w:t>
            </w:r>
          </w:p>
          <w:p w14:paraId="186016DB" w14:textId="77777777" w:rsidR="000479A6" w:rsidRPr="00D2126A" w:rsidRDefault="000E5A86" w:rsidP="006B7D29">
            <w:pPr>
              <w:pStyle w:val="Date"/>
              <w:keepNext/>
              <w:rPr>
                <w:sz w:val="20"/>
                <w:szCs w:val="20"/>
              </w:rPr>
            </w:pPr>
            <w:r>
              <w:rPr>
                <w:sz w:val="20"/>
              </w:rPr>
              <w:t>Pyrexie, fatigue, asthénie, œdème périphérique</w:t>
            </w:r>
          </w:p>
          <w:p w14:paraId="39599864" w14:textId="77777777" w:rsidR="00A02D2A" w:rsidRPr="00D2126A" w:rsidRDefault="00A02D2A" w:rsidP="006B7D29">
            <w:pPr>
              <w:keepNext/>
              <w:rPr>
                <w:sz w:val="20"/>
                <w:szCs w:val="20"/>
                <w:u w:val="single"/>
              </w:rPr>
            </w:pPr>
          </w:p>
          <w:p w14:paraId="3D37FD16" w14:textId="77777777" w:rsidR="000479A6" w:rsidRPr="00D2126A" w:rsidRDefault="000E5A86" w:rsidP="006B7D29">
            <w:pPr>
              <w:keepNext/>
              <w:rPr>
                <w:sz w:val="20"/>
                <w:szCs w:val="20"/>
                <w:u w:val="single"/>
              </w:rPr>
            </w:pPr>
            <w:r>
              <w:rPr>
                <w:sz w:val="20"/>
                <w:u w:val="single"/>
              </w:rPr>
              <w:t>Fréquent</w:t>
            </w:r>
          </w:p>
          <w:p w14:paraId="27F4F6C8" w14:textId="77777777" w:rsidR="000479A6" w:rsidRPr="00D2126A" w:rsidRDefault="000E5A86" w:rsidP="006B7D29">
            <w:pPr>
              <w:pStyle w:val="Date"/>
              <w:keepNext/>
              <w:rPr>
                <w:sz w:val="20"/>
                <w:szCs w:val="20"/>
              </w:rPr>
            </w:pPr>
            <w:r>
              <w:rPr>
                <w:sz w:val="20"/>
              </w:rPr>
              <w:t>Malaise, frissons</w:t>
            </w:r>
          </w:p>
        </w:tc>
        <w:tc>
          <w:tcPr>
            <w:tcW w:w="1825" w:type="pct"/>
            <w:shd w:val="clear" w:color="auto" w:fill="auto"/>
          </w:tcPr>
          <w:p w14:paraId="7BAC1C90" w14:textId="77777777" w:rsidR="000479A6" w:rsidRPr="00D2126A" w:rsidRDefault="000E5A86" w:rsidP="006B7D29">
            <w:pPr>
              <w:keepNext/>
              <w:rPr>
                <w:sz w:val="20"/>
                <w:szCs w:val="20"/>
                <w:u w:val="single"/>
              </w:rPr>
            </w:pPr>
            <w:r>
              <w:rPr>
                <w:sz w:val="20"/>
                <w:u w:val="single"/>
              </w:rPr>
              <w:t>Fréquent</w:t>
            </w:r>
          </w:p>
          <w:p w14:paraId="14D0AC36" w14:textId="77777777" w:rsidR="000479A6" w:rsidRPr="00D2126A" w:rsidRDefault="000E5A86" w:rsidP="006B7D29">
            <w:pPr>
              <w:pStyle w:val="Date"/>
              <w:keepNext/>
              <w:rPr>
                <w:sz w:val="20"/>
                <w:szCs w:val="20"/>
              </w:rPr>
            </w:pPr>
            <w:r>
              <w:rPr>
                <w:sz w:val="20"/>
              </w:rPr>
              <w:t>Fatigue, asthénie</w:t>
            </w:r>
          </w:p>
        </w:tc>
      </w:tr>
      <w:tr w:rsidR="00D5485C" w:rsidRPr="00D2126A" w14:paraId="6159404A" w14:textId="77777777" w:rsidTr="00F003F4">
        <w:trPr>
          <w:cantSplit/>
          <w:trHeight w:val="57"/>
        </w:trPr>
        <w:tc>
          <w:tcPr>
            <w:tcW w:w="1250" w:type="pct"/>
            <w:shd w:val="clear" w:color="auto" w:fill="auto"/>
          </w:tcPr>
          <w:p w14:paraId="45CF1025" w14:textId="77777777" w:rsidR="000479A6" w:rsidRPr="00D2126A" w:rsidRDefault="000E5A86" w:rsidP="006B7D29">
            <w:pPr>
              <w:keepNext/>
              <w:snapToGrid w:val="0"/>
              <w:rPr>
                <w:b/>
                <w:bCs/>
                <w:sz w:val="20"/>
                <w:szCs w:val="20"/>
              </w:rPr>
            </w:pPr>
            <w:r>
              <w:rPr>
                <w:b/>
                <w:sz w:val="20"/>
              </w:rPr>
              <w:t>Investigations</w:t>
            </w:r>
          </w:p>
        </w:tc>
        <w:tc>
          <w:tcPr>
            <w:tcW w:w="1925" w:type="pct"/>
            <w:shd w:val="clear" w:color="auto" w:fill="auto"/>
          </w:tcPr>
          <w:p w14:paraId="33AB373B" w14:textId="77777777" w:rsidR="000479A6" w:rsidRPr="00D2126A" w:rsidRDefault="000E5A86" w:rsidP="006B7D29">
            <w:pPr>
              <w:keepNext/>
              <w:snapToGrid w:val="0"/>
              <w:rPr>
                <w:sz w:val="20"/>
                <w:szCs w:val="20"/>
                <w:u w:val="single"/>
              </w:rPr>
            </w:pPr>
            <w:r>
              <w:rPr>
                <w:sz w:val="20"/>
                <w:u w:val="single"/>
              </w:rPr>
              <w:t>Très fréquent</w:t>
            </w:r>
          </w:p>
          <w:p w14:paraId="20BB4782" w14:textId="77777777" w:rsidR="00036363" w:rsidRPr="00D2126A" w:rsidRDefault="000E5A86" w:rsidP="006B7D29">
            <w:pPr>
              <w:keepNext/>
              <w:snapToGrid w:val="0"/>
              <w:rPr>
                <w:sz w:val="20"/>
                <w:szCs w:val="20"/>
                <w:u w:val="single"/>
              </w:rPr>
            </w:pPr>
            <w:r>
              <w:rPr>
                <w:sz w:val="20"/>
              </w:rPr>
              <w:t>Augmentation de l’alanine aminotransférase</w:t>
            </w:r>
          </w:p>
          <w:p w14:paraId="29764B90" w14:textId="31F1B50B" w:rsidR="00A02D2A" w:rsidRPr="00D2126A" w:rsidRDefault="00A02D2A" w:rsidP="006B7D29">
            <w:pPr>
              <w:keepNext/>
              <w:snapToGrid w:val="0"/>
              <w:rPr>
                <w:sz w:val="20"/>
                <w:szCs w:val="20"/>
                <w:u w:val="single"/>
              </w:rPr>
            </w:pPr>
          </w:p>
          <w:p w14:paraId="3A3DAB47" w14:textId="77777777" w:rsidR="000479A6" w:rsidRPr="00D2126A" w:rsidRDefault="000E5A86" w:rsidP="006B7D29">
            <w:pPr>
              <w:keepNext/>
              <w:snapToGrid w:val="0"/>
              <w:rPr>
                <w:sz w:val="20"/>
                <w:szCs w:val="20"/>
                <w:u w:val="single"/>
              </w:rPr>
            </w:pPr>
            <w:r>
              <w:rPr>
                <w:sz w:val="20"/>
                <w:u w:val="single"/>
              </w:rPr>
              <w:t>Fréquent</w:t>
            </w:r>
          </w:p>
          <w:p w14:paraId="6AE0A612" w14:textId="77777777" w:rsidR="000479A6" w:rsidRPr="00D2126A" w:rsidRDefault="000E5A86" w:rsidP="006B7D29">
            <w:pPr>
              <w:pStyle w:val="Date"/>
              <w:keepNext/>
              <w:rPr>
                <w:sz w:val="20"/>
                <w:szCs w:val="20"/>
              </w:rPr>
            </w:pPr>
            <w:r>
              <w:rPr>
                <w:sz w:val="20"/>
              </w:rPr>
              <w:t>Perte de poids, hyperbilirubinémie</w:t>
            </w:r>
          </w:p>
        </w:tc>
        <w:tc>
          <w:tcPr>
            <w:tcW w:w="1825" w:type="pct"/>
            <w:shd w:val="clear" w:color="auto" w:fill="auto"/>
          </w:tcPr>
          <w:p w14:paraId="474FF43A" w14:textId="77777777" w:rsidR="000479A6" w:rsidRPr="00D2126A" w:rsidRDefault="000479A6" w:rsidP="006B7D29">
            <w:pPr>
              <w:pStyle w:val="Date"/>
              <w:keepNext/>
              <w:rPr>
                <w:sz w:val="20"/>
                <w:szCs w:val="20"/>
              </w:rPr>
            </w:pPr>
          </w:p>
        </w:tc>
      </w:tr>
    </w:tbl>
    <w:p w14:paraId="38045450" w14:textId="154BB66B" w:rsidR="000479A6" w:rsidRPr="00D2126A" w:rsidRDefault="000E5A86" w:rsidP="00C93C76">
      <w:pPr>
        <w:rPr>
          <w:sz w:val="16"/>
          <w:szCs w:val="16"/>
        </w:rPr>
      </w:pPr>
      <w:r>
        <w:rPr>
          <w:sz w:val="16"/>
        </w:rPr>
        <w:t>^ Voir rubrique 4.8 Description de certains effets indésirables.</w:t>
      </w:r>
    </w:p>
    <w:p w14:paraId="19235D74" w14:textId="77777777" w:rsidR="000479A6" w:rsidRPr="00D2126A" w:rsidRDefault="000E5A86" w:rsidP="00C93C76">
      <w:pPr>
        <w:pStyle w:val="Date"/>
        <w:rPr>
          <w:sz w:val="16"/>
          <w:szCs w:val="16"/>
        </w:rPr>
      </w:pPr>
      <w:r>
        <w:rPr>
          <w:sz w:val="16"/>
        </w:rPr>
        <w:t>Algorithme utilisé pour le lymphome folliculaire :</w:t>
      </w:r>
    </w:p>
    <w:p w14:paraId="2BDD432B" w14:textId="77777777" w:rsidR="00036363" w:rsidRPr="00D2126A" w:rsidRDefault="000E5A86" w:rsidP="00C93C76">
      <w:pPr>
        <w:pStyle w:val="Date"/>
        <w:keepNext/>
        <w:rPr>
          <w:sz w:val="16"/>
          <w:szCs w:val="16"/>
        </w:rPr>
      </w:pPr>
      <w:r>
        <w:rPr>
          <w:sz w:val="16"/>
        </w:rPr>
        <w:t>Étude de phase 3 – contrôlée :</w:t>
      </w:r>
    </w:p>
    <w:p w14:paraId="27668788" w14:textId="4BB2F7E7" w:rsidR="000479A6"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007 - Tous les effets indésirables apparus sous traitement rapportés chez ≥ 5 % des patients du bras lénalidomide/rituximab et à une fréquence (%) plus élevée d’au moins 2 % dans le bras lénalidomide par rapport au bras contrôle (population de sécurité).</w:t>
      </w:r>
    </w:p>
    <w:p w14:paraId="236A2115" w14:textId="477209BB" w:rsidR="000479A6" w:rsidRPr="00D2126A" w:rsidRDefault="000E5A86" w:rsidP="00C93C76">
      <w:pPr>
        <w:pStyle w:val="Date"/>
        <w:keepNext/>
        <w:numPr>
          <w:ilvl w:val="1"/>
          <w:numId w:val="33"/>
        </w:numPr>
        <w:tabs>
          <w:tab w:val="clear" w:pos="1440"/>
          <w:tab w:val="num" w:pos="1134"/>
        </w:tabs>
        <w:ind w:left="1134" w:hanging="567"/>
        <w:rPr>
          <w:sz w:val="16"/>
          <w:szCs w:val="16"/>
        </w:rPr>
      </w:pPr>
      <w:r>
        <w:rPr>
          <w:sz w:val="16"/>
        </w:rPr>
        <w:t>NHL</w:t>
      </w:r>
      <w:r>
        <w:rPr>
          <w:sz w:val="16"/>
        </w:rPr>
        <w:noBreakHyphen/>
        <w:t>007 - Tous les effets indésirables apparus sous traitement de grade 3 ou 4 rapportés chez ≥1 % des patients du bras lénalidomide/rituximab et avec une fréquence plus élevée d’au moins 1 % dans le bras lénalidomide par rapport au bras contrôle (population de sécurité).</w:t>
      </w:r>
    </w:p>
    <w:p w14:paraId="3983F0B4" w14:textId="462480BB" w:rsidR="000479A6"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007 - Tous les effets indésirables graves apparus sous traitement rapportés chez ≥ 1 % des patients du bras lénalidomide/rituximab et avec une fréquence plus élevée d’au moins 1 % dans le bras lénalidomide par rapport au bras contrôle (population de sécurité).</w:t>
      </w:r>
    </w:p>
    <w:p w14:paraId="15B60D93" w14:textId="4372E80E" w:rsidR="000479A6" w:rsidRPr="00D2126A" w:rsidRDefault="000E5A86" w:rsidP="00C93C76">
      <w:pPr>
        <w:pStyle w:val="Date"/>
        <w:keepNext/>
        <w:rPr>
          <w:sz w:val="16"/>
          <w:szCs w:val="16"/>
        </w:rPr>
      </w:pPr>
      <w:r>
        <w:rPr>
          <w:sz w:val="16"/>
        </w:rPr>
        <w:t>Étude de phase 3 sur le lymphome folliculaire en un seul bras :</w:t>
      </w:r>
    </w:p>
    <w:p w14:paraId="13F53741" w14:textId="77777777" w:rsidR="00036363"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 xml:space="preserve">008 </w:t>
      </w:r>
      <w:r>
        <w:rPr>
          <w:sz w:val="16"/>
        </w:rPr>
        <w:noBreakHyphen/>
        <w:t xml:space="preserve"> Tous les effets indésirables apparus sous traitement rapportés chez ≥ 5 % des patients.</w:t>
      </w:r>
    </w:p>
    <w:p w14:paraId="042F0AE5" w14:textId="77777777" w:rsidR="00036363" w:rsidRPr="00D2126A" w:rsidRDefault="000E5A86" w:rsidP="00C93C76">
      <w:pPr>
        <w:pStyle w:val="Date"/>
        <w:keepNext/>
        <w:numPr>
          <w:ilvl w:val="1"/>
          <w:numId w:val="33"/>
        </w:numPr>
        <w:tabs>
          <w:tab w:val="clear" w:pos="1440"/>
          <w:tab w:val="num" w:pos="1134"/>
        </w:tabs>
        <w:ind w:left="1134" w:hanging="567"/>
        <w:rPr>
          <w:sz w:val="16"/>
          <w:szCs w:val="16"/>
        </w:rPr>
      </w:pPr>
      <w:r>
        <w:rPr>
          <w:sz w:val="16"/>
        </w:rPr>
        <w:t>NHL</w:t>
      </w:r>
      <w:r>
        <w:rPr>
          <w:sz w:val="16"/>
        </w:rPr>
        <w:noBreakHyphen/>
        <w:t xml:space="preserve">008 </w:t>
      </w:r>
      <w:r>
        <w:rPr>
          <w:sz w:val="16"/>
        </w:rPr>
        <w:noBreakHyphen/>
        <w:t xml:space="preserve"> Tous les effets indésirables apparus sous traitement de grade 3 ou 4 rapportés chez ≥ 1 % des patients.</w:t>
      </w:r>
    </w:p>
    <w:p w14:paraId="6F34FF04" w14:textId="77777777" w:rsidR="00036363"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 xml:space="preserve">008 </w:t>
      </w:r>
      <w:r>
        <w:rPr>
          <w:sz w:val="16"/>
        </w:rPr>
        <w:noBreakHyphen/>
        <w:t xml:space="preserve"> Tous les effets indésirables graves apparus sous traitement rapportés chez ≥ 1 % des patients.</w:t>
      </w:r>
    </w:p>
    <w:p w14:paraId="34CDC7CA" w14:textId="1BC1A71F" w:rsidR="000479A6" w:rsidRPr="00D2126A" w:rsidRDefault="000E5A86" w:rsidP="00C93C76">
      <w:pPr>
        <w:pStyle w:val="Date"/>
        <w:rPr>
          <w:sz w:val="16"/>
          <w:szCs w:val="16"/>
        </w:rPr>
      </w:pPr>
      <w:r>
        <w:rPr>
          <w:sz w:val="16"/>
          <w:vertAlign w:val="superscript"/>
        </w:rPr>
        <w:t>◊</w:t>
      </w:r>
      <w:r>
        <w:rPr>
          <w:sz w:val="16"/>
        </w:rPr>
        <w:t xml:space="preserve"> Événements indésirables rapportés comme graves dans les études cliniques menées dans le lymphome folliculaire.</w:t>
      </w:r>
    </w:p>
    <w:p w14:paraId="557657B7" w14:textId="28DCB487" w:rsidR="000479A6" w:rsidRPr="00D2126A" w:rsidRDefault="000E5A86" w:rsidP="00C93C76">
      <w:pPr>
        <w:pStyle w:val="Date"/>
        <w:rPr>
          <w:sz w:val="16"/>
          <w:szCs w:val="16"/>
        </w:rPr>
      </w:pPr>
      <w:r>
        <w:rPr>
          <w:sz w:val="16"/>
          <w:vertAlign w:val="superscript"/>
        </w:rPr>
        <w:t xml:space="preserve">+ </w:t>
      </w:r>
      <w:r>
        <w:rPr>
          <w:sz w:val="16"/>
        </w:rPr>
        <w:t>S’applique uniquement aux effets indésirables graves.</w:t>
      </w:r>
    </w:p>
    <w:p w14:paraId="380FDE53" w14:textId="2D4D7655" w:rsidR="003F570E" w:rsidRPr="00D2126A" w:rsidRDefault="000E5A86" w:rsidP="00C93C76">
      <w:pPr>
        <w:rPr>
          <w:sz w:val="16"/>
          <w:szCs w:val="16"/>
        </w:rPr>
      </w:pPr>
      <w:r>
        <w:rPr>
          <w:sz w:val="16"/>
          <w:vertAlign w:val="superscript"/>
        </w:rPr>
        <w:t>*</w:t>
      </w:r>
      <w:r>
        <w:rPr>
          <w:sz w:val="16"/>
        </w:rPr>
        <w:t>Le terme « éruption cutanée » inclut les TP rash et rash maculopapuleux.</w:t>
      </w:r>
    </w:p>
    <w:p w14:paraId="53D0DDA2" w14:textId="09B35F06" w:rsidR="000479A6" w:rsidRPr="00D2126A" w:rsidRDefault="000E5A86" w:rsidP="00C93C76">
      <w:pPr>
        <w:keepNext/>
        <w:rPr>
          <w:sz w:val="16"/>
          <w:szCs w:val="16"/>
        </w:rPr>
      </w:pPr>
      <w:r>
        <w:rPr>
          <w:sz w:val="16"/>
          <w:vertAlign w:val="superscript"/>
        </w:rPr>
        <w:t>**</w:t>
      </w:r>
      <w:r>
        <w:rPr>
          <w:sz w:val="16"/>
        </w:rPr>
        <w:t>Le terme « leucopénie » inclut les TP leucopénie et globules blancs diminués.</w:t>
      </w:r>
    </w:p>
    <w:p w14:paraId="0ED374A2" w14:textId="5DEDBFE9" w:rsidR="000479A6" w:rsidRPr="00D2126A" w:rsidRDefault="000E5A86" w:rsidP="00C93C76">
      <w:pPr>
        <w:pStyle w:val="C-BodyText"/>
        <w:keepNext/>
        <w:spacing w:before="0" w:after="0" w:line="240" w:lineRule="auto"/>
        <w:rPr>
          <w:sz w:val="22"/>
          <w:szCs w:val="22"/>
        </w:rPr>
      </w:pPr>
      <w:r>
        <w:rPr>
          <w:sz w:val="16"/>
          <w:vertAlign w:val="superscript"/>
        </w:rPr>
        <w:t>***</w:t>
      </w:r>
      <w:r>
        <w:rPr>
          <w:sz w:val="16"/>
        </w:rPr>
        <w:t>Le terme « lymphopénie » inclut les TP lymphopénie et numération de lymphocytes diminuée.</w:t>
      </w:r>
    </w:p>
    <w:p w14:paraId="612E2A17" w14:textId="77777777" w:rsidR="003927E7" w:rsidRPr="00AB0414" w:rsidRDefault="003927E7" w:rsidP="00C93C76">
      <w:pPr>
        <w:pStyle w:val="C-BodyText"/>
        <w:spacing w:before="0" w:after="0" w:line="240" w:lineRule="auto"/>
        <w:rPr>
          <w:sz w:val="22"/>
          <w:szCs w:val="22"/>
        </w:rPr>
      </w:pPr>
    </w:p>
    <w:p w14:paraId="431199E2" w14:textId="77777777" w:rsidR="004F07A1" w:rsidRPr="00D2126A" w:rsidRDefault="000E5A86" w:rsidP="00C93C76">
      <w:pPr>
        <w:pStyle w:val="C-BodyText"/>
        <w:keepNext/>
        <w:spacing w:before="0" w:after="0" w:line="240" w:lineRule="auto"/>
        <w:rPr>
          <w:i/>
          <w:sz w:val="22"/>
          <w:szCs w:val="22"/>
          <w:u w:val="single"/>
        </w:rPr>
      </w:pPr>
      <w:r>
        <w:rPr>
          <w:i/>
          <w:sz w:val="22"/>
          <w:u w:val="single"/>
        </w:rPr>
        <w:t>Résumé tabulé des effets indésirables rapportés après la mise sur le marché</w:t>
      </w:r>
    </w:p>
    <w:p w14:paraId="21E5F63C" w14:textId="77777777" w:rsidR="00036363" w:rsidRPr="00D2126A" w:rsidRDefault="000E5A86" w:rsidP="00C93C76">
      <w:pPr>
        <w:pStyle w:val="C-BodyText"/>
        <w:spacing w:before="0" w:after="0" w:line="240" w:lineRule="auto"/>
        <w:rPr>
          <w:b/>
          <w:sz w:val="22"/>
          <w:szCs w:val="22"/>
        </w:rPr>
      </w:pPr>
      <w:r>
        <w:rPr>
          <w:sz w:val="22"/>
        </w:rPr>
        <w:t>En plus des effets indésirables ci</w:t>
      </w:r>
      <w:r>
        <w:rPr>
          <w:sz w:val="22"/>
        </w:rPr>
        <w:noBreakHyphen/>
        <w:t>dessus identifiés dans les études cliniques pivots, le tableau ci</w:t>
      </w:r>
      <w:r>
        <w:rPr>
          <w:sz w:val="22"/>
        </w:rPr>
        <w:noBreakHyphen/>
        <w:t>dessous résulte des données collectées après la mise sur le marché.</w:t>
      </w:r>
    </w:p>
    <w:p w14:paraId="38CEA313" w14:textId="5F28237A" w:rsidR="004F07A1" w:rsidRPr="00D2126A" w:rsidRDefault="004F07A1" w:rsidP="00C93C76"/>
    <w:p w14:paraId="6A52F235" w14:textId="0B745331" w:rsidR="004F07A1" w:rsidRPr="00D2126A" w:rsidRDefault="000E5A86" w:rsidP="00C93C76">
      <w:pPr>
        <w:pStyle w:val="C-TableHeader"/>
        <w:spacing w:before="0" w:after="0"/>
      </w:pPr>
      <w:r>
        <w:t>Tableau 6. Effets indésirables rapportés après la mise sur le marché chez les patients traités par le lénalidomide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936"/>
        <w:gridCol w:w="4312"/>
        <w:gridCol w:w="3038"/>
      </w:tblGrid>
      <w:tr w:rsidR="00D5485C" w:rsidRPr="00D2126A" w14:paraId="420D6A55" w14:textId="77777777" w:rsidTr="00F003F4">
        <w:trPr>
          <w:cantSplit/>
          <w:trHeight w:val="57"/>
          <w:tblHeader/>
        </w:trPr>
        <w:tc>
          <w:tcPr>
            <w:tcW w:w="1042" w:type="pct"/>
            <w:shd w:val="clear" w:color="auto" w:fill="auto"/>
          </w:tcPr>
          <w:p w14:paraId="0B22C116" w14:textId="0C6E1B46" w:rsidR="004F07A1" w:rsidRPr="00D2126A" w:rsidRDefault="000E5A86" w:rsidP="006B7D29">
            <w:pPr>
              <w:keepNext/>
              <w:snapToGrid w:val="0"/>
              <w:rPr>
                <w:b/>
                <w:bCs/>
                <w:sz w:val="20"/>
                <w:szCs w:val="20"/>
              </w:rPr>
            </w:pPr>
            <w:r>
              <w:rPr>
                <w:b/>
                <w:sz w:val="20"/>
              </w:rPr>
              <w:t>Classe de systèmes d’organes / Terme préférentiel</w:t>
            </w:r>
          </w:p>
        </w:tc>
        <w:tc>
          <w:tcPr>
            <w:tcW w:w="2322" w:type="pct"/>
            <w:shd w:val="clear" w:color="auto" w:fill="auto"/>
          </w:tcPr>
          <w:p w14:paraId="4F5616B3" w14:textId="77777777" w:rsidR="004F07A1" w:rsidRPr="00D2126A" w:rsidRDefault="000E5A86" w:rsidP="006B7D29">
            <w:pPr>
              <w:keepNext/>
              <w:snapToGrid w:val="0"/>
              <w:rPr>
                <w:b/>
                <w:sz w:val="20"/>
                <w:szCs w:val="20"/>
              </w:rPr>
            </w:pPr>
            <w:r>
              <w:rPr>
                <w:b/>
                <w:sz w:val="20"/>
              </w:rPr>
              <w:t>Effets indésirables de tous grades / Fréquence</w:t>
            </w:r>
          </w:p>
        </w:tc>
        <w:tc>
          <w:tcPr>
            <w:tcW w:w="1636" w:type="pct"/>
            <w:shd w:val="clear" w:color="auto" w:fill="auto"/>
          </w:tcPr>
          <w:p w14:paraId="1DCFA584" w14:textId="3AFED88A" w:rsidR="004F07A1" w:rsidRPr="00D2126A" w:rsidRDefault="000E5A86" w:rsidP="006B7D29">
            <w:pPr>
              <w:keepNext/>
              <w:snapToGrid w:val="0"/>
              <w:rPr>
                <w:b/>
                <w:sz w:val="20"/>
                <w:szCs w:val="20"/>
              </w:rPr>
            </w:pPr>
            <w:r>
              <w:rPr>
                <w:b/>
                <w:sz w:val="20"/>
              </w:rPr>
              <w:t>Effets indésirables de grade 3–4 / Fréquence</w:t>
            </w:r>
          </w:p>
        </w:tc>
      </w:tr>
      <w:tr w:rsidR="00D5485C" w:rsidRPr="00D2126A" w14:paraId="0E1CFAAB" w14:textId="77777777" w:rsidTr="00F003F4">
        <w:trPr>
          <w:cantSplit/>
          <w:trHeight w:val="57"/>
        </w:trPr>
        <w:tc>
          <w:tcPr>
            <w:tcW w:w="1042" w:type="pct"/>
            <w:shd w:val="clear" w:color="auto" w:fill="auto"/>
          </w:tcPr>
          <w:p w14:paraId="17B50D42" w14:textId="77777777" w:rsidR="00BB2E76" w:rsidRPr="00D2126A" w:rsidRDefault="000E5A86" w:rsidP="006B7D29">
            <w:pPr>
              <w:snapToGrid w:val="0"/>
              <w:rPr>
                <w:b/>
                <w:sz w:val="20"/>
                <w:szCs w:val="20"/>
              </w:rPr>
            </w:pPr>
            <w:r>
              <w:rPr>
                <w:b/>
                <w:sz w:val="20"/>
              </w:rPr>
              <w:t>Infections et infestations</w:t>
            </w:r>
          </w:p>
        </w:tc>
        <w:tc>
          <w:tcPr>
            <w:tcW w:w="2322" w:type="pct"/>
            <w:shd w:val="clear" w:color="auto" w:fill="auto"/>
          </w:tcPr>
          <w:p w14:paraId="17CA504E" w14:textId="77777777" w:rsidR="00BB2E76" w:rsidRPr="00D2126A" w:rsidRDefault="000E5A86" w:rsidP="006B7D29">
            <w:pPr>
              <w:pStyle w:val="Date"/>
              <w:rPr>
                <w:sz w:val="20"/>
                <w:szCs w:val="20"/>
                <w:u w:val="single"/>
              </w:rPr>
            </w:pPr>
            <w:r>
              <w:rPr>
                <w:sz w:val="20"/>
                <w:u w:val="single"/>
              </w:rPr>
              <w:t>Fréquence indéterminée</w:t>
            </w:r>
          </w:p>
          <w:p w14:paraId="47778412" w14:textId="2F37B7AD" w:rsidR="00BB2E76" w:rsidRPr="00D2126A" w:rsidRDefault="000E5A86" w:rsidP="006B7D29">
            <w:pPr>
              <w:pStyle w:val="Date"/>
              <w:rPr>
                <w:sz w:val="20"/>
                <w:szCs w:val="20"/>
              </w:rPr>
            </w:pPr>
            <w:r>
              <w:rPr>
                <w:sz w:val="20"/>
              </w:rPr>
              <w:t>Infections virales, y compris réactivation du virus de la varicelle et du zona et du virus de l’hépatite B</w:t>
            </w:r>
          </w:p>
        </w:tc>
        <w:tc>
          <w:tcPr>
            <w:tcW w:w="1636" w:type="pct"/>
            <w:shd w:val="clear" w:color="auto" w:fill="auto"/>
          </w:tcPr>
          <w:p w14:paraId="4F12882C" w14:textId="77777777" w:rsidR="00BB2E76" w:rsidRPr="00D2126A" w:rsidRDefault="000E5A86" w:rsidP="006B7D29">
            <w:pPr>
              <w:pStyle w:val="Date"/>
              <w:rPr>
                <w:sz w:val="20"/>
                <w:szCs w:val="20"/>
                <w:u w:val="single"/>
              </w:rPr>
            </w:pPr>
            <w:r>
              <w:rPr>
                <w:sz w:val="20"/>
                <w:u w:val="single"/>
              </w:rPr>
              <w:t>Fréquence indéterminée</w:t>
            </w:r>
          </w:p>
          <w:p w14:paraId="14FECD77" w14:textId="75054AEE" w:rsidR="00BB2E76" w:rsidRPr="00D2126A" w:rsidRDefault="000E5A86" w:rsidP="006B7D29">
            <w:pPr>
              <w:snapToGrid w:val="0"/>
              <w:rPr>
                <w:sz w:val="20"/>
                <w:szCs w:val="20"/>
                <w:u w:val="single"/>
              </w:rPr>
            </w:pPr>
            <w:r>
              <w:rPr>
                <w:sz w:val="20"/>
              </w:rPr>
              <w:t>Infections virales, y compris réactivation du virus de la varicelle et du zona et du virus de l’hépatite B</w:t>
            </w:r>
          </w:p>
        </w:tc>
      </w:tr>
      <w:tr w:rsidR="00D5485C" w:rsidRPr="00D2126A" w14:paraId="0B78945A" w14:textId="77777777" w:rsidTr="00F003F4">
        <w:trPr>
          <w:cantSplit/>
          <w:trHeight w:val="57"/>
        </w:trPr>
        <w:tc>
          <w:tcPr>
            <w:tcW w:w="1042" w:type="pct"/>
            <w:shd w:val="clear" w:color="auto" w:fill="auto"/>
          </w:tcPr>
          <w:p w14:paraId="08C91A96" w14:textId="77777777" w:rsidR="004F07A1" w:rsidRPr="00D2126A" w:rsidRDefault="000E5A86" w:rsidP="006B7D29">
            <w:pPr>
              <w:snapToGrid w:val="0"/>
              <w:rPr>
                <w:b/>
                <w:sz w:val="20"/>
                <w:szCs w:val="20"/>
              </w:rPr>
            </w:pPr>
            <w:r>
              <w:rPr>
                <w:b/>
                <w:sz w:val="20"/>
              </w:rPr>
              <w:t>Tumeurs malignes, bénignes et non précisées (incluant kystes et polypes)</w:t>
            </w:r>
          </w:p>
        </w:tc>
        <w:tc>
          <w:tcPr>
            <w:tcW w:w="2322" w:type="pct"/>
            <w:shd w:val="clear" w:color="auto" w:fill="auto"/>
          </w:tcPr>
          <w:p w14:paraId="260DA344" w14:textId="77777777" w:rsidR="004F07A1" w:rsidRPr="00D2126A" w:rsidRDefault="004F07A1" w:rsidP="006B7D29">
            <w:pPr>
              <w:pStyle w:val="Date"/>
              <w:rPr>
                <w:sz w:val="20"/>
                <w:szCs w:val="20"/>
              </w:rPr>
            </w:pPr>
          </w:p>
        </w:tc>
        <w:tc>
          <w:tcPr>
            <w:tcW w:w="1636" w:type="pct"/>
            <w:shd w:val="clear" w:color="auto" w:fill="auto"/>
          </w:tcPr>
          <w:p w14:paraId="743D3913" w14:textId="77777777" w:rsidR="004F07A1" w:rsidRPr="00D2126A" w:rsidRDefault="000E5A86" w:rsidP="006B7D29">
            <w:pPr>
              <w:snapToGrid w:val="0"/>
              <w:rPr>
                <w:sz w:val="20"/>
                <w:szCs w:val="20"/>
                <w:u w:val="single"/>
              </w:rPr>
            </w:pPr>
            <w:r>
              <w:rPr>
                <w:sz w:val="20"/>
                <w:u w:val="single"/>
              </w:rPr>
              <w:t>Rare</w:t>
            </w:r>
          </w:p>
          <w:p w14:paraId="6BC371C8" w14:textId="77777777" w:rsidR="004F07A1" w:rsidRPr="00D2126A" w:rsidRDefault="000E5A86" w:rsidP="006B7D29">
            <w:pPr>
              <w:snapToGrid w:val="0"/>
              <w:rPr>
                <w:sz w:val="20"/>
                <w:szCs w:val="20"/>
              </w:rPr>
            </w:pPr>
            <w:r>
              <w:rPr>
                <w:sz w:val="20"/>
              </w:rPr>
              <w:t>Syndrome de lyse tumorale</w:t>
            </w:r>
          </w:p>
          <w:p w14:paraId="43F0E471" w14:textId="77777777" w:rsidR="004F07A1" w:rsidRPr="00D2126A" w:rsidRDefault="004F07A1" w:rsidP="006B7D29">
            <w:pPr>
              <w:snapToGrid w:val="0"/>
              <w:rPr>
                <w:b/>
                <w:sz w:val="20"/>
                <w:szCs w:val="20"/>
                <w:u w:val="single"/>
              </w:rPr>
            </w:pPr>
          </w:p>
        </w:tc>
      </w:tr>
      <w:tr w:rsidR="00D5485C" w:rsidRPr="00D2126A" w14:paraId="58AAD8BF" w14:textId="77777777" w:rsidTr="00F003F4">
        <w:trPr>
          <w:cantSplit/>
          <w:trHeight w:val="57"/>
        </w:trPr>
        <w:tc>
          <w:tcPr>
            <w:tcW w:w="1042" w:type="pct"/>
            <w:shd w:val="clear" w:color="auto" w:fill="auto"/>
          </w:tcPr>
          <w:p w14:paraId="2BDFF73F" w14:textId="77777777" w:rsidR="008525E3" w:rsidRPr="00D2126A" w:rsidRDefault="000E5A86" w:rsidP="006B7D29">
            <w:pPr>
              <w:snapToGrid w:val="0"/>
              <w:rPr>
                <w:b/>
                <w:bCs/>
                <w:sz w:val="20"/>
                <w:szCs w:val="20"/>
              </w:rPr>
            </w:pPr>
            <w:r>
              <w:rPr>
                <w:b/>
                <w:sz w:val="20"/>
              </w:rPr>
              <w:t>Affections hématologiques et du système lymphatique</w:t>
            </w:r>
          </w:p>
        </w:tc>
        <w:tc>
          <w:tcPr>
            <w:tcW w:w="2322" w:type="pct"/>
            <w:shd w:val="clear" w:color="auto" w:fill="auto"/>
          </w:tcPr>
          <w:p w14:paraId="4A1CE85B" w14:textId="77777777" w:rsidR="008525E3" w:rsidRPr="00D2126A" w:rsidRDefault="000E5A86" w:rsidP="006B7D29">
            <w:pPr>
              <w:pStyle w:val="Date"/>
              <w:keepNext/>
              <w:rPr>
                <w:sz w:val="20"/>
                <w:szCs w:val="20"/>
                <w:u w:val="single"/>
              </w:rPr>
            </w:pPr>
            <w:r>
              <w:rPr>
                <w:sz w:val="20"/>
                <w:u w:val="single"/>
              </w:rPr>
              <w:t>Fréquence indéterminée</w:t>
            </w:r>
          </w:p>
          <w:p w14:paraId="520AB4F0" w14:textId="77777777" w:rsidR="008525E3" w:rsidRPr="00D2126A" w:rsidRDefault="000E5A86" w:rsidP="006B7D29">
            <w:pPr>
              <w:snapToGrid w:val="0"/>
              <w:rPr>
                <w:bCs/>
                <w:sz w:val="20"/>
                <w:szCs w:val="20"/>
                <w:u w:val="single"/>
              </w:rPr>
            </w:pPr>
            <w:r>
              <w:rPr>
                <w:sz w:val="20"/>
              </w:rPr>
              <w:t>Hémophilie acquise</w:t>
            </w:r>
          </w:p>
        </w:tc>
        <w:tc>
          <w:tcPr>
            <w:tcW w:w="1636" w:type="pct"/>
            <w:shd w:val="clear" w:color="auto" w:fill="auto"/>
          </w:tcPr>
          <w:p w14:paraId="7FCC38C5" w14:textId="77777777" w:rsidR="008525E3" w:rsidRPr="00D2126A" w:rsidRDefault="008525E3" w:rsidP="006B7D29">
            <w:pPr>
              <w:snapToGrid w:val="0"/>
              <w:rPr>
                <w:b/>
                <w:sz w:val="20"/>
                <w:szCs w:val="20"/>
                <w:u w:val="single"/>
              </w:rPr>
            </w:pPr>
          </w:p>
        </w:tc>
      </w:tr>
      <w:tr w:rsidR="00D5485C" w:rsidRPr="00D2126A" w14:paraId="33C60770" w14:textId="77777777" w:rsidTr="00F003F4">
        <w:trPr>
          <w:cantSplit/>
          <w:trHeight w:val="57"/>
        </w:trPr>
        <w:tc>
          <w:tcPr>
            <w:tcW w:w="1042" w:type="pct"/>
            <w:shd w:val="clear" w:color="auto" w:fill="auto"/>
          </w:tcPr>
          <w:p w14:paraId="2D4A08E8" w14:textId="77777777" w:rsidR="00676BB8" w:rsidRPr="00D2126A" w:rsidRDefault="000E5A86" w:rsidP="006B7D29">
            <w:pPr>
              <w:snapToGrid w:val="0"/>
              <w:rPr>
                <w:b/>
                <w:sz w:val="20"/>
                <w:szCs w:val="20"/>
              </w:rPr>
            </w:pPr>
            <w:r>
              <w:rPr>
                <w:b/>
                <w:sz w:val="20"/>
              </w:rPr>
              <w:t>Affections du système immunitaire</w:t>
            </w:r>
          </w:p>
        </w:tc>
        <w:tc>
          <w:tcPr>
            <w:tcW w:w="2322" w:type="pct"/>
            <w:shd w:val="clear" w:color="auto" w:fill="auto"/>
          </w:tcPr>
          <w:p w14:paraId="0C4466E1" w14:textId="77777777" w:rsidR="007F2E2D" w:rsidRPr="00D2126A" w:rsidRDefault="000E5A86" w:rsidP="006B7D29">
            <w:pPr>
              <w:rPr>
                <w:sz w:val="20"/>
                <w:szCs w:val="20"/>
                <w:u w:val="single"/>
              </w:rPr>
            </w:pPr>
            <w:r>
              <w:rPr>
                <w:sz w:val="20"/>
                <w:u w:val="single"/>
              </w:rPr>
              <w:t>Rare</w:t>
            </w:r>
          </w:p>
          <w:p w14:paraId="372B7ADD" w14:textId="77777777" w:rsidR="007F2E2D" w:rsidRPr="00D2126A" w:rsidRDefault="000E5A86" w:rsidP="006B7D29">
            <w:pPr>
              <w:pStyle w:val="Style4"/>
            </w:pPr>
            <w:r>
              <w:t>Réaction anaphylactique^</w:t>
            </w:r>
          </w:p>
          <w:p w14:paraId="1A1541CF" w14:textId="77777777" w:rsidR="007F2E2D" w:rsidRPr="00D2126A" w:rsidRDefault="007F2E2D" w:rsidP="006B7D29">
            <w:pPr>
              <w:rPr>
                <w:sz w:val="20"/>
                <w:szCs w:val="20"/>
                <w:u w:val="single"/>
              </w:rPr>
            </w:pPr>
          </w:p>
          <w:p w14:paraId="3C8A6DA7" w14:textId="77777777" w:rsidR="00676BB8" w:rsidRPr="00D2126A" w:rsidRDefault="000E5A86" w:rsidP="006B7D29">
            <w:pPr>
              <w:rPr>
                <w:sz w:val="20"/>
                <w:szCs w:val="20"/>
                <w:u w:val="single"/>
              </w:rPr>
            </w:pPr>
            <w:r>
              <w:rPr>
                <w:sz w:val="20"/>
                <w:u w:val="single"/>
              </w:rPr>
              <w:t>Fréquence indéterminée</w:t>
            </w:r>
          </w:p>
          <w:p w14:paraId="259D7623" w14:textId="77777777" w:rsidR="008C5740" w:rsidRPr="00D2126A" w:rsidRDefault="000E5A86" w:rsidP="006B7D29">
            <w:pPr>
              <w:pStyle w:val="Date"/>
              <w:rPr>
                <w:sz w:val="20"/>
                <w:szCs w:val="20"/>
              </w:rPr>
            </w:pPr>
            <w:r>
              <w:rPr>
                <w:sz w:val="20"/>
              </w:rPr>
              <w:t>Rejet du greffon après une transplantation d’organe</w:t>
            </w:r>
          </w:p>
          <w:p w14:paraId="24C9E7B8" w14:textId="77777777" w:rsidR="00676BB8" w:rsidRPr="00D2126A" w:rsidRDefault="00676BB8" w:rsidP="006B7D29">
            <w:pPr>
              <w:pStyle w:val="Date"/>
              <w:keepNext/>
              <w:rPr>
                <w:sz w:val="20"/>
                <w:szCs w:val="20"/>
                <w:u w:val="single"/>
              </w:rPr>
            </w:pPr>
          </w:p>
        </w:tc>
        <w:tc>
          <w:tcPr>
            <w:tcW w:w="1636" w:type="pct"/>
            <w:shd w:val="clear" w:color="auto" w:fill="auto"/>
          </w:tcPr>
          <w:p w14:paraId="70CB50DD" w14:textId="77777777" w:rsidR="007F2E2D" w:rsidRPr="00D2126A" w:rsidRDefault="000E5A86" w:rsidP="006B7D29">
            <w:pPr>
              <w:rPr>
                <w:sz w:val="20"/>
                <w:szCs w:val="20"/>
                <w:u w:val="single"/>
              </w:rPr>
            </w:pPr>
            <w:r>
              <w:rPr>
                <w:sz w:val="20"/>
                <w:u w:val="single"/>
              </w:rPr>
              <w:t>Rare</w:t>
            </w:r>
          </w:p>
          <w:p w14:paraId="42EA1204" w14:textId="77777777" w:rsidR="007F2E2D" w:rsidRPr="00D2126A" w:rsidRDefault="000E5A86" w:rsidP="006B7D29">
            <w:pPr>
              <w:pStyle w:val="Style4"/>
            </w:pPr>
            <w:r>
              <w:t>Réaction anaphylactique^</w:t>
            </w:r>
          </w:p>
          <w:p w14:paraId="28C1F44D" w14:textId="77777777" w:rsidR="00676BB8" w:rsidRPr="00D2126A" w:rsidRDefault="00676BB8" w:rsidP="006B7D29">
            <w:pPr>
              <w:snapToGrid w:val="0"/>
              <w:rPr>
                <w:b/>
                <w:sz w:val="20"/>
                <w:szCs w:val="20"/>
                <w:u w:val="single"/>
              </w:rPr>
            </w:pPr>
          </w:p>
        </w:tc>
      </w:tr>
      <w:tr w:rsidR="00D5485C" w:rsidRPr="00D2126A" w14:paraId="6ED181E7" w14:textId="77777777" w:rsidTr="00F003F4">
        <w:trPr>
          <w:cantSplit/>
          <w:trHeight w:val="57"/>
        </w:trPr>
        <w:tc>
          <w:tcPr>
            <w:tcW w:w="1042" w:type="pct"/>
            <w:shd w:val="clear" w:color="auto" w:fill="auto"/>
          </w:tcPr>
          <w:p w14:paraId="4F1828E1" w14:textId="77777777" w:rsidR="00676BB8" w:rsidRPr="00D2126A" w:rsidRDefault="000E5A86" w:rsidP="006B7D29">
            <w:pPr>
              <w:snapToGrid w:val="0"/>
              <w:rPr>
                <w:b/>
                <w:bCs/>
                <w:sz w:val="20"/>
                <w:szCs w:val="20"/>
              </w:rPr>
            </w:pPr>
            <w:r>
              <w:rPr>
                <w:b/>
                <w:sz w:val="20"/>
              </w:rPr>
              <w:t>Affections endocriniennes</w:t>
            </w:r>
          </w:p>
        </w:tc>
        <w:tc>
          <w:tcPr>
            <w:tcW w:w="2322" w:type="pct"/>
            <w:shd w:val="clear" w:color="auto" w:fill="auto"/>
          </w:tcPr>
          <w:p w14:paraId="6CE52DBB" w14:textId="77777777" w:rsidR="00676BB8" w:rsidRPr="00D2126A" w:rsidRDefault="000E5A86" w:rsidP="006B7D29">
            <w:pPr>
              <w:snapToGrid w:val="0"/>
              <w:rPr>
                <w:bCs/>
                <w:sz w:val="20"/>
                <w:szCs w:val="20"/>
                <w:u w:val="single"/>
              </w:rPr>
            </w:pPr>
            <w:r>
              <w:rPr>
                <w:sz w:val="20"/>
                <w:u w:val="single"/>
              </w:rPr>
              <w:t>Fréquent</w:t>
            </w:r>
          </w:p>
          <w:p w14:paraId="2F1851A6" w14:textId="77777777" w:rsidR="00676BB8" w:rsidRPr="00D2126A" w:rsidRDefault="000E5A86" w:rsidP="006B7D29">
            <w:pPr>
              <w:rPr>
                <w:sz w:val="20"/>
                <w:szCs w:val="20"/>
                <w:shd w:val="clear" w:color="auto" w:fill="C0C0C0"/>
              </w:rPr>
            </w:pPr>
            <w:r>
              <w:rPr>
                <w:sz w:val="20"/>
              </w:rPr>
              <w:t>Hyperthyroïdie</w:t>
            </w:r>
          </w:p>
        </w:tc>
        <w:tc>
          <w:tcPr>
            <w:tcW w:w="1636" w:type="pct"/>
            <w:shd w:val="clear" w:color="auto" w:fill="auto"/>
          </w:tcPr>
          <w:p w14:paraId="53012ABD" w14:textId="77777777" w:rsidR="00676BB8" w:rsidRPr="00D2126A" w:rsidRDefault="00676BB8" w:rsidP="006B7D29">
            <w:pPr>
              <w:snapToGrid w:val="0"/>
              <w:rPr>
                <w:b/>
                <w:sz w:val="20"/>
                <w:szCs w:val="20"/>
                <w:u w:val="single"/>
              </w:rPr>
            </w:pPr>
          </w:p>
        </w:tc>
      </w:tr>
      <w:tr w:rsidR="00D5485C" w:rsidRPr="00D2126A" w14:paraId="3FE17CCE" w14:textId="77777777" w:rsidTr="00F003F4">
        <w:trPr>
          <w:cantSplit/>
          <w:trHeight w:val="57"/>
        </w:trPr>
        <w:tc>
          <w:tcPr>
            <w:tcW w:w="1042" w:type="pct"/>
            <w:shd w:val="clear" w:color="auto" w:fill="auto"/>
          </w:tcPr>
          <w:p w14:paraId="767174AC" w14:textId="77777777" w:rsidR="00676BB8" w:rsidRPr="00D2126A" w:rsidRDefault="000E5A86" w:rsidP="006B7D29">
            <w:pPr>
              <w:snapToGrid w:val="0"/>
              <w:rPr>
                <w:b/>
                <w:bCs/>
                <w:sz w:val="20"/>
                <w:szCs w:val="20"/>
              </w:rPr>
            </w:pPr>
            <w:r>
              <w:rPr>
                <w:b/>
                <w:sz w:val="20"/>
              </w:rPr>
              <w:t>Affections respiratoires, thoraciques et médiastinales</w:t>
            </w:r>
          </w:p>
        </w:tc>
        <w:tc>
          <w:tcPr>
            <w:tcW w:w="2322" w:type="pct"/>
            <w:shd w:val="clear" w:color="auto" w:fill="auto"/>
          </w:tcPr>
          <w:p w14:paraId="7995F121" w14:textId="77777777" w:rsidR="00752E80" w:rsidRPr="00D2126A" w:rsidRDefault="000E5A86" w:rsidP="006B7D29">
            <w:pPr>
              <w:pStyle w:val="Date"/>
              <w:rPr>
                <w:sz w:val="20"/>
                <w:szCs w:val="20"/>
                <w:u w:val="single"/>
              </w:rPr>
            </w:pPr>
            <w:r>
              <w:rPr>
                <w:sz w:val="20"/>
                <w:u w:val="single"/>
              </w:rPr>
              <w:t>Peu fréquent</w:t>
            </w:r>
          </w:p>
          <w:p w14:paraId="08506891" w14:textId="77777777" w:rsidR="00676BB8" w:rsidRPr="00D2126A" w:rsidRDefault="000E5A86" w:rsidP="006B7D29">
            <w:pPr>
              <w:rPr>
                <w:sz w:val="20"/>
                <w:szCs w:val="20"/>
                <w:shd w:val="clear" w:color="auto" w:fill="C0C0C0"/>
              </w:rPr>
            </w:pPr>
            <w:r>
              <w:rPr>
                <w:sz w:val="20"/>
              </w:rPr>
              <w:t>Hypertension pulmonaire</w:t>
            </w:r>
          </w:p>
        </w:tc>
        <w:tc>
          <w:tcPr>
            <w:tcW w:w="1636" w:type="pct"/>
            <w:shd w:val="clear" w:color="auto" w:fill="auto"/>
          </w:tcPr>
          <w:p w14:paraId="0FC8339B" w14:textId="77777777" w:rsidR="00752E80" w:rsidRPr="00D2126A" w:rsidRDefault="000E5A86" w:rsidP="006B7D29">
            <w:pPr>
              <w:pStyle w:val="Date"/>
              <w:rPr>
                <w:sz w:val="20"/>
                <w:szCs w:val="20"/>
                <w:u w:val="single"/>
              </w:rPr>
            </w:pPr>
            <w:r>
              <w:rPr>
                <w:sz w:val="20"/>
                <w:u w:val="single"/>
              </w:rPr>
              <w:t>Rare</w:t>
            </w:r>
          </w:p>
          <w:p w14:paraId="19EED0A5" w14:textId="77777777" w:rsidR="00036363" w:rsidRPr="00D2126A" w:rsidRDefault="000E5A86" w:rsidP="006B7D29">
            <w:pPr>
              <w:snapToGrid w:val="0"/>
              <w:rPr>
                <w:sz w:val="20"/>
                <w:szCs w:val="20"/>
                <w:u w:val="single"/>
              </w:rPr>
            </w:pPr>
            <w:r>
              <w:rPr>
                <w:sz w:val="20"/>
              </w:rPr>
              <w:t>Hypertension pulmonaire</w:t>
            </w:r>
          </w:p>
          <w:p w14:paraId="0EC0CC37" w14:textId="0E241964" w:rsidR="00455742" w:rsidRPr="00D2126A" w:rsidRDefault="00455742" w:rsidP="006B7D29">
            <w:pPr>
              <w:snapToGrid w:val="0"/>
              <w:rPr>
                <w:sz w:val="20"/>
                <w:szCs w:val="20"/>
                <w:u w:val="single"/>
              </w:rPr>
            </w:pPr>
          </w:p>
          <w:p w14:paraId="15671B79" w14:textId="77777777" w:rsidR="00676BB8" w:rsidRPr="00D2126A" w:rsidRDefault="000E5A86" w:rsidP="006B7D29">
            <w:pPr>
              <w:snapToGrid w:val="0"/>
              <w:rPr>
                <w:sz w:val="20"/>
                <w:szCs w:val="20"/>
                <w:u w:val="single"/>
              </w:rPr>
            </w:pPr>
            <w:r>
              <w:rPr>
                <w:sz w:val="20"/>
                <w:u w:val="single"/>
              </w:rPr>
              <w:t>Fréquence indéterminée</w:t>
            </w:r>
          </w:p>
          <w:p w14:paraId="2F959AFE" w14:textId="77777777" w:rsidR="00676BB8" w:rsidRPr="00D2126A" w:rsidRDefault="000E5A86" w:rsidP="006B7D29">
            <w:pPr>
              <w:rPr>
                <w:sz w:val="20"/>
                <w:szCs w:val="20"/>
              </w:rPr>
            </w:pPr>
            <w:r>
              <w:rPr>
                <w:sz w:val="20"/>
              </w:rPr>
              <w:t>Pneumopathie interstitielle</w:t>
            </w:r>
          </w:p>
          <w:p w14:paraId="1967D84B" w14:textId="77777777" w:rsidR="00455742" w:rsidRPr="00D2126A" w:rsidRDefault="00455742" w:rsidP="006B7D29">
            <w:pPr>
              <w:pStyle w:val="Date"/>
              <w:rPr>
                <w:sz w:val="20"/>
                <w:szCs w:val="20"/>
              </w:rPr>
            </w:pPr>
          </w:p>
        </w:tc>
      </w:tr>
      <w:tr w:rsidR="00D5485C" w:rsidRPr="00D2126A" w14:paraId="3BC2BBB5" w14:textId="77777777" w:rsidTr="00F003F4">
        <w:trPr>
          <w:cantSplit/>
          <w:trHeight w:val="57"/>
        </w:trPr>
        <w:tc>
          <w:tcPr>
            <w:tcW w:w="1042" w:type="pct"/>
            <w:shd w:val="clear" w:color="auto" w:fill="auto"/>
          </w:tcPr>
          <w:p w14:paraId="487DB038" w14:textId="77777777" w:rsidR="00F3495F" w:rsidRPr="00D2126A" w:rsidRDefault="000E5A86" w:rsidP="006B7D29">
            <w:pPr>
              <w:snapToGrid w:val="0"/>
              <w:rPr>
                <w:b/>
                <w:bCs/>
                <w:sz w:val="20"/>
                <w:szCs w:val="20"/>
              </w:rPr>
            </w:pPr>
            <w:r>
              <w:rPr>
                <w:b/>
                <w:sz w:val="20"/>
              </w:rPr>
              <w:t>Affections gastro</w:t>
            </w:r>
            <w:r>
              <w:rPr>
                <w:b/>
                <w:sz w:val="20"/>
              </w:rPr>
              <w:noBreakHyphen/>
              <w:t>intestinales</w:t>
            </w:r>
          </w:p>
        </w:tc>
        <w:tc>
          <w:tcPr>
            <w:tcW w:w="2322" w:type="pct"/>
            <w:shd w:val="clear" w:color="auto" w:fill="auto"/>
          </w:tcPr>
          <w:p w14:paraId="18DE35D4" w14:textId="77777777" w:rsidR="00F3495F" w:rsidRPr="00D2126A" w:rsidRDefault="00F3495F" w:rsidP="006B7D29">
            <w:pPr>
              <w:rPr>
                <w:b/>
                <w:i/>
                <w:sz w:val="20"/>
                <w:szCs w:val="20"/>
              </w:rPr>
            </w:pPr>
          </w:p>
        </w:tc>
        <w:tc>
          <w:tcPr>
            <w:tcW w:w="1636" w:type="pct"/>
            <w:shd w:val="clear" w:color="auto" w:fill="auto"/>
          </w:tcPr>
          <w:p w14:paraId="1FC3C58F" w14:textId="77777777" w:rsidR="00F3495F" w:rsidRPr="00D2126A" w:rsidRDefault="000E5A86" w:rsidP="006B7D29">
            <w:pPr>
              <w:snapToGrid w:val="0"/>
              <w:rPr>
                <w:sz w:val="20"/>
                <w:szCs w:val="20"/>
                <w:u w:val="single"/>
              </w:rPr>
            </w:pPr>
            <w:r>
              <w:rPr>
                <w:sz w:val="20"/>
                <w:u w:val="single"/>
              </w:rPr>
              <w:t>Fréquence indéterminée</w:t>
            </w:r>
          </w:p>
          <w:p w14:paraId="347EB3A0" w14:textId="77777777" w:rsidR="00F3495F" w:rsidRPr="00D2126A" w:rsidRDefault="000E5A86" w:rsidP="006B7D29">
            <w:pPr>
              <w:rPr>
                <w:sz w:val="20"/>
                <w:szCs w:val="20"/>
              </w:rPr>
            </w:pPr>
            <w:r>
              <w:rPr>
                <w:sz w:val="20"/>
              </w:rPr>
              <w:t>Pancréatite, perforation gastro</w:t>
            </w:r>
            <w:r>
              <w:rPr>
                <w:sz w:val="20"/>
              </w:rPr>
              <w:noBreakHyphen/>
              <w:t>intestinale (incluant perforation diverticulaire, intestinale et colique)^</w:t>
            </w:r>
          </w:p>
          <w:p w14:paraId="7BBDCF32" w14:textId="77777777" w:rsidR="00455742" w:rsidRPr="00D2126A" w:rsidRDefault="00455742" w:rsidP="006B7D29">
            <w:pPr>
              <w:pStyle w:val="Date"/>
              <w:rPr>
                <w:sz w:val="20"/>
                <w:szCs w:val="20"/>
              </w:rPr>
            </w:pPr>
          </w:p>
        </w:tc>
      </w:tr>
      <w:tr w:rsidR="00D5485C" w:rsidRPr="00D2126A" w14:paraId="615E92A6" w14:textId="77777777" w:rsidTr="00F003F4">
        <w:trPr>
          <w:cantSplit/>
          <w:trHeight w:val="57"/>
        </w:trPr>
        <w:tc>
          <w:tcPr>
            <w:tcW w:w="1042" w:type="pct"/>
            <w:shd w:val="clear" w:color="auto" w:fill="auto"/>
          </w:tcPr>
          <w:p w14:paraId="38A7E30D" w14:textId="77777777" w:rsidR="00F3495F" w:rsidRPr="00D2126A" w:rsidRDefault="000E5A86" w:rsidP="006B7D29">
            <w:pPr>
              <w:keepNext/>
              <w:snapToGrid w:val="0"/>
              <w:rPr>
                <w:b/>
                <w:bCs/>
                <w:sz w:val="20"/>
                <w:szCs w:val="20"/>
              </w:rPr>
            </w:pPr>
            <w:r>
              <w:rPr>
                <w:b/>
                <w:sz w:val="20"/>
              </w:rPr>
              <w:t>Affections hépatobiliaires</w:t>
            </w:r>
          </w:p>
        </w:tc>
        <w:tc>
          <w:tcPr>
            <w:tcW w:w="2322" w:type="pct"/>
            <w:shd w:val="clear" w:color="auto" w:fill="auto"/>
          </w:tcPr>
          <w:p w14:paraId="1BBE2A77" w14:textId="77777777" w:rsidR="00F3495F" w:rsidRPr="00D2126A" w:rsidRDefault="000E5A86" w:rsidP="006B7D29">
            <w:pPr>
              <w:keepNext/>
              <w:rPr>
                <w:sz w:val="20"/>
                <w:szCs w:val="20"/>
                <w:u w:val="single"/>
              </w:rPr>
            </w:pPr>
            <w:r>
              <w:rPr>
                <w:sz w:val="20"/>
                <w:u w:val="single"/>
              </w:rPr>
              <w:t>Fréquence indéterminée</w:t>
            </w:r>
          </w:p>
          <w:p w14:paraId="696FC84E" w14:textId="77777777" w:rsidR="00F3495F" w:rsidRPr="00D2126A" w:rsidRDefault="000E5A86" w:rsidP="006B7D29">
            <w:pPr>
              <w:pStyle w:val="Date"/>
              <w:keepNext/>
              <w:rPr>
                <w:sz w:val="20"/>
                <w:szCs w:val="20"/>
              </w:rPr>
            </w:pPr>
            <w:r>
              <w:rPr>
                <w:sz w:val="20"/>
              </w:rPr>
              <w:t>Insuffisance hépatique aiguë^, hépatite toxique^, hépatite cytolytique^, hépatite cholestatique^, hépatite mixte cytolytique/cholestatique^</w:t>
            </w:r>
          </w:p>
        </w:tc>
        <w:tc>
          <w:tcPr>
            <w:tcW w:w="1636" w:type="pct"/>
            <w:shd w:val="clear" w:color="auto" w:fill="auto"/>
          </w:tcPr>
          <w:p w14:paraId="00645792" w14:textId="77777777" w:rsidR="00F3495F" w:rsidRPr="00D2126A" w:rsidRDefault="000E5A86" w:rsidP="006B7D29">
            <w:pPr>
              <w:keepNext/>
              <w:rPr>
                <w:sz w:val="20"/>
                <w:szCs w:val="20"/>
                <w:u w:val="single"/>
              </w:rPr>
            </w:pPr>
            <w:r>
              <w:rPr>
                <w:sz w:val="20"/>
                <w:u w:val="single"/>
              </w:rPr>
              <w:t>Fréquence indéterminée</w:t>
            </w:r>
          </w:p>
          <w:p w14:paraId="2480197D" w14:textId="77777777" w:rsidR="00F3495F" w:rsidRPr="00D2126A" w:rsidRDefault="000E5A86" w:rsidP="006B7D29">
            <w:pPr>
              <w:pStyle w:val="Date"/>
              <w:keepNext/>
              <w:rPr>
                <w:sz w:val="20"/>
                <w:szCs w:val="20"/>
              </w:rPr>
            </w:pPr>
            <w:r>
              <w:rPr>
                <w:sz w:val="20"/>
              </w:rPr>
              <w:t>Insuffisance hépatique aiguë^, hépatite toxique^</w:t>
            </w:r>
          </w:p>
        </w:tc>
      </w:tr>
      <w:tr w:rsidR="00D5485C" w:rsidRPr="00D2126A" w14:paraId="12D276F9" w14:textId="77777777" w:rsidTr="00F003F4">
        <w:trPr>
          <w:cantSplit/>
          <w:trHeight w:val="57"/>
        </w:trPr>
        <w:tc>
          <w:tcPr>
            <w:tcW w:w="1042" w:type="pct"/>
            <w:shd w:val="clear" w:color="auto" w:fill="auto"/>
          </w:tcPr>
          <w:p w14:paraId="042CC20D" w14:textId="77777777" w:rsidR="00F3495F" w:rsidRPr="00D2126A" w:rsidRDefault="000E5A86" w:rsidP="006B7D29">
            <w:pPr>
              <w:keepNext/>
              <w:snapToGrid w:val="0"/>
              <w:rPr>
                <w:b/>
                <w:bCs/>
                <w:sz w:val="20"/>
                <w:szCs w:val="20"/>
              </w:rPr>
            </w:pPr>
            <w:r>
              <w:rPr>
                <w:b/>
                <w:sz w:val="20"/>
              </w:rPr>
              <w:t>Affections de la peau et du tissu sous</w:t>
            </w:r>
            <w:r>
              <w:rPr>
                <w:b/>
                <w:sz w:val="20"/>
              </w:rPr>
              <w:noBreakHyphen/>
              <w:t>cutané</w:t>
            </w:r>
          </w:p>
        </w:tc>
        <w:tc>
          <w:tcPr>
            <w:tcW w:w="2322" w:type="pct"/>
            <w:shd w:val="clear" w:color="auto" w:fill="auto"/>
          </w:tcPr>
          <w:p w14:paraId="441D14BC" w14:textId="77777777" w:rsidR="00F3495F" w:rsidRPr="00D2126A" w:rsidRDefault="00F3495F" w:rsidP="006B7D29">
            <w:pPr>
              <w:keepNext/>
              <w:rPr>
                <w:sz w:val="20"/>
                <w:szCs w:val="20"/>
              </w:rPr>
            </w:pPr>
          </w:p>
        </w:tc>
        <w:tc>
          <w:tcPr>
            <w:tcW w:w="1636" w:type="pct"/>
            <w:shd w:val="clear" w:color="auto" w:fill="auto"/>
          </w:tcPr>
          <w:p w14:paraId="2AB149FD" w14:textId="77777777" w:rsidR="00F3495F" w:rsidRPr="00D2126A" w:rsidRDefault="000E5A86" w:rsidP="006B7D29">
            <w:pPr>
              <w:keepNext/>
              <w:snapToGrid w:val="0"/>
              <w:rPr>
                <w:sz w:val="20"/>
                <w:szCs w:val="20"/>
                <w:u w:val="single"/>
              </w:rPr>
            </w:pPr>
            <w:r>
              <w:rPr>
                <w:sz w:val="20"/>
                <w:u w:val="single"/>
              </w:rPr>
              <w:t>Peu fréquent</w:t>
            </w:r>
          </w:p>
          <w:p w14:paraId="6E7032A5" w14:textId="77777777" w:rsidR="00F3495F" w:rsidRPr="00D2126A" w:rsidRDefault="000E5A86" w:rsidP="006B7D29">
            <w:pPr>
              <w:keepNext/>
              <w:rPr>
                <w:sz w:val="20"/>
                <w:szCs w:val="20"/>
              </w:rPr>
            </w:pPr>
            <w:r>
              <w:rPr>
                <w:sz w:val="20"/>
              </w:rPr>
              <w:t>Œdème de Quincke</w:t>
            </w:r>
          </w:p>
          <w:p w14:paraId="6153C592" w14:textId="77777777" w:rsidR="00F3495F" w:rsidRPr="00D2126A" w:rsidRDefault="00F3495F" w:rsidP="006B7D29">
            <w:pPr>
              <w:pStyle w:val="Date"/>
              <w:keepNext/>
              <w:rPr>
                <w:sz w:val="20"/>
                <w:szCs w:val="20"/>
              </w:rPr>
            </w:pPr>
          </w:p>
          <w:p w14:paraId="65CF65F3" w14:textId="77777777" w:rsidR="00F3495F" w:rsidRPr="00D2126A" w:rsidRDefault="000E5A86" w:rsidP="006B7D29">
            <w:pPr>
              <w:keepNext/>
              <w:rPr>
                <w:sz w:val="20"/>
                <w:szCs w:val="20"/>
                <w:u w:val="single"/>
              </w:rPr>
            </w:pPr>
            <w:r>
              <w:rPr>
                <w:sz w:val="20"/>
                <w:u w:val="single"/>
              </w:rPr>
              <w:t>Rare</w:t>
            </w:r>
          </w:p>
          <w:p w14:paraId="60871B67" w14:textId="77777777" w:rsidR="00F3495F" w:rsidRPr="00D2126A" w:rsidRDefault="000E5A86" w:rsidP="006B7D29">
            <w:pPr>
              <w:keepNext/>
              <w:rPr>
                <w:sz w:val="20"/>
                <w:szCs w:val="20"/>
              </w:rPr>
            </w:pPr>
            <w:r>
              <w:rPr>
                <w:sz w:val="20"/>
              </w:rPr>
              <w:t>Syndrome de Stevens</w:t>
            </w:r>
            <w:r>
              <w:rPr>
                <w:sz w:val="20"/>
              </w:rPr>
              <w:noBreakHyphen/>
              <w:t>Johnson^, Nécrolyse épidermique toxique^</w:t>
            </w:r>
          </w:p>
          <w:p w14:paraId="3A332F7C" w14:textId="77777777" w:rsidR="00F3495F" w:rsidRPr="00D2126A" w:rsidRDefault="00F3495F" w:rsidP="006B7D29">
            <w:pPr>
              <w:pStyle w:val="Date"/>
              <w:keepNext/>
              <w:rPr>
                <w:sz w:val="20"/>
                <w:szCs w:val="20"/>
              </w:rPr>
            </w:pPr>
          </w:p>
          <w:p w14:paraId="58B1858E" w14:textId="77777777" w:rsidR="00F3495F" w:rsidRPr="00D2126A" w:rsidRDefault="000E5A86" w:rsidP="006B7D29">
            <w:pPr>
              <w:keepNext/>
              <w:rPr>
                <w:sz w:val="20"/>
                <w:szCs w:val="20"/>
                <w:u w:val="single"/>
              </w:rPr>
            </w:pPr>
            <w:r>
              <w:rPr>
                <w:sz w:val="20"/>
                <w:u w:val="single"/>
              </w:rPr>
              <w:t>Fréquence indéterminée</w:t>
            </w:r>
          </w:p>
          <w:p w14:paraId="2D5D8CCD" w14:textId="77777777" w:rsidR="00F3495F" w:rsidRPr="00D2126A" w:rsidRDefault="000E5A86" w:rsidP="006B7D29">
            <w:pPr>
              <w:keepNext/>
              <w:rPr>
                <w:sz w:val="20"/>
                <w:szCs w:val="20"/>
              </w:rPr>
            </w:pPr>
            <w:r>
              <w:rPr>
                <w:sz w:val="20"/>
              </w:rPr>
              <w:t>Vascularite leucocytoclasique, réaction médicamenteuse accompagnée d’une éosinophilie et de symptômes systémiques^ (DRESS)</w:t>
            </w:r>
          </w:p>
          <w:p w14:paraId="78EF63BE" w14:textId="77777777" w:rsidR="00455742" w:rsidRPr="00D2126A" w:rsidRDefault="00455742" w:rsidP="006B7D29">
            <w:pPr>
              <w:pStyle w:val="Date"/>
              <w:keepNext/>
              <w:rPr>
                <w:sz w:val="20"/>
                <w:szCs w:val="20"/>
              </w:rPr>
            </w:pPr>
          </w:p>
        </w:tc>
      </w:tr>
    </w:tbl>
    <w:p w14:paraId="2F2AE72E" w14:textId="3509FC25" w:rsidR="008D41E2" w:rsidRPr="00D2126A" w:rsidRDefault="000E5A86" w:rsidP="0094597D">
      <w:pPr>
        <w:pStyle w:val="StyleTablenotes8"/>
      </w:pPr>
      <w:r>
        <w:t>^ Voir rubrique 4.8 Description de certains effets indésirables.</w:t>
      </w:r>
    </w:p>
    <w:p w14:paraId="1BF39672" w14:textId="77777777" w:rsidR="003716D8" w:rsidRPr="00AB0414" w:rsidRDefault="003716D8" w:rsidP="00C93C76">
      <w:pPr>
        <w:pStyle w:val="C-BodyText"/>
        <w:spacing w:before="0" w:after="0" w:line="240" w:lineRule="auto"/>
        <w:rPr>
          <w:color w:val="000000"/>
          <w:sz w:val="22"/>
          <w:szCs w:val="22"/>
        </w:rPr>
      </w:pPr>
    </w:p>
    <w:p w14:paraId="6ADF58DF" w14:textId="77777777" w:rsidR="00375EAB" w:rsidRPr="00D2126A" w:rsidRDefault="000E5A86" w:rsidP="00C93C76">
      <w:pPr>
        <w:pStyle w:val="C-AlphabeticList"/>
        <w:keepNext/>
        <w:rPr>
          <w:color w:val="000000"/>
          <w:sz w:val="22"/>
          <w:szCs w:val="22"/>
          <w:u w:val="single"/>
        </w:rPr>
      </w:pPr>
      <w:r>
        <w:rPr>
          <w:color w:val="000000"/>
          <w:sz w:val="22"/>
          <w:u w:val="single"/>
        </w:rPr>
        <w:t>Description de certains effets indésirables</w:t>
      </w:r>
    </w:p>
    <w:p w14:paraId="15614B77"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Tératogénicité</w:t>
      </w:r>
    </w:p>
    <w:p w14:paraId="5098CFCC" w14:textId="3253F817" w:rsidR="00375EAB" w:rsidRPr="00D2126A" w:rsidRDefault="000E5A86" w:rsidP="00C93C76">
      <w:pPr>
        <w:pStyle w:val="C-BodyText"/>
        <w:spacing w:before="0" w:after="0" w:line="240" w:lineRule="auto"/>
        <w:rPr>
          <w:color w:val="000000"/>
          <w:sz w:val="22"/>
          <w:szCs w:val="22"/>
        </w:rPr>
      </w:pPr>
      <w:r>
        <w:rPr>
          <w:color w:val="000000"/>
          <w:sz w:val="22"/>
        </w:rPr>
        <w:t>Le lénalidomide est structurellement proche du thalidomide. Le thalidomide est un tératogène humain connu, provoquant des anomalies congénitales graves, potentiellement létales chez l’enfant à naître. Le lénalidomide induit chez les singes des malformations similaires à celles décrites avec le thalidomide (voir rubriques 4.6 et 5.3). Si le lénalidomide est pris pendant la grossesse, un effet tératogène du lénalidomide est attendu chez l’être humain.</w:t>
      </w:r>
    </w:p>
    <w:p w14:paraId="1168AE76" w14:textId="77777777" w:rsidR="00375EAB" w:rsidRPr="00AB0414" w:rsidRDefault="00375EAB" w:rsidP="00C93C76">
      <w:pPr>
        <w:pStyle w:val="C-BodyText"/>
        <w:spacing w:before="0" w:after="0" w:line="240" w:lineRule="auto"/>
        <w:rPr>
          <w:color w:val="000000"/>
          <w:sz w:val="22"/>
          <w:szCs w:val="22"/>
        </w:rPr>
      </w:pPr>
    </w:p>
    <w:p w14:paraId="77F9A72D"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Neutropénie et thrombopénie</w:t>
      </w:r>
    </w:p>
    <w:p w14:paraId="3F8F6009" w14:textId="77777777" w:rsidR="0070775E" w:rsidRPr="00D2126A" w:rsidRDefault="000E5A86" w:rsidP="00C93C76">
      <w:pPr>
        <w:pStyle w:val="Date"/>
        <w:keepNext/>
        <w:numPr>
          <w:ilvl w:val="1"/>
          <w:numId w:val="39"/>
        </w:numPr>
        <w:ind w:left="567" w:hanging="567"/>
        <w:rPr>
          <w:u w:val="single"/>
        </w:rPr>
      </w:pPr>
      <w:r>
        <w:rPr>
          <w:u w:val="single"/>
        </w:rPr>
        <w:t>Myélome multiple non préalablement traité : patients recevant le lénalidomide en traitement d’entretien après une AGCS</w:t>
      </w:r>
    </w:p>
    <w:p w14:paraId="76794FFB" w14:textId="77777777" w:rsidR="005834B4" w:rsidRPr="00D2126A" w:rsidRDefault="005834B4" w:rsidP="00C93C76">
      <w:pPr>
        <w:pStyle w:val="Date"/>
      </w:pPr>
    </w:p>
    <w:p w14:paraId="7A640851" w14:textId="7C2766C7" w:rsidR="0070775E" w:rsidRPr="00D2126A" w:rsidRDefault="000E5A86" w:rsidP="0094597D">
      <w:r>
        <w:t>Le lénalidomide en traitement d’entretien après une AGCS est associé à une fréquence plus élevée de neutropénie de grade 4 par rapport au placebo en traitement d’entretien (32,1 % contre 26,7 % [16,1 % contre 1,8 % après le début du traitement d’entretien] dans l’étude CALGB 100104 et 16,4 % contre 0,7 % dans l’étude IFM 2005</w:t>
      </w:r>
      <w:r>
        <w:noBreakHyphen/>
        <w:t>02, respectivement). Des effets indésirables de type neutropénie apparus sous traitement entraînant l’arrêt du lénalidomide ont été rapportés chez 2,2 % des patients dans l’étude CALGB 100104 et 2,4 % des patients dans l’étude IFM 2005</w:t>
      </w:r>
      <w:r>
        <w:noBreakHyphen/>
        <w:t>02. Dans les deux études, des neutropénies fébriles de grade 4 ont été rapportées avec des fréquences similaires dans les bras lénalidomide en traitement d’entretien et placebo en traitement d’entretien (0,4 % contre 0,5 % [0,4 % contre 0,5 % après le début du traitement d’entretien] dans l’étude CALGB 100104 et 0,3 % contre 0 % dans l’étude IFM 2005</w:t>
      </w:r>
      <w:r>
        <w:noBreakHyphen/>
        <w:t>02, respectivement).</w:t>
      </w:r>
    </w:p>
    <w:p w14:paraId="6A9FFD77" w14:textId="77777777" w:rsidR="0070775E" w:rsidRPr="00D2126A" w:rsidRDefault="0070775E" w:rsidP="00C93C76">
      <w:pPr>
        <w:pStyle w:val="Date"/>
      </w:pPr>
    </w:p>
    <w:p w14:paraId="16CBA9C1" w14:textId="6EA81D17" w:rsidR="0070775E" w:rsidRPr="00D2126A" w:rsidRDefault="000E5A86" w:rsidP="00C93C76">
      <w:pPr>
        <w:pStyle w:val="Date"/>
      </w:pPr>
      <w:r>
        <w:t>Le lénalidomide en traitement d’entretien après une AGCS est associé à une fréquence plus élevée de thrombopénie de grade 3 ou 4 par rapport au placebo en traitement d’entretien (37,5 % contre 30,3 % [17,9 % contre 4,1 % après le début du traitement d’entretien] dans l’étude CALGB 100104 et 13,0 % contre 2,9 % dans l’étude IFM 2005</w:t>
      </w:r>
      <w:r>
        <w:noBreakHyphen/>
        <w:t>02, respectivement).</w:t>
      </w:r>
    </w:p>
    <w:p w14:paraId="1E3C1DB1" w14:textId="77777777" w:rsidR="0070775E" w:rsidRPr="00AB0414" w:rsidRDefault="0070775E" w:rsidP="00C93C76">
      <w:pPr>
        <w:pStyle w:val="C-BodyText"/>
        <w:spacing w:before="0" w:after="0" w:line="240" w:lineRule="auto"/>
        <w:rPr>
          <w:i/>
          <w:color w:val="000000"/>
          <w:sz w:val="22"/>
          <w:szCs w:val="22"/>
          <w:u w:val="single"/>
        </w:rPr>
      </w:pPr>
    </w:p>
    <w:p w14:paraId="034BDB35" w14:textId="77777777" w:rsidR="0007349A" w:rsidRPr="00D2126A" w:rsidRDefault="000E5A86" w:rsidP="00C93C76">
      <w:pPr>
        <w:pStyle w:val="Date"/>
        <w:keepNext/>
        <w:numPr>
          <w:ilvl w:val="0"/>
          <w:numId w:val="39"/>
        </w:numPr>
        <w:ind w:left="567" w:hanging="567"/>
        <w:rPr>
          <w:color w:val="000000"/>
          <w:u w:val="single"/>
        </w:rPr>
      </w:pPr>
      <w:r>
        <w:rPr>
          <w:color w:val="000000"/>
          <w:u w:val="single"/>
        </w:rPr>
        <w:t>Myélome multiple non préalablement traité : patients non éligibles à une greffe recevant le lénalidomide en association avec le bortézomib et la dexaméthasone</w:t>
      </w:r>
    </w:p>
    <w:p w14:paraId="04DA7DAA" w14:textId="77777777" w:rsidR="005834B4" w:rsidRPr="00D2126A" w:rsidRDefault="005834B4" w:rsidP="00C93C76">
      <w:pPr>
        <w:pStyle w:val="Date"/>
        <w:keepNext/>
      </w:pPr>
    </w:p>
    <w:p w14:paraId="64C08357" w14:textId="5D90D260" w:rsidR="00036363" w:rsidRPr="00D2126A" w:rsidRDefault="000E5A86" w:rsidP="00C93C76">
      <w:pPr>
        <w:pStyle w:val="Date"/>
      </w:pPr>
      <w:r>
        <w:t xml:space="preserve">La fréquence des neutropénies de grade 4 a été plus faible dans le bras lénalidomide en association avec le bortézomib et la dexaméthasone (RVd) que dans le bras comparateur Rd (2,7 % </w:t>
      </w:r>
      <w:r>
        <w:rPr>
          <w:i/>
        </w:rPr>
        <w:t>versus</w:t>
      </w:r>
      <w:r>
        <w:t xml:space="preserve"> 5,9 %) de l’étude SWOG SO777. La fréquence des neutropénies fébriles de grade 4 a été similaire dans le bras RVd et dans le bras RD (0,0 % </w:t>
      </w:r>
      <w:r>
        <w:rPr>
          <w:i/>
        </w:rPr>
        <w:t>versus</w:t>
      </w:r>
      <w:r>
        <w:t xml:space="preserve"> 0,4 %).</w:t>
      </w:r>
    </w:p>
    <w:p w14:paraId="7E413E7A" w14:textId="79C71012" w:rsidR="006E6647" w:rsidRPr="00D2126A" w:rsidRDefault="006E6647" w:rsidP="00C93C76">
      <w:pPr>
        <w:pStyle w:val="Date"/>
      </w:pPr>
    </w:p>
    <w:p w14:paraId="2806BA98" w14:textId="673E114D" w:rsidR="006E6647" w:rsidRPr="00D2126A" w:rsidRDefault="000E5A86" w:rsidP="00C93C76">
      <w:pPr>
        <w:pStyle w:val="Date"/>
      </w:pPr>
      <w:r>
        <w:t xml:space="preserve">La fréquence des thrombopénies de grade 3 ou 4 a été plus élevée dans le bras RVd que dans le bras comparateur Rd (17,2 % </w:t>
      </w:r>
      <w:r>
        <w:rPr>
          <w:i/>
        </w:rPr>
        <w:t>versus</w:t>
      </w:r>
      <w:r>
        <w:t xml:space="preserve"> 9,4 %).</w:t>
      </w:r>
    </w:p>
    <w:p w14:paraId="25311ED4" w14:textId="77777777" w:rsidR="006E6647" w:rsidRPr="00D2126A" w:rsidRDefault="006E6647" w:rsidP="00C93C76">
      <w:pPr>
        <w:pStyle w:val="Date"/>
      </w:pPr>
    </w:p>
    <w:p w14:paraId="68787B09" w14:textId="77777777" w:rsidR="006E6647" w:rsidRPr="00D2126A" w:rsidRDefault="000E5A86" w:rsidP="0094597D">
      <w:pPr>
        <w:pStyle w:val="Style5"/>
      </w:pPr>
      <w:r>
        <w:t>Myélome multiple non préalablement traité : patients non éligibles à une greffe traités par le lénalidomide en association avec la dexaméthasone</w:t>
      </w:r>
    </w:p>
    <w:p w14:paraId="041B261A" w14:textId="77777777" w:rsidR="005834B4" w:rsidRPr="00D2126A" w:rsidRDefault="005834B4" w:rsidP="00C93C76">
      <w:pPr>
        <w:keepNext/>
      </w:pPr>
    </w:p>
    <w:p w14:paraId="7115082B" w14:textId="28632F4A" w:rsidR="00A62516" w:rsidRPr="00D2126A" w:rsidRDefault="000E5A86" w:rsidP="00C93C76">
      <w:r>
        <w:t>L’association du lénalidomide avec la dexaméthasone chez les patients atteints de myélome multiple non préalablement traité est associée à une fréquence plus faible de neutropénie de grade 4 (8,5 % pour Rd et Rd18) que MPT (15 %). Une neutropénie fébrile de grade 4 a été observée peu fréquemment (0,6 % pour Rd et Rd18 contre 0,7 % pour MPT).</w:t>
      </w:r>
    </w:p>
    <w:p w14:paraId="4EE75C25" w14:textId="77777777" w:rsidR="00A62516" w:rsidRPr="00D2126A" w:rsidRDefault="00A62516" w:rsidP="00C93C76">
      <w:pPr>
        <w:pStyle w:val="Date"/>
      </w:pPr>
    </w:p>
    <w:p w14:paraId="1CC6E178" w14:textId="7E5EA0C9" w:rsidR="00A62516" w:rsidRPr="00D2126A" w:rsidRDefault="000E5A86" w:rsidP="00C93C76">
      <w:pPr>
        <w:pStyle w:val="Date"/>
        <w:rPr>
          <w:u w:val="single"/>
        </w:rPr>
      </w:pPr>
      <w:r>
        <w:t>L’association du lénalidomide avec la dexaméthasone chez les patients atteints de myélome multiple non préalablement traité est associée à une fréquence plus faible de thrombopénie de grade 3 et 4 (8,1 % pour Rd et Rd18) que MPT (11,1 %).</w:t>
      </w:r>
    </w:p>
    <w:p w14:paraId="14C46CE6" w14:textId="77777777" w:rsidR="00A62516" w:rsidRPr="00D2126A" w:rsidRDefault="00A62516" w:rsidP="00C93C76">
      <w:pPr>
        <w:pStyle w:val="Date"/>
      </w:pPr>
    </w:p>
    <w:p w14:paraId="4E925ECA" w14:textId="77777777" w:rsidR="00A62516" w:rsidRPr="00D2126A" w:rsidRDefault="000E5A86" w:rsidP="00C93C76">
      <w:pPr>
        <w:pStyle w:val="Date"/>
        <w:keepNext/>
        <w:numPr>
          <w:ilvl w:val="1"/>
          <w:numId w:val="39"/>
        </w:numPr>
        <w:ind w:left="567" w:hanging="567"/>
        <w:rPr>
          <w:u w:val="single"/>
        </w:rPr>
      </w:pPr>
      <w:r>
        <w:rPr>
          <w:u w:val="single"/>
        </w:rPr>
        <w:t>Myélome multiple non préalablement traité : patients non éligibles à une greffe traités par le lénalidomide en association avec le melphalan et la prednisone</w:t>
      </w:r>
    </w:p>
    <w:p w14:paraId="243F338A" w14:textId="77777777" w:rsidR="005834B4" w:rsidRPr="00D2126A" w:rsidRDefault="005834B4" w:rsidP="00C93C76">
      <w:pPr>
        <w:keepNext/>
        <w:rPr>
          <w:color w:val="000000"/>
          <w:szCs w:val="24"/>
        </w:rPr>
      </w:pPr>
    </w:p>
    <w:p w14:paraId="4579A90D" w14:textId="34C27CEC" w:rsidR="00036363" w:rsidRPr="00D2126A" w:rsidRDefault="000E5A86" w:rsidP="00C93C76">
      <w:pPr>
        <w:rPr>
          <w:color w:val="000000"/>
          <w:szCs w:val="24"/>
        </w:rPr>
      </w:pPr>
      <w:r>
        <w:rPr>
          <w:color w:val="000000"/>
        </w:rPr>
        <w:t>L’association du lénalidomide avec le melphalan et la prednisone chez les patients atteints de myélome multiple non préalablement traité est associée à une fréquence plus élevée de neutropénie de grade 4 (34,1 % pour MPR+R et MPR+p) que MPp+p (7,8 %). Une fréquence plus élevée de neutropénie fébrile de grade 4 a été observée (1,7 % dans les bras MPR+R et MPR+p contre 0,0 % dans le bras MPp+p)</w:t>
      </w:r>
    </w:p>
    <w:p w14:paraId="418EDA2F" w14:textId="487B83BC" w:rsidR="00A62516" w:rsidRPr="00D2126A" w:rsidRDefault="00A62516" w:rsidP="00C93C76"/>
    <w:p w14:paraId="152C88F9" w14:textId="77777777" w:rsidR="00036363" w:rsidRPr="00D2126A" w:rsidRDefault="000E5A86" w:rsidP="00C93C76">
      <w:pPr>
        <w:rPr>
          <w:color w:val="000000"/>
          <w:szCs w:val="24"/>
        </w:rPr>
      </w:pPr>
      <w:r>
        <w:rPr>
          <w:color w:val="000000"/>
        </w:rPr>
        <w:t>L’association du lénalidomide avec le melphalan et la prednisone chez les patients atteints de myélome multiple non préalablement traité est associée à une fréquence plus élevée de thrombopénie de grade 3 et 4 (40,4 % pour MPR+R/MPR+p) que MPp+p (13,7 %)</w:t>
      </w:r>
    </w:p>
    <w:p w14:paraId="793219A3" w14:textId="675724D2" w:rsidR="00A62516" w:rsidRPr="00AB0414" w:rsidRDefault="00A62516" w:rsidP="00C93C76">
      <w:pPr>
        <w:pStyle w:val="C-BodyText"/>
        <w:spacing w:before="0" w:after="0" w:line="240" w:lineRule="auto"/>
        <w:rPr>
          <w:i/>
          <w:color w:val="000000"/>
          <w:sz w:val="22"/>
          <w:szCs w:val="22"/>
          <w:u w:val="single"/>
        </w:rPr>
      </w:pPr>
    </w:p>
    <w:p w14:paraId="120E77B5" w14:textId="77777777" w:rsidR="00201D3E"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Myélome multiple : patients ayant reçu au moins un traitement antérieur</w:t>
      </w:r>
    </w:p>
    <w:p w14:paraId="1B349DB1" w14:textId="77777777" w:rsidR="005834B4" w:rsidRPr="00AB0414" w:rsidRDefault="005834B4" w:rsidP="00C93C76">
      <w:pPr>
        <w:pStyle w:val="C-BodyText"/>
        <w:keepNext/>
        <w:spacing w:before="0" w:after="0" w:line="240" w:lineRule="auto"/>
        <w:rPr>
          <w:color w:val="000000"/>
          <w:sz w:val="22"/>
          <w:szCs w:val="22"/>
        </w:rPr>
      </w:pPr>
    </w:p>
    <w:p w14:paraId="50130709" w14:textId="27A90BC0" w:rsidR="00375EAB" w:rsidRPr="00D2126A" w:rsidRDefault="000E5A86" w:rsidP="00C93C76">
      <w:pPr>
        <w:pStyle w:val="C-BodyText"/>
        <w:spacing w:before="0" w:after="0" w:line="240" w:lineRule="auto"/>
        <w:rPr>
          <w:color w:val="000000"/>
          <w:sz w:val="22"/>
          <w:szCs w:val="22"/>
        </w:rPr>
      </w:pPr>
      <w:r>
        <w:rPr>
          <w:color w:val="000000"/>
          <w:sz w:val="22"/>
        </w:rPr>
        <w:t>L’association du lénalidomide et de la dexaméthasone chez les patients atteints de myélome multiple est associée à une fréquence accrue de neutropénies de grade 4 (5,1 % des patients traités par lénalidomide/dexaméthasone contre 0,6 % des patients traités par placebo/dexaméthasone). Des épisodes neutropéniques fébriles de grade 4 ont plus rarement été observés (0,6 % des patients traités par lénalidomide/dexaméthasone contre 0,0 % des patients traités par placebo/dexaméthasone).</w:t>
      </w:r>
    </w:p>
    <w:p w14:paraId="0501CB86" w14:textId="77777777" w:rsidR="00375EAB" w:rsidRPr="00AB0414" w:rsidRDefault="00375EAB" w:rsidP="00C93C76">
      <w:pPr>
        <w:pStyle w:val="C-BodyText"/>
        <w:spacing w:before="0" w:after="0" w:line="240" w:lineRule="auto"/>
        <w:rPr>
          <w:color w:val="000000"/>
          <w:sz w:val="22"/>
          <w:szCs w:val="22"/>
        </w:rPr>
      </w:pPr>
    </w:p>
    <w:p w14:paraId="30E992B2" w14:textId="77777777" w:rsidR="0027018E" w:rsidRPr="00D2126A" w:rsidRDefault="000E5A86" w:rsidP="00C93C76">
      <w:pPr>
        <w:pStyle w:val="C-BodyText"/>
        <w:spacing w:before="0" w:after="0" w:line="240" w:lineRule="auto"/>
        <w:rPr>
          <w:color w:val="000000"/>
          <w:sz w:val="22"/>
          <w:szCs w:val="22"/>
        </w:rPr>
      </w:pPr>
      <w:r>
        <w:rPr>
          <w:color w:val="000000"/>
          <w:sz w:val="22"/>
        </w:rPr>
        <w:t>L’association du lénalidomide et de la dexaméthasone chez les patients atteints de myélome multiple est associée à une incidence accrue des thrombopénies de grade 3 et de grade 4 (respectivement 9,9 % et 1,4 % chez les patients traités par lénalidomide/dexaméthasone contre 2,3 % et 0,0 % chez les patients traités par placebo/dexaméthasone).</w:t>
      </w:r>
    </w:p>
    <w:p w14:paraId="0BAD874A" w14:textId="77777777" w:rsidR="00375EAB" w:rsidRPr="00AB0414" w:rsidRDefault="00375EAB" w:rsidP="00C93C76">
      <w:pPr>
        <w:pStyle w:val="C-BodyText"/>
        <w:spacing w:before="0" w:after="0" w:line="240" w:lineRule="auto"/>
        <w:rPr>
          <w:color w:val="000000"/>
          <w:sz w:val="22"/>
          <w:szCs w:val="22"/>
        </w:rPr>
      </w:pPr>
    </w:p>
    <w:p w14:paraId="1B2BE672" w14:textId="77777777" w:rsidR="00201D3E"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Patients atteints de syndromes myélodysplasiques</w:t>
      </w:r>
    </w:p>
    <w:p w14:paraId="259695BF" w14:textId="77777777" w:rsidR="005834B4" w:rsidRPr="00D2126A" w:rsidRDefault="005834B4" w:rsidP="00C93C76">
      <w:pPr>
        <w:pStyle w:val="Date"/>
        <w:keepNext/>
        <w:rPr>
          <w:color w:val="000000"/>
        </w:rPr>
      </w:pPr>
    </w:p>
    <w:p w14:paraId="7E345E9B" w14:textId="6DD7E7EE" w:rsidR="00201D3E" w:rsidRPr="00D2126A" w:rsidRDefault="000E5A86" w:rsidP="00C93C76">
      <w:pPr>
        <w:pStyle w:val="Date"/>
        <w:rPr>
          <w:color w:val="000000"/>
        </w:rPr>
      </w:pPr>
      <w:r>
        <w:rPr>
          <w:color w:val="000000"/>
        </w:rPr>
        <w:t xml:space="preserve">Chez les patients atteints d’un syndrome myélodysplasique, le lénalidomide est associé à une fréquence accrue de neutropénie de grade 3 ou 4 (74,6 % des patients traités par le lénalidomide </w:t>
      </w:r>
      <w:r>
        <w:rPr>
          <w:i/>
          <w:color w:val="000000"/>
        </w:rPr>
        <w:t>versus</w:t>
      </w:r>
      <w:r>
        <w:rPr>
          <w:color w:val="000000"/>
        </w:rPr>
        <w:t xml:space="preserve"> 14,9 % des patients recevant le placebo dans l’étude de phase 3). Des épisodes de neutropénie fébrile de grade 3 ou 4 ont été observés chez 2,2 % des patients traités par le lénalidomide </w:t>
      </w:r>
      <w:r>
        <w:rPr>
          <w:i/>
          <w:color w:val="000000"/>
        </w:rPr>
        <w:t>versus</w:t>
      </w:r>
      <w:r>
        <w:rPr>
          <w:color w:val="000000"/>
        </w:rPr>
        <w:t xml:space="preserve"> 0,0 % des patients sous placebo. Le lénalidomide est associé à une fréquence accrue de thrombopénie de grade 3 ou 4 (37 % chez les patients traités par le lénalidomide </w:t>
      </w:r>
      <w:r>
        <w:rPr>
          <w:i/>
          <w:color w:val="000000"/>
        </w:rPr>
        <w:t>versus</w:t>
      </w:r>
      <w:r>
        <w:rPr>
          <w:color w:val="000000"/>
        </w:rPr>
        <w:t xml:space="preserve"> 1,5 % des patients recevant le placebo dans l’étude de phase 3).</w:t>
      </w:r>
    </w:p>
    <w:p w14:paraId="3A1E4D2E" w14:textId="77777777" w:rsidR="00201D3E" w:rsidRPr="00AB0414" w:rsidRDefault="00201D3E" w:rsidP="00C93C76">
      <w:pPr>
        <w:pStyle w:val="C-BodyText"/>
        <w:spacing w:before="0" w:after="0" w:line="240" w:lineRule="auto"/>
        <w:rPr>
          <w:color w:val="000000"/>
          <w:sz w:val="22"/>
          <w:szCs w:val="22"/>
        </w:rPr>
      </w:pPr>
    </w:p>
    <w:p w14:paraId="3783B4B4" w14:textId="77777777" w:rsidR="00A86FBC"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Patients atteints de lymphome à cellules du manteau</w:t>
      </w:r>
    </w:p>
    <w:p w14:paraId="78EE708B" w14:textId="77777777" w:rsidR="005834B4" w:rsidRPr="00D2126A" w:rsidRDefault="005834B4" w:rsidP="00C93C76">
      <w:pPr>
        <w:pStyle w:val="Date"/>
        <w:keepNext/>
        <w:rPr>
          <w:color w:val="000000"/>
        </w:rPr>
      </w:pPr>
    </w:p>
    <w:p w14:paraId="629C70F1" w14:textId="6EEFC46D" w:rsidR="00036363" w:rsidRPr="00D2126A" w:rsidRDefault="000E5A86" w:rsidP="00C93C76">
      <w:pPr>
        <w:pStyle w:val="Date"/>
        <w:rPr>
          <w:color w:val="000000"/>
        </w:rPr>
      </w:pPr>
      <w:r>
        <w:rPr>
          <w:color w:val="000000"/>
        </w:rPr>
        <w:t xml:space="preserve">Chez les patients atteints d’un lymphome à cellules du manteau, le lénalidomide est associé à une fréquence accrue de neutropénie de grade 3 ou 4 (43,7 % des patients traités par le lénalidomide </w:t>
      </w:r>
      <w:r>
        <w:rPr>
          <w:i/>
          <w:color w:val="000000"/>
        </w:rPr>
        <w:t>versus</w:t>
      </w:r>
      <w:r>
        <w:rPr>
          <w:color w:val="000000"/>
        </w:rPr>
        <w:t xml:space="preserve"> 33,7 % des patients du bras contrôle dans l’étude de phase 2). Des épisodes de neutropénie fébrile de grade 3 ou 4 ont été observés chez 6,0 % des patients traités par le lénalidomide </w:t>
      </w:r>
      <w:r>
        <w:rPr>
          <w:i/>
          <w:color w:val="000000"/>
        </w:rPr>
        <w:t>versus</w:t>
      </w:r>
      <w:r>
        <w:rPr>
          <w:color w:val="000000"/>
        </w:rPr>
        <w:t xml:space="preserve"> 2,4 % des patients du bras contrôle.</w:t>
      </w:r>
    </w:p>
    <w:p w14:paraId="7F820BBB" w14:textId="688F7585" w:rsidR="00A86FBC" w:rsidRPr="00AB0414" w:rsidRDefault="00A86FBC" w:rsidP="00C93C76">
      <w:pPr>
        <w:pStyle w:val="C-BodyText"/>
        <w:spacing w:before="0" w:after="0" w:line="240" w:lineRule="auto"/>
        <w:rPr>
          <w:color w:val="000000"/>
          <w:sz w:val="22"/>
          <w:szCs w:val="22"/>
        </w:rPr>
      </w:pPr>
    </w:p>
    <w:p w14:paraId="3B0911A6" w14:textId="77777777" w:rsidR="000479A6" w:rsidRPr="00D2126A" w:rsidRDefault="000E5A86" w:rsidP="00C93C76">
      <w:pPr>
        <w:pStyle w:val="C-BodyText"/>
        <w:keepNext/>
        <w:numPr>
          <w:ilvl w:val="0"/>
          <w:numId w:val="35"/>
        </w:numPr>
        <w:spacing w:before="0" w:after="0" w:line="240" w:lineRule="auto"/>
        <w:ind w:left="567" w:hanging="567"/>
        <w:rPr>
          <w:sz w:val="22"/>
          <w:szCs w:val="22"/>
          <w:u w:val="single"/>
        </w:rPr>
      </w:pPr>
      <w:r>
        <w:rPr>
          <w:sz w:val="22"/>
          <w:u w:val="single"/>
        </w:rPr>
        <w:t>Patients atteints de lymphome folliculaire</w:t>
      </w:r>
    </w:p>
    <w:p w14:paraId="084B334B" w14:textId="77777777" w:rsidR="005834B4" w:rsidRPr="00D2126A" w:rsidRDefault="005834B4" w:rsidP="00C93C76">
      <w:pPr>
        <w:keepNext/>
      </w:pPr>
    </w:p>
    <w:p w14:paraId="3D722939" w14:textId="1BB99B95" w:rsidR="00036363" w:rsidRPr="00D2126A" w:rsidRDefault="000E5A86" w:rsidP="0094597D">
      <w:r>
        <w:t xml:space="preserve">L’association du lénalidomide avec le rituximab chez les patients atteints d’un lymphome folliculaire, est associée à une fréquence plus élevée de neutropénies de grade 3 ou 4 (50,7 % chez les patients traités par le lénalidomide/rituximab </w:t>
      </w:r>
      <w:r>
        <w:rPr>
          <w:i/>
        </w:rPr>
        <w:t>versus</w:t>
      </w:r>
      <w:r>
        <w:t xml:space="preserve"> 12,2 % chez les patients recevant le placebo/rituximab). Toutes les neutropénies de grade 3 ou 4 ont été réversibles après une interruption du traitement, une réduction de la dose et/ou l’administration de facteurs de croissance en traitement de support. En outre, une neutropénie fébrile a été observée peu fréquemment (2,7 % chez les patients traités par le lénalidomide/rituximab </w:t>
      </w:r>
      <w:r>
        <w:rPr>
          <w:i/>
        </w:rPr>
        <w:t>versus</w:t>
      </w:r>
      <w:r>
        <w:t xml:space="preserve"> 0,7 % chez les patients recevant le placebo/rituximab).</w:t>
      </w:r>
    </w:p>
    <w:p w14:paraId="4CC63FD6" w14:textId="26A5B088" w:rsidR="000479A6" w:rsidRPr="00D2126A" w:rsidRDefault="000479A6" w:rsidP="00C93C76"/>
    <w:p w14:paraId="3BF9D94B" w14:textId="77777777" w:rsidR="00036363" w:rsidRPr="00D2126A" w:rsidRDefault="000E5A86" w:rsidP="00C93C76">
      <w:pPr>
        <w:pStyle w:val="C-BodyText"/>
        <w:spacing w:before="0" w:after="0" w:line="240" w:lineRule="auto"/>
        <w:rPr>
          <w:sz w:val="22"/>
          <w:szCs w:val="22"/>
        </w:rPr>
      </w:pPr>
      <w:r>
        <w:rPr>
          <w:sz w:val="22"/>
        </w:rPr>
        <w:t xml:space="preserve">L’association du lénalidomide avec le rituximab est également associée à une fréquence plus élevée des thrombopénies de grade 3 ou 4 (1,4 % chez les patients traités par le lénalidomide/rituximab </w:t>
      </w:r>
      <w:r>
        <w:rPr>
          <w:i/>
          <w:sz w:val="22"/>
        </w:rPr>
        <w:t>versus</w:t>
      </w:r>
      <w:r>
        <w:rPr>
          <w:sz w:val="22"/>
        </w:rPr>
        <w:t xml:space="preserve"> 0 % chez les patients recevant le placebo/rituximab).</w:t>
      </w:r>
    </w:p>
    <w:p w14:paraId="4B27B44D" w14:textId="5FA4450C" w:rsidR="003927E7" w:rsidRPr="00AB0414" w:rsidRDefault="003927E7" w:rsidP="00C93C76">
      <w:pPr>
        <w:pStyle w:val="C-BodyText"/>
        <w:spacing w:before="0" w:after="0" w:line="240" w:lineRule="auto"/>
        <w:rPr>
          <w:color w:val="000000"/>
          <w:sz w:val="22"/>
          <w:szCs w:val="22"/>
        </w:rPr>
      </w:pPr>
    </w:p>
    <w:p w14:paraId="4D3CBE85"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Thrombo</w:t>
      </w:r>
      <w:r>
        <w:rPr>
          <w:i/>
          <w:color w:val="000000"/>
          <w:sz w:val="22"/>
          <w:u w:val="single"/>
        </w:rPr>
        <w:noBreakHyphen/>
        <w:t>embolie veineuse</w:t>
      </w:r>
    </w:p>
    <w:p w14:paraId="76593F2A" w14:textId="77777777" w:rsidR="00036363" w:rsidRPr="00D2126A" w:rsidRDefault="000E5A86" w:rsidP="00C93C76">
      <w:pPr>
        <w:pStyle w:val="C-BodyText"/>
        <w:spacing w:before="0" w:after="0" w:line="240" w:lineRule="auto"/>
        <w:rPr>
          <w:color w:val="000000"/>
          <w:sz w:val="22"/>
          <w:szCs w:val="22"/>
        </w:rPr>
      </w:pPr>
      <w:r>
        <w:rPr>
          <w:color w:val="000000"/>
          <w:sz w:val="22"/>
        </w:rPr>
        <w:t>Le risque de thrombose veineuse profonde (TVP) et d’embolie pulmonaire (EP) est majoré chez les patients atteints d’un myélome multiple traités par le lénalidomide en association avec la dexaméthasone, et, dans une moindre mesure, chez les patients traités par le lénalidomide en association avec le melphalan et la prednisone ou chez les patients présentant un myélome multiple, des syndromes myélodysplasiques ou un lymphome à cellules du manteau traités par le lénalidomide en monothérapie (voir rubrique 4.5).</w:t>
      </w:r>
    </w:p>
    <w:p w14:paraId="13A5D778" w14:textId="77777777" w:rsidR="005834B4" w:rsidRPr="00AB0414" w:rsidRDefault="005834B4" w:rsidP="00C93C76">
      <w:pPr>
        <w:pStyle w:val="C-BodyText"/>
        <w:spacing w:before="0" w:after="0" w:line="240" w:lineRule="auto"/>
        <w:rPr>
          <w:color w:val="000000"/>
          <w:sz w:val="22"/>
          <w:szCs w:val="22"/>
        </w:rPr>
      </w:pPr>
    </w:p>
    <w:p w14:paraId="1426B4BF" w14:textId="7B11D65A" w:rsidR="00375EAB" w:rsidRPr="00D2126A" w:rsidRDefault="000E5A86" w:rsidP="00C93C76">
      <w:pPr>
        <w:pStyle w:val="C-BodyText"/>
        <w:spacing w:before="0" w:after="0" w:line="240" w:lineRule="auto"/>
        <w:rPr>
          <w:color w:val="000000"/>
          <w:sz w:val="22"/>
          <w:szCs w:val="22"/>
        </w:rPr>
      </w:pPr>
      <w:r>
        <w:rPr>
          <w:color w:val="000000"/>
          <w:sz w:val="22"/>
        </w:rPr>
        <w:t>L’administration concomitante d’érythropoïétine ou des antécédents de TVP peuvent également augmenter les risques de thrombose veineuse chez ces patients.</w:t>
      </w:r>
    </w:p>
    <w:p w14:paraId="2BF0C985" w14:textId="77777777" w:rsidR="00375EAB" w:rsidRPr="00AB0414" w:rsidRDefault="00375EAB" w:rsidP="00C93C76">
      <w:pPr>
        <w:pStyle w:val="C-BodyText"/>
        <w:spacing w:before="0" w:after="0" w:line="240" w:lineRule="auto"/>
        <w:rPr>
          <w:color w:val="000000"/>
          <w:sz w:val="22"/>
          <w:szCs w:val="22"/>
          <w:u w:val="single"/>
        </w:rPr>
      </w:pPr>
    </w:p>
    <w:p w14:paraId="4F6FCDC1"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Infarctus du myocarde</w:t>
      </w:r>
    </w:p>
    <w:p w14:paraId="0F35482C" w14:textId="77777777" w:rsidR="00375EAB" w:rsidRPr="00D2126A" w:rsidRDefault="000E5A86" w:rsidP="0094597D">
      <w:r>
        <w:t>Des cas d’infarctus du myocarde ont été rapportés chez les patients recevant du lénalidomide, particulièrement chez ceux qui présentent des facteurs de risque connus.</w:t>
      </w:r>
    </w:p>
    <w:p w14:paraId="0A1E7869" w14:textId="77777777" w:rsidR="00375EAB" w:rsidRPr="00D2126A" w:rsidRDefault="00375EAB" w:rsidP="00C93C76">
      <w:pPr>
        <w:pStyle w:val="Date"/>
        <w:rPr>
          <w:color w:val="000000"/>
        </w:rPr>
      </w:pPr>
    </w:p>
    <w:p w14:paraId="4DFDFF01" w14:textId="77777777" w:rsidR="00375EAB" w:rsidRPr="00D2126A" w:rsidRDefault="000E5A86" w:rsidP="00C93C76">
      <w:pPr>
        <w:pStyle w:val="Date"/>
        <w:keepNext/>
        <w:rPr>
          <w:i/>
          <w:color w:val="000000"/>
          <w:u w:val="single"/>
        </w:rPr>
      </w:pPr>
      <w:r>
        <w:rPr>
          <w:i/>
          <w:color w:val="000000"/>
          <w:u w:val="single"/>
        </w:rPr>
        <w:t>Troubles hémorragiques</w:t>
      </w:r>
    </w:p>
    <w:p w14:paraId="242C9F4F" w14:textId="77777777" w:rsidR="00375EAB" w:rsidRPr="00D2126A" w:rsidRDefault="000E5A86" w:rsidP="00C93C76">
      <w:pPr>
        <w:rPr>
          <w:color w:val="000000"/>
        </w:rPr>
      </w:pPr>
      <w:r>
        <w:rPr>
          <w:color w:val="000000"/>
        </w:rPr>
        <w:t>Les troubles hémorragiques sont listés dans plusieurs catégories de classes d’organe : affections du sang et du système lymphatique ; affections du système nerveux (hémorragie intracrânienne) affections respiratoires, thoraciques et médiastinales (épistaxis) ; affections gastro</w:t>
      </w:r>
      <w:r>
        <w:rPr>
          <w:color w:val="000000"/>
        </w:rPr>
        <w:noBreakHyphen/>
        <w:t>intestinales (saignement gingival, hémorragie hémorroïdaire, rectorragie) ; affections du rein et des voies urinaires (hématurie) ; lésions, intoxications et complications liées aux procédures (contusion) ; et affections vasculaires (ecchymoses).</w:t>
      </w:r>
    </w:p>
    <w:p w14:paraId="5EE85A49" w14:textId="77777777" w:rsidR="00375EAB" w:rsidRPr="00D2126A" w:rsidRDefault="00375EAB" w:rsidP="00C93C76">
      <w:pPr>
        <w:rPr>
          <w:iCs/>
          <w:color w:val="000000"/>
        </w:rPr>
      </w:pPr>
    </w:p>
    <w:p w14:paraId="12DC9264" w14:textId="77777777" w:rsidR="008C5740" w:rsidRPr="00D2126A" w:rsidRDefault="000E5A86" w:rsidP="00C93C76">
      <w:pPr>
        <w:pStyle w:val="C-BodyText"/>
        <w:keepNext/>
        <w:spacing w:before="0" w:after="0" w:line="240" w:lineRule="auto"/>
        <w:rPr>
          <w:i/>
          <w:color w:val="000000"/>
          <w:sz w:val="22"/>
          <w:szCs w:val="22"/>
          <w:u w:val="single"/>
        </w:rPr>
      </w:pPr>
      <w:r>
        <w:rPr>
          <w:i/>
          <w:color w:val="000000"/>
          <w:sz w:val="22"/>
          <w:u w:val="single"/>
        </w:rPr>
        <w:t>Réactions allergiques et réactions cutanées sévères</w:t>
      </w:r>
    </w:p>
    <w:p w14:paraId="2643B8F7" w14:textId="0E6EEF42" w:rsidR="00375EAB" w:rsidRPr="00D2126A" w:rsidRDefault="000E5A86" w:rsidP="000C6A57">
      <w:r>
        <w:t>Des cas de réactions allergiques, y compris d’angio</w:t>
      </w:r>
      <w:r>
        <w:noBreakHyphen/>
        <w:t>œdème et de réaction anaphylactique, et de réactions cutanées sévères comme lesyndrome de Stevens</w:t>
      </w:r>
      <w:r>
        <w:noBreakHyphen/>
        <w:t>Johnson (SJS), la nécrolyse épidermique toxique (NET) et la réaction médicamenteuse accompagnée d’une éosinophilie et de symptômes systémiques (syndrome DRESS), ont été rapportés lors du traitement par le lénalidomide. Une réaction croisée possible entre le lénalidomide et le thalidomide a été rapportée dans la littérature. Les patients ayant des antécédents d’éruption sévère associée au traitement par le thalidomide ne doivent pas recevoir le lénalidomide (voir rubrique 4.4).</w:t>
      </w:r>
    </w:p>
    <w:p w14:paraId="0F1BA503" w14:textId="77777777" w:rsidR="00375EAB" w:rsidRPr="00AB0414" w:rsidRDefault="00375EAB" w:rsidP="00C93C76">
      <w:pPr>
        <w:pStyle w:val="C-BodyText"/>
        <w:spacing w:before="0" w:after="0" w:line="240" w:lineRule="auto"/>
        <w:rPr>
          <w:color w:val="000000"/>
          <w:sz w:val="22"/>
          <w:szCs w:val="22"/>
        </w:rPr>
      </w:pPr>
    </w:p>
    <w:p w14:paraId="3296304B"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Cancers secondaires au traitement</w:t>
      </w:r>
    </w:p>
    <w:p w14:paraId="46C77CAC" w14:textId="77777777" w:rsidR="00375EAB" w:rsidRPr="00D2126A" w:rsidRDefault="000E5A86" w:rsidP="00C93C76">
      <w:pPr>
        <w:rPr>
          <w:color w:val="000000"/>
        </w:rPr>
      </w:pPr>
      <w:r>
        <w:rPr>
          <w:color w:val="000000"/>
        </w:rPr>
        <w:t>Dans les essais cliniques menés chez des patients atteints d’un myélome, traités antérieurement par l’association lénalidomide/dexaméthasone, comparés aux témoins, les cas consistant principalement en épithélioma basocellulaire ou spinocellulaire.</w:t>
      </w:r>
    </w:p>
    <w:p w14:paraId="6E069AA3" w14:textId="77777777" w:rsidR="0042469A" w:rsidRPr="00D2126A" w:rsidRDefault="0042469A" w:rsidP="00C93C76">
      <w:pPr>
        <w:pStyle w:val="Date"/>
        <w:rPr>
          <w:color w:val="000000"/>
        </w:rPr>
      </w:pPr>
    </w:p>
    <w:p w14:paraId="1FA72D4E" w14:textId="77777777" w:rsidR="00036363" w:rsidRPr="00D2126A" w:rsidRDefault="000E5A86" w:rsidP="00C93C76">
      <w:pPr>
        <w:pStyle w:val="C-BodyText"/>
        <w:keepNext/>
        <w:spacing w:before="0" w:after="0" w:line="240" w:lineRule="auto"/>
        <w:rPr>
          <w:i/>
          <w:color w:val="000000"/>
          <w:sz w:val="22"/>
          <w:szCs w:val="22"/>
          <w:u w:val="single"/>
        </w:rPr>
      </w:pPr>
      <w:r>
        <w:rPr>
          <w:i/>
          <w:color w:val="000000"/>
          <w:sz w:val="22"/>
          <w:u w:val="single"/>
        </w:rPr>
        <w:t>Leucémie aiguë myéloblastique</w:t>
      </w:r>
    </w:p>
    <w:p w14:paraId="2E4E82FF" w14:textId="58D933DB" w:rsidR="002A6E9D" w:rsidRPr="00D2126A" w:rsidRDefault="000E5A86" w:rsidP="00C93C76">
      <w:pPr>
        <w:keepNext/>
        <w:numPr>
          <w:ilvl w:val="0"/>
          <w:numId w:val="35"/>
        </w:numPr>
        <w:ind w:left="567" w:hanging="567"/>
        <w:rPr>
          <w:color w:val="000000"/>
          <w:u w:val="single"/>
        </w:rPr>
      </w:pPr>
      <w:r>
        <w:rPr>
          <w:color w:val="000000"/>
          <w:u w:val="single"/>
        </w:rPr>
        <w:t>Myélome multiple</w:t>
      </w:r>
    </w:p>
    <w:p w14:paraId="4C8F7EA3" w14:textId="77777777" w:rsidR="005834B4" w:rsidRPr="00D2126A" w:rsidRDefault="005834B4" w:rsidP="00C93C76">
      <w:pPr>
        <w:keepNext/>
        <w:rPr>
          <w:color w:val="000000"/>
        </w:rPr>
      </w:pPr>
    </w:p>
    <w:p w14:paraId="1504411D" w14:textId="5C8B504E" w:rsidR="002A6E9D" w:rsidRPr="00D2126A" w:rsidRDefault="000E5A86" w:rsidP="00C93C76">
      <w:pPr>
        <w:rPr>
          <w:color w:val="000000"/>
        </w:rPr>
      </w:pPr>
      <w:r>
        <w:rPr>
          <w:color w:val="000000"/>
        </w:rPr>
        <w:t>Des cas de LAM ont été observés dans les études cliniques menées dans le myélome multiple non préalablement traité chez les patients traités par le lénalidomide en association avec le melphalan ou immédiatement après le MFD/AGCS (voir rubrique 4.4). Cette augmentation n’a pas été observée dans les études cliniques menées dans le myélome multiple non préalablement traité chez les patients recevant le lénalidomide en association avec la dexaméthasone par rapport aux patients recevant le thalidomide en association avec le melphalan et la prednisone.</w:t>
      </w:r>
    </w:p>
    <w:p w14:paraId="5F42AC28" w14:textId="77777777" w:rsidR="002A6E9D" w:rsidRPr="00D2126A" w:rsidRDefault="002A6E9D" w:rsidP="00C93C76">
      <w:pPr>
        <w:pStyle w:val="Date"/>
        <w:rPr>
          <w:color w:val="000000"/>
        </w:rPr>
      </w:pPr>
    </w:p>
    <w:p w14:paraId="1BD36455" w14:textId="77777777" w:rsidR="002A6E9D" w:rsidRPr="00D2126A" w:rsidRDefault="000E5A86" w:rsidP="00C93C76">
      <w:pPr>
        <w:keepNext/>
        <w:numPr>
          <w:ilvl w:val="0"/>
          <w:numId w:val="35"/>
        </w:numPr>
        <w:ind w:left="567" w:hanging="567"/>
        <w:rPr>
          <w:color w:val="000000"/>
          <w:u w:val="single"/>
        </w:rPr>
      </w:pPr>
      <w:r>
        <w:rPr>
          <w:color w:val="000000"/>
          <w:u w:val="single"/>
        </w:rPr>
        <w:t>Syndromes myélodysplasiques</w:t>
      </w:r>
    </w:p>
    <w:p w14:paraId="0F801C00" w14:textId="77777777" w:rsidR="005834B4" w:rsidRPr="00D2126A" w:rsidRDefault="005834B4" w:rsidP="00C93C76">
      <w:pPr>
        <w:keepNext/>
        <w:rPr>
          <w:color w:val="000000"/>
        </w:rPr>
      </w:pPr>
    </w:p>
    <w:p w14:paraId="17BCD6A4" w14:textId="27347D44" w:rsidR="002A6E9D" w:rsidRPr="00D2126A" w:rsidRDefault="000E5A86" w:rsidP="00C93C76">
      <w:pPr>
        <w:rPr>
          <w:color w:val="000000"/>
        </w:rPr>
      </w:pPr>
      <w:r>
        <w:rPr>
          <w:color w:val="000000"/>
        </w:rPr>
        <w:t xml:space="preserve">La présence au bilan initial d’anomalies cytogénétiques complexes ou d’une mutation de </w:t>
      </w:r>
      <w:r>
        <w:rPr>
          <w:i/>
          <w:color w:val="000000"/>
        </w:rPr>
        <w:t>TP53</w:t>
      </w:r>
      <w:r>
        <w:rPr>
          <w:color w:val="000000"/>
        </w:rPr>
        <w:t xml:space="preserve"> est associée à une progression en LAM chez les patients dépendants des transfusions et porteurs d’une anomalie del 5q (voir rubrique 4.4). Le risque estimé cumulé à 2 ans de progression en LAM était de 13,8 % chez les patients porteurs d’une anomalie del 5q isolée </w:t>
      </w:r>
      <w:r>
        <w:rPr>
          <w:i/>
          <w:color w:val="000000"/>
        </w:rPr>
        <w:t>versus</w:t>
      </w:r>
      <w:r>
        <w:rPr>
          <w:color w:val="000000"/>
        </w:rPr>
        <w:t xml:space="preserve"> 17,3 % chez les patients porteurs de la délétion 5q et d’une autre anomalie cytogénétique et 38,6 % chez les patients présentant un caryotype complexe.</w:t>
      </w:r>
    </w:p>
    <w:p w14:paraId="78AF3909" w14:textId="77777777" w:rsidR="005834B4" w:rsidRPr="00D2126A" w:rsidRDefault="005834B4" w:rsidP="00C93C76">
      <w:pPr>
        <w:pStyle w:val="Date"/>
      </w:pPr>
    </w:p>
    <w:p w14:paraId="6DB64C64" w14:textId="51D22936" w:rsidR="00036363" w:rsidRPr="00D2126A" w:rsidRDefault="000E5A86" w:rsidP="00C93C76">
      <w:pPr>
        <w:rPr>
          <w:color w:val="000000"/>
        </w:rPr>
      </w:pPr>
      <w:r>
        <w:rPr>
          <w:color w:val="000000"/>
        </w:rPr>
        <w:t xml:space="preserve">Dans une analyse </w:t>
      </w:r>
      <w:r>
        <w:rPr>
          <w:i/>
          <w:color w:val="000000"/>
        </w:rPr>
        <w:t>post hoc</w:t>
      </w:r>
      <w:r>
        <w:rPr>
          <w:color w:val="000000"/>
        </w:rPr>
        <w:t xml:space="preserve"> d’une étude clinique du lénalidomide dans les syndromes myélodysplasiques, le taux estimé à 2 ans de progression en LAM était de 27,5 % chez les patients IHC</w:t>
      </w:r>
      <w:r>
        <w:rPr>
          <w:color w:val="000000"/>
        </w:rPr>
        <w:noBreakHyphen/>
        <w:t>p53 positif et de 3,6 % chez les patients IHC</w:t>
      </w:r>
      <w:r>
        <w:rPr>
          <w:color w:val="000000"/>
        </w:rPr>
        <w:noBreakHyphen/>
        <w:t>p53 négatif (p = 0,0038). Chez les patients IHC</w:t>
      </w:r>
      <w:r>
        <w:rPr>
          <w:color w:val="000000"/>
        </w:rPr>
        <w:noBreakHyphen/>
        <w:t>p53 positif, un taux plus faible de progression en LAM a été observé chez ceux qui avaient obtenu une réponse d’indépendance transfusionnelle (IT) (11,1 %) que chez les non</w:t>
      </w:r>
      <w:r>
        <w:rPr>
          <w:color w:val="000000"/>
        </w:rPr>
        <w:noBreakHyphen/>
        <w:t>répondeurs (34,8 %).</w:t>
      </w:r>
    </w:p>
    <w:p w14:paraId="3803D4A5" w14:textId="6B81CD85" w:rsidR="002A6E9D" w:rsidRPr="00D2126A" w:rsidRDefault="002A6E9D" w:rsidP="00C93C76">
      <w:pPr>
        <w:pStyle w:val="Date"/>
        <w:rPr>
          <w:color w:val="000000"/>
        </w:rPr>
      </w:pPr>
    </w:p>
    <w:p w14:paraId="06019ADB" w14:textId="77777777" w:rsidR="0042469A" w:rsidRPr="00D2126A" w:rsidRDefault="000E5A86" w:rsidP="00C93C76">
      <w:pPr>
        <w:keepNext/>
        <w:rPr>
          <w:i/>
          <w:color w:val="000000"/>
          <w:u w:val="single"/>
        </w:rPr>
      </w:pPr>
      <w:r>
        <w:rPr>
          <w:i/>
          <w:color w:val="000000"/>
          <w:u w:val="single"/>
        </w:rPr>
        <w:t>Affections hépatiques</w:t>
      </w:r>
    </w:p>
    <w:p w14:paraId="069E8008" w14:textId="77777777" w:rsidR="00375EAB" w:rsidRPr="00D2126A" w:rsidRDefault="000E5A86" w:rsidP="00C93C76">
      <w:pPr>
        <w:pStyle w:val="C-BodyText"/>
        <w:spacing w:before="0" w:after="0" w:line="240" w:lineRule="auto"/>
        <w:rPr>
          <w:color w:val="000000"/>
          <w:sz w:val="22"/>
          <w:szCs w:val="22"/>
        </w:rPr>
      </w:pPr>
      <w:r>
        <w:rPr>
          <w:color w:val="000000"/>
          <w:sz w:val="22"/>
        </w:rPr>
        <w:t>Les effets indésirables suivants ont été rapportés après la mise sur le marché (fréquence indéterminée) : insuffisance hépatique aiguë et cholestase (potentiellement fatales toutes les deux), hépatite toxique, hépatite cytolytique et hépatite mixte cytolytique/cholestatique.</w:t>
      </w:r>
    </w:p>
    <w:p w14:paraId="09A2566D" w14:textId="77777777" w:rsidR="00DA694F" w:rsidRPr="00AB0414" w:rsidRDefault="00DA694F" w:rsidP="00C93C76">
      <w:pPr>
        <w:pStyle w:val="C-BodyText"/>
        <w:spacing w:before="0" w:after="0" w:line="240" w:lineRule="auto"/>
        <w:rPr>
          <w:color w:val="000000"/>
          <w:sz w:val="22"/>
        </w:rPr>
      </w:pPr>
    </w:p>
    <w:p w14:paraId="33DA4AD2" w14:textId="77777777" w:rsidR="00285B4C" w:rsidRPr="00D2126A" w:rsidRDefault="000E5A86" w:rsidP="00C93C76">
      <w:pPr>
        <w:keepNext/>
        <w:rPr>
          <w:bCs/>
          <w:i/>
          <w:iCs/>
          <w:u w:val="single"/>
        </w:rPr>
      </w:pPr>
      <w:r>
        <w:rPr>
          <w:i/>
          <w:u w:val="single"/>
        </w:rPr>
        <w:t>Rhabdomyolyse</w:t>
      </w:r>
    </w:p>
    <w:p w14:paraId="58752F1B" w14:textId="77777777" w:rsidR="00285B4C" w:rsidRPr="00D2126A" w:rsidRDefault="000E5A86" w:rsidP="00C93C76">
      <w:pPr>
        <w:pStyle w:val="BodytextAgency0"/>
        <w:spacing w:after="0" w:line="240" w:lineRule="auto"/>
        <w:jc w:val="both"/>
        <w:rPr>
          <w:rFonts w:ascii="Times New Roman" w:hAnsi="Times New Roman"/>
          <w:bCs/>
          <w:iCs/>
          <w:sz w:val="22"/>
          <w:szCs w:val="22"/>
        </w:rPr>
      </w:pPr>
      <w:r>
        <w:rPr>
          <w:rFonts w:ascii="Times New Roman" w:hAnsi="Times New Roman"/>
          <w:sz w:val="22"/>
        </w:rPr>
        <w:t>De rares cas de rhabdomyolyse ont été observés, dont certains lorsque le lénalidomide est administré avec une statine.</w:t>
      </w:r>
    </w:p>
    <w:p w14:paraId="229D1054" w14:textId="77777777" w:rsidR="00285B4C" w:rsidRPr="00AB0414" w:rsidRDefault="00285B4C" w:rsidP="00C93C76">
      <w:pPr>
        <w:pStyle w:val="C-BodyText"/>
        <w:spacing w:before="0" w:after="0" w:line="240" w:lineRule="auto"/>
        <w:rPr>
          <w:color w:val="000000"/>
          <w:sz w:val="22"/>
        </w:rPr>
      </w:pPr>
    </w:p>
    <w:p w14:paraId="0A2528D4" w14:textId="77777777" w:rsidR="00036363" w:rsidRPr="00D2126A" w:rsidRDefault="000E5A86" w:rsidP="00967610">
      <w:pPr>
        <w:pStyle w:val="Style21"/>
      </w:pPr>
      <w:r>
        <w:t>Affections thyroïdiennes</w:t>
      </w:r>
    </w:p>
    <w:p w14:paraId="476B0AA9" w14:textId="0C3CC75E" w:rsidR="00AD04EF" w:rsidRPr="00D2126A" w:rsidRDefault="000E5A86" w:rsidP="00C93C76">
      <w:pPr>
        <w:pStyle w:val="BodytextAgency0"/>
        <w:spacing w:after="0" w:line="240" w:lineRule="auto"/>
        <w:rPr>
          <w:rFonts w:ascii="Times New Roman" w:hAnsi="Times New Roman"/>
          <w:iCs/>
          <w:sz w:val="22"/>
          <w:szCs w:val="22"/>
        </w:rPr>
      </w:pPr>
      <w:r>
        <w:rPr>
          <w:rFonts w:ascii="Times New Roman" w:hAnsi="Times New Roman"/>
          <w:sz w:val="22"/>
        </w:rPr>
        <w:t>Des cas d’hypothyroïdie et des cas d’hyperthyroïdie ont été rapportés (voir rubrique 4.4 Affections thyroïdiennes).</w:t>
      </w:r>
    </w:p>
    <w:p w14:paraId="7084C6FD" w14:textId="77777777" w:rsidR="00A57CA4" w:rsidRPr="00D2126A" w:rsidRDefault="00A57CA4" w:rsidP="00C93C76">
      <w:pPr>
        <w:pStyle w:val="BodytextAgency0"/>
        <w:spacing w:after="0" w:line="240" w:lineRule="auto"/>
        <w:rPr>
          <w:rFonts w:ascii="Times New Roman" w:hAnsi="Times New Roman"/>
          <w:bCs/>
          <w:iCs/>
          <w:sz w:val="22"/>
          <w:szCs w:val="22"/>
        </w:rPr>
      </w:pPr>
    </w:p>
    <w:p w14:paraId="30D2D0B2" w14:textId="77777777" w:rsidR="00030FCF" w:rsidRPr="00D2126A" w:rsidRDefault="000E5A86" w:rsidP="00C93C76">
      <w:pPr>
        <w:pStyle w:val="C-BodyText"/>
        <w:keepNext/>
        <w:spacing w:before="0" w:after="0" w:line="240" w:lineRule="auto"/>
        <w:rPr>
          <w:i/>
          <w:sz w:val="22"/>
          <w:szCs w:val="22"/>
          <w:u w:val="single"/>
        </w:rPr>
      </w:pPr>
      <w:r>
        <w:rPr>
          <w:i/>
          <w:sz w:val="22"/>
          <w:u w:val="single"/>
        </w:rPr>
        <w:t>Réaction de poussée tumorale et syndrome de lyse tumorale</w:t>
      </w:r>
    </w:p>
    <w:p w14:paraId="229D0F03" w14:textId="25B598A0" w:rsidR="00030FCF" w:rsidRPr="00D2126A" w:rsidRDefault="000E5A86" w:rsidP="00CA5528">
      <w:r>
        <w:t>Dans l’étude MCL</w:t>
      </w:r>
      <w:r>
        <w:noBreakHyphen/>
        <w:t xml:space="preserve">002, environ 10 % des patients traités par le lénalidomide ont présenté une RPT </w:t>
      </w:r>
      <w:r>
        <w:rPr>
          <w:i/>
        </w:rPr>
        <w:t>versus</w:t>
      </w:r>
      <w:r>
        <w:t xml:space="preserve"> 0 % dans le bras contrôle. Les événements sont survenus en majorité pendant le cycle 1, ils ont tous été évalués comme étant liés au traitement et étaient de grade 1 ou 2 dans la majorité des cas. Les patients ayant un score MIPI élevé lors du diagnostic ou une charge tumorale élevée (au moins une lésion mesurant ≥ 7 cm dans le plus grand diamètre) avant le traitement peuvent présenter un risque de RPT. Dans l’étude MCL</w:t>
      </w:r>
      <w:r>
        <w:noBreakHyphen/>
        <w:t>002, un SLT a été rapporté chez un patient de chacun des deux bras de traitement. Dans l’étude supportive MCL</w:t>
      </w:r>
      <w:r>
        <w:noBreakHyphen/>
        <w:t>001, environ 10 % des patients ont présenté une RPT ; tous les cas étaient de sévérité de grade 1 ou 2 et ils ont tous été évalués comme étant liés au traitement. Les événements sont survenus en majorité pendant le cycle 1. Il n’a pas été rapporté de cas de SLT dans l’étude MCL</w:t>
      </w:r>
      <w:r>
        <w:noBreakHyphen/>
        <w:t>001 (voir rubrique 4.4).</w:t>
      </w:r>
    </w:p>
    <w:p w14:paraId="7E55B177" w14:textId="77777777" w:rsidR="003927E7" w:rsidRPr="00D2126A" w:rsidRDefault="003927E7" w:rsidP="00C93C76">
      <w:pPr>
        <w:pStyle w:val="BodytextAgency0"/>
        <w:spacing w:after="0" w:line="240" w:lineRule="auto"/>
        <w:rPr>
          <w:rFonts w:ascii="Times New Roman" w:eastAsia="Yu Gothic" w:hAnsi="Times New Roman"/>
          <w:sz w:val="22"/>
          <w:szCs w:val="22"/>
        </w:rPr>
      </w:pPr>
    </w:p>
    <w:p w14:paraId="38861818" w14:textId="1B77D2A8" w:rsidR="000479A6" w:rsidRPr="00D2126A" w:rsidRDefault="000E5A86" w:rsidP="00967610">
      <w:pPr>
        <w:rPr>
          <w:rFonts w:eastAsia="Yu Gothic"/>
        </w:rPr>
      </w:pPr>
      <w:r>
        <w:t>Dans l’étude NHL</w:t>
      </w:r>
      <w:r>
        <w:noBreakHyphen/>
        <w:t xml:space="preserve">007, une RPT a été rapportée chez 19 patients sur 146 (13,0 %) du bras lénalidomide/rituximab </w:t>
      </w:r>
      <w:r>
        <w:rPr>
          <w:i/>
        </w:rPr>
        <w:t>versus</w:t>
      </w:r>
      <w:r>
        <w:t xml:space="preserve"> 1 patient sur 148 (0,7 %) dans le bras placebo/rituximab. La plupart des RPT (18 sur 19) rapportées dans le bras lénalidomide/rituximab se sont produites au cours des deux premiers cycles de traitement. Un patient du bras lénalidomide/rituximab atteint d’un lymphome folliculaire a présenté un événement de RPT de grade 3 </w:t>
      </w:r>
      <w:r>
        <w:rPr>
          <w:i/>
        </w:rPr>
        <w:t>versus</w:t>
      </w:r>
      <w:r>
        <w:t xml:space="preserve"> aucun patient dans le bras placebo/rituximab. Dans l’étude NHL</w:t>
      </w:r>
      <w:r>
        <w:noBreakHyphen/>
        <w:t>008, 7 patients sur 177 (4,0 %) atteints d’un lymphome folliculaire ont présenté une RPT ; (intensité de grade 1 dans 3 cas et de grade 2 dans 4 cas), 1 cas ayant été considéré comme grave. Dans l’étude NHL</w:t>
      </w:r>
      <w:r>
        <w:noBreakHyphen/>
        <w:t>007, un SLT est survenu chez 2 patients (1,4 %) atteints d’un lymphome folliculaire dans le bras lénalidomide/rituximab et chez aucun patient atteint d’un lymphome folliculaire dans le bras placebo/rituximab ; aucun patient n’a présenté d’événement de grade 3 ou 4. Un SLT est survenu chez 1 patient (0,6 %) atteint d’un lymphome folliculaire dans l’étude NHL</w:t>
      </w:r>
      <w:r>
        <w:noBreakHyphen/>
        <w:t>008. Cet événement unique a été jugé comme étant un effet indésirable grave, de grade 3. En ce qui concerne l’étude NHL</w:t>
      </w:r>
      <w:r>
        <w:noBreakHyphen/>
        <w:t>007, aucun patient n’a dû interrompre le traitement par lénalidomide/rituximab en raison d’une RPT ou d’un SLT.</w:t>
      </w:r>
    </w:p>
    <w:p w14:paraId="0B571FEC" w14:textId="77777777" w:rsidR="00030FCF" w:rsidRPr="00D2126A" w:rsidRDefault="00030FCF" w:rsidP="00C93C76">
      <w:pPr>
        <w:pStyle w:val="BodytextAgency0"/>
        <w:spacing w:after="0" w:line="240" w:lineRule="auto"/>
        <w:rPr>
          <w:rFonts w:ascii="Times New Roman" w:hAnsi="Times New Roman"/>
          <w:bCs/>
          <w:iCs/>
          <w:sz w:val="22"/>
          <w:szCs w:val="22"/>
        </w:rPr>
      </w:pPr>
    </w:p>
    <w:p w14:paraId="287053FD" w14:textId="77777777" w:rsidR="001C5E99" w:rsidRPr="00D2126A" w:rsidRDefault="000E5A86" w:rsidP="00C93C76">
      <w:pPr>
        <w:pStyle w:val="BodytextAgency0"/>
        <w:keepNext/>
        <w:spacing w:after="0" w:line="240" w:lineRule="auto"/>
        <w:rPr>
          <w:rFonts w:ascii="Times New Roman" w:eastAsia="Times New Roman" w:hAnsi="Times New Roman"/>
          <w:i/>
          <w:sz w:val="22"/>
          <w:szCs w:val="22"/>
          <w:u w:val="single"/>
        </w:rPr>
      </w:pPr>
      <w:r>
        <w:rPr>
          <w:rFonts w:ascii="Times New Roman" w:hAnsi="Times New Roman"/>
          <w:i/>
          <w:sz w:val="22"/>
          <w:u w:val="single"/>
        </w:rPr>
        <w:t>Affections gastro</w:t>
      </w:r>
      <w:r>
        <w:rPr>
          <w:rFonts w:ascii="Times New Roman" w:hAnsi="Times New Roman"/>
          <w:i/>
          <w:sz w:val="22"/>
          <w:u w:val="single"/>
        </w:rPr>
        <w:noBreakHyphen/>
        <w:t>intestinales</w:t>
      </w:r>
    </w:p>
    <w:p w14:paraId="7852CDAD" w14:textId="77777777" w:rsidR="001C5E99" w:rsidRPr="00D2126A" w:rsidRDefault="000E5A86" w:rsidP="00C93C76">
      <w:pPr>
        <w:pStyle w:val="BodytextAgency0"/>
        <w:spacing w:after="0" w:line="240" w:lineRule="auto"/>
        <w:rPr>
          <w:rFonts w:ascii="Times New Roman" w:eastAsia="Times New Roman" w:hAnsi="Times New Roman"/>
          <w:sz w:val="22"/>
          <w:szCs w:val="22"/>
        </w:rPr>
      </w:pPr>
      <w:r>
        <w:rPr>
          <w:rFonts w:ascii="Times New Roman" w:hAnsi="Times New Roman"/>
          <w:sz w:val="22"/>
        </w:rPr>
        <w:t>Des perforations gastro</w:t>
      </w:r>
      <w:r>
        <w:rPr>
          <w:rFonts w:ascii="Times New Roman" w:hAnsi="Times New Roman"/>
          <w:sz w:val="22"/>
        </w:rPr>
        <w:noBreakHyphen/>
        <w:t>intestinales ont été rapportées pendant le traitement par le lénalidomide. Les perforations gastro</w:t>
      </w:r>
      <w:r>
        <w:rPr>
          <w:rFonts w:ascii="Times New Roman" w:hAnsi="Times New Roman"/>
          <w:sz w:val="22"/>
        </w:rPr>
        <w:noBreakHyphen/>
        <w:t>intestinales peuvent entraîner des complications infectieuses et peuvent avoir une issue fatale.</w:t>
      </w:r>
    </w:p>
    <w:p w14:paraId="1BA94B9A" w14:textId="77777777" w:rsidR="00AD04EF" w:rsidRPr="00AB0414" w:rsidRDefault="00AD04EF" w:rsidP="00C93C76">
      <w:pPr>
        <w:pStyle w:val="C-BodyText"/>
        <w:spacing w:before="0" w:after="0" w:line="240" w:lineRule="auto"/>
        <w:rPr>
          <w:color w:val="000000"/>
          <w:sz w:val="22"/>
        </w:rPr>
      </w:pPr>
    </w:p>
    <w:p w14:paraId="48C62032" w14:textId="77777777" w:rsidR="00B20135" w:rsidRPr="00D2126A" w:rsidRDefault="000E5A86" w:rsidP="00C93C76">
      <w:pPr>
        <w:keepNext/>
        <w:autoSpaceDE w:val="0"/>
        <w:autoSpaceDN w:val="0"/>
        <w:adjustRightInd w:val="0"/>
        <w:rPr>
          <w:u w:val="single"/>
        </w:rPr>
      </w:pPr>
      <w:r>
        <w:rPr>
          <w:u w:val="single"/>
        </w:rPr>
        <w:t>Déclaration des effets indésirables suspectés</w:t>
      </w:r>
    </w:p>
    <w:p w14:paraId="73CE026A" w14:textId="3989A1EE" w:rsidR="00365D78" w:rsidRPr="00D2126A" w:rsidRDefault="000E5A86" w:rsidP="00C93C76">
      <w:pPr>
        <w:autoSpaceDE w:val="0"/>
        <w:autoSpaceDN w:val="0"/>
        <w:adjustRightInd w:val="0"/>
        <w:rPr>
          <w:noProof/>
        </w:rPr>
      </w:pPr>
      <w: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Pr>
          <w:highlight w:val="lightGray"/>
        </w:rPr>
        <w:t xml:space="preserve">le système national de déclaration – voir </w:t>
      </w:r>
      <w:hyperlink r:id="rId13" w:history="1">
        <w:r>
          <w:rPr>
            <w:rStyle w:val="Hyperlink"/>
            <w:highlight w:val="lightGray"/>
          </w:rPr>
          <w:t>Annexe V</w:t>
        </w:r>
      </w:hyperlink>
      <w:r>
        <w:t>.</w:t>
      </w:r>
    </w:p>
    <w:p w14:paraId="413F9E0F" w14:textId="77777777" w:rsidR="00B20135" w:rsidRPr="00AB0414" w:rsidRDefault="00B20135" w:rsidP="00C93C76">
      <w:pPr>
        <w:pStyle w:val="C-BodyText"/>
        <w:spacing w:before="0" w:after="0" w:line="240" w:lineRule="auto"/>
        <w:rPr>
          <w:color w:val="000000"/>
          <w:sz w:val="22"/>
        </w:rPr>
      </w:pPr>
    </w:p>
    <w:p w14:paraId="409F8189" w14:textId="77777777" w:rsidR="00375EAB" w:rsidRPr="00D2126A" w:rsidRDefault="000E5A86" w:rsidP="00C93C76">
      <w:pPr>
        <w:keepNext/>
        <w:ind w:left="567" w:hanging="567"/>
        <w:rPr>
          <w:color w:val="000000"/>
        </w:rPr>
      </w:pPr>
      <w:r>
        <w:rPr>
          <w:b/>
          <w:color w:val="000000"/>
        </w:rPr>
        <w:t>4.9</w:t>
      </w:r>
      <w:r>
        <w:rPr>
          <w:b/>
          <w:color w:val="000000"/>
        </w:rPr>
        <w:tab/>
        <w:t>Surdosage</w:t>
      </w:r>
    </w:p>
    <w:p w14:paraId="423947AD" w14:textId="77777777" w:rsidR="00375EAB" w:rsidRPr="00D2126A" w:rsidRDefault="00375EAB" w:rsidP="00C93C76">
      <w:pPr>
        <w:keepNext/>
        <w:rPr>
          <w:color w:val="000000"/>
        </w:rPr>
      </w:pPr>
    </w:p>
    <w:p w14:paraId="2A7F88B2" w14:textId="6D9778FA" w:rsidR="00375EAB" w:rsidRPr="00D2126A" w:rsidRDefault="000E5A86" w:rsidP="00C93C76">
      <w:pPr>
        <w:rPr>
          <w:color w:val="000000"/>
        </w:rPr>
      </w:pPr>
      <w:r>
        <w:rPr>
          <w:color w:val="000000"/>
        </w:rPr>
        <w:t>On ne dispose d’aucune expérience spécifique de la prise en charge d’un surdosage en lénalidomide, bien que certains patients des études d’évaluation de doses aient été exposés à des doses allant jusqu’à 150 mg et dans les études menées avec une seule dose, certains patients ont été exposés à des doses allant jusqu’à 400 mg. Lors de ces études, le principal facteur de toxicité pouvant limiter la dose utilisée était d’ordre hématologique. En cas de surdosage, un traitement symptomatique sera conseillé.</w:t>
      </w:r>
    </w:p>
    <w:p w14:paraId="79ABEE20" w14:textId="77777777" w:rsidR="00375EAB" w:rsidRPr="00D2126A" w:rsidRDefault="00375EAB" w:rsidP="00C93C76">
      <w:pPr>
        <w:rPr>
          <w:color w:val="000000"/>
        </w:rPr>
      </w:pPr>
    </w:p>
    <w:p w14:paraId="53DB3D2E" w14:textId="77777777" w:rsidR="00375EAB" w:rsidRPr="00D2126A" w:rsidRDefault="00375EAB" w:rsidP="00C93C76">
      <w:pPr>
        <w:pStyle w:val="Date"/>
        <w:rPr>
          <w:color w:val="000000"/>
        </w:rPr>
      </w:pPr>
    </w:p>
    <w:p w14:paraId="1CC6FBC8" w14:textId="77777777" w:rsidR="00375EAB" w:rsidRPr="00D2126A" w:rsidRDefault="000E5A86" w:rsidP="00C93C76">
      <w:pPr>
        <w:keepNext/>
        <w:ind w:left="567" w:hanging="567"/>
        <w:rPr>
          <w:color w:val="000000"/>
        </w:rPr>
      </w:pPr>
      <w:r>
        <w:rPr>
          <w:b/>
          <w:color w:val="000000"/>
        </w:rPr>
        <w:t>5.</w:t>
      </w:r>
      <w:r>
        <w:rPr>
          <w:b/>
          <w:color w:val="000000"/>
        </w:rPr>
        <w:tab/>
        <w:t>PROPRIÉTÉS PHARMACOLOGIQUES</w:t>
      </w:r>
    </w:p>
    <w:p w14:paraId="18B5FAFB" w14:textId="77777777" w:rsidR="00375EAB" w:rsidRPr="00D2126A" w:rsidRDefault="00375EAB" w:rsidP="00C93C76">
      <w:pPr>
        <w:keepNext/>
        <w:rPr>
          <w:b/>
          <w:color w:val="000000"/>
        </w:rPr>
      </w:pPr>
    </w:p>
    <w:p w14:paraId="186A2210" w14:textId="77777777" w:rsidR="00375EAB" w:rsidRPr="00D2126A" w:rsidRDefault="000E5A86" w:rsidP="00C93C76">
      <w:pPr>
        <w:keepNext/>
        <w:ind w:left="567" w:hanging="567"/>
        <w:rPr>
          <w:color w:val="000000"/>
        </w:rPr>
      </w:pPr>
      <w:r>
        <w:rPr>
          <w:b/>
          <w:color w:val="000000"/>
        </w:rPr>
        <w:t>5.1</w:t>
      </w:r>
      <w:r>
        <w:rPr>
          <w:b/>
          <w:color w:val="000000"/>
        </w:rPr>
        <w:tab/>
        <w:t>Propriétés pharmacodynamiques</w:t>
      </w:r>
    </w:p>
    <w:p w14:paraId="3AA9801A" w14:textId="77777777" w:rsidR="00375EAB" w:rsidRPr="00D2126A" w:rsidRDefault="00375EAB" w:rsidP="00C93C76">
      <w:pPr>
        <w:keepNext/>
        <w:rPr>
          <w:color w:val="000000"/>
        </w:rPr>
      </w:pPr>
    </w:p>
    <w:p w14:paraId="13A43971" w14:textId="77777777" w:rsidR="00375EAB" w:rsidRPr="00D2126A" w:rsidRDefault="000E5A86" w:rsidP="00C93C76">
      <w:pPr>
        <w:rPr>
          <w:color w:val="000000"/>
        </w:rPr>
      </w:pPr>
      <w:r>
        <w:rPr>
          <w:color w:val="000000"/>
        </w:rPr>
        <w:t>Classe pharmacothérapeutique : Autres immunosuppresseurs. Code ATC : L04AX04.</w:t>
      </w:r>
    </w:p>
    <w:p w14:paraId="1E3C6F48" w14:textId="77777777" w:rsidR="00375EAB" w:rsidRPr="00D2126A" w:rsidRDefault="00375EAB" w:rsidP="00C93C76">
      <w:pPr>
        <w:rPr>
          <w:color w:val="000000"/>
        </w:rPr>
      </w:pPr>
    </w:p>
    <w:p w14:paraId="0F85DEB9" w14:textId="77777777" w:rsidR="00375EAB" w:rsidRPr="00D2126A" w:rsidRDefault="000E5A86" w:rsidP="00C93C76">
      <w:pPr>
        <w:keepNext/>
        <w:autoSpaceDE w:val="0"/>
        <w:autoSpaceDN w:val="0"/>
        <w:adjustRightInd w:val="0"/>
        <w:jc w:val="both"/>
        <w:rPr>
          <w:color w:val="000000"/>
        </w:rPr>
      </w:pPr>
      <w:r>
        <w:rPr>
          <w:color w:val="000000"/>
          <w:u w:val="single"/>
        </w:rPr>
        <w:t>Mécanisme d’action</w:t>
      </w:r>
    </w:p>
    <w:p w14:paraId="1DBE1036" w14:textId="1D202D25" w:rsidR="00A62516" w:rsidRPr="00D2126A" w:rsidRDefault="000E5A86" w:rsidP="00C93C76">
      <w:pPr>
        <w:pStyle w:val="Date"/>
      </w:pPr>
      <w:r>
        <w:t>Le lénalidomide se lie directement à la protéine céréblon, une composante du complexe enzymatique ubiquitine ligase E3 de type culline</w:t>
      </w:r>
      <w:r>
        <w:noBreakHyphen/>
        <w:t>RING constitué des protéines DDB1 (</w:t>
      </w:r>
      <w:r>
        <w:rPr>
          <w:i/>
        </w:rPr>
        <w:t>DNA [deoxyribonucleic acid] damage</w:t>
      </w:r>
      <w:r>
        <w:rPr>
          <w:i/>
        </w:rPr>
        <w:noBreakHyphen/>
        <w:t>binding protein 1</w:t>
      </w:r>
      <w:r>
        <w:t>), CUL4 (</w:t>
      </w:r>
      <w:r>
        <w:rPr>
          <w:i/>
        </w:rPr>
        <w:t>cullin 4</w:t>
      </w:r>
      <w:r>
        <w:t>) et Roc1 (</w:t>
      </w:r>
      <w:r>
        <w:rPr>
          <w:i/>
        </w:rPr>
        <w:t>regulator of cullins 1</w:t>
      </w:r>
      <w:r>
        <w:t>). Dans les cellules hématopïétiques, la liaison du lénalidomide au céréblon entraîne le recrutement des protéines substrats Aiolos et Ikaros, des facteurs de transcription de la lignée lymphoïde, ce qui entraîne leur ubiquitination puis leur dégradation, avec pour résultat des effets cytotoxiques et immunomodulateurs directs.</w:t>
      </w:r>
    </w:p>
    <w:p w14:paraId="1F80B984" w14:textId="77777777" w:rsidR="00A62516" w:rsidRPr="00D2126A" w:rsidRDefault="00A62516" w:rsidP="00C93C76"/>
    <w:p w14:paraId="2859C4E3" w14:textId="77777777" w:rsidR="003927E7" w:rsidRPr="00D2126A" w:rsidRDefault="000E5A86" w:rsidP="00C93C76">
      <w:pPr>
        <w:pStyle w:val="Date"/>
        <w:rPr>
          <w:color w:val="000000"/>
        </w:rPr>
      </w:pPr>
      <w:r>
        <w:rPr>
          <w:color w:val="000000"/>
        </w:rPr>
        <w:t>En particulier, le lénalidomide inhibe la prolifération et favorise l’apoptose de certaines cellules malignes hématopoïétiques (y compris les plasmocytes malins de MM, les cellules malignes du lymphome folliculaire et les cellules présentant des délétions sur le chromosome 5), renforce l’immunité impliquant les lymphocytes T et les cellules tueuses naturelles (NK) et accroît le nombre des cellules NK, T et NKT. Dans les SMD del 5q, le lénalidomide inhibe sélectivement le clone anormal en augmentant l’apoptose des cellules présentant la délétion 5q.</w:t>
      </w:r>
    </w:p>
    <w:p w14:paraId="6089B6D3" w14:textId="77777777" w:rsidR="00C93C76" w:rsidRPr="00D2126A" w:rsidRDefault="00C93C76" w:rsidP="00C93C76"/>
    <w:p w14:paraId="16E2FA54" w14:textId="77777777" w:rsidR="003927E7" w:rsidRPr="00D2126A" w:rsidRDefault="000E5A86" w:rsidP="00CA5528">
      <w:r>
        <w:t>L’association de lénalidomide et de rituximab augmente la cytotoxicité cellulaire dépendante des anticorps (ADCC) et favorise l’apoptose directe des cellules malignes du lymphome folliculaire.</w:t>
      </w:r>
    </w:p>
    <w:p w14:paraId="55E2CDF4" w14:textId="77777777" w:rsidR="00C93C76" w:rsidRPr="00D2126A" w:rsidRDefault="00C93C76" w:rsidP="00C93C76"/>
    <w:p w14:paraId="1CAA3565" w14:textId="4E9F139C" w:rsidR="00047B7F" w:rsidRPr="00D2126A" w:rsidRDefault="000E5A86" w:rsidP="00C93C76">
      <w:r>
        <w:t>Le mécanisme d’action du lénalidomide s’appuie également sur des propriétés anti</w:t>
      </w:r>
      <w:r>
        <w:noBreakHyphen/>
        <w:t>angiogènes et pro</w:t>
      </w:r>
      <w:r>
        <w:noBreakHyphen/>
        <w:t>érythropoïétiques. Le lénalidomide inhibe l’angiogenèse en bloquant la migration et l’adhésion des cellules endothéliales et la formation des micro</w:t>
      </w:r>
      <w:r>
        <w:noBreakHyphen/>
        <w:t>vaisseaux, amplifie la production d’hémoglobine fœtale par les cellules souches hématopoïétiques CD34+, et inhibe la production des cytokines pro</w:t>
      </w:r>
      <w:r>
        <w:noBreakHyphen/>
        <w:t>inflammatoires (TNF</w:t>
      </w:r>
      <w:r>
        <w:noBreakHyphen/>
        <w:t>α et IL</w:t>
      </w:r>
      <w:r>
        <w:noBreakHyphen/>
        <w:t>6, par exemple) par les monocytes.</w:t>
      </w:r>
    </w:p>
    <w:p w14:paraId="48CF251B" w14:textId="77777777" w:rsidR="00047B7F" w:rsidRPr="00D2126A" w:rsidRDefault="00047B7F" w:rsidP="00C93C76"/>
    <w:p w14:paraId="4DCF463D" w14:textId="77777777" w:rsidR="00375EAB" w:rsidRPr="00D2126A" w:rsidRDefault="000E5A86" w:rsidP="00C93C76">
      <w:pPr>
        <w:keepNext/>
        <w:rPr>
          <w:color w:val="000000"/>
          <w:u w:val="single"/>
        </w:rPr>
      </w:pPr>
      <w:r>
        <w:rPr>
          <w:color w:val="000000"/>
          <w:u w:val="single"/>
        </w:rPr>
        <w:t>Efficacité et sécurité cliniques</w:t>
      </w:r>
    </w:p>
    <w:p w14:paraId="23C66C4D" w14:textId="7251250D" w:rsidR="00DF749B" w:rsidRPr="00D2126A" w:rsidRDefault="000E5A86" w:rsidP="00C93C76">
      <w:pPr>
        <w:pStyle w:val="Date"/>
        <w:rPr>
          <w:color w:val="000000"/>
        </w:rPr>
      </w:pPr>
      <w:r>
        <w:rPr>
          <w:color w:val="000000"/>
        </w:rPr>
        <w:t>L’efficacité et la sécurité de lénalidomide ont été évaluées dans six études de phase 3 menées dans le myélome multiple non préalablement traité, deux études de phase 3 menées dans le myélome multiple en rechute ou réfractaire, une étude de phase 3 et une étude de phase 2 menées dans les syndromes myélodysplasiques et une étude de phase 2 menée dans le lymphome à cellules du manteau, une étude de phase 3 et une étude de phase 3b menées dans les lymphomes non hodgkiniens indolents, qui sont décrites ci</w:t>
      </w:r>
      <w:r>
        <w:rPr>
          <w:color w:val="000000"/>
        </w:rPr>
        <w:noBreakHyphen/>
        <w:t>dessous.</w:t>
      </w:r>
    </w:p>
    <w:p w14:paraId="0E358D28" w14:textId="77777777" w:rsidR="006E6647" w:rsidRPr="00D2126A" w:rsidRDefault="006E6647" w:rsidP="00C93C76"/>
    <w:p w14:paraId="37750070" w14:textId="77777777" w:rsidR="00472133" w:rsidRPr="00D2126A" w:rsidRDefault="000E5A86" w:rsidP="00C7655E">
      <w:pPr>
        <w:pStyle w:val="Date"/>
        <w:keepNext/>
      </w:pPr>
      <w:r>
        <w:rPr>
          <w:i/>
          <w:color w:val="000000"/>
          <w:u w:val="single"/>
        </w:rPr>
        <w:t>Myélome multiple non préalablement traité</w:t>
      </w:r>
    </w:p>
    <w:p w14:paraId="1E9E986A" w14:textId="77777777" w:rsidR="00833712" w:rsidRPr="00D2126A" w:rsidRDefault="000E5A86" w:rsidP="00C93C76">
      <w:pPr>
        <w:keepNext/>
        <w:numPr>
          <w:ilvl w:val="0"/>
          <w:numId w:val="35"/>
        </w:numPr>
        <w:autoSpaceDE w:val="0"/>
        <w:autoSpaceDN w:val="0"/>
        <w:adjustRightInd w:val="0"/>
        <w:ind w:left="567" w:hanging="567"/>
        <w:rPr>
          <w:u w:val="single"/>
        </w:rPr>
      </w:pPr>
      <w:r>
        <w:rPr>
          <w:u w:val="single"/>
        </w:rPr>
        <w:t>Lénalidomide en traitement d'entretien chez les patients ayant reçu une AGCS</w:t>
      </w:r>
    </w:p>
    <w:p w14:paraId="6B7A7976" w14:textId="77777777" w:rsidR="00C93C76" w:rsidRPr="00D2126A" w:rsidRDefault="00C93C76" w:rsidP="006B7D29">
      <w:pPr>
        <w:pStyle w:val="Date"/>
        <w:keepNext/>
        <w:rPr>
          <w:color w:val="000000"/>
        </w:rPr>
      </w:pPr>
    </w:p>
    <w:p w14:paraId="4549D82C" w14:textId="5B834162" w:rsidR="00833712" w:rsidRPr="00D2126A" w:rsidRDefault="000E5A86" w:rsidP="00CA5528">
      <w:r>
        <w:t>L’efficacité et la sécurité du lénalidomide en traitement d’entretien ont été évaluées dans deux études de phase 3 multicentriques, randomisées en double aveugle, contrôlées par placebo, en deux bras, en groupes parallèles : CALGB 100104 et IFM 2005</w:t>
      </w:r>
      <w:r>
        <w:noBreakHyphen/>
        <w:t>02.</w:t>
      </w:r>
    </w:p>
    <w:p w14:paraId="3CF6FCA2" w14:textId="77777777" w:rsidR="00833712" w:rsidRPr="00D2126A" w:rsidRDefault="00833712" w:rsidP="006B7D29">
      <w:pPr>
        <w:pStyle w:val="Date"/>
        <w:rPr>
          <w:color w:val="000000"/>
          <w:u w:val="single"/>
        </w:rPr>
      </w:pPr>
    </w:p>
    <w:p w14:paraId="6A4694DC" w14:textId="4BAA8146" w:rsidR="00833712" w:rsidRPr="00D2126A" w:rsidRDefault="000E5A86" w:rsidP="006B7D29">
      <w:pPr>
        <w:pStyle w:val="Date"/>
        <w:keepNext/>
        <w:rPr>
          <w:i/>
          <w:color w:val="000000"/>
        </w:rPr>
      </w:pPr>
      <w:r>
        <w:rPr>
          <w:i/>
          <w:color w:val="000000"/>
        </w:rPr>
        <w:t>CALGB 100104</w:t>
      </w:r>
    </w:p>
    <w:p w14:paraId="30C9BD19" w14:textId="4CCD7616" w:rsidR="00833712" w:rsidRPr="00D2126A" w:rsidRDefault="000E5A86" w:rsidP="006B7D29">
      <w:pPr>
        <w:autoSpaceDE w:val="0"/>
        <w:autoSpaceDN w:val="0"/>
        <w:adjustRightInd w:val="0"/>
        <w:ind w:right="-14"/>
        <w:rPr>
          <w:color w:val="000000"/>
        </w:rPr>
      </w:pPr>
      <w:r>
        <w:rPr>
          <w:color w:val="000000"/>
        </w:rPr>
        <w:t>Des patients âgés de 18 à 70 ans présentant un myélome multiple symptomatique nécessitant un traitement et sans progression antérieure après un traitement initial étaient éligibles.</w:t>
      </w:r>
    </w:p>
    <w:p w14:paraId="4668479E" w14:textId="77777777" w:rsidR="00833712" w:rsidRPr="00D2126A" w:rsidRDefault="00833712" w:rsidP="00C93C76">
      <w:pPr>
        <w:pStyle w:val="Date"/>
      </w:pPr>
    </w:p>
    <w:p w14:paraId="29904294" w14:textId="27444F2A" w:rsidR="00833712" w:rsidRPr="00D2126A" w:rsidRDefault="000E5A86" w:rsidP="00CA5528">
      <w:r>
        <w:t>Dans les 90 à 100 jours suivant l’AGCS, les patients ont été randomisés selon un rapport 1:1 pour recevoir le lénalidomide ou le placebo en traitement d’entretien. La dose d’entretien était de 10 mg une fois par jour les jours 1 à 28 de chaque cycle de 28 jours (augmentée jusqu’à 15 mg une fois par jour après 3 mois en l’absence de toxicité dose</w:t>
      </w:r>
      <w:r>
        <w:noBreakHyphen/>
        <w:t>limitante) et le traitement était poursuivi jusqu’à la progression de la maladie.</w:t>
      </w:r>
    </w:p>
    <w:p w14:paraId="1E56FADD" w14:textId="77777777" w:rsidR="00833712" w:rsidRPr="00D2126A" w:rsidRDefault="00833712" w:rsidP="00C93C76">
      <w:pPr>
        <w:pStyle w:val="Date"/>
      </w:pPr>
    </w:p>
    <w:p w14:paraId="09E2B4A0" w14:textId="7C8947F9" w:rsidR="00833712" w:rsidRPr="00D2126A" w:rsidRDefault="000E5A86" w:rsidP="006B7D29">
      <w:pPr>
        <w:autoSpaceDE w:val="0"/>
        <w:autoSpaceDN w:val="0"/>
        <w:adjustRightInd w:val="0"/>
        <w:ind w:right="-14"/>
      </w:pPr>
      <w:r>
        <w:t>Le critère d’évaluation principal de l'efficacité dans l'étude était la survie sans progression (SSP) (définie comme le délai entre la randomisation et la date de progression ou le décès, selon la première occurrence) ; l'étude ne disposait pas de la puissance nécessaire pour évaluer le critère de survie globale. Au total, 460 patients ont été randomisés : 231 patients dans le bras lénalidomide et 229 dans le bras placebo. Les caractéristiques démographiques et de la pathologie étaient comparables entre les deux bras.</w:t>
      </w:r>
    </w:p>
    <w:p w14:paraId="5938046A" w14:textId="77777777" w:rsidR="00833712" w:rsidRPr="00D2126A" w:rsidRDefault="00833712" w:rsidP="00C93C76">
      <w:pPr>
        <w:pStyle w:val="Date"/>
      </w:pPr>
    </w:p>
    <w:p w14:paraId="550E2961" w14:textId="77777777" w:rsidR="00833712" w:rsidRPr="00D2126A" w:rsidRDefault="000E5A86" w:rsidP="006B7D29">
      <w:pPr>
        <w:pStyle w:val="Date"/>
      </w:pPr>
      <w:r>
        <w:t>L'aveugle de l'étude a été levé sur les recommandations du comité de surveillance des données, lorsque le seuil d'une analyse intermédiaire préprogrammée de la SSP a été dépassé. Après la levée de l'aveugle, les patients du bras placebo ont été autorisés à passer dans le bras lénalidomide avant la progression de leur maladie.</w:t>
      </w:r>
    </w:p>
    <w:p w14:paraId="1B564409" w14:textId="77777777" w:rsidR="00833712" w:rsidRPr="00D2126A" w:rsidRDefault="00833712" w:rsidP="00C93C76"/>
    <w:p w14:paraId="532783CC" w14:textId="060D8486" w:rsidR="00036363" w:rsidRPr="00D2126A" w:rsidRDefault="000E5A86" w:rsidP="006B7D29">
      <w:pPr>
        <w:pStyle w:val="C-BodyText"/>
        <w:spacing w:before="0" w:after="0" w:line="240" w:lineRule="auto"/>
        <w:rPr>
          <w:sz w:val="22"/>
        </w:rPr>
      </w:pPr>
      <w:r>
        <w:rPr>
          <w:sz w:val="22"/>
        </w:rPr>
        <w:t>Les résultats de la SSP au moment de la levée de l'aveugle, suite à une analyse intermédiaire préprogrammée, avec gel des données le 17 décembre 2009 (suivi de 15,5 mois) ont montré une réduction de 62 % du risque de progression de la maladie ou de décès en faveur du lénalidomide (RR = 0,38 ; IC à 95 % 0,27 ; 0,54 ; p &lt; 0,001). La SSP médiane globale était de 33,9 mois (IC à 95 % NE ; NE) dans le bras lénalidomide contre 19,0 mois (IC à 95 % 16,2, 25,6) dans le bras placebo.</w:t>
      </w:r>
    </w:p>
    <w:p w14:paraId="67DB927B" w14:textId="4E9C098F" w:rsidR="00F50987" w:rsidRPr="00AB0414" w:rsidRDefault="00F50987" w:rsidP="006B7D29">
      <w:pPr>
        <w:pStyle w:val="C-BodyText"/>
        <w:spacing w:before="0" w:after="0" w:line="240" w:lineRule="auto"/>
        <w:rPr>
          <w:sz w:val="22"/>
        </w:rPr>
      </w:pPr>
    </w:p>
    <w:p w14:paraId="6D8F590A" w14:textId="77777777" w:rsidR="00F50987" w:rsidRPr="00D2126A" w:rsidRDefault="000E5A86" w:rsidP="006B7D29">
      <w:pPr>
        <w:pStyle w:val="C-BodyText"/>
        <w:spacing w:before="0" w:after="0" w:line="240" w:lineRule="auto"/>
        <w:rPr>
          <w:sz w:val="22"/>
        </w:rPr>
      </w:pPr>
      <w:r>
        <w:rPr>
          <w:sz w:val="22"/>
        </w:rPr>
        <w:t>Le bénéfice pour la SSP a été observé aussi bien dans le sous</w:t>
      </w:r>
      <w:r>
        <w:rPr>
          <w:sz w:val="22"/>
        </w:rPr>
        <w:noBreakHyphen/>
        <w:t>groupe de patients parvenus à une RC que dans le sous</w:t>
      </w:r>
      <w:r>
        <w:rPr>
          <w:sz w:val="22"/>
        </w:rPr>
        <w:noBreakHyphen/>
        <w:t>groupe de patients non parvenus à une RC.</w:t>
      </w:r>
    </w:p>
    <w:p w14:paraId="2F57C51A" w14:textId="77777777" w:rsidR="00F50987" w:rsidRPr="00D2126A" w:rsidRDefault="00F50987" w:rsidP="00C93C76">
      <w:pPr>
        <w:pStyle w:val="Date"/>
      </w:pPr>
    </w:p>
    <w:p w14:paraId="553142A5" w14:textId="72C028C5" w:rsidR="00B32020" w:rsidRPr="00D2126A" w:rsidRDefault="000E5A86" w:rsidP="00C93C76">
      <w:r>
        <w:t>Les résultats de l’étude, selon une analyse actualisée au 1</w:t>
      </w:r>
      <w:r>
        <w:rPr>
          <w:vertAlign w:val="superscript"/>
        </w:rPr>
        <w:t>er</w:t>
      </w:r>
      <w:r>
        <w:t> février 2016 sont présentés dans le tableau 7.</w:t>
      </w:r>
    </w:p>
    <w:p w14:paraId="5DD6A9BA" w14:textId="77777777" w:rsidR="00481DC7" w:rsidRPr="00D2126A" w:rsidRDefault="00481DC7" w:rsidP="00C93C76"/>
    <w:p w14:paraId="0F3A3318" w14:textId="149D3487" w:rsidR="00833712" w:rsidRPr="00D2126A" w:rsidRDefault="000E5A86" w:rsidP="00C93C76">
      <w:pPr>
        <w:pStyle w:val="C-TableHeader"/>
        <w:spacing w:before="0" w:after="0"/>
      </w:pPr>
      <w:r>
        <w:t>Tableau 7 : Synthèse des données d'efficacité globales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5667"/>
        <w:gridCol w:w="1758"/>
        <w:gridCol w:w="1758"/>
      </w:tblGrid>
      <w:tr w:rsidR="00D5485C" w:rsidRPr="00D2126A" w14:paraId="700B9343" w14:textId="77777777" w:rsidTr="00F003F4">
        <w:trPr>
          <w:cantSplit/>
          <w:trHeight w:val="57"/>
          <w:tblHeader/>
          <w:jc w:val="center"/>
        </w:trPr>
        <w:tc>
          <w:tcPr>
            <w:tcW w:w="3086" w:type="pct"/>
            <w:shd w:val="clear" w:color="auto" w:fill="auto"/>
            <w:tcMar>
              <w:top w:w="0" w:type="dxa"/>
              <w:left w:w="108" w:type="dxa"/>
              <w:bottom w:w="0" w:type="dxa"/>
              <w:right w:w="108" w:type="dxa"/>
            </w:tcMar>
          </w:tcPr>
          <w:p w14:paraId="46C6D01F" w14:textId="77777777" w:rsidR="00833712" w:rsidRPr="00AB0414" w:rsidRDefault="00833712" w:rsidP="006B7D29">
            <w:pPr>
              <w:pStyle w:val="C-TableHeader"/>
              <w:tabs>
                <w:tab w:val="center" w:pos="4153"/>
                <w:tab w:val="right" w:pos="8306"/>
              </w:tabs>
              <w:spacing w:before="0" w:after="0"/>
              <w:rPr>
                <w:i/>
                <w:iCs/>
                <w:color w:val="000000"/>
                <w:sz w:val="20"/>
              </w:rPr>
            </w:pPr>
          </w:p>
        </w:tc>
        <w:tc>
          <w:tcPr>
            <w:tcW w:w="957" w:type="pct"/>
            <w:shd w:val="clear" w:color="auto" w:fill="auto"/>
            <w:tcMar>
              <w:top w:w="0" w:type="dxa"/>
              <w:left w:w="108" w:type="dxa"/>
              <w:bottom w:w="0" w:type="dxa"/>
              <w:right w:w="108" w:type="dxa"/>
            </w:tcMar>
            <w:hideMark/>
          </w:tcPr>
          <w:p w14:paraId="76AFFB76" w14:textId="77777777" w:rsidR="00036363" w:rsidRPr="00D2126A" w:rsidRDefault="000E5A86" w:rsidP="006B7D29">
            <w:pPr>
              <w:pStyle w:val="C-TableText"/>
              <w:keepNext/>
              <w:spacing w:before="0" w:after="0"/>
              <w:jc w:val="center"/>
              <w:rPr>
                <w:sz w:val="20"/>
              </w:rPr>
            </w:pPr>
            <w:r>
              <w:rPr>
                <w:sz w:val="20"/>
              </w:rPr>
              <w:t>Lénalidomide</w:t>
            </w:r>
          </w:p>
          <w:p w14:paraId="542B1C23" w14:textId="5D3934EB" w:rsidR="00833712" w:rsidRPr="00D2126A" w:rsidRDefault="000E5A86" w:rsidP="006B7D29">
            <w:pPr>
              <w:pStyle w:val="C-TableText"/>
              <w:keepNext/>
              <w:spacing w:before="0" w:after="0"/>
              <w:jc w:val="center"/>
              <w:rPr>
                <w:color w:val="000000"/>
                <w:sz w:val="20"/>
              </w:rPr>
            </w:pPr>
            <w:r>
              <w:rPr>
                <w:sz w:val="20"/>
              </w:rPr>
              <w:t>(N = 231)</w:t>
            </w:r>
          </w:p>
        </w:tc>
        <w:tc>
          <w:tcPr>
            <w:tcW w:w="957" w:type="pct"/>
            <w:shd w:val="clear" w:color="auto" w:fill="auto"/>
          </w:tcPr>
          <w:p w14:paraId="0ECA76F9" w14:textId="77777777" w:rsidR="00036363" w:rsidRPr="00D2126A" w:rsidRDefault="000E5A86" w:rsidP="006B7D29">
            <w:pPr>
              <w:pStyle w:val="C-TableText"/>
              <w:keepNext/>
              <w:spacing w:before="0" w:after="0"/>
              <w:jc w:val="center"/>
              <w:rPr>
                <w:sz w:val="20"/>
              </w:rPr>
            </w:pPr>
            <w:r>
              <w:rPr>
                <w:sz w:val="20"/>
              </w:rPr>
              <w:t>Placebo</w:t>
            </w:r>
          </w:p>
          <w:p w14:paraId="14E3539E" w14:textId="63D573DB" w:rsidR="00833712" w:rsidRPr="00D2126A" w:rsidRDefault="000E5A86" w:rsidP="006B7D29">
            <w:pPr>
              <w:pStyle w:val="C-TableText"/>
              <w:keepNext/>
              <w:spacing w:before="0" w:after="0"/>
              <w:jc w:val="center"/>
              <w:rPr>
                <w:color w:val="000000"/>
                <w:sz w:val="20"/>
              </w:rPr>
            </w:pPr>
            <w:r>
              <w:rPr>
                <w:sz w:val="20"/>
              </w:rPr>
              <w:t>(N = 229)</w:t>
            </w:r>
          </w:p>
        </w:tc>
      </w:tr>
      <w:tr w:rsidR="00D5485C" w:rsidRPr="00D2126A" w14:paraId="75761070"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71D5A65" w14:textId="77777777" w:rsidR="00833712" w:rsidRPr="00D2126A" w:rsidRDefault="000E5A86" w:rsidP="00333629">
            <w:pPr>
              <w:pStyle w:val="C-TableText"/>
              <w:keepNext/>
              <w:spacing w:before="0" w:after="0"/>
              <w:rPr>
                <w:b/>
                <w:bCs/>
                <w:sz w:val="20"/>
              </w:rPr>
            </w:pPr>
            <w:r>
              <w:rPr>
                <w:b/>
                <w:sz w:val="20"/>
              </w:rPr>
              <w:t>SSP évaluée par les investigateurs</w:t>
            </w:r>
          </w:p>
        </w:tc>
        <w:tc>
          <w:tcPr>
            <w:tcW w:w="957" w:type="pct"/>
            <w:shd w:val="clear" w:color="auto" w:fill="auto"/>
            <w:tcMar>
              <w:top w:w="0" w:type="dxa"/>
              <w:left w:w="108" w:type="dxa"/>
              <w:bottom w:w="0" w:type="dxa"/>
              <w:right w:w="108" w:type="dxa"/>
            </w:tcMar>
          </w:tcPr>
          <w:p w14:paraId="0C217B48" w14:textId="77777777" w:rsidR="00833712" w:rsidRPr="00AB0414" w:rsidRDefault="00833712" w:rsidP="006B7D29">
            <w:pPr>
              <w:pStyle w:val="C-TableText"/>
              <w:keepNext/>
              <w:spacing w:before="0" w:after="0"/>
              <w:jc w:val="center"/>
              <w:rPr>
                <w:sz w:val="20"/>
              </w:rPr>
            </w:pPr>
          </w:p>
        </w:tc>
        <w:tc>
          <w:tcPr>
            <w:tcW w:w="957" w:type="pct"/>
            <w:shd w:val="clear" w:color="auto" w:fill="auto"/>
          </w:tcPr>
          <w:p w14:paraId="7B834189" w14:textId="77777777" w:rsidR="00833712" w:rsidRPr="00AB0414" w:rsidRDefault="00833712" w:rsidP="006B7D29">
            <w:pPr>
              <w:pStyle w:val="C-TableText"/>
              <w:keepNext/>
              <w:spacing w:before="0" w:after="0"/>
              <w:jc w:val="center"/>
              <w:rPr>
                <w:sz w:val="20"/>
              </w:rPr>
            </w:pPr>
          </w:p>
        </w:tc>
      </w:tr>
      <w:tr w:rsidR="00D5485C" w:rsidRPr="00D2126A" w14:paraId="5BB4E3F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D6199A3" w14:textId="753E3302" w:rsidR="00F50987" w:rsidRPr="00D2126A" w:rsidRDefault="000E5A86" w:rsidP="006B7D29">
            <w:pPr>
              <w:pStyle w:val="C-TableText"/>
              <w:keepNext/>
              <w:spacing w:before="0" w:after="0"/>
              <w:ind w:left="180"/>
              <w:rPr>
                <w:sz w:val="20"/>
              </w:rPr>
            </w:pPr>
            <w:r>
              <w:rPr>
                <w:sz w:val="20"/>
              </w:rPr>
              <w:t>SSP</w:t>
            </w:r>
            <w:r>
              <w:rPr>
                <w:sz w:val="20"/>
                <w:vertAlign w:val="superscript"/>
              </w:rPr>
              <w:t>a</w:t>
            </w:r>
            <w:r>
              <w:rPr>
                <w:sz w:val="20"/>
              </w:rPr>
              <w:t xml:space="preserve"> médiane, mois (IC à 95 %)</w:t>
            </w:r>
            <w:r>
              <w:rPr>
                <w:sz w:val="20"/>
                <w:vertAlign w:val="superscript"/>
              </w:rPr>
              <w:t>b</w:t>
            </w:r>
          </w:p>
        </w:tc>
        <w:tc>
          <w:tcPr>
            <w:tcW w:w="957" w:type="pct"/>
            <w:shd w:val="clear" w:color="auto" w:fill="auto"/>
            <w:tcMar>
              <w:top w:w="0" w:type="dxa"/>
              <w:left w:w="108" w:type="dxa"/>
              <w:bottom w:w="0" w:type="dxa"/>
              <w:right w:w="108" w:type="dxa"/>
            </w:tcMar>
          </w:tcPr>
          <w:p w14:paraId="344FF348" w14:textId="77777777" w:rsidR="00F50987" w:rsidRPr="00D2126A" w:rsidRDefault="000E5A86" w:rsidP="006B7D29">
            <w:pPr>
              <w:pStyle w:val="Default"/>
              <w:keepNext/>
              <w:jc w:val="center"/>
              <w:rPr>
                <w:color w:val="auto"/>
                <w:sz w:val="20"/>
                <w:szCs w:val="20"/>
              </w:rPr>
            </w:pPr>
            <w:r>
              <w:rPr>
                <w:b/>
                <w:color w:val="auto"/>
                <w:sz w:val="20"/>
              </w:rPr>
              <w:t>56,9</w:t>
            </w:r>
            <w:r>
              <w:rPr>
                <w:color w:val="auto"/>
                <w:sz w:val="20"/>
              </w:rPr>
              <w:t xml:space="preserve"> (41,9 ; 71,7)</w:t>
            </w:r>
          </w:p>
        </w:tc>
        <w:tc>
          <w:tcPr>
            <w:tcW w:w="957" w:type="pct"/>
            <w:shd w:val="clear" w:color="auto" w:fill="auto"/>
          </w:tcPr>
          <w:p w14:paraId="7A34EEAA" w14:textId="77777777" w:rsidR="00F50987" w:rsidRPr="00D2126A" w:rsidRDefault="000E5A86" w:rsidP="006B7D29">
            <w:pPr>
              <w:pStyle w:val="Default"/>
              <w:keepNext/>
              <w:jc w:val="center"/>
              <w:rPr>
                <w:color w:val="auto"/>
                <w:sz w:val="20"/>
                <w:szCs w:val="20"/>
              </w:rPr>
            </w:pPr>
            <w:r>
              <w:rPr>
                <w:b/>
                <w:color w:val="auto"/>
                <w:sz w:val="20"/>
              </w:rPr>
              <w:t>29,4</w:t>
            </w:r>
            <w:r>
              <w:rPr>
                <w:color w:val="auto"/>
                <w:sz w:val="20"/>
              </w:rPr>
              <w:t xml:space="preserve"> (20,7 ; 35,5)</w:t>
            </w:r>
          </w:p>
        </w:tc>
      </w:tr>
      <w:tr w:rsidR="00D5485C" w:rsidRPr="00D2126A" w14:paraId="2A8464D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59A96CE" w14:textId="3D8082F0" w:rsidR="00F50987" w:rsidRPr="00D2126A" w:rsidRDefault="000E5A86" w:rsidP="006B7D29">
            <w:pPr>
              <w:pStyle w:val="C-TableText"/>
              <w:spacing w:before="0" w:after="0"/>
              <w:ind w:left="180"/>
              <w:rPr>
                <w:sz w:val="20"/>
              </w:rPr>
            </w:pPr>
            <w:r>
              <w:rPr>
                <w:sz w:val="20"/>
              </w:rPr>
              <w:t>RR [IC à 95 %]</w:t>
            </w:r>
            <w:r>
              <w:rPr>
                <w:sz w:val="20"/>
                <w:vertAlign w:val="superscript"/>
              </w:rPr>
              <w:t>c </w:t>
            </w:r>
            <w:r>
              <w:rPr>
                <w:sz w:val="20"/>
              </w:rPr>
              <w:t>; valeur p</w:t>
            </w:r>
            <w:r>
              <w:rPr>
                <w:sz w:val="20"/>
                <w:vertAlign w:val="superscript"/>
              </w:rPr>
              <w:t>d</w:t>
            </w:r>
          </w:p>
        </w:tc>
        <w:tc>
          <w:tcPr>
            <w:tcW w:w="1914" w:type="pct"/>
            <w:gridSpan w:val="2"/>
            <w:shd w:val="clear" w:color="auto" w:fill="auto"/>
            <w:tcMar>
              <w:top w:w="0" w:type="dxa"/>
              <w:left w:w="108" w:type="dxa"/>
              <w:bottom w:w="0" w:type="dxa"/>
              <w:right w:w="108" w:type="dxa"/>
            </w:tcMar>
          </w:tcPr>
          <w:p w14:paraId="56984463" w14:textId="77777777" w:rsidR="00F50987" w:rsidRPr="00D2126A" w:rsidRDefault="000E5A86" w:rsidP="006B7D29">
            <w:pPr>
              <w:pStyle w:val="C-TableText"/>
              <w:keepNext/>
              <w:spacing w:before="0" w:after="0"/>
              <w:jc w:val="center"/>
              <w:rPr>
                <w:sz w:val="20"/>
              </w:rPr>
            </w:pPr>
            <w:r>
              <w:rPr>
                <w:b/>
                <w:sz w:val="20"/>
              </w:rPr>
              <w:t xml:space="preserve">0,61 </w:t>
            </w:r>
            <w:r>
              <w:rPr>
                <w:sz w:val="20"/>
              </w:rPr>
              <w:t>(0,48 ; 0,76) ; &lt; 0,001</w:t>
            </w:r>
          </w:p>
        </w:tc>
      </w:tr>
      <w:tr w:rsidR="00D5485C" w:rsidRPr="00D2126A" w14:paraId="281D733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1DE5B3" w14:textId="77777777" w:rsidR="00833712" w:rsidRPr="00D2126A" w:rsidRDefault="000E5A86" w:rsidP="00333629">
            <w:pPr>
              <w:pStyle w:val="C-TableText"/>
              <w:keepNext/>
              <w:spacing w:before="0" w:after="0"/>
              <w:rPr>
                <w:b/>
                <w:bCs/>
                <w:sz w:val="20"/>
              </w:rPr>
            </w:pPr>
            <w:r>
              <w:rPr>
                <w:b/>
                <w:sz w:val="20"/>
              </w:rPr>
              <w:t>SSP2</w:t>
            </w:r>
            <w:r>
              <w:rPr>
                <w:b/>
                <w:sz w:val="20"/>
                <w:vertAlign w:val="superscript"/>
              </w:rPr>
              <w:t>e</w:t>
            </w:r>
          </w:p>
        </w:tc>
        <w:tc>
          <w:tcPr>
            <w:tcW w:w="957" w:type="pct"/>
            <w:shd w:val="clear" w:color="auto" w:fill="auto"/>
            <w:tcMar>
              <w:top w:w="0" w:type="dxa"/>
              <w:left w:w="108" w:type="dxa"/>
              <w:bottom w:w="0" w:type="dxa"/>
              <w:right w:w="108" w:type="dxa"/>
            </w:tcMar>
          </w:tcPr>
          <w:p w14:paraId="7A01CA15"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31B28177" w14:textId="77777777" w:rsidR="00833712" w:rsidRPr="00D2126A" w:rsidRDefault="00833712" w:rsidP="006B7D29">
            <w:pPr>
              <w:pStyle w:val="C-TableText"/>
              <w:keepNext/>
              <w:spacing w:before="0" w:after="0"/>
              <w:jc w:val="center"/>
              <w:rPr>
                <w:sz w:val="20"/>
                <w:lang w:val="en-GB"/>
              </w:rPr>
            </w:pPr>
          </w:p>
        </w:tc>
      </w:tr>
      <w:tr w:rsidR="00D5485C" w:rsidRPr="00D2126A" w14:paraId="667798E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CD90B27" w14:textId="560C7AF9" w:rsidR="003C5086" w:rsidRPr="00D2126A" w:rsidRDefault="000E5A86" w:rsidP="006B7D29">
            <w:pPr>
              <w:pStyle w:val="C-TableText"/>
              <w:keepNext/>
              <w:spacing w:before="0" w:after="0"/>
              <w:ind w:left="180"/>
              <w:rPr>
                <w:sz w:val="20"/>
              </w:rPr>
            </w:pPr>
            <w:r>
              <w:rPr>
                <w:sz w:val="20"/>
              </w:rPr>
              <w:t>SSP2</w:t>
            </w:r>
            <w:r>
              <w:rPr>
                <w:sz w:val="20"/>
                <w:vertAlign w:val="superscript"/>
              </w:rPr>
              <w:t>a</w:t>
            </w:r>
            <w:r>
              <w:rPr>
                <w:sz w:val="20"/>
              </w:rPr>
              <w:t xml:space="preserve"> médiane, mois (IC à 95 %)</w:t>
            </w:r>
            <w:r>
              <w:rPr>
                <w:sz w:val="20"/>
                <w:vertAlign w:val="superscript"/>
              </w:rPr>
              <w:t>b</w:t>
            </w:r>
          </w:p>
        </w:tc>
        <w:tc>
          <w:tcPr>
            <w:tcW w:w="957" w:type="pct"/>
            <w:shd w:val="clear" w:color="auto" w:fill="auto"/>
            <w:tcMar>
              <w:top w:w="0" w:type="dxa"/>
              <w:left w:w="108" w:type="dxa"/>
              <w:bottom w:w="0" w:type="dxa"/>
              <w:right w:w="108" w:type="dxa"/>
            </w:tcMar>
          </w:tcPr>
          <w:p w14:paraId="7D8D7D4E" w14:textId="77777777" w:rsidR="003C5086" w:rsidRPr="00D2126A" w:rsidRDefault="000E5A86" w:rsidP="006B7D29">
            <w:pPr>
              <w:pStyle w:val="C-TableText"/>
              <w:keepNext/>
              <w:spacing w:before="0" w:after="0"/>
              <w:jc w:val="center"/>
              <w:rPr>
                <w:sz w:val="20"/>
              </w:rPr>
            </w:pPr>
            <w:r>
              <w:rPr>
                <w:b/>
                <w:sz w:val="20"/>
              </w:rPr>
              <w:t>80,2</w:t>
            </w:r>
            <w:r>
              <w:rPr>
                <w:sz w:val="20"/>
              </w:rPr>
              <w:t xml:space="preserve"> (63,3 ; 101,8)</w:t>
            </w:r>
          </w:p>
        </w:tc>
        <w:tc>
          <w:tcPr>
            <w:tcW w:w="957" w:type="pct"/>
            <w:shd w:val="clear" w:color="auto" w:fill="auto"/>
          </w:tcPr>
          <w:p w14:paraId="380D04A2" w14:textId="77777777" w:rsidR="003C5086" w:rsidRPr="00D2126A" w:rsidRDefault="000E5A86" w:rsidP="006B7D29">
            <w:pPr>
              <w:pStyle w:val="C-TableText"/>
              <w:keepNext/>
              <w:spacing w:before="0" w:after="0"/>
              <w:jc w:val="center"/>
              <w:rPr>
                <w:sz w:val="20"/>
              </w:rPr>
            </w:pPr>
            <w:r>
              <w:rPr>
                <w:b/>
                <w:sz w:val="20"/>
              </w:rPr>
              <w:t>52,8</w:t>
            </w:r>
            <w:r>
              <w:rPr>
                <w:sz w:val="20"/>
              </w:rPr>
              <w:t xml:space="preserve"> (41,3 ; 64,0)</w:t>
            </w:r>
          </w:p>
        </w:tc>
      </w:tr>
      <w:tr w:rsidR="00D5485C" w:rsidRPr="00D2126A" w14:paraId="5541F6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153114BC" w14:textId="618D8A46" w:rsidR="003C5086" w:rsidRPr="00D2126A" w:rsidRDefault="000E5A86" w:rsidP="006B7D29">
            <w:pPr>
              <w:pStyle w:val="C-TableText"/>
              <w:spacing w:before="0" w:after="0"/>
              <w:ind w:left="180"/>
              <w:rPr>
                <w:sz w:val="20"/>
              </w:rPr>
            </w:pPr>
            <w:r>
              <w:rPr>
                <w:sz w:val="20"/>
              </w:rPr>
              <w:t>RR [IC à 95 %]</w:t>
            </w:r>
            <w:r>
              <w:rPr>
                <w:sz w:val="20"/>
                <w:vertAlign w:val="superscript"/>
              </w:rPr>
              <w:t>c </w:t>
            </w:r>
            <w:r>
              <w:rPr>
                <w:sz w:val="20"/>
              </w:rPr>
              <w:t>; valeur p</w:t>
            </w:r>
            <w:r>
              <w:rPr>
                <w:sz w:val="20"/>
                <w:vertAlign w:val="superscript"/>
              </w:rPr>
              <w:t>d</w:t>
            </w:r>
          </w:p>
        </w:tc>
        <w:tc>
          <w:tcPr>
            <w:tcW w:w="1914" w:type="pct"/>
            <w:gridSpan w:val="2"/>
            <w:shd w:val="clear" w:color="auto" w:fill="auto"/>
            <w:tcMar>
              <w:top w:w="0" w:type="dxa"/>
              <w:left w:w="108" w:type="dxa"/>
              <w:bottom w:w="0" w:type="dxa"/>
              <w:right w:w="108" w:type="dxa"/>
            </w:tcMar>
          </w:tcPr>
          <w:p w14:paraId="16F522BA" w14:textId="0842DCD7" w:rsidR="003C5086" w:rsidRPr="00D2126A" w:rsidRDefault="000E5A86" w:rsidP="006B7D29">
            <w:pPr>
              <w:pStyle w:val="C-TableText"/>
              <w:keepNext/>
              <w:spacing w:before="0" w:after="0"/>
              <w:jc w:val="center"/>
              <w:rPr>
                <w:sz w:val="20"/>
              </w:rPr>
            </w:pPr>
            <w:r>
              <w:rPr>
                <w:b/>
                <w:sz w:val="20"/>
              </w:rPr>
              <w:t xml:space="preserve">0,61 </w:t>
            </w:r>
            <w:r>
              <w:rPr>
                <w:sz w:val="20"/>
              </w:rPr>
              <w:t>(0,48 ; 0,78) ; &lt; 0,001</w:t>
            </w:r>
          </w:p>
        </w:tc>
      </w:tr>
      <w:tr w:rsidR="00D5485C" w:rsidRPr="00D2126A" w14:paraId="458FD29E"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5E9706DD" w14:textId="77777777" w:rsidR="00833712" w:rsidRPr="00D2126A" w:rsidRDefault="000E5A86" w:rsidP="00333629">
            <w:pPr>
              <w:pStyle w:val="C-TableText"/>
              <w:keepNext/>
              <w:spacing w:before="0" w:after="0"/>
              <w:rPr>
                <w:i/>
                <w:iCs/>
                <w:sz w:val="20"/>
              </w:rPr>
            </w:pPr>
            <w:r>
              <w:rPr>
                <w:b/>
                <w:sz w:val="20"/>
              </w:rPr>
              <w:t>Survie globale</w:t>
            </w:r>
          </w:p>
        </w:tc>
        <w:tc>
          <w:tcPr>
            <w:tcW w:w="957" w:type="pct"/>
            <w:shd w:val="clear" w:color="auto" w:fill="auto"/>
            <w:tcMar>
              <w:top w:w="0" w:type="dxa"/>
              <w:left w:w="108" w:type="dxa"/>
              <w:bottom w:w="0" w:type="dxa"/>
              <w:right w:w="108" w:type="dxa"/>
            </w:tcMar>
          </w:tcPr>
          <w:p w14:paraId="62EF3BA0"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0ECF662F" w14:textId="77777777" w:rsidR="00833712" w:rsidRPr="00D2126A" w:rsidRDefault="00833712" w:rsidP="006B7D29">
            <w:pPr>
              <w:pStyle w:val="C-TableText"/>
              <w:keepNext/>
              <w:spacing w:before="0" w:after="0"/>
              <w:jc w:val="center"/>
              <w:rPr>
                <w:sz w:val="20"/>
                <w:lang w:val="en-GB"/>
              </w:rPr>
            </w:pPr>
          </w:p>
        </w:tc>
      </w:tr>
      <w:tr w:rsidR="00D5485C" w:rsidRPr="00D2126A" w14:paraId="6F0B2DB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98FE46B" w14:textId="5372B8DF" w:rsidR="00833712" w:rsidRPr="00D2126A" w:rsidRDefault="000E5A86" w:rsidP="006B7D29">
            <w:pPr>
              <w:pStyle w:val="C-TableText"/>
              <w:keepNext/>
              <w:spacing w:before="0" w:after="0"/>
              <w:ind w:left="180"/>
              <w:rPr>
                <w:sz w:val="20"/>
                <w:vertAlign w:val="superscript"/>
              </w:rPr>
            </w:pPr>
            <w:r>
              <w:rPr>
                <w:sz w:val="20"/>
              </w:rPr>
              <w:t>SG</w:t>
            </w:r>
            <w:r>
              <w:rPr>
                <w:sz w:val="20"/>
                <w:vertAlign w:val="superscript"/>
              </w:rPr>
              <w:t>a</w:t>
            </w:r>
            <w:r>
              <w:rPr>
                <w:sz w:val="20"/>
              </w:rPr>
              <w:t xml:space="preserve"> médiane, mois (IC à 95 %)</w:t>
            </w:r>
            <w:r>
              <w:rPr>
                <w:sz w:val="20"/>
                <w:vertAlign w:val="superscript"/>
              </w:rPr>
              <w:t>b</w:t>
            </w:r>
          </w:p>
        </w:tc>
        <w:tc>
          <w:tcPr>
            <w:tcW w:w="957" w:type="pct"/>
            <w:shd w:val="clear" w:color="auto" w:fill="auto"/>
            <w:tcMar>
              <w:top w:w="0" w:type="dxa"/>
              <w:left w:w="108" w:type="dxa"/>
              <w:bottom w:w="0" w:type="dxa"/>
              <w:right w:w="108" w:type="dxa"/>
            </w:tcMar>
          </w:tcPr>
          <w:p w14:paraId="603AC1B9" w14:textId="77777777" w:rsidR="00833712" w:rsidRPr="00D2126A" w:rsidRDefault="000E5A86" w:rsidP="006B7D29">
            <w:pPr>
              <w:pStyle w:val="C-TableText"/>
              <w:keepNext/>
              <w:spacing w:before="0" w:after="0"/>
              <w:jc w:val="center"/>
              <w:rPr>
                <w:sz w:val="20"/>
              </w:rPr>
            </w:pPr>
            <w:r>
              <w:rPr>
                <w:b/>
                <w:sz w:val="20"/>
              </w:rPr>
              <w:t>111,0</w:t>
            </w:r>
            <w:r>
              <w:rPr>
                <w:sz w:val="20"/>
              </w:rPr>
              <w:t xml:space="preserve"> (101,8 ; NE)</w:t>
            </w:r>
          </w:p>
        </w:tc>
        <w:tc>
          <w:tcPr>
            <w:tcW w:w="957" w:type="pct"/>
            <w:shd w:val="clear" w:color="auto" w:fill="auto"/>
          </w:tcPr>
          <w:p w14:paraId="4926C2C7" w14:textId="77777777" w:rsidR="00833712" w:rsidRPr="00D2126A" w:rsidRDefault="000E5A86" w:rsidP="006B7D29">
            <w:pPr>
              <w:pStyle w:val="C-TableText"/>
              <w:keepNext/>
              <w:spacing w:before="0" w:after="0"/>
              <w:jc w:val="center"/>
              <w:rPr>
                <w:sz w:val="20"/>
              </w:rPr>
            </w:pPr>
            <w:r>
              <w:rPr>
                <w:b/>
                <w:sz w:val="20"/>
              </w:rPr>
              <w:t>84,2</w:t>
            </w:r>
            <w:r>
              <w:rPr>
                <w:sz w:val="20"/>
              </w:rPr>
              <w:t xml:space="preserve"> (71,0 ; 102,7)</w:t>
            </w:r>
          </w:p>
        </w:tc>
      </w:tr>
      <w:tr w:rsidR="00D5485C" w:rsidRPr="00D2126A" w14:paraId="55C1809D" w14:textId="77777777" w:rsidTr="00F003F4">
        <w:trPr>
          <w:cantSplit/>
          <w:trHeight w:val="57"/>
          <w:jc w:val="center"/>
        </w:trPr>
        <w:tc>
          <w:tcPr>
            <w:tcW w:w="3086" w:type="pct"/>
            <w:shd w:val="clear" w:color="auto" w:fill="auto"/>
            <w:tcMar>
              <w:top w:w="0" w:type="dxa"/>
              <w:left w:w="108" w:type="dxa"/>
              <w:bottom w:w="0" w:type="dxa"/>
              <w:right w:w="108" w:type="dxa"/>
            </w:tcMar>
          </w:tcPr>
          <w:p w14:paraId="1AE50AF7" w14:textId="24C243F7" w:rsidR="00833712" w:rsidRPr="00D2126A" w:rsidRDefault="000E5A86" w:rsidP="006B7D29">
            <w:pPr>
              <w:pStyle w:val="C-TableText"/>
              <w:keepNext/>
              <w:spacing w:before="0" w:after="0"/>
              <w:ind w:left="180"/>
              <w:rPr>
                <w:sz w:val="20"/>
              </w:rPr>
            </w:pPr>
            <w:r>
              <w:rPr>
                <w:sz w:val="20"/>
              </w:rPr>
              <w:t>Taux de survie à 8 ans, % (ET)</w:t>
            </w:r>
          </w:p>
        </w:tc>
        <w:tc>
          <w:tcPr>
            <w:tcW w:w="957" w:type="pct"/>
            <w:shd w:val="clear" w:color="auto" w:fill="auto"/>
            <w:tcMar>
              <w:top w:w="0" w:type="dxa"/>
              <w:left w:w="108" w:type="dxa"/>
              <w:bottom w:w="0" w:type="dxa"/>
              <w:right w:w="108" w:type="dxa"/>
            </w:tcMar>
          </w:tcPr>
          <w:p w14:paraId="5FE25E99" w14:textId="77777777" w:rsidR="00833712" w:rsidRPr="00D2126A" w:rsidRDefault="000E5A86" w:rsidP="006B7D29">
            <w:pPr>
              <w:pStyle w:val="C-TableText"/>
              <w:keepNext/>
              <w:spacing w:before="0" w:after="0"/>
              <w:jc w:val="center"/>
              <w:rPr>
                <w:b/>
                <w:sz w:val="20"/>
              </w:rPr>
            </w:pPr>
            <w:r>
              <w:rPr>
                <w:sz w:val="20"/>
              </w:rPr>
              <w:t>60,9 (3,78)</w:t>
            </w:r>
          </w:p>
        </w:tc>
        <w:tc>
          <w:tcPr>
            <w:tcW w:w="957" w:type="pct"/>
            <w:shd w:val="clear" w:color="auto" w:fill="auto"/>
          </w:tcPr>
          <w:p w14:paraId="0A540E9E" w14:textId="77777777" w:rsidR="00833712" w:rsidRPr="00D2126A" w:rsidRDefault="000E5A86" w:rsidP="006B7D29">
            <w:pPr>
              <w:pStyle w:val="C-TableText"/>
              <w:keepNext/>
              <w:spacing w:before="0" w:after="0"/>
              <w:jc w:val="center"/>
              <w:rPr>
                <w:b/>
                <w:sz w:val="20"/>
              </w:rPr>
            </w:pPr>
            <w:r>
              <w:rPr>
                <w:sz w:val="20"/>
              </w:rPr>
              <w:t>44,6 (3,98)</w:t>
            </w:r>
          </w:p>
        </w:tc>
      </w:tr>
      <w:tr w:rsidR="00D5485C" w:rsidRPr="00D2126A" w14:paraId="4F3448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7B6FF03B" w14:textId="7B504641" w:rsidR="00833712" w:rsidRPr="00D2126A" w:rsidRDefault="000E5A86" w:rsidP="006B7D29">
            <w:pPr>
              <w:pStyle w:val="C-TableText"/>
              <w:spacing w:before="0" w:after="0"/>
              <w:ind w:left="180" w:right="-7"/>
              <w:jc w:val="both"/>
              <w:rPr>
                <w:sz w:val="20"/>
                <w:vertAlign w:val="superscript"/>
              </w:rPr>
            </w:pPr>
            <w:r>
              <w:rPr>
                <w:sz w:val="20"/>
              </w:rPr>
              <w:t>RR [IC à 95 %]</w:t>
            </w:r>
            <w:r>
              <w:rPr>
                <w:sz w:val="20"/>
                <w:vertAlign w:val="superscript"/>
              </w:rPr>
              <w:t>c </w:t>
            </w:r>
            <w:r>
              <w:rPr>
                <w:sz w:val="20"/>
              </w:rPr>
              <w:t>; valeur p</w:t>
            </w:r>
            <w:r>
              <w:rPr>
                <w:sz w:val="20"/>
                <w:vertAlign w:val="superscript"/>
              </w:rPr>
              <w:t>d</w:t>
            </w:r>
          </w:p>
        </w:tc>
        <w:tc>
          <w:tcPr>
            <w:tcW w:w="1914" w:type="pct"/>
            <w:gridSpan w:val="2"/>
            <w:shd w:val="clear" w:color="auto" w:fill="auto"/>
            <w:tcMar>
              <w:top w:w="0" w:type="dxa"/>
              <w:left w:w="108" w:type="dxa"/>
              <w:bottom w:w="0" w:type="dxa"/>
              <w:right w:w="108" w:type="dxa"/>
            </w:tcMar>
          </w:tcPr>
          <w:p w14:paraId="1060088A" w14:textId="5052A654" w:rsidR="00833712" w:rsidRPr="00D2126A" w:rsidRDefault="000E5A86" w:rsidP="006B7D29">
            <w:pPr>
              <w:pStyle w:val="C-TableText"/>
              <w:keepNext/>
              <w:spacing w:before="0" w:after="0"/>
              <w:jc w:val="center"/>
              <w:rPr>
                <w:sz w:val="20"/>
              </w:rPr>
            </w:pPr>
            <w:r>
              <w:rPr>
                <w:b/>
                <w:sz w:val="20"/>
              </w:rPr>
              <w:t>0,61</w:t>
            </w:r>
            <w:r>
              <w:rPr>
                <w:sz w:val="20"/>
              </w:rPr>
              <w:t xml:space="preserve"> (0,46 ; 0,81) ; &lt; 0,001</w:t>
            </w:r>
          </w:p>
        </w:tc>
      </w:tr>
      <w:tr w:rsidR="00D5485C" w:rsidRPr="00D2126A" w14:paraId="0B14B52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23CAB96A" w14:textId="77777777" w:rsidR="00833712" w:rsidRPr="00D2126A" w:rsidRDefault="000E5A86" w:rsidP="00333629">
            <w:pPr>
              <w:pStyle w:val="C-TableText"/>
              <w:keepNext/>
              <w:spacing w:before="0" w:after="0"/>
              <w:rPr>
                <w:sz w:val="20"/>
              </w:rPr>
            </w:pPr>
            <w:r>
              <w:rPr>
                <w:b/>
                <w:sz w:val="20"/>
              </w:rPr>
              <w:t>Suivi</w:t>
            </w:r>
          </w:p>
        </w:tc>
        <w:tc>
          <w:tcPr>
            <w:tcW w:w="957" w:type="pct"/>
            <w:shd w:val="clear" w:color="auto" w:fill="auto"/>
            <w:tcMar>
              <w:top w:w="0" w:type="dxa"/>
              <w:left w:w="108" w:type="dxa"/>
              <w:bottom w:w="0" w:type="dxa"/>
              <w:right w:w="108" w:type="dxa"/>
            </w:tcMar>
          </w:tcPr>
          <w:p w14:paraId="3337E61C"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02838868" w14:textId="77777777" w:rsidR="00833712" w:rsidRPr="00D2126A" w:rsidRDefault="00833712" w:rsidP="006B7D29">
            <w:pPr>
              <w:pStyle w:val="C-TableText"/>
              <w:keepNext/>
              <w:spacing w:before="0" w:after="0"/>
              <w:jc w:val="center"/>
              <w:rPr>
                <w:sz w:val="20"/>
                <w:lang w:val="en-GB"/>
              </w:rPr>
            </w:pPr>
          </w:p>
        </w:tc>
      </w:tr>
      <w:tr w:rsidR="00D5485C" w:rsidRPr="00D2126A" w14:paraId="021EDDE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767BED" w14:textId="77777777" w:rsidR="00833712" w:rsidRPr="00D2126A" w:rsidRDefault="000E5A86" w:rsidP="006B7D29">
            <w:pPr>
              <w:pStyle w:val="C-TableText"/>
              <w:keepNext/>
              <w:spacing w:before="0" w:after="0"/>
              <w:ind w:left="180"/>
              <w:rPr>
                <w:sz w:val="20"/>
              </w:rPr>
            </w:pPr>
            <w:r>
              <w:rPr>
                <w:sz w:val="20"/>
              </w:rPr>
              <w:t>Médian</w:t>
            </w:r>
            <w:r>
              <w:rPr>
                <w:sz w:val="20"/>
                <w:vertAlign w:val="superscript"/>
              </w:rPr>
              <w:t>f</w:t>
            </w:r>
            <w:r>
              <w:rPr>
                <w:sz w:val="20"/>
              </w:rPr>
              <w:t xml:space="preserve"> (min., max.), mois : tous les patients survivants</w:t>
            </w:r>
          </w:p>
        </w:tc>
        <w:tc>
          <w:tcPr>
            <w:tcW w:w="957" w:type="pct"/>
            <w:shd w:val="clear" w:color="auto" w:fill="auto"/>
            <w:tcMar>
              <w:top w:w="0" w:type="dxa"/>
              <w:left w:w="108" w:type="dxa"/>
              <w:bottom w:w="0" w:type="dxa"/>
              <w:right w:w="108" w:type="dxa"/>
            </w:tcMar>
          </w:tcPr>
          <w:p w14:paraId="407D0D01" w14:textId="77777777" w:rsidR="00833712" w:rsidRPr="00D2126A" w:rsidRDefault="000E5A86" w:rsidP="006B7D29">
            <w:pPr>
              <w:pStyle w:val="C-TableText"/>
              <w:keepNext/>
              <w:spacing w:before="0" w:after="0"/>
              <w:jc w:val="center"/>
              <w:rPr>
                <w:sz w:val="20"/>
              </w:rPr>
            </w:pPr>
            <w:r>
              <w:rPr>
                <w:b/>
                <w:sz w:val="20"/>
              </w:rPr>
              <w:t>81,9</w:t>
            </w:r>
            <w:r>
              <w:rPr>
                <w:sz w:val="20"/>
              </w:rPr>
              <w:t xml:space="preserve"> (0,0 ; 119,8)</w:t>
            </w:r>
          </w:p>
        </w:tc>
        <w:tc>
          <w:tcPr>
            <w:tcW w:w="957" w:type="pct"/>
            <w:shd w:val="clear" w:color="auto" w:fill="auto"/>
          </w:tcPr>
          <w:p w14:paraId="1868A8C2" w14:textId="77777777" w:rsidR="00833712" w:rsidRPr="00D2126A" w:rsidRDefault="000E5A86" w:rsidP="006B7D29">
            <w:pPr>
              <w:pStyle w:val="C-TableText"/>
              <w:keepNext/>
              <w:spacing w:before="0" w:after="0"/>
              <w:jc w:val="center"/>
              <w:rPr>
                <w:sz w:val="20"/>
              </w:rPr>
            </w:pPr>
            <w:r>
              <w:rPr>
                <w:b/>
                <w:sz w:val="20"/>
              </w:rPr>
              <w:t>81,0</w:t>
            </w:r>
            <w:r>
              <w:rPr>
                <w:sz w:val="20"/>
              </w:rPr>
              <w:t xml:space="preserve"> (4,1 ; 119,5)</w:t>
            </w:r>
          </w:p>
        </w:tc>
      </w:tr>
    </w:tbl>
    <w:p w14:paraId="1E879699" w14:textId="09794DFD" w:rsidR="00036363" w:rsidRPr="00D2126A" w:rsidRDefault="000E5A86" w:rsidP="00C93C76">
      <w:pPr>
        <w:pStyle w:val="C-TableFootnote"/>
        <w:ind w:left="0" w:firstLine="0"/>
        <w:rPr>
          <w:sz w:val="16"/>
          <w:szCs w:val="16"/>
        </w:rPr>
      </w:pPr>
      <w:r>
        <w:rPr>
          <w:sz w:val="16"/>
        </w:rPr>
        <w:t>IC = intervalle de confiance ; RR = rapport de risque ; max = maximum ; min = minimum ; NE = non estimable ; SG = survie globale ; SSP = survie sans progression ;</w:t>
      </w:r>
    </w:p>
    <w:p w14:paraId="6BB3802A" w14:textId="45299C0A" w:rsidR="00833712" w:rsidRPr="00D2126A" w:rsidRDefault="000E5A86" w:rsidP="00C93C76">
      <w:pPr>
        <w:pStyle w:val="C-TableFootnote"/>
        <w:rPr>
          <w:sz w:val="16"/>
          <w:szCs w:val="16"/>
        </w:rPr>
      </w:pPr>
      <w:r>
        <w:rPr>
          <w:sz w:val="16"/>
          <w:vertAlign w:val="superscript"/>
        </w:rPr>
        <w:t xml:space="preserve">a </w:t>
      </w:r>
      <w:r>
        <w:rPr>
          <w:sz w:val="16"/>
        </w:rPr>
        <w:t>La médiane est basée sur l'estimation de Kaplan</w:t>
      </w:r>
      <w:r>
        <w:rPr>
          <w:sz w:val="16"/>
        </w:rPr>
        <w:noBreakHyphen/>
        <w:t>Meier.</w:t>
      </w:r>
    </w:p>
    <w:p w14:paraId="6048B3A2" w14:textId="78579C2A" w:rsidR="00833712" w:rsidRPr="00D2126A" w:rsidRDefault="000E5A86" w:rsidP="00C93C76">
      <w:pPr>
        <w:pStyle w:val="C-TableFootnote"/>
        <w:rPr>
          <w:sz w:val="16"/>
          <w:szCs w:val="16"/>
        </w:rPr>
      </w:pPr>
      <w:r>
        <w:rPr>
          <w:sz w:val="16"/>
          <w:vertAlign w:val="superscript"/>
        </w:rPr>
        <w:t xml:space="preserve">b </w:t>
      </w:r>
      <w:r>
        <w:rPr>
          <w:sz w:val="16"/>
        </w:rPr>
        <w:t>IC à 95 % de la médiane.</w:t>
      </w:r>
    </w:p>
    <w:p w14:paraId="602028BD" w14:textId="5A91DA22" w:rsidR="00833712" w:rsidRPr="00D2126A" w:rsidRDefault="000E5A86" w:rsidP="00C93C76">
      <w:pPr>
        <w:pStyle w:val="C-TableFootnote"/>
        <w:rPr>
          <w:sz w:val="16"/>
          <w:szCs w:val="16"/>
        </w:rPr>
      </w:pPr>
      <w:r>
        <w:rPr>
          <w:sz w:val="16"/>
          <w:vertAlign w:val="superscript"/>
        </w:rPr>
        <w:t xml:space="preserve">c </w:t>
      </w:r>
      <w:r>
        <w:rPr>
          <w:sz w:val="16"/>
        </w:rPr>
        <w:t>Basé sur un modèle pour risques proportionnels de Cox comparant les fonctions de risque associées aux bras de traitement indiqués.</w:t>
      </w:r>
    </w:p>
    <w:p w14:paraId="4CC7C129" w14:textId="459B3730" w:rsidR="00833712" w:rsidRPr="00D2126A" w:rsidRDefault="000E5A86" w:rsidP="00C93C76">
      <w:pPr>
        <w:pStyle w:val="C-TableFootnote"/>
        <w:rPr>
          <w:sz w:val="16"/>
          <w:szCs w:val="16"/>
        </w:rPr>
      </w:pPr>
      <w:r>
        <w:rPr>
          <w:sz w:val="16"/>
          <w:vertAlign w:val="superscript"/>
        </w:rPr>
        <w:t>d</w:t>
      </w:r>
      <w:r>
        <w:rPr>
          <w:sz w:val="16"/>
        </w:rPr>
        <w:t xml:space="preserve"> Valeur p déterminée par le test log</w:t>
      </w:r>
      <w:r>
        <w:rPr>
          <w:sz w:val="16"/>
        </w:rPr>
        <w:noBreakHyphen/>
        <w:t>rank non stratifié des différences de la courbe de Kaplan</w:t>
      </w:r>
      <w:r>
        <w:rPr>
          <w:sz w:val="16"/>
        </w:rPr>
        <w:noBreakHyphen/>
        <w:t>Meier entre les bras de traitement indiqués.</w:t>
      </w:r>
    </w:p>
    <w:p w14:paraId="264A2E51" w14:textId="0DFABAF2" w:rsidR="00833712" w:rsidRPr="00D2126A" w:rsidRDefault="000E5A86" w:rsidP="00C93C76">
      <w:pPr>
        <w:autoSpaceDE w:val="0"/>
        <w:autoSpaceDN w:val="0"/>
        <w:adjustRightInd w:val="0"/>
        <w:rPr>
          <w:sz w:val="16"/>
          <w:szCs w:val="16"/>
        </w:rPr>
      </w:pPr>
      <w:r>
        <w:rPr>
          <w:sz w:val="16"/>
          <w:vertAlign w:val="superscript"/>
        </w:rPr>
        <w:t xml:space="preserve">e </w:t>
      </w:r>
      <w:r>
        <w:rPr>
          <w:sz w:val="16"/>
        </w:rPr>
        <w:t>Critère exploratoire (SSP2). Le lénalidomide reçu par les sujets du bras placebo qui ont changé de traitement avant la PM au moment de la levée de l'aveugle n’a pas été considéré comme un traitement de seconde intention.</w:t>
      </w:r>
    </w:p>
    <w:p w14:paraId="06DFACE6" w14:textId="1D80DEB3" w:rsidR="00833712" w:rsidRPr="00D2126A" w:rsidRDefault="000E5A86" w:rsidP="00C93C76">
      <w:pPr>
        <w:keepNext/>
        <w:autoSpaceDE w:val="0"/>
        <w:autoSpaceDN w:val="0"/>
        <w:adjustRightInd w:val="0"/>
        <w:ind w:left="180" w:right="-270" w:hanging="180"/>
        <w:rPr>
          <w:sz w:val="16"/>
          <w:szCs w:val="16"/>
        </w:rPr>
      </w:pPr>
      <w:r>
        <w:rPr>
          <w:sz w:val="16"/>
          <w:vertAlign w:val="superscript"/>
        </w:rPr>
        <w:t xml:space="preserve">f </w:t>
      </w:r>
      <w:r>
        <w:rPr>
          <w:sz w:val="16"/>
        </w:rPr>
        <w:t>Suivi médian après une AGCS pour tous les sujets survivants.</w:t>
      </w:r>
    </w:p>
    <w:p w14:paraId="4DF8B45E" w14:textId="5A801FBB" w:rsidR="00833712" w:rsidRPr="00D2126A" w:rsidRDefault="000E5A86" w:rsidP="00C93C76">
      <w:pPr>
        <w:keepNext/>
        <w:autoSpaceDE w:val="0"/>
        <w:autoSpaceDN w:val="0"/>
        <w:adjustRightInd w:val="0"/>
        <w:ind w:left="180" w:right="-270" w:hanging="180"/>
        <w:rPr>
          <w:sz w:val="16"/>
          <w:szCs w:val="16"/>
        </w:rPr>
      </w:pPr>
      <w:r>
        <w:rPr>
          <w:b/>
          <w:sz w:val="16"/>
        </w:rPr>
        <w:t>Date de gel des données :</w:t>
      </w:r>
      <w:r>
        <w:rPr>
          <w:sz w:val="16"/>
        </w:rPr>
        <w:t xml:space="preserve"> 17 déc. 2009 et 1er fév. 2016</w:t>
      </w:r>
    </w:p>
    <w:p w14:paraId="592C588F" w14:textId="77777777" w:rsidR="00833712" w:rsidRPr="00D2126A" w:rsidRDefault="00833712" w:rsidP="00C93C76">
      <w:pPr>
        <w:pStyle w:val="Date"/>
      </w:pPr>
    </w:p>
    <w:p w14:paraId="154E3AB2" w14:textId="2B7ABDBB" w:rsidR="00833712" w:rsidRPr="00D2126A" w:rsidRDefault="000E5A86" w:rsidP="006B7D29">
      <w:pPr>
        <w:pStyle w:val="Date"/>
        <w:keepNext/>
        <w:rPr>
          <w:i/>
          <w:color w:val="000000"/>
        </w:rPr>
      </w:pPr>
      <w:r>
        <w:rPr>
          <w:i/>
          <w:color w:val="000000"/>
        </w:rPr>
        <w:t>IFM 2005</w:t>
      </w:r>
      <w:r>
        <w:rPr>
          <w:i/>
          <w:color w:val="000000"/>
        </w:rPr>
        <w:noBreakHyphen/>
        <w:t>02</w:t>
      </w:r>
    </w:p>
    <w:p w14:paraId="752E82D9" w14:textId="24B7D9DE" w:rsidR="00833712" w:rsidRPr="00D2126A" w:rsidRDefault="000E5A86" w:rsidP="006B7D29">
      <w:pPr>
        <w:pStyle w:val="C-BodyText"/>
        <w:spacing w:before="0" w:after="0" w:line="240" w:lineRule="auto"/>
        <w:rPr>
          <w:color w:val="000000"/>
          <w:sz w:val="22"/>
          <w:szCs w:val="22"/>
        </w:rPr>
      </w:pPr>
      <w:r>
        <w:rPr>
          <w:color w:val="000000"/>
          <w:sz w:val="22"/>
        </w:rPr>
        <w:t>Des patients âgés de moins de 65 ans lors du diagnostic qui avaient reçu une AGCS et présentaient au moins une maladie stable au moment de la récupération hématologique étaient éligibles. Les patients ont été randomisés selon un rapport 1:1 pour recevoir le lénalidomide ou le placebo en traitement d'entretien (10 mg une fois par jour les jours 1 à 28 de cycles de 28 jours, augmentés jusqu'à 15 mg une fois par jour après 3 mois en l'absence de toxicité dose</w:t>
      </w:r>
      <w:r>
        <w:rPr>
          <w:color w:val="000000"/>
          <w:sz w:val="22"/>
        </w:rPr>
        <w:noBreakHyphen/>
        <w:t>limitante) après 2 cures de consolidation par le lénalidomide (25 mg/jour, les jours 1 à 21 d'un cycle de 28 jours). Le traitement devait être poursuivi jusqu'à la progression de la maladie.</w:t>
      </w:r>
    </w:p>
    <w:p w14:paraId="145EA3EA" w14:textId="77777777" w:rsidR="00833712" w:rsidRPr="00AB0414" w:rsidRDefault="00833712" w:rsidP="006B7D29">
      <w:pPr>
        <w:pStyle w:val="C-BodyText"/>
        <w:spacing w:before="0" w:after="0" w:line="240" w:lineRule="auto"/>
        <w:rPr>
          <w:color w:val="000000"/>
          <w:sz w:val="22"/>
          <w:szCs w:val="22"/>
        </w:rPr>
      </w:pPr>
    </w:p>
    <w:p w14:paraId="0DC2FCD6" w14:textId="32F4C11E" w:rsidR="00833712" w:rsidRPr="00D2126A" w:rsidRDefault="000E5A86" w:rsidP="006B7D29">
      <w:pPr>
        <w:pStyle w:val="C-BodyText"/>
        <w:spacing w:before="0" w:after="0" w:line="240" w:lineRule="auto"/>
        <w:rPr>
          <w:color w:val="000000"/>
          <w:sz w:val="22"/>
          <w:szCs w:val="22"/>
        </w:rPr>
      </w:pPr>
      <w:r>
        <w:rPr>
          <w:color w:val="000000"/>
          <w:sz w:val="22"/>
        </w:rPr>
        <w:t>Le critère principal d’évaluation était la SSP (définie comme le délai entre la randomisation et la date de progression ou le décès, selon la première occurrence) ; l'étude ne disposait pas de la puissance nécessaire pour évaluer le critère de survie globale. Au total, 614 patients ont été randomisés : 307 patients dans le bras lénalidomide et 307 dans le bras placebo.</w:t>
      </w:r>
    </w:p>
    <w:p w14:paraId="0C6A5365" w14:textId="77777777" w:rsidR="00833712" w:rsidRPr="00AB0414" w:rsidRDefault="00833712" w:rsidP="006B7D29">
      <w:pPr>
        <w:pStyle w:val="C-BodyText"/>
        <w:spacing w:before="0" w:after="0" w:line="240" w:lineRule="auto"/>
        <w:rPr>
          <w:color w:val="000000"/>
          <w:sz w:val="22"/>
          <w:szCs w:val="22"/>
        </w:rPr>
      </w:pPr>
    </w:p>
    <w:p w14:paraId="660DFF43" w14:textId="4456D3F8" w:rsidR="00634626" w:rsidRPr="00D2126A" w:rsidRDefault="000E5A86" w:rsidP="00C93C76">
      <w:pPr>
        <w:autoSpaceDE w:val="0"/>
        <w:autoSpaceDN w:val="0"/>
        <w:adjustRightInd w:val="0"/>
      </w:pPr>
      <w:r>
        <w:t>L'aveugle de l'étude a été levé sur les recommandations du comité de surveillance des données, lorsque le seuil d'une analyse intermédiaire préprogrammée de la SSP a été dépassé. Après la levée de l’aveugle, les patients recevant le placebo ne sont pas passés dans le bras de traitement par le lénalidomide avant la progression de leur maladie. Le bras lénalidomide a été interrompu par mesure de sécurité proactive, après avoir observé un déséquilibre dans l’apparition de cancers secondaires (voir rubrique 4.4).</w:t>
      </w:r>
    </w:p>
    <w:p w14:paraId="4206A8AC" w14:textId="77777777" w:rsidR="00634626" w:rsidRPr="00AB0414" w:rsidRDefault="00634626" w:rsidP="006B7D29">
      <w:pPr>
        <w:pStyle w:val="C-BodyText"/>
        <w:spacing w:before="0" w:after="0" w:line="240" w:lineRule="auto"/>
        <w:rPr>
          <w:color w:val="000000"/>
          <w:sz w:val="22"/>
          <w:szCs w:val="22"/>
        </w:rPr>
      </w:pPr>
    </w:p>
    <w:p w14:paraId="1481A794" w14:textId="4ECB9D3B" w:rsidR="00E3150F" w:rsidRPr="00D2126A" w:rsidRDefault="000E5A86" w:rsidP="006B7D29">
      <w:pPr>
        <w:pStyle w:val="C-BodyText"/>
        <w:spacing w:before="0" w:after="0" w:line="240" w:lineRule="auto"/>
        <w:rPr>
          <w:color w:val="000000"/>
          <w:sz w:val="22"/>
          <w:szCs w:val="22"/>
        </w:rPr>
      </w:pPr>
      <w:r>
        <w:rPr>
          <w:color w:val="000000"/>
          <w:sz w:val="22"/>
        </w:rPr>
        <w:t>Les résultats de la SSP au moment de la levée de l'aveugle, suite à une analyse intermédiaire préprogrammée, avec gel des données le 7 juillet 2010 (suivi de 31,4 mois) ont montré une réduction de 48 % du risque de progression de la maladie ou de décès en faveur du lénalidomide (RR = 0,52 ; IC à 95 % 0,41 ; 0,66 ; p &lt; 0,001). La SSP médiane globale était de 40,1 mois (IC à 95 % 35,7 ; 42,4) dans le bras lénalidomide contre 22,8 mois (IC à 95 % 20,7 ; 27,4) dans le bras placebo.</w:t>
      </w:r>
    </w:p>
    <w:p w14:paraId="4D068B1E" w14:textId="77777777" w:rsidR="00E3150F" w:rsidRPr="00AB0414" w:rsidRDefault="00E3150F" w:rsidP="006B7D29">
      <w:pPr>
        <w:pStyle w:val="C-BodyText"/>
        <w:spacing w:before="0" w:after="0" w:line="240" w:lineRule="auto"/>
        <w:rPr>
          <w:color w:val="000000"/>
          <w:sz w:val="22"/>
          <w:szCs w:val="22"/>
        </w:rPr>
      </w:pPr>
    </w:p>
    <w:p w14:paraId="0F13DA23" w14:textId="77777777" w:rsidR="005D3FED" w:rsidRPr="00D2126A" w:rsidRDefault="000E5A86" w:rsidP="006B7D29">
      <w:pPr>
        <w:pStyle w:val="Date"/>
      </w:pPr>
      <w:r>
        <w:t>Le bénéfice pour la SSP était moins important dans le sous</w:t>
      </w:r>
      <w:r>
        <w:noBreakHyphen/>
        <w:t>groupe de patients parvenus à une RC que dans le sous</w:t>
      </w:r>
      <w:r>
        <w:noBreakHyphen/>
        <w:t>groupe de patients non parvenus à une RC.</w:t>
      </w:r>
    </w:p>
    <w:p w14:paraId="07A43B33" w14:textId="77777777" w:rsidR="005D3FED" w:rsidRPr="00AB0414" w:rsidRDefault="005D3FED" w:rsidP="006B7D29">
      <w:pPr>
        <w:pStyle w:val="C-BodyText"/>
        <w:spacing w:before="0" w:after="0" w:line="240" w:lineRule="auto"/>
        <w:rPr>
          <w:color w:val="000000"/>
          <w:sz w:val="22"/>
          <w:szCs w:val="22"/>
        </w:rPr>
      </w:pPr>
    </w:p>
    <w:p w14:paraId="427FB5C5" w14:textId="652F5693" w:rsidR="00833712" w:rsidRPr="00D2126A" w:rsidRDefault="000E5A86" w:rsidP="006B7D29">
      <w:pPr>
        <w:pStyle w:val="C-BodyText"/>
        <w:spacing w:before="0" w:after="0" w:line="240" w:lineRule="auto"/>
        <w:rPr>
          <w:color w:val="000000"/>
          <w:sz w:val="22"/>
          <w:szCs w:val="22"/>
        </w:rPr>
      </w:pPr>
      <w:r>
        <w:rPr>
          <w:color w:val="000000"/>
          <w:sz w:val="22"/>
        </w:rPr>
        <w:t>La SSP actualisée, avec gel des données le 1er février 2016 (suivi de 96,7 mois) continue à montrer un avantage en SSP : RR = 0,57 (IC à 95 % 0,47 ; 0,68 ; p &lt; 0,001). La SSP médiane globale était de 44,4 mois (IC à 95 % 39,6 ; 52,0) dans le bras lénalidomide contre 23,8 mois (IC à 95 % 21,2 ; 27,3) dans le bras placebo. Pour la SSP2, le RR observé était de 0,80 (IC à 95 % 0,66 ; 0,98 ; p = 0,026) pour le lénalidomide par rapport au placebo. La SSP2 médiane globale était de 69,9 mois (IC à 95 % 58,1 ; 80,0) dans le bras lénalidomide contre 58,4 mois (IC à 95 % 51,1 ; 65,0) dans le bras placebo. Pour la SG, le RR observé était de 0,90 (IC à 95 % 0,72 ; 1,13 ; p = 0,355) pour le lénalidomide par rapport au placebo. La survie médiane globale était de 105,9 mois (IC à 95 % 88,8 ; NE) dans le bras lénalidomide contre 88,1 mois (IC à 95 % 80,7 ; 108,4) dans le bras placebo.</w:t>
      </w:r>
    </w:p>
    <w:p w14:paraId="386D20C8" w14:textId="77777777" w:rsidR="00833712" w:rsidRPr="00D2126A" w:rsidRDefault="00833712" w:rsidP="00C93C76">
      <w:pPr>
        <w:pStyle w:val="Date"/>
      </w:pPr>
    </w:p>
    <w:p w14:paraId="4D8F66CE" w14:textId="77777777" w:rsidR="00A22523" w:rsidRPr="00D2126A" w:rsidRDefault="000E5A86" w:rsidP="00C7655E">
      <w:pPr>
        <w:keepNext/>
        <w:numPr>
          <w:ilvl w:val="0"/>
          <w:numId w:val="37"/>
        </w:numPr>
        <w:autoSpaceDE w:val="0"/>
        <w:autoSpaceDN w:val="0"/>
        <w:adjustRightInd w:val="0"/>
        <w:ind w:left="567" w:hanging="567"/>
        <w:rPr>
          <w:bCs/>
          <w:iCs/>
          <w:color w:val="000000"/>
          <w:w w:val="103"/>
          <w:u w:val="single"/>
        </w:rPr>
      </w:pPr>
      <w:r>
        <w:rPr>
          <w:color w:val="000000"/>
          <w:u w:val="single"/>
        </w:rPr>
        <w:t>Lénalidomide en association avec le bortézomib et la dexaméthasone chez les patients non éligibles à une greffe de cellules souches</w:t>
      </w:r>
    </w:p>
    <w:p w14:paraId="451C4746" w14:textId="77777777" w:rsidR="00C7655E" w:rsidRPr="00D2126A" w:rsidRDefault="00C7655E" w:rsidP="00C7655E">
      <w:pPr>
        <w:pStyle w:val="Date"/>
        <w:keepNext/>
        <w:rPr>
          <w:color w:val="000000"/>
        </w:rPr>
      </w:pPr>
    </w:p>
    <w:p w14:paraId="401E9155" w14:textId="0FFFBFC8" w:rsidR="00036363" w:rsidRPr="00D2126A" w:rsidRDefault="000E5A86" w:rsidP="00C93C76">
      <w:pPr>
        <w:pStyle w:val="Date"/>
      </w:pPr>
      <w:r>
        <w:rPr>
          <w:color w:val="000000"/>
        </w:rPr>
        <w:t>L’étude SWOG S0777 visait à évaluer l’ajout du bortézomib à l’association de base de lénalidomide et dexaméthasone en traitement initial, suivi du traitement par l’association Rd poursuivi jusqu’à la progression de la maladie, chez des patients atteints d’un myélome multiple non préalablement traité qui n'étaient pas éligibles à une greffe ou qui étaient éligibles à une greffe mais chez lesquels une greffe n’était pas prévue immédiatement.</w:t>
      </w:r>
    </w:p>
    <w:p w14:paraId="57D5AEA5" w14:textId="52A93336" w:rsidR="00BE6869" w:rsidRPr="00D2126A" w:rsidRDefault="00BE6869" w:rsidP="00C7655E"/>
    <w:p w14:paraId="3B99D073" w14:textId="715A83F9" w:rsidR="00BE6869" w:rsidRPr="00D2126A" w:rsidRDefault="000E5A86" w:rsidP="00CA5528">
      <w:r>
        <w:t>Les patients du bras lénalidomide, bortézomib et dexaméthasone (RVd) ont reçu le lénalidomide 25 mg/jour par voie orale les jours 1 à 14, le bortézomib 1,3 mg/m</w:t>
      </w:r>
      <w:r>
        <w:rPr>
          <w:vertAlign w:val="superscript"/>
        </w:rPr>
        <w:t>2</w:t>
      </w:r>
      <w:r>
        <w:t xml:space="preserve"> par voie intraveineuse les jours 1, 4, 8 et 11 et la dexaméthasone 20 mg/jour par voie orale les jours 1, 2, 4, 5, 8, 9, 11 et 12 de chaque cycle de 21 jours répétés pour atteindre un total allant jusqu’à 8 cycles de 21 jours (24 semaines). Les patients du bras lénalidomide et dexaméthasone (Rd) ont reçu le lénalidomide 25 mg/jour par voie orale les jours 1 à 21 et la dexaméthasone 40 mg/jour par voie orale les jours 1, 8, 15 et 22 de chaque cycle de 28 jours répétés pour un total allant jusqu’à 6 cycles de 28 jours (24 semaines). Les patients des deux bras continuaient à recevoir l’association Rd : le lénalidomide 25 mg/jour par voie orale les jours 1 à 21 et la dexaméthasone 40 mg/jour par voie orale les jours 1, 8, 15 et 22 de chaque cycle de 28 jours. Le traitement devait être poursuivi jusqu’à la progression de la maladie.</w:t>
      </w:r>
    </w:p>
    <w:p w14:paraId="16DEA3D2" w14:textId="77777777" w:rsidR="00BE6869" w:rsidRPr="00D2126A" w:rsidRDefault="00BE6869" w:rsidP="00C93C76"/>
    <w:p w14:paraId="584BD570" w14:textId="2F098DAB" w:rsidR="00036363" w:rsidRPr="00D2126A" w:rsidRDefault="000E5A86" w:rsidP="00C93C76">
      <w:pPr>
        <w:pStyle w:val="Date"/>
      </w:pPr>
      <w:r>
        <w:t>Le critère d’efficacité principal dans l’étude était la survie sans progression (SSP). Au total, 523 patients ont été inclus dans l’étude, dont 263 patients randomisés dans le bras RVd et 260 patients randomisés dans le bras Rd. Les caractéristiques démographiques et pathologiques initiales des patients étaient bien équilibrées entre les bras.</w:t>
      </w:r>
    </w:p>
    <w:p w14:paraId="7B324E8D" w14:textId="6FBA473D" w:rsidR="00BE6869" w:rsidRPr="00AB0414" w:rsidRDefault="00BE6869" w:rsidP="006B7D29">
      <w:pPr>
        <w:pStyle w:val="C-BodyText"/>
        <w:spacing w:before="0" w:after="0" w:line="240" w:lineRule="auto"/>
        <w:rPr>
          <w:color w:val="000000"/>
          <w:sz w:val="22"/>
        </w:rPr>
      </w:pPr>
    </w:p>
    <w:p w14:paraId="53FC62E5" w14:textId="099BD780" w:rsidR="00BE6869" w:rsidRPr="00D2126A" w:rsidRDefault="000E5A86" w:rsidP="006B7D29">
      <w:pPr>
        <w:pStyle w:val="C-BodyText"/>
        <w:spacing w:before="0" w:after="0" w:line="240" w:lineRule="auto"/>
        <w:rPr>
          <w:color w:val="000000"/>
          <w:sz w:val="22"/>
          <w:szCs w:val="22"/>
        </w:rPr>
      </w:pPr>
      <w:r>
        <w:rPr>
          <w:color w:val="000000"/>
          <w:sz w:val="22"/>
        </w:rPr>
        <w:t xml:space="preserve">Les résultats de SSP, selon l’évaluation de l’IRAC, au moment de l’analyse principale avec gel des données au 5 novembre 2015 (50,6 mois de suivi) ont montré une réduction de 24 % du risque de progression de la maladie ou de décès en faveur de l’association RVd (RR = 0,76 ; IC à 95 % 0,61 ; 0,94 ; p = 0,010). La SSP médiane globale était 42,5 mois (IC à 95 % 34,0, 54,8) dans le bras RVd contre 29,9 mois (IC à 95 % 25,6, 38,2) dans le bras Rd. </w:t>
      </w:r>
      <w:r>
        <w:rPr>
          <w:sz w:val="22"/>
        </w:rPr>
        <w:t>Le bénéfice a été observé quelle que soit l’éligibilité à une greffe de cellules souches.</w:t>
      </w:r>
    </w:p>
    <w:p w14:paraId="146AC5C8" w14:textId="77777777" w:rsidR="00BE6869" w:rsidRPr="00AB0414" w:rsidRDefault="00BE6869" w:rsidP="006B7D29">
      <w:pPr>
        <w:pStyle w:val="C-BodyText"/>
        <w:spacing w:before="0" w:after="0" w:line="240" w:lineRule="auto"/>
        <w:rPr>
          <w:color w:val="000000"/>
          <w:sz w:val="22"/>
        </w:rPr>
      </w:pPr>
    </w:p>
    <w:p w14:paraId="5F325449" w14:textId="35FDA603" w:rsidR="005B1C3D" w:rsidRPr="00D2126A" w:rsidRDefault="000E5A86" w:rsidP="006B7D29">
      <w:pPr>
        <w:pStyle w:val="C-BodyText"/>
        <w:spacing w:before="0" w:after="0" w:line="240" w:lineRule="auto"/>
        <w:rPr>
          <w:color w:val="000000"/>
          <w:sz w:val="22"/>
          <w:szCs w:val="22"/>
        </w:rPr>
      </w:pPr>
      <w:r>
        <w:rPr>
          <w:color w:val="000000"/>
          <w:sz w:val="22"/>
        </w:rPr>
        <w:t>Les résultats de l’étude, avec gel des données le 1</w:t>
      </w:r>
      <w:r>
        <w:rPr>
          <w:color w:val="000000"/>
          <w:sz w:val="22"/>
          <w:vertAlign w:val="superscript"/>
        </w:rPr>
        <w:t>er</w:t>
      </w:r>
      <w:r>
        <w:rPr>
          <w:color w:val="000000"/>
          <w:sz w:val="22"/>
        </w:rPr>
        <w:t> décembre 2016, dans laquelle la durée médiane de suivi de l’ensemble des patients en vie était de 69,0 mois, sont présentés dans le tableau 8. Le bénéfice en faveur de l’association RVd a été observé quelle que soit l’éligibilité à une greffe de cellules souches.</w:t>
      </w:r>
    </w:p>
    <w:p w14:paraId="28D84B10" w14:textId="77777777" w:rsidR="00BE6869" w:rsidRPr="00D2126A" w:rsidRDefault="00BE6869" w:rsidP="00C93C76"/>
    <w:p w14:paraId="0CC476CA" w14:textId="09872068" w:rsidR="00BE6869" w:rsidRPr="00D2126A" w:rsidRDefault="000E5A86" w:rsidP="00C93C76">
      <w:pPr>
        <w:pStyle w:val="C-TableHeader"/>
        <w:spacing w:before="0" w:after="0"/>
      </w:pPr>
      <w:r>
        <w:t>Tableau 8. Synthèse des données d’efficacité globales</w:t>
      </w: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905"/>
        <w:gridCol w:w="2090"/>
        <w:gridCol w:w="2090"/>
      </w:tblGrid>
      <w:tr w:rsidR="00D5485C" w:rsidRPr="00D2126A" w14:paraId="764E4792" w14:textId="77777777" w:rsidTr="00F003F4">
        <w:trPr>
          <w:cantSplit/>
          <w:trHeight w:val="57"/>
          <w:tblHeader/>
          <w:jc w:val="center"/>
        </w:trPr>
        <w:tc>
          <w:tcPr>
            <w:tcW w:w="2700" w:type="pct"/>
            <w:vMerge w:val="restart"/>
            <w:shd w:val="clear" w:color="auto" w:fill="auto"/>
            <w:tcMar>
              <w:top w:w="0" w:type="dxa"/>
              <w:left w:w="108" w:type="dxa"/>
              <w:bottom w:w="0" w:type="dxa"/>
              <w:right w:w="108" w:type="dxa"/>
            </w:tcMar>
          </w:tcPr>
          <w:p w14:paraId="680DCBEB" w14:textId="77777777" w:rsidR="00BE6869" w:rsidRPr="00AB0414" w:rsidRDefault="00BE6869" w:rsidP="00C93C76">
            <w:pPr>
              <w:pStyle w:val="C-TableHeader"/>
              <w:tabs>
                <w:tab w:val="center" w:pos="4153"/>
                <w:tab w:val="right" w:pos="8306"/>
              </w:tabs>
              <w:spacing w:before="0" w:after="0"/>
              <w:rPr>
                <w:i/>
                <w:iCs/>
                <w:color w:val="000000"/>
                <w:sz w:val="20"/>
              </w:rPr>
            </w:pPr>
          </w:p>
        </w:tc>
        <w:tc>
          <w:tcPr>
            <w:tcW w:w="2300" w:type="pct"/>
            <w:gridSpan w:val="2"/>
            <w:shd w:val="clear" w:color="auto" w:fill="auto"/>
            <w:tcMar>
              <w:top w:w="0" w:type="dxa"/>
              <w:left w:w="108" w:type="dxa"/>
              <w:bottom w:w="0" w:type="dxa"/>
              <w:right w:w="108" w:type="dxa"/>
            </w:tcMar>
            <w:vAlign w:val="bottom"/>
          </w:tcPr>
          <w:p w14:paraId="7454DA79" w14:textId="77777777" w:rsidR="00BE6869" w:rsidRPr="00D2126A" w:rsidRDefault="000E5A86" w:rsidP="00C93C76">
            <w:pPr>
              <w:pStyle w:val="C-TableHeader"/>
              <w:spacing w:before="0" w:after="0"/>
              <w:ind w:left="-105" w:right="-114"/>
              <w:jc w:val="center"/>
              <w:rPr>
                <w:color w:val="000000"/>
                <w:sz w:val="20"/>
              </w:rPr>
            </w:pPr>
            <w:r>
              <w:rPr>
                <w:color w:val="000000"/>
                <w:sz w:val="20"/>
              </w:rPr>
              <w:t>Traitement initial</w:t>
            </w:r>
          </w:p>
        </w:tc>
      </w:tr>
      <w:tr w:rsidR="00D5485C" w:rsidRPr="00D2126A" w14:paraId="4C909093" w14:textId="77777777" w:rsidTr="00F003F4">
        <w:trPr>
          <w:cantSplit/>
          <w:trHeight w:val="57"/>
          <w:tblHeader/>
          <w:jc w:val="center"/>
        </w:trPr>
        <w:tc>
          <w:tcPr>
            <w:tcW w:w="2700" w:type="pct"/>
            <w:vMerge/>
            <w:shd w:val="clear" w:color="auto" w:fill="auto"/>
            <w:tcMar>
              <w:top w:w="0" w:type="dxa"/>
              <w:left w:w="108" w:type="dxa"/>
              <w:bottom w:w="0" w:type="dxa"/>
              <w:right w:w="108" w:type="dxa"/>
            </w:tcMar>
          </w:tcPr>
          <w:p w14:paraId="341C905E" w14:textId="77777777" w:rsidR="00BE6869" w:rsidRPr="00D2126A" w:rsidRDefault="00BE6869" w:rsidP="00C93C76">
            <w:pPr>
              <w:pStyle w:val="C-TableHeader"/>
              <w:tabs>
                <w:tab w:val="center" w:pos="4153"/>
                <w:tab w:val="right" w:pos="8306"/>
              </w:tabs>
              <w:spacing w:before="0" w:after="0"/>
              <w:rPr>
                <w:i/>
                <w:iCs/>
                <w:color w:val="000000"/>
                <w:sz w:val="20"/>
                <w:lang w:val="en-GB"/>
              </w:rPr>
            </w:pPr>
          </w:p>
        </w:tc>
        <w:tc>
          <w:tcPr>
            <w:tcW w:w="1150" w:type="pct"/>
            <w:shd w:val="clear" w:color="auto" w:fill="auto"/>
            <w:tcMar>
              <w:top w:w="0" w:type="dxa"/>
              <w:left w:w="108" w:type="dxa"/>
              <w:bottom w:w="0" w:type="dxa"/>
              <w:right w:w="108" w:type="dxa"/>
            </w:tcMar>
            <w:vAlign w:val="bottom"/>
            <w:hideMark/>
          </w:tcPr>
          <w:p w14:paraId="46DB4861" w14:textId="77777777" w:rsidR="00BE6869" w:rsidRPr="00D2126A" w:rsidRDefault="000E5A86" w:rsidP="00C93C76">
            <w:pPr>
              <w:pStyle w:val="C-TableHeader"/>
              <w:spacing w:before="0" w:after="0"/>
              <w:ind w:left="-108" w:right="-111"/>
              <w:jc w:val="center"/>
              <w:rPr>
                <w:color w:val="000000"/>
                <w:sz w:val="20"/>
              </w:rPr>
            </w:pPr>
            <w:r>
              <w:rPr>
                <w:color w:val="000000"/>
                <w:sz w:val="20"/>
              </w:rPr>
              <w:t>RVd</w:t>
            </w:r>
          </w:p>
          <w:p w14:paraId="72D0E92C" w14:textId="466A31D1" w:rsidR="00F003F4" w:rsidRPr="00D2126A" w:rsidRDefault="000E5A86" w:rsidP="00C93C76">
            <w:pPr>
              <w:pStyle w:val="C-TableHeader"/>
              <w:spacing w:before="0" w:after="0"/>
              <w:ind w:left="-108" w:right="-111"/>
              <w:jc w:val="center"/>
              <w:rPr>
                <w:color w:val="000000"/>
                <w:sz w:val="20"/>
              </w:rPr>
            </w:pPr>
            <w:r>
              <w:rPr>
                <w:sz w:val="20"/>
              </w:rPr>
              <w:t>(8 cycles de 3 semaines)</w:t>
            </w:r>
          </w:p>
          <w:p w14:paraId="65749018" w14:textId="196CD52E" w:rsidR="00BE6869" w:rsidRPr="00D2126A" w:rsidRDefault="000E5A86" w:rsidP="00C93C76">
            <w:pPr>
              <w:pStyle w:val="C-TableHeader"/>
              <w:spacing w:before="0" w:after="0"/>
              <w:ind w:left="-108" w:right="-111"/>
              <w:jc w:val="center"/>
              <w:rPr>
                <w:color w:val="000000"/>
                <w:sz w:val="20"/>
              </w:rPr>
            </w:pPr>
            <w:r>
              <w:rPr>
                <w:color w:val="000000"/>
                <w:sz w:val="20"/>
              </w:rPr>
              <w:t>(N = 263)</w:t>
            </w:r>
          </w:p>
        </w:tc>
        <w:tc>
          <w:tcPr>
            <w:tcW w:w="1150" w:type="pct"/>
            <w:shd w:val="clear" w:color="auto" w:fill="auto"/>
            <w:tcMar>
              <w:top w:w="0" w:type="dxa"/>
              <w:left w:w="108" w:type="dxa"/>
              <w:bottom w:w="0" w:type="dxa"/>
              <w:right w:w="108" w:type="dxa"/>
            </w:tcMar>
            <w:vAlign w:val="bottom"/>
            <w:hideMark/>
          </w:tcPr>
          <w:p w14:paraId="43C8E746" w14:textId="77777777" w:rsidR="00BE6869" w:rsidRPr="00D2126A" w:rsidRDefault="000E5A86" w:rsidP="00C93C76">
            <w:pPr>
              <w:pStyle w:val="C-TableHeader"/>
              <w:spacing w:before="0" w:after="0"/>
              <w:ind w:left="-105" w:right="-114"/>
              <w:jc w:val="center"/>
              <w:rPr>
                <w:color w:val="000000"/>
                <w:sz w:val="20"/>
              </w:rPr>
            </w:pPr>
            <w:r>
              <w:rPr>
                <w:color w:val="000000"/>
                <w:sz w:val="20"/>
              </w:rPr>
              <w:t>Rd</w:t>
            </w:r>
          </w:p>
          <w:p w14:paraId="1299EC1E" w14:textId="46A6CE91" w:rsidR="00F003F4" w:rsidRPr="00D2126A" w:rsidRDefault="000E5A86" w:rsidP="00C93C76">
            <w:pPr>
              <w:pStyle w:val="C-TableHeader"/>
              <w:spacing w:before="0" w:after="0"/>
              <w:ind w:left="-105" w:right="-114"/>
              <w:jc w:val="center"/>
              <w:rPr>
                <w:color w:val="000000"/>
                <w:sz w:val="20"/>
              </w:rPr>
            </w:pPr>
            <w:r>
              <w:rPr>
                <w:sz w:val="20"/>
              </w:rPr>
              <w:t>(6 cycles de 4 semaines)</w:t>
            </w:r>
          </w:p>
          <w:p w14:paraId="0D5D3A41" w14:textId="735D32EB" w:rsidR="00BE6869" w:rsidRPr="00D2126A" w:rsidRDefault="000E5A86" w:rsidP="00C93C76">
            <w:pPr>
              <w:pStyle w:val="C-TableHeader"/>
              <w:spacing w:before="0" w:after="0"/>
              <w:ind w:left="-105" w:right="-114"/>
              <w:jc w:val="center"/>
              <w:rPr>
                <w:color w:val="000000"/>
                <w:sz w:val="20"/>
              </w:rPr>
            </w:pPr>
            <w:r>
              <w:rPr>
                <w:color w:val="000000"/>
                <w:sz w:val="20"/>
              </w:rPr>
              <w:t>(N = 260)</w:t>
            </w:r>
          </w:p>
        </w:tc>
      </w:tr>
      <w:tr w:rsidR="00D5485C" w:rsidRPr="00D2126A" w14:paraId="6EBEE940"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610743BF" w14:textId="77777777" w:rsidR="00BE6869" w:rsidRPr="00D2126A" w:rsidRDefault="000E5A86" w:rsidP="00C93C76">
            <w:pPr>
              <w:pStyle w:val="C-TableText"/>
              <w:keepNext/>
              <w:spacing w:before="0" w:after="0"/>
              <w:rPr>
                <w:color w:val="000000"/>
                <w:sz w:val="20"/>
              </w:rPr>
            </w:pPr>
            <w:r>
              <w:rPr>
                <w:b/>
                <w:color w:val="000000"/>
                <w:sz w:val="20"/>
              </w:rPr>
              <w:t>SSP évaluée par l’IRAC (mois)</w:t>
            </w:r>
          </w:p>
        </w:tc>
      </w:tr>
      <w:tr w:rsidR="00D5485C" w:rsidRPr="00D2126A" w14:paraId="09FCA14C"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D07278C" w14:textId="360CB46C" w:rsidR="00BE6869" w:rsidRPr="00D2126A" w:rsidRDefault="000E5A86" w:rsidP="00C93C76">
            <w:pPr>
              <w:pStyle w:val="C-TableText"/>
              <w:keepNext/>
              <w:spacing w:before="0" w:after="0"/>
              <w:ind w:left="180"/>
              <w:rPr>
                <w:color w:val="000000"/>
                <w:sz w:val="20"/>
                <w:vertAlign w:val="superscript"/>
              </w:rPr>
            </w:pPr>
            <w:r>
              <w:rPr>
                <w:color w:val="000000"/>
                <w:sz w:val="20"/>
              </w:rPr>
              <w:t>SSP médiane</w:t>
            </w:r>
            <w:r>
              <w:rPr>
                <w:color w:val="000000"/>
                <w:sz w:val="20"/>
                <w:vertAlign w:val="superscript"/>
              </w:rPr>
              <w:t>a</w:t>
            </w:r>
            <w:r>
              <w:rPr>
                <w:color w:val="000000"/>
                <w:sz w:val="20"/>
              </w:rPr>
              <w:t>, mois (IC à 95 %)</w:t>
            </w:r>
            <w:r>
              <w:rPr>
                <w:color w:val="000000"/>
                <w:sz w:val="20"/>
                <w:vertAlign w:val="superscript"/>
              </w:rPr>
              <w:t>b</w:t>
            </w:r>
          </w:p>
        </w:tc>
        <w:tc>
          <w:tcPr>
            <w:tcW w:w="1150" w:type="pct"/>
            <w:shd w:val="clear" w:color="auto" w:fill="auto"/>
            <w:tcMar>
              <w:top w:w="0" w:type="dxa"/>
              <w:left w:w="108" w:type="dxa"/>
              <w:bottom w:w="0" w:type="dxa"/>
              <w:right w:w="108" w:type="dxa"/>
            </w:tcMar>
          </w:tcPr>
          <w:p w14:paraId="068503E6" w14:textId="77777777" w:rsidR="00BE6869" w:rsidRPr="00D2126A" w:rsidRDefault="000E5A86" w:rsidP="00C93C76">
            <w:pPr>
              <w:pStyle w:val="C-TableText"/>
              <w:keepNext/>
              <w:spacing w:before="0" w:after="0"/>
              <w:jc w:val="center"/>
              <w:rPr>
                <w:color w:val="000000"/>
                <w:sz w:val="20"/>
              </w:rPr>
            </w:pPr>
            <w:r>
              <w:rPr>
                <w:b/>
                <w:color w:val="000000"/>
                <w:sz w:val="20"/>
              </w:rPr>
              <w:t>41,7</w:t>
            </w:r>
            <w:r>
              <w:rPr>
                <w:color w:val="000000"/>
                <w:sz w:val="20"/>
              </w:rPr>
              <w:t xml:space="preserve"> (33,1 ; 51,5)</w:t>
            </w:r>
          </w:p>
        </w:tc>
        <w:tc>
          <w:tcPr>
            <w:tcW w:w="1150" w:type="pct"/>
            <w:shd w:val="clear" w:color="auto" w:fill="auto"/>
            <w:tcMar>
              <w:top w:w="0" w:type="dxa"/>
              <w:left w:w="108" w:type="dxa"/>
              <w:bottom w:w="0" w:type="dxa"/>
              <w:right w:w="108" w:type="dxa"/>
            </w:tcMar>
          </w:tcPr>
          <w:p w14:paraId="37F34075" w14:textId="77777777" w:rsidR="00BE6869" w:rsidRPr="00D2126A" w:rsidRDefault="000E5A86" w:rsidP="00C93C76">
            <w:pPr>
              <w:pStyle w:val="C-TableText"/>
              <w:keepNext/>
              <w:spacing w:before="0" w:after="0"/>
              <w:jc w:val="center"/>
              <w:rPr>
                <w:color w:val="000000"/>
                <w:sz w:val="20"/>
              </w:rPr>
            </w:pPr>
            <w:r>
              <w:rPr>
                <w:b/>
                <w:color w:val="000000"/>
                <w:sz w:val="20"/>
              </w:rPr>
              <w:t>29,7</w:t>
            </w:r>
            <w:r>
              <w:rPr>
                <w:color w:val="000000"/>
                <w:sz w:val="20"/>
              </w:rPr>
              <w:t xml:space="preserve"> (24,2 ; 37,8)</w:t>
            </w:r>
          </w:p>
        </w:tc>
      </w:tr>
      <w:tr w:rsidR="00D5485C" w:rsidRPr="00D2126A" w14:paraId="274CC47B"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3BC49D74" w14:textId="54D1D887" w:rsidR="00BE6869" w:rsidRPr="00D2126A" w:rsidRDefault="000E5A86" w:rsidP="00F003F4">
            <w:pPr>
              <w:pStyle w:val="C-TableText"/>
              <w:spacing w:before="0" w:after="0"/>
              <w:ind w:left="180"/>
              <w:rPr>
                <w:color w:val="000000"/>
                <w:sz w:val="20"/>
                <w:vertAlign w:val="superscript"/>
              </w:rPr>
            </w:pPr>
            <w:r>
              <w:rPr>
                <w:color w:val="000000"/>
                <w:sz w:val="20"/>
              </w:rPr>
              <w:t>RR [IC à 95 %]</w:t>
            </w:r>
            <w:r>
              <w:rPr>
                <w:color w:val="000000"/>
                <w:sz w:val="20"/>
                <w:vertAlign w:val="superscript"/>
              </w:rPr>
              <w:t>c</w:t>
            </w:r>
            <w:r>
              <w:rPr>
                <w:color w:val="000000"/>
                <w:sz w:val="20"/>
              </w:rPr>
              <w:t> ; valeur p</w:t>
            </w:r>
            <w:r>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00D93181" w14:textId="77777777" w:rsidR="00BE6869" w:rsidRPr="00D2126A" w:rsidRDefault="000E5A86" w:rsidP="00C93C76">
            <w:pPr>
              <w:pStyle w:val="C-TableText"/>
              <w:keepNext/>
              <w:spacing w:before="0" w:after="0"/>
              <w:jc w:val="center"/>
              <w:rPr>
                <w:color w:val="000000"/>
                <w:sz w:val="20"/>
              </w:rPr>
            </w:pPr>
            <w:r>
              <w:rPr>
                <w:b/>
                <w:color w:val="000000"/>
                <w:sz w:val="20"/>
              </w:rPr>
              <w:t>0,76</w:t>
            </w:r>
            <w:r>
              <w:rPr>
                <w:color w:val="000000"/>
                <w:sz w:val="20"/>
              </w:rPr>
              <w:t xml:space="preserve"> (0,62 ; 0,94); 0,010</w:t>
            </w:r>
          </w:p>
        </w:tc>
      </w:tr>
      <w:tr w:rsidR="00D5485C" w:rsidRPr="00D2126A" w14:paraId="5DAF4349"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471A7960" w14:textId="77777777" w:rsidR="00BE6869" w:rsidRPr="00D2126A" w:rsidRDefault="000E5A86" w:rsidP="00C7655E">
            <w:pPr>
              <w:pStyle w:val="C-TableText"/>
              <w:keepNext/>
              <w:spacing w:before="0" w:after="0"/>
              <w:rPr>
                <w:color w:val="000000"/>
                <w:sz w:val="20"/>
              </w:rPr>
            </w:pPr>
            <w:r>
              <w:rPr>
                <w:b/>
                <w:color w:val="000000"/>
                <w:sz w:val="20"/>
              </w:rPr>
              <w:t>Survie globale (mois)</w:t>
            </w:r>
          </w:p>
        </w:tc>
      </w:tr>
      <w:tr w:rsidR="00D5485C" w:rsidRPr="00D2126A" w14:paraId="246BA608"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7B51CCA" w14:textId="5AB8913F" w:rsidR="00BE6869" w:rsidRPr="00D2126A" w:rsidRDefault="000E5A86" w:rsidP="00C7655E">
            <w:pPr>
              <w:pStyle w:val="C-TableText"/>
              <w:keepNext/>
              <w:spacing w:before="0" w:after="0"/>
              <w:ind w:left="180"/>
              <w:rPr>
                <w:color w:val="000000"/>
                <w:sz w:val="20"/>
                <w:vertAlign w:val="superscript"/>
              </w:rPr>
            </w:pPr>
            <w:r>
              <w:rPr>
                <w:color w:val="000000"/>
                <w:sz w:val="20"/>
              </w:rPr>
              <w:t>SG médiane</w:t>
            </w:r>
            <w:r>
              <w:rPr>
                <w:color w:val="000000"/>
                <w:sz w:val="20"/>
                <w:vertAlign w:val="superscript"/>
              </w:rPr>
              <w:t>a</w:t>
            </w:r>
            <w:r>
              <w:rPr>
                <w:color w:val="000000"/>
                <w:sz w:val="20"/>
              </w:rPr>
              <w:t>, mois (IC à 95 %)</w:t>
            </w:r>
            <w:r>
              <w:rPr>
                <w:color w:val="000000"/>
                <w:sz w:val="20"/>
                <w:vertAlign w:val="superscript"/>
              </w:rPr>
              <w:t>b</w:t>
            </w:r>
          </w:p>
        </w:tc>
        <w:tc>
          <w:tcPr>
            <w:tcW w:w="1150" w:type="pct"/>
            <w:shd w:val="clear" w:color="auto" w:fill="auto"/>
            <w:tcMar>
              <w:top w:w="0" w:type="dxa"/>
              <w:left w:w="108" w:type="dxa"/>
              <w:bottom w:w="0" w:type="dxa"/>
              <w:right w:w="108" w:type="dxa"/>
            </w:tcMar>
          </w:tcPr>
          <w:p w14:paraId="6A1E3FFB" w14:textId="77777777" w:rsidR="00BE6869" w:rsidRPr="00D2126A" w:rsidRDefault="000E5A86" w:rsidP="00C93C76">
            <w:pPr>
              <w:pStyle w:val="C-TableText"/>
              <w:spacing w:before="0" w:after="0"/>
              <w:jc w:val="center"/>
              <w:rPr>
                <w:color w:val="000000"/>
                <w:sz w:val="20"/>
              </w:rPr>
            </w:pPr>
            <w:r>
              <w:rPr>
                <w:b/>
                <w:color w:val="000000"/>
                <w:sz w:val="20"/>
              </w:rPr>
              <w:t>89,</w:t>
            </w:r>
            <w:r>
              <w:rPr>
                <w:color w:val="000000"/>
                <w:sz w:val="20"/>
              </w:rPr>
              <w:t>1 (76,1 ; NE)</w:t>
            </w:r>
          </w:p>
        </w:tc>
        <w:tc>
          <w:tcPr>
            <w:tcW w:w="1150" w:type="pct"/>
            <w:shd w:val="clear" w:color="auto" w:fill="auto"/>
            <w:tcMar>
              <w:top w:w="0" w:type="dxa"/>
              <w:left w:w="108" w:type="dxa"/>
              <w:bottom w:w="0" w:type="dxa"/>
              <w:right w:w="108" w:type="dxa"/>
            </w:tcMar>
          </w:tcPr>
          <w:p w14:paraId="25896EC8" w14:textId="77777777" w:rsidR="00BE6869" w:rsidRPr="00D2126A" w:rsidRDefault="000E5A86" w:rsidP="00C93C76">
            <w:pPr>
              <w:pStyle w:val="C-TableText"/>
              <w:spacing w:before="0" w:after="0"/>
              <w:jc w:val="center"/>
              <w:rPr>
                <w:color w:val="000000"/>
                <w:sz w:val="20"/>
              </w:rPr>
            </w:pPr>
            <w:r>
              <w:rPr>
                <w:b/>
                <w:color w:val="000000"/>
                <w:sz w:val="20"/>
              </w:rPr>
              <w:t>67,2</w:t>
            </w:r>
            <w:r>
              <w:rPr>
                <w:color w:val="000000"/>
                <w:sz w:val="20"/>
              </w:rPr>
              <w:t xml:space="preserve"> (58,4 ; 90,8)</w:t>
            </w:r>
          </w:p>
        </w:tc>
      </w:tr>
      <w:tr w:rsidR="00D5485C" w:rsidRPr="00D2126A" w14:paraId="087840D0"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50CD3D4C" w14:textId="0D42E1D2" w:rsidR="00BE6869" w:rsidRPr="00D2126A" w:rsidRDefault="000E5A86" w:rsidP="00C93C76">
            <w:pPr>
              <w:pStyle w:val="C-TableText"/>
              <w:spacing w:before="0" w:after="0"/>
              <w:ind w:left="180" w:right="-7"/>
              <w:jc w:val="both"/>
              <w:rPr>
                <w:color w:val="000000"/>
                <w:sz w:val="20"/>
                <w:vertAlign w:val="superscript"/>
              </w:rPr>
            </w:pPr>
            <w:r>
              <w:rPr>
                <w:color w:val="000000"/>
                <w:sz w:val="20"/>
              </w:rPr>
              <w:t>RR [IC à 95 %]</w:t>
            </w:r>
            <w:r>
              <w:rPr>
                <w:color w:val="000000"/>
                <w:sz w:val="20"/>
                <w:vertAlign w:val="superscript"/>
              </w:rPr>
              <w:t>c</w:t>
            </w:r>
            <w:r>
              <w:rPr>
                <w:color w:val="000000"/>
                <w:sz w:val="20"/>
              </w:rPr>
              <w:t> ; valeur p</w:t>
            </w:r>
            <w:r>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6CB575E2" w14:textId="77777777" w:rsidR="00BE6869" w:rsidRPr="00D2126A" w:rsidRDefault="000E5A86" w:rsidP="00C93C76">
            <w:pPr>
              <w:pStyle w:val="C-TableText"/>
              <w:spacing w:before="0" w:after="0"/>
              <w:jc w:val="center"/>
              <w:rPr>
                <w:color w:val="000000"/>
                <w:sz w:val="20"/>
              </w:rPr>
            </w:pPr>
            <w:r>
              <w:rPr>
                <w:b/>
                <w:color w:val="000000"/>
                <w:sz w:val="20"/>
              </w:rPr>
              <w:t>0,72</w:t>
            </w:r>
            <w:r>
              <w:rPr>
                <w:color w:val="000000"/>
                <w:sz w:val="20"/>
              </w:rPr>
              <w:t xml:space="preserve"> (0,56 ; 0,94) ; 0,013</w:t>
            </w:r>
          </w:p>
        </w:tc>
      </w:tr>
      <w:tr w:rsidR="00D5485C" w:rsidRPr="00D2126A" w14:paraId="29F39D9E"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085B19A6" w14:textId="77777777" w:rsidR="00BE6869" w:rsidRPr="00D2126A" w:rsidRDefault="000E5A86" w:rsidP="00C7655E">
            <w:pPr>
              <w:pStyle w:val="C-TableText"/>
              <w:keepNext/>
              <w:spacing w:before="0" w:after="0"/>
              <w:rPr>
                <w:color w:val="000000"/>
                <w:sz w:val="20"/>
              </w:rPr>
            </w:pPr>
            <w:r>
              <w:rPr>
                <w:b/>
                <w:color w:val="000000"/>
                <w:sz w:val="20"/>
              </w:rPr>
              <w:t>Réponse – n (%)</w:t>
            </w:r>
          </w:p>
        </w:tc>
      </w:tr>
      <w:tr w:rsidR="00D5485C" w:rsidRPr="00D2126A" w14:paraId="4A8C4F00" w14:textId="77777777" w:rsidTr="00F003F4">
        <w:trPr>
          <w:cantSplit/>
          <w:trHeight w:val="57"/>
          <w:jc w:val="center"/>
        </w:trPr>
        <w:tc>
          <w:tcPr>
            <w:tcW w:w="2700" w:type="pct"/>
            <w:shd w:val="clear" w:color="auto" w:fill="auto"/>
            <w:tcMar>
              <w:top w:w="0" w:type="dxa"/>
              <w:left w:w="108" w:type="dxa"/>
              <w:bottom w:w="0" w:type="dxa"/>
              <w:right w:w="108" w:type="dxa"/>
            </w:tcMar>
          </w:tcPr>
          <w:p w14:paraId="01F2859A" w14:textId="77777777" w:rsidR="00BE6869" w:rsidRPr="00D2126A" w:rsidRDefault="000E5A86" w:rsidP="00C7655E">
            <w:pPr>
              <w:pStyle w:val="C-TableText"/>
              <w:keepNext/>
              <w:spacing w:before="0" w:after="0"/>
              <w:ind w:left="180"/>
              <w:rPr>
                <w:color w:val="000000"/>
                <w:sz w:val="20"/>
              </w:rPr>
            </w:pPr>
            <w:r>
              <w:rPr>
                <w:color w:val="000000"/>
                <w:sz w:val="20"/>
              </w:rPr>
              <w:t>Réponse globale : RC, TBRP ou RP</w:t>
            </w:r>
          </w:p>
        </w:tc>
        <w:tc>
          <w:tcPr>
            <w:tcW w:w="1150" w:type="pct"/>
            <w:shd w:val="clear" w:color="auto" w:fill="auto"/>
            <w:tcMar>
              <w:top w:w="0" w:type="dxa"/>
              <w:left w:w="108" w:type="dxa"/>
              <w:bottom w:w="0" w:type="dxa"/>
              <w:right w:w="108" w:type="dxa"/>
            </w:tcMar>
          </w:tcPr>
          <w:p w14:paraId="4FFC1832" w14:textId="77777777" w:rsidR="00BE6869" w:rsidRPr="00D2126A" w:rsidRDefault="000E5A86" w:rsidP="00C93C76">
            <w:pPr>
              <w:pStyle w:val="C-TableText"/>
              <w:spacing w:before="0" w:after="0"/>
              <w:jc w:val="center"/>
              <w:rPr>
                <w:color w:val="000000"/>
                <w:sz w:val="20"/>
              </w:rPr>
            </w:pPr>
            <w:r>
              <w:rPr>
                <w:color w:val="000000"/>
                <w:sz w:val="20"/>
              </w:rPr>
              <w:t>199 (75,7)</w:t>
            </w:r>
          </w:p>
        </w:tc>
        <w:tc>
          <w:tcPr>
            <w:tcW w:w="1150" w:type="pct"/>
            <w:shd w:val="clear" w:color="auto" w:fill="auto"/>
            <w:tcMar>
              <w:top w:w="0" w:type="dxa"/>
              <w:left w:w="108" w:type="dxa"/>
              <w:bottom w:w="0" w:type="dxa"/>
              <w:right w:w="108" w:type="dxa"/>
            </w:tcMar>
          </w:tcPr>
          <w:p w14:paraId="1539194D" w14:textId="77777777" w:rsidR="00BE6869" w:rsidRPr="00D2126A" w:rsidRDefault="000E5A86" w:rsidP="00C93C76">
            <w:pPr>
              <w:pStyle w:val="C-TableText"/>
              <w:spacing w:before="0" w:after="0"/>
              <w:jc w:val="center"/>
              <w:rPr>
                <w:color w:val="000000"/>
                <w:sz w:val="20"/>
              </w:rPr>
            </w:pPr>
            <w:r>
              <w:rPr>
                <w:color w:val="000000"/>
                <w:sz w:val="20"/>
              </w:rPr>
              <w:t>170 (65,4)</w:t>
            </w:r>
          </w:p>
        </w:tc>
      </w:tr>
      <w:tr w:rsidR="00D5485C" w:rsidRPr="00D2126A" w14:paraId="1109309D" w14:textId="77777777" w:rsidTr="00F003F4">
        <w:trPr>
          <w:cantSplit/>
          <w:trHeight w:val="57"/>
          <w:jc w:val="center"/>
        </w:trPr>
        <w:tc>
          <w:tcPr>
            <w:tcW w:w="2700" w:type="pct"/>
            <w:shd w:val="clear" w:color="auto" w:fill="auto"/>
            <w:tcMar>
              <w:top w:w="0" w:type="dxa"/>
              <w:left w:w="108" w:type="dxa"/>
              <w:bottom w:w="0" w:type="dxa"/>
              <w:right w:w="108" w:type="dxa"/>
            </w:tcMar>
          </w:tcPr>
          <w:p w14:paraId="03BF9D67" w14:textId="2E431763" w:rsidR="00BE6869" w:rsidRPr="00D2126A" w:rsidRDefault="000E5A86" w:rsidP="00C93C76">
            <w:pPr>
              <w:pStyle w:val="C-TableText"/>
              <w:keepNext/>
              <w:spacing w:before="0" w:after="0"/>
              <w:ind w:left="363"/>
              <w:rPr>
                <w:color w:val="000000"/>
                <w:sz w:val="20"/>
              </w:rPr>
            </w:pPr>
            <w:r>
              <w:rPr>
                <w:color w:val="000000"/>
                <w:sz w:val="20"/>
              </w:rPr>
              <w:t>≥ TBRP</w:t>
            </w:r>
          </w:p>
        </w:tc>
        <w:tc>
          <w:tcPr>
            <w:tcW w:w="1150" w:type="pct"/>
            <w:shd w:val="clear" w:color="auto" w:fill="auto"/>
            <w:tcMar>
              <w:top w:w="0" w:type="dxa"/>
              <w:left w:w="108" w:type="dxa"/>
              <w:bottom w:w="0" w:type="dxa"/>
              <w:right w:w="108" w:type="dxa"/>
            </w:tcMar>
          </w:tcPr>
          <w:p w14:paraId="69062932" w14:textId="77777777" w:rsidR="00BE6869" w:rsidRPr="00D2126A" w:rsidRDefault="000E5A86" w:rsidP="00C93C76">
            <w:pPr>
              <w:pStyle w:val="C-TableText"/>
              <w:spacing w:before="0" w:after="0"/>
              <w:jc w:val="center"/>
              <w:rPr>
                <w:color w:val="000000"/>
                <w:sz w:val="20"/>
              </w:rPr>
            </w:pPr>
            <w:r>
              <w:rPr>
                <w:color w:val="000000"/>
                <w:sz w:val="20"/>
              </w:rPr>
              <w:t>153 (58,2)</w:t>
            </w:r>
          </w:p>
        </w:tc>
        <w:tc>
          <w:tcPr>
            <w:tcW w:w="1150" w:type="pct"/>
            <w:shd w:val="clear" w:color="auto" w:fill="auto"/>
            <w:tcMar>
              <w:top w:w="0" w:type="dxa"/>
              <w:left w:w="108" w:type="dxa"/>
              <w:bottom w:w="0" w:type="dxa"/>
              <w:right w:w="108" w:type="dxa"/>
            </w:tcMar>
          </w:tcPr>
          <w:p w14:paraId="2C674685" w14:textId="77777777" w:rsidR="00BE6869" w:rsidRPr="00D2126A" w:rsidRDefault="000E5A86" w:rsidP="00C93C76">
            <w:pPr>
              <w:pStyle w:val="C-TableText"/>
              <w:keepNext/>
              <w:spacing w:before="0" w:after="0"/>
              <w:ind w:left="363"/>
              <w:jc w:val="center"/>
              <w:rPr>
                <w:color w:val="000000"/>
                <w:sz w:val="20"/>
              </w:rPr>
            </w:pPr>
            <w:r>
              <w:rPr>
                <w:color w:val="000000"/>
                <w:sz w:val="20"/>
              </w:rPr>
              <w:t>83 (31,9)</w:t>
            </w:r>
          </w:p>
        </w:tc>
      </w:tr>
      <w:tr w:rsidR="00D5485C" w:rsidRPr="00D2126A" w14:paraId="5288FE5F" w14:textId="77777777" w:rsidTr="00F003F4">
        <w:trPr>
          <w:cantSplit/>
          <w:trHeight w:val="57"/>
          <w:jc w:val="center"/>
        </w:trPr>
        <w:tc>
          <w:tcPr>
            <w:tcW w:w="5000" w:type="pct"/>
            <w:gridSpan w:val="3"/>
            <w:shd w:val="clear" w:color="auto" w:fill="auto"/>
            <w:tcMar>
              <w:top w:w="0" w:type="dxa"/>
              <w:left w:w="108" w:type="dxa"/>
              <w:bottom w:w="0" w:type="dxa"/>
              <w:right w:w="108" w:type="dxa"/>
            </w:tcMar>
          </w:tcPr>
          <w:p w14:paraId="289AB7C6" w14:textId="77777777" w:rsidR="00BE6869" w:rsidRPr="00D2126A" w:rsidRDefault="000E5A86" w:rsidP="00C7655E">
            <w:pPr>
              <w:pStyle w:val="C-TableText"/>
              <w:keepNext/>
              <w:spacing w:before="0" w:after="0"/>
              <w:rPr>
                <w:color w:val="000000"/>
                <w:sz w:val="20"/>
              </w:rPr>
            </w:pPr>
            <w:r>
              <w:rPr>
                <w:b/>
                <w:color w:val="000000"/>
                <w:sz w:val="20"/>
              </w:rPr>
              <w:t>Suivi (mois)</w:t>
            </w:r>
          </w:p>
        </w:tc>
      </w:tr>
      <w:tr w:rsidR="00D5485C" w:rsidRPr="00D2126A" w14:paraId="408526AB" w14:textId="77777777" w:rsidTr="00F003F4">
        <w:trPr>
          <w:cantSplit/>
          <w:trHeight w:val="57"/>
          <w:jc w:val="center"/>
        </w:trPr>
        <w:tc>
          <w:tcPr>
            <w:tcW w:w="2700" w:type="pct"/>
            <w:shd w:val="clear" w:color="auto" w:fill="auto"/>
            <w:tcMar>
              <w:top w:w="0" w:type="dxa"/>
              <w:left w:w="108" w:type="dxa"/>
              <w:bottom w:w="0" w:type="dxa"/>
              <w:right w:w="108" w:type="dxa"/>
            </w:tcMar>
          </w:tcPr>
          <w:p w14:paraId="6C935B60" w14:textId="77777777" w:rsidR="00A31A83" w:rsidRPr="00D2126A" w:rsidRDefault="000E5A86" w:rsidP="00C7655E">
            <w:pPr>
              <w:pStyle w:val="C-TableText"/>
              <w:keepNext/>
              <w:spacing w:before="0" w:after="0"/>
              <w:ind w:left="180"/>
              <w:rPr>
                <w:color w:val="000000"/>
                <w:sz w:val="20"/>
              </w:rPr>
            </w:pPr>
            <w:r>
              <w:rPr>
                <w:color w:val="000000"/>
                <w:sz w:val="20"/>
              </w:rPr>
              <w:t>Médiane</w:t>
            </w:r>
            <w:r>
              <w:rPr>
                <w:color w:val="000000"/>
                <w:sz w:val="20"/>
                <w:vertAlign w:val="superscript"/>
              </w:rPr>
              <w:t xml:space="preserve">e </w:t>
            </w:r>
            <w:r>
              <w:rPr>
                <w:color w:val="000000"/>
                <w:sz w:val="20"/>
              </w:rPr>
              <w:t>(min, max) : tous patients</w:t>
            </w:r>
          </w:p>
        </w:tc>
        <w:tc>
          <w:tcPr>
            <w:tcW w:w="1150" w:type="pct"/>
            <w:shd w:val="clear" w:color="auto" w:fill="auto"/>
            <w:tcMar>
              <w:top w:w="0" w:type="dxa"/>
              <w:left w:w="108" w:type="dxa"/>
              <w:bottom w:w="0" w:type="dxa"/>
              <w:right w:w="108" w:type="dxa"/>
            </w:tcMar>
          </w:tcPr>
          <w:p w14:paraId="6C255C0C" w14:textId="77777777" w:rsidR="00A31A83" w:rsidRPr="00D2126A" w:rsidRDefault="000E5A86" w:rsidP="00C93C76">
            <w:pPr>
              <w:pStyle w:val="C-TableText"/>
              <w:spacing w:before="0" w:after="0"/>
              <w:jc w:val="center"/>
              <w:rPr>
                <w:color w:val="000000"/>
                <w:sz w:val="20"/>
              </w:rPr>
            </w:pPr>
            <w:r>
              <w:rPr>
                <w:color w:val="000000"/>
                <w:sz w:val="20"/>
              </w:rPr>
              <w:t>61,6 (0,2 ; 99,4)</w:t>
            </w:r>
          </w:p>
        </w:tc>
        <w:tc>
          <w:tcPr>
            <w:tcW w:w="1150" w:type="pct"/>
            <w:shd w:val="clear" w:color="auto" w:fill="auto"/>
          </w:tcPr>
          <w:p w14:paraId="70492108" w14:textId="77777777" w:rsidR="00A31A83" w:rsidRPr="00D2126A" w:rsidRDefault="000E5A86" w:rsidP="00C93C76">
            <w:pPr>
              <w:pStyle w:val="C-TableText"/>
              <w:spacing w:before="0" w:after="0"/>
              <w:jc w:val="center"/>
              <w:rPr>
                <w:color w:val="000000"/>
                <w:sz w:val="20"/>
              </w:rPr>
            </w:pPr>
            <w:r>
              <w:rPr>
                <w:color w:val="000000"/>
                <w:sz w:val="20"/>
              </w:rPr>
              <w:t>59,4 (0,4 ; 99,1)</w:t>
            </w:r>
          </w:p>
        </w:tc>
      </w:tr>
    </w:tbl>
    <w:p w14:paraId="4F294437" w14:textId="2ACD6152" w:rsidR="00BE6869" w:rsidRPr="00D2126A" w:rsidRDefault="000E5A86" w:rsidP="00C93C76">
      <w:pPr>
        <w:pStyle w:val="C-TableFootnote"/>
        <w:ind w:left="90" w:firstLine="0"/>
        <w:rPr>
          <w:rFonts w:cs="Times New Roman"/>
          <w:sz w:val="16"/>
          <w:szCs w:val="16"/>
        </w:rPr>
      </w:pPr>
      <w:r>
        <w:rPr>
          <w:sz w:val="16"/>
        </w:rPr>
        <w:t>IC = intervalle de confiance ; RR = rapport de risque ; max = maximum ; min = minimum ; NE = non estimable ; SG = survie globale ; SSP = survie sans progression.</w:t>
      </w:r>
    </w:p>
    <w:p w14:paraId="7D2AC080" w14:textId="47293A63" w:rsidR="00BE6869" w:rsidRPr="00D2126A" w:rsidRDefault="000E5A86" w:rsidP="00C93C76">
      <w:pPr>
        <w:pStyle w:val="C-TableFootnote"/>
        <w:ind w:left="90" w:firstLine="0"/>
        <w:rPr>
          <w:sz w:val="16"/>
          <w:szCs w:val="16"/>
        </w:rPr>
      </w:pPr>
      <w:r>
        <w:rPr>
          <w:sz w:val="16"/>
          <w:vertAlign w:val="superscript"/>
        </w:rPr>
        <w:t xml:space="preserve">a </w:t>
      </w:r>
      <w:r>
        <w:rPr>
          <w:sz w:val="16"/>
        </w:rPr>
        <w:t>La médiane est basée sur l’estimation de Kaplan</w:t>
      </w:r>
      <w:r>
        <w:rPr>
          <w:sz w:val="16"/>
        </w:rPr>
        <w:noBreakHyphen/>
        <w:t>Meier.</w:t>
      </w:r>
    </w:p>
    <w:p w14:paraId="6C27FC7D" w14:textId="26AC7EC4" w:rsidR="00BE6869" w:rsidRPr="00D2126A" w:rsidRDefault="000E5A86" w:rsidP="00C93C76">
      <w:pPr>
        <w:pStyle w:val="C-TableFootnote"/>
        <w:ind w:left="90" w:firstLine="0"/>
        <w:rPr>
          <w:sz w:val="16"/>
          <w:szCs w:val="16"/>
        </w:rPr>
      </w:pPr>
      <w:r>
        <w:rPr>
          <w:sz w:val="16"/>
          <w:vertAlign w:val="superscript"/>
        </w:rPr>
        <w:t>b</w:t>
      </w:r>
      <w:r>
        <w:rPr>
          <w:sz w:val="16"/>
        </w:rPr>
        <w:t xml:space="preserve"> IC à 95 % bilatéral de la médiane.</w:t>
      </w:r>
    </w:p>
    <w:p w14:paraId="550E2957" w14:textId="74D4ABBC" w:rsidR="00BE6869" w:rsidRPr="00D2126A" w:rsidRDefault="000E5A86" w:rsidP="00C93C76">
      <w:pPr>
        <w:pStyle w:val="C-TableFootnote"/>
        <w:ind w:left="90" w:firstLine="0"/>
        <w:rPr>
          <w:sz w:val="16"/>
          <w:szCs w:val="16"/>
        </w:rPr>
      </w:pPr>
      <w:r>
        <w:rPr>
          <w:sz w:val="16"/>
          <w:vertAlign w:val="superscript"/>
        </w:rPr>
        <w:t>c</w:t>
      </w:r>
      <w:r>
        <w:rPr>
          <w:sz w:val="16"/>
        </w:rPr>
        <w:t xml:space="preserve"> Basé sur un modèle pour risques proportionnels de Cox comparant les fonctions de risque associées aux bras de traitement (RVd:Rd).</w:t>
      </w:r>
    </w:p>
    <w:p w14:paraId="1B54D808" w14:textId="2FC022E4" w:rsidR="00BE6869" w:rsidRPr="00D2126A" w:rsidRDefault="000E5A86" w:rsidP="00C93C76">
      <w:pPr>
        <w:pStyle w:val="C-TableFootnote"/>
        <w:ind w:left="90" w:firstLine="0"/>
        <w:rPr>
          <w:sz w:val="16"/>
          <w:szCs w:val="16"/>
        </w:rPr>
      </w:pPr>
      <w:r>
        <w:rPr>
          <w:sz w:val="16"/>
          <w:vertAlign w:val="superscript"/>
        </w:rPr>
        <w:t xml:space="preserve">d </w:t>
      </w:r>
      <w:r>
        <w:rPr>
          <w:sz w:val="16"/>
        </w:rPr>
        <w:t>Valeur p déterminée par le test log</w:t>
      </w:r>
      <w:r>
        <w:rPr>
          <w:sz w:val="16"/>
        </w:rPr>
        <w:noBreakHyphen/>
        <w:t>rank non stratifié.</w:t>
      </w:r>
    </w:p>
    <w:p w14:paraId="20F07430" w14:textId="1295106F" w:rsidR="00FA6A05" w:rsidRPr="00D2126A" w:rsidRDefault="000E5A86" w:rsidP="00C7655E">
      <w:pPr>
        <w:pStyle w:val="C-TableFootnote"/>
        <w:keepNext/>
        <w:ind w:left="90" w:firstLine="0"/>
        <w:rPr>
          <w:sz w:val="16"/>
          <w:szCs w:val="16"/>
        </w:rPr>
      </w:pPr>
      <w:r>
        <w:rPr>
          <w:sz w:val="16"/>
          <w:vertAlign w:val="superscript"/>
        </w:rPr>
        <w:t xml:space="preserve">e </w:t>
      </w:r>
      <w:r>
        <w:rPr>
          <w:sz w:val="16"/>
        </w:rPr>
        <w:t>Durée médiane de suivi calculée à partir de la date de randomisation.</w:t>
      </w:r>
    </w:p>
    <w:p w14:paraId="43A621A4" w14:textId="07451920" w:rsidR="00BE6869" w:rsidRPr="00D2126A" w:rsidRDefault="000E5A86" w:rsidP="00C7655E">
      <w:pPr>
        <w:pStyle w:val="C-TableFootnote"/>
        <w:keepNext/>
        <w:ind w:left="90" w:firstLine="0"/>
        <w:rPr>
          <w:sz w:val="16"/>
          <w:szCs w:val="16"/>
        </w:rPr>
      </w:pPr>
      <w:r>
        <w:rPr>
          <w:sz w:val="16"/>
        </w:rPr>
        <w:t>Date de gel des données : 1</w:t>
      </w:r>
      <w:r>
        <w:rPr>
          <w:sz w:val="16"/>
          <w:vertAlign w:val="superscript"/>
        </w:rPr>
        <w:t>er</w:t>
      </w:r>
      <w:r>
        <w:rPr>
          <w:sz w:val="16"/>
        </w:rPr>
        <w:t> décembre 2016.</w:t>
      </w:r>
    </w:p>
    <w:p w14:paraId="57656000" w14:textId="77777777" w:rsidR="00BE6869" w:rsidRPr="00D2126A" w:rsidRDefault="00BE6869" w:rsidP="00C93C76"/>
    <w:p w14:paraId="6720CE84" w14:textId="55538235" w:rsidR="005B1C3D" w:rsidRPr="00D2126A" w:rsidRDefault="000E5A86" w:rsidP="006B7D29">
      <w:pPr>
        <w:pStyle w:val="C-BodyText"/>
        <w:spacing w:before="0" w:after="0" w:line="240" w:lineRule="auto"/>
        <w:rPr>
          <w:color w:val="000000"/>
          <w:sz w:val="22"/>
          <w:szCs w:val="22"/>
        </w:rPr>
      </w:pPr>
      <w:r>
        <w:rPr>
          <w:color w:val="000000"/>
          <w:sz w:val="22"/>
        </w:rPr>
        <w:t>Les résultats de SG actualisés, avec gel des données le 1</w:t>
      </w:r>
      <w:r>
        <w:rPr>
          <w:color w:val="000000"/>
          <w:sz w:val="22"/>
          <w:vertAlign w:val="superscript"/>
        </w:rPr>
        <w:t>er</w:t>
      </w:r>
      <w:r>
        <w:rPr>
          <w:color w:val="000000"/>
          <w:sz w:val="22"/>
        </w:rPr>
        <w:t> mai 2018 (durée médiane de suivi de 84,2 mois pour les patients survivants), continuent à montrer un avantage de SG en faveur de l’association RVd : RR = 0,73 (IC à 95 % 0,57 ; 0,94 ; p = 0,014). Les pourcentages de patients en vie après 7 ans étaient de 54,7 % dans le bras RVd contre 44,7 % dans le bras Rd.</w:t>
      </w:r>
    </w:p>
    <w:p w14:paraId="709F9B15" w14:textId="77777777" w:rsidR="005B1C3D" w:rsidRPr="00D2126A" w:rsidRDefault="005B1C3D" w:rsidP="00C93C76"/>
    <w:p w14:paraId="360D5B82" w14:textId="77777777" w:rsidR="008D3DAE" w:rsidRPr="00D2126A" w:rsidRDefault="000E5A86" w:rsidP="00CA5528">
      <w:pPr>
        <w:pStyle w:val="Style5"/>
      </w:pPr>
      <w:r>
        <w:t>Lénalidomide administré en association avec la dexaméthasone chez les patients non éligibles à une greffe de cellules souches</w:t>
      </w:r>
    </w:p>
    <w:p w14:paraId="046A8438" w14:textId="77777777" w:rsidR="00C7655E" w:rsidRPr="00D2126A" w:rsidRDefault="00C7655E" w:rsidP="00C7655E">
      <w:pPr>
        <w:keepNext/>
        <w:autoSpaceDE w:val="0"/>
        <w:autoSpaceDN w:val="0"/>
        <w:adjustRightInd w:val="0"/>
        <w:ind w:right="-20"/>
        <w:rPr>
          <w:color w:val="000000"/>
        </w:rPr>
      </w:pPr>
    </w:p>
    <w:p w14:paraId="397C4CD7" w14:textId="32ACBAED" w:rsidR="008D3DAE" w:rsidRPr="00D2126A" w:rsidRDefault="000E5A86" w:rsidP="00223D79">
      <w:r>
        <w:t>La sécurité et l’efficacité du lénalidomide ont été évaluées dans une étude de phase 3 multicentrique, randomisée en ouvert, en trois bras (MM</w:t>
      </w:r>
      <w:r>
        <w:noBreakHyphen/>
        <w:t>020), menée chez des patients âgés de 65 ans ou plus ou chez les patients âgés de moins de 65 ans, qui n’étaient pas éligibles à une greffe de cellules souches parce qu’ils l’avaient refusée ou ne pouvaient pas en bénéficier en raison du coût ou pour d’autres motifs. L’étude (MM</w:t>
      </w:r>
      <w:r>
        <w:noBreakHyphen/>
        <w:t xml:space="preserve">020) visait à comparer l’association de lénalidomide et dexaméthasone (Rd) administrée pendant deux durées différentes (jusqu’à la progression de la maladie [bras Rd] ou pendant un maximum de 18 cycles de 28 jours [72 semaines, bras Rd18] à l’association de melphalan, prednisone et thalidomide (MPT) administrée pendant un maximum de 12 cycles de 42 jours (72 semaines). Les patients ont été randomisés (1:1:1) dans l’un des trois bras de traitement. Les patients ont été stratifiés au moment de la randomisation en fonction de l'âge (≤ 75 ans </w:t>
      </w:r>
      <w:r>
        <w:rPr>
          <w:i/>
        </w:rPr>
        <w:t>versus</w:t>
      </w:r>
      <w:r>
        <w:t xml:space="preserve"> &gt; 75 ans), du stade (stades ISS I et II </w:t>
      </w:r>
      <w:r>
        <w:rPr>
          <w:i/>
        </w:rPr>
        <w:t>versus</w:t>
      </w:r>
      <w:r>
        <w:t xml:space="preserve"> stade 3) et du pays.</w:t>
      </w:r>
    </w:p>
    <w:p w14:paraId="709C99F0" w14:textId="77777777" w:rsidR="008D3DAE" w:rsidRPr="00D2126A" w:rsidRDefault="008D3DAE" w:rsidP="00C93C76">
      <w:pPr>
        <w:autoSpaceDE w:val="0"/>
        <w:autoSpaceDN w:val="0"/>
        <w:adjustRightInd w:val="0"/>
        <w:ind w:right="-20"/>
      </w:pPr>
    </w:p>
    <w:p w14:paraId="42CA711E" w14:textId="27089356" w:rsidR="008D3DAE" w:rsidRPr="00D2126A" w:rsidRDefault="000E5A86" w:rsidP="0015632D">
      <w:pPr>
        <w:autoSpaceDE w:val="0"/>
        <w:autoSpaceDN w:val="0"/>
        <w:adjustRightInd w:val="0"/>
        <w:ind w:right="-20"/>
      </w:pPr>
      <w:r>
        <w:t>Les patients des bras Rd et Rd18 ont pris 25 mg de lénalidomide une fois par jour les jours 1 à 21 des cycles de 28 jours conformément au bras de l’étude. La dexaméthasone 40 mg était prise une fois par jour les jours 1, 8, 15 et 22 de chaque cycle de 28 jours. Dans les bras Rd et Rd18, la dose initiale et le schéma posologique étaient ajustés en fonction de l'âge et de la fonction rénale (voir rubrique 4.2). Les patients âgés de plus de 75 ans ont reçu une dose de 20 mg de dexaméthasone une fois par jour les jours 1, 8, 15 et 22 de chaque cycle de 28 jours. Tous les patients ont reçu une thromboprophylaxie (héparine de bas poids moléculaire, warfarine, héparine, aspirine à faible dose) pendant l’étude.</w:t>
      </w:r>
    </w:p>
    <w:p w14:paraId="6B625926" w14:textId="77777777" w:rsidR="008D3DAE" w:rsidRPr="00D2126A" w:rsidRDefault="008D3DAE" w:rsidP="00C93C76">
      <w:pPr>
        <w:autoSpaceDE w:val="0"/>
        <w:autoSpaceDN w:val="0"/>
        <w:adjustRightInd w:val="0"/>
        <w:ind w:right="-20"/>
      </w:pPr>
    </w:p>
    <w:p w14:paraId="3702EB0F" w14:textId="0A66C8EE" w:rsidR="008D3DAE" w:rsidRPr="00D2126A" w:rsidRDefault="000E5A86" w:rsidP="00C93C76">
      <w:pPr>
        <w:pStyle w:val="Date"/>
      </w:pPr>
      <w:r>
        <w:t>Le critère d’efficacité principal dans l’étude était la survie sans progression (SSP). Au total, 1 623 patients ont été inclus dans l’étude, dont 535 patients randomisés dans le bras Rd, 541 patients dans le bras Rd18 et 547 patients dans le bras MPT. Les caractéristiques démographiques et pathologiques initiales des patients étaient bien équilibrées dans les trois bras. En général, les patients de l’étude présentaient une maladie de stade avancé : sur la population totale de l’étude, 41 % présentaient une maladie de stade ISS III et 9 % une insuffisance rénale sévère (clairance de la créatinine [ClCr] &lt; 30 ml/min). L'âge médian était de 73 ans dans les trois bras.</w:t>
      </w:r>
    </w:p>
    <w:p w14:paraId="060079CA" w14:textId="77777777" w:rsidR="008D3DAE" w:rsidRPr="00D2126A" w:rsidRDefault="008D3DAE" w:rsidP="00C93C76">
      <w:pPr>
        <w:autoSpaceDE w:val="0"/>
        <w:autoSpaceDN w:val="0"/>
        <w:adjustRightInd w:val="0"/>
        <w:ind w:right="-20"/>
      </w:pPr>
    </w:p>
    <w:p w14:paraId="5B4CFDF7" w14:textId="06473A14" w:rsidR="00DE172D" w:rsidRPr="00D2126A" w:rsidRDefault="000E5A86" w:rsidP="00C93C76">
      <w:pPr>
        <w:pStyle w:val="C-TableText"/>
        <w:spacing w:before="0" w:after="0"/>
        <w:rPr>
          <w:szCs w:val="22"/>
        </w:rPr>
      </w:pPr>
      <w:r>
        <w:rPr>
          <w:color w:val="000000"/>
        </w:rPr>
        <w:t>Les résultats de l’étude selon une analyse actualisée de la SSP, de la SSP2 et de la SG avec gel des données le 3 mars 2014 dans laquelle la durée médiane de suivi de l’ensemble des patients survivants était de 45,5 mois sont présentés dans le tableau 9.</w:t>
      </w:r>
    </w:p>
    <w:p w14:paraId="33B7E6CA" w14:textId="77777777" w:rsidR="00DE172D" w:rsidRPr="00D2126A" w:rsidRDefault="00DE172D" w:rsidP="00C93C76">
      <w:pPr>
        <w:pStyle w:val="Header"/>
        <w:rPr>
          <w:rFonts w:ascii="Times New Roman" w:hAnsi="Times New Roman"/>
          <w:sz w:val="22"/>
        </w:rPr>
      </w:pPr>
    </w:p>
    <w:p w14:paraId="311DA91A" w14:textId="67A3E5E2" w:rsidR="00DE172D" w:rsidRPr="00D2126A" w:rsidRDefault="000E5A86" w:rsidP="00C93C76">
      <w:pPr>
        <w:pStyle w:val="C-TableHeader"/>
        <w:spacing w:before="0" w:after="0"/>
      </w:pPr>
      <w:r>
        <w:t>Tableau 9. Synthèse des données d’efficacité globales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119"/>
        <w:gridCol w:w="1722"/>
        <w:gridCol w:w="1722"/>
        <w:gridCol w:w="1723"/>
      </w:tblGrid>
      <w:tr w:rsidR="00D5485C" w:rsidRPr="00D2126A" w14:paraId="48D3AECA"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59ED1C7E" w14:textId="77777777" w:rsidR="008D3DAE" w:rsidRPr="00AB0414" w:rsidRDefault="008D3DAE" w:rsidP="006B7D29">
            <w:pPr>
              <w:pStyle w:val="C-TableHeader"/>
              <w:tabs>
                <w:tab w:val="center" w:pos="4153"/>
                <w:tab w:val="right" w:pos="8306"/>
              </w:tabs>
              <w:spacing w:before="0" w:after="0"/>
              <w:rPr>
                <w:i/>
                <w:iCs/>
                <w:color w:val="000000"/>
                <w:sz w:val="20"/>
              </w:rPr>
            </w:pPr>
          </w:p>
        </w:tc>
        <w:tc>
          <w:tcPr>
            <w:tcW w:w="927" w:type="pct"/>
            <w:shd w:val="clear" w:color="auto" w:fill="auto"/>
            <w:tcMar>
              <w:top w:w="0" w:type="dxa"/>
              <w:left w:w="108" w:type="dxa"/>
              <w:bottom w:w="0" w:type="dxa"/>
              <w:right w:w="108" w:type="dxa"/>
            </w:tcMar>
            <w:vAlign w:val="bottom"/>
            <w:hideMark/>
          </w:tcPr>
          <w:p w14:paraId="011F018A" w14:textId="77777777" w:rsidR="00F003F4" w:rsidRPr="00D2126A" w:rsidRDefault="000E5A86" w:rsidP="006B7D29">
            <w:pPr>
              <w:pStyle w:val="C-TableHeader"/>
              <w:spacing w:before="0" w:after="0"/>
              <w:ind w:left="-108" w:right="-111"/>
              <w:jc w:val="center"/>
              <w:rPr>
                <w:color w:val="000000"/>
                <w:sz w:val="20"/>
              </w:rPr>
            </w:pPr>
            <w:r>
              <w:rPr>
                <w:color w:val="000000"/>
                <w:sz w:val="20"/>
              </w:rPr>
              <w:t>Rd</w:t>
            </w:r>
          </w:p>
          <w:p w14:paraId="786AE3A3" w14:textId="7810D620" w:rsidR="008D3DAE" w:rsidRPr="00D2126A" w:rsidRDefault="000E5A86" w:rsidP="006B7D29">
            <w:pPr>
              <w:pStyle w:val="C-TableHeader"/>
              <w:spacing w:before="0" w:after="0"/>
              <w:ind w:left="-108" w:right="-111"/>
              <w:jc w:val="center"/>
              <w:rPr>
                <w:color w:val="000000"/>
                <w:sz w:val="20"/>
              </w:rPr>
            </w:pPr>
            <w:r>
              <w:rPr>
                <w:color w:val="000000"/>
                <w:sz w:val="20"/>
              </w:rPr>
              <w:t>(N = 535)</w:t>
            </w:r>
          </w:p>
        </w:tc>
        <w:tc>
          <w:tcPr>
            <w:tcW w:w="927" w:type="pct"/>
            <w:shd w:val="clear" w:color="auto" w:fill="auto"/>
            <w:tcMar>
              <w:top w:w="0" w:type="dxa"/>
              <w:left w:w="108" w:type="dxa"/>
              <w:bottom w:w="0" w:type="dxa"/>
              <w:right w:w="108" w:type="dxa"/>
            </w:tcMar>
            <w:vAlign w:val="bottom"/>
            <w:hideMark/>
          </w:tcPr>
          <w:p w14:paraId="72394EA2" w14:textId="77777777" w:rsidR="00F003F4" w:rsidRPr="00D2126A" w:rsidRDefault="000E5A86" w:rsidP="006B7D29">
            <w:pPr>
              <w:pStyle w:val="C-TableHeader"/>
              <w:spacing w:before="0" w:after="0"/>
              <w:ind w:left="-105" w:right="-114"/>
              <w:jc w:val="center"/>
              <w:rPr>
                <w:color w:val="000000"/>
                <w:sz w:val="20"/>
              </w:rPr>
            </w:pPr>
            <w:r>
              <w:rPr>
                <w:color w:val="000000"/>
                <w:sz w:val="20"/>
              </w:rPr>
              <w:t>Rd18</w:t>
            </w:r>
          </w:p>
          <w:p w14:paraId="37ABEA90" w14:textId="6280C867" w:rsidR="008D3DAE" w:rsidRPr="00D2126A" w:rsidRDefault="000E5A86" w:rsidP="006B7D29">
            <w:pPr>
              <w:pStyle w:val="C-TableHeader"/>
              <w:spacing w:before="0" w:after="0"/>
              <w:ind w:left="-105" w:right="-114"/>
              <w:jc w:val="center"/>
              <w:rPr>
                <w:color w:val="000000"/>
                <w:sz w:val="20"/>
              </w:rPr>
            </w:pPr>
            <w:r>
              <w:rPr>
                <w:color w:val="000000"/>
                <w:sz w:val="20"/>
              </w:rPr>
              <w:t>(N = 541)</w:t>
            </w:r>
          </w:p>
        </w:tc>
        <w:tc>
          <w:tcPr>
            <w:tcW w:w="927" w:type="pct"/>
            <w:shd w:val="clear" w:color="auto" w:fill="auto"/>
            <w:tcMar>
              <w:top w:w="0" w:type="dxa"/>
              <w:left w:w="108" w:type="dxa"/>
              <w:bottom w:w="0" w:type="dxa"/>
              <w:right w:w="108" w:type="dxa"/>
            </w:tcMar>
            <w:vAlign w:val="bottom"/>
            <w:hideMark/>
          </w:tcPr>
          <w:p w14:paraId="022AA30D" w14:textId="77777777" w:rsidR="00F003F4" w:rsidRPr="00D2126A" w:rsidRDefault="000E5A86" w:rsidP="006B7D29">
            <w:pPr>
              <w:pStyle w:val="C-TableHeader"/>
              <w:spacing w:before="0" w:after="0"/>
              <w:ind w:left="-108" w:right="-111"/>
              <w:jc w:val="center"/>
              <w:rPr>
                <w:color w:val="000000"/>
                <w:sz w:val="20"/>
              </w:rPr>
            </w:pPr>
            <w:r>
              <w:rPr>
                <w:color w:val="000000"/>
                <w:sz w:val="20"/>
              </w:rPr>
              <w:t>MPT</w:t>
            </w:r>
          </w:p>
          <w:p w14:paraId="59526403" w14:textId="4E595036" w:rsidR="008D3DAE" w:rsidRPr="00D2126A" w:rsidRDefault="000E5A86" w:rsidP="006B7D29">
            <w:pPr>
              <w:pStyle w:val="C-TableHeader"/>
              <w:spacing w:before="0" w:after="0"/>
              <w:ind w:left="-108" w:right="-111"/>
              <w:jc w:val="center"/>
              <w:rPr>
                <w:color w:val="000000"/>
                <w:sz w:val="20"/>
              </w:rPr>
            </w:pPr>
            <w:r>
              <w:rPr>
                <w:color w:val="000000"/>
                <w:sz w:val="20"/>
              </w:rPr>
              <w:t>(N = 547)</w:t>
            </w:r>
          </w:p>
        </w:tc>
      </w:tr>
      <w:tr w:rsidR="00D5485C" w:rsidRPr="00D2126A" w14:paraId="31ADE6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56434" w14:textId="7DBBF5DC" w:rsidR="008D3DAE" w:rsidRPr="00D2126A" w:rsidRDefault="000E5A86" w:rsidP="00333629">
            <w:pPr>
              <w:pStyle w:val="C-TableText"/>
              <w:keepNext/>
              <w:spacing w:before="0" w:after="0"/>
              <w:rPr>
                <w:b/>
                <w:bCs/>
                <w:color w:val="000000"/>
                <w:sz w:val="20"/>
              </w:rPr>
            </w:pPr>
            <w:r>
              <w:rPr>
                <w:b/>
                <w:color w:val="000000"/>
                <w:sz w:val="20"/>
              </w:rPr>
              <w:t>Survie sans progression évaluée par les investigateurs (mois)</w:t>
            </w:r>
          </w:p>
        </w:tc>
        <w:tc>
          <w:tcPr>
            <w:tcW w:w="927" w:type="pct"/>
            <w:shd w:val="clear" w:color="auto" w:fill="auto"/>
            <w:tcMar>
              <w:top w:w="0" w:type="dxa"/>
              <w:left w:w="108" w:type="dxa"/>
              <w:bottom w:w="0" w:type="dxa"/>
              <w:right w:w="108" w:type="dxa"/>
            </w:tcMar>
          </w:tcPr>
          <w:p w14:paraId="2A422384" w14:textId="77777777" w:rsidR="008D3DAE" w:rsidRPr="00AB0414" w:rsidRDefault="008D3DAE" w:rsidP="006B7D29">
            <w:pPr>
              <w:pStyle w:val="C-TableText"/>
              <w:keepNext/>
              <w:spacing w:before="0" w:after="0"/>
              <w:jc w:val="center"/>
              <w:rPr>
                <w:color w:val="000000"/>
                <w:sz w:val="20"/>
              </w:rPr>
            </w:pPr>
          </w:p>
        </w:tc>
        <w:tc>
          <w:tcPr>
            <w:tcW w:w="927" w:type="pct"/>
            <w:shd w:val="clear" w:color="auto" w:fill="auto"/>
            <w:tcMar>
              <w:top w:w="0" w:type="dxa"/>
              <w:left w:w="108" w:type="dxa"/>
              <w:bottom w:w="0" w:type="dxa"/>
              <w:right w:w="108" w:type="dxa"/>
            </w:tcMar>
          </w:tcPr>
          <w:p w14:paraId="465945E9" w14:textId="77777777" w:rsidR="008D3DAE" w:rsidRPr="00AB0414" w:rsidRDefault="008D3DAE" w:rsidP="006B7D29">
            <w:pPr>
              <w:pStyle w:val="C-TableText"/>
              <w:keepNext/>
              <w:spacing w:before="0" w:after="0"/>
              <w:jc w:val="center"/>
              <w:rPr>
                <w:color w:val="000000"/>
                <w:sz w:val="20"/>
              </w:rPr>
            </w:pPr>
          </w:p>
        </w:tc>
        <w:tc>
          <w:tcPr>
            <w:tcW w:w="927" w:type="pct"/>
            <w:shd w:val="clear" w:color="auto" w:fill="auto"/>
            <w:tcMar>
              <w:top w:w="0" w:type="dxa"/>
              <w:left w:w="108" w:type="dxa"/>
              <w:bottom w:w="0" w:type="dxa"/>
              <w:right w:w="108" w:type="dxa"/>
            </w:tcMar>
          </w:tcPr>
          <w:p w14:paraId="69DBD601" w14:textId="77777777" w:rsidR="008D3DAE" w:rsidRPr="00AB0414" w:rsidRDefault="008D3DAE" w:rsidP="006B7D29">
            <w:pPr>
              <w:pStyle w:val="C-TableText"/>
              <w:keepNext/>
              <w:spacing w:before="0" w:after="0"/>
              <w:jc w:val="center"/>
              <w:rPr>
                <w:color w:val="000000"/>
                <w:sz w:val="20"/>
              </w:rPr>
            </w:pPr>
          </w:p>
        </w:tc>
      </w:tr>
      <w:tr w:rsidR="00D5485C" w:rsidRPr="00D2126A" w14:paraId="2503635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77C9C77" w14:textId="2A9BE348" w:rsidR="008D3DAE" w:rsidRPr="00D2126A" w:rsidRDefault="000E5A86" w:rsidP="006B7D29">
            <w:pPr>
              <w:pStyle w:val="C-TableText"/>
              <w:spacing w:before="0" w:after="0"/>
              <w:ind w:left="180"/>
              <w:rPr>
                <w:color w:val="000000"/>
                <w:sz w:val="20"/>
                <w:vertAlign w:val="superscript"/>
              </w:rPr>
            </w:pPr>
            <w:r>
              <w:rPr>
                <w:color w:val="000000"/>
                <w:sz w:val="20"/>
              </w:rPr>
              <w:t>SSP médiane</w:t>
            </w:r>
            <w:r>
              <w:rPr>
                <w:color w:val="000000"/>
                <w:sz w:val="20"/>
                <w:vertAlign w:val="superscript"/>
              </w:rPr>
              <w:t>a</w:t>
            </w:r>
            <w:r>
              <w:rPr>
                <w:color w:val="000000"/>
                <w:sz w:val="20"/>
              </w:rPr>
              <w:t>, mois (IC à 95 %)</w:t>
            </w:r>
            <w:r>
              <w:rPr>
                <w:color w:val="000000"/>
                <w:sz w:val="20"/>
                <w:vertAlign w:val="superscript"/>
              </w:rPr>
              <w:t>b</w:t>
            </w:r>
          </w:p>
        </w:tc>
        <w:tc>
          <w:tcPr>
            <w:tcW w:w="927" w:type="pct"/>
            <w:shd w:val="clear" w:color="auto" w:fill="auto"/>
            <w:tcMar>
              <w:top w:w="0" w:type="dxa"/>
              <w:left w:w="108" w:type="dxa"/>
              <w:bottom w:w="0" w:type="dxa"/>
              <w:right w:w="108" w:type="dxa"/>
            </w:tcMar>
          </w:tcPr>
          <w:p w14:paraId="028B7872" w14:textId="77777777" w:rsidR="008D3DAE" w:rsidRPr="00D2126A" w:rsidRDefault="000E5A86" w:rsidP="006B7D29">
            <w:pPr>
              <w:pStyle w:val="C-TableText"/>
              <w:spacing w:before="0" w:after="0"/>
              <w:jc w:val="center"/>
              <w:rPr>
                <w:color w:val="000000"/>
                <w:sz w:val="20"/>
              </w:rPr>
            </w:pPr>
            <w:r>
              <w:rPr>
                <w:color w:val="000000"/>
                <w:sz w:val="20"/>
              </w:rPr>
              <w:t>26,0 (20,7 ; 29,7)</w:t>
            </w:r>
          </w:p>
        </w:tc>
        <w:tc>
          <w:tcPr>
            <w:tcW w:w="927" w:type="pct"/>
            <w:shd w:val="clear" w:color="auto" w:fill="auto"/>
            <w:tcMar>
              <w:top w:w="0" w:type="dxa"/>
              <w:left w:w="108" w:type="dxa"/>
              <w:bottom w:w="0" w:type="dxa"/>
              <w:right w:w="108" w:type="dxa"/>
            </w:tcMar>
          </w:tcPr>
          <w:p w14:paraId="3B986097" w14:textId="77777777" w:rsidR="008D3DAE" w:rsidRPr="00D2126A" w:rsidRDefault="000E5A86" w:rsidP="006B7D29">
            <w:pPr>
              <w:pStyle w:val="C-TableText"/>
              <w:spacing w:before="0" w:after="0"/>
              <w:jc w:val="center"/>
              <w:rPr>
                <w:color w:val="000000"/>
                <w:sz w:val="20"/>
              </w:rPr>
            </w:pPr>
            <w:r>
              <w:rPr>
                <w:color w:val="000000"/>
                <w:sz w:val="20"/>
              </w:rPr>
              <w:t>21,0 (19,7 ; 22,4)</w:t>
            </w:r>
          </w:p>
        </w:tc>
        <w:tc>
          <w:tcPr>
            <w:tcW w:w="927" w:type="pct"/>
            <w:shd w:val="clear" w:color="auto" w:fill="auto"/>
            <w:tcMar>
              <w:top w:w="0" w:type="dxa"/>
              <w:left w:w="108" w:type="dxa"/>
              <w:bottom w:w="0" w:type="dxa"/>
              <w:right w:w="108" w:type="dxa"/>
            </w:tcMar>
          </w:tcPr>
          <w:p w14:paraId="5FBE5D05" w14:textId="77777777" w:rsidR="008D3DAE" w:rsidRPr="00D2126A" w:rsidRDefault="000E5A86" w:rsidP="006B7D29">
            <w:pPr>
              <w:pStyle w:val="C-TableText"/>
              <w:spacing w:before="0" w:after="0"/>
              <w:jc w:val="center"/>
              <w:rPr>
                <w:color w:val="000000"/>
                <w:sz w:val="20"/>
              </w:rPr>
            </w:pPr>
            <w:r>
              <w:rPr>
                <w:color w:val="000000"/>
                <w:sz w:val="20"/>
              </w:rPr>
              <w:t>21,9 (19,8 ; 23,9)</w:t>
            </w:r>
          </w:p>
        </w:tc>
      </w:tr>
      <w:tr w:rsidR="00D5485C" w:rsidRPr="00D2126A" w14:paraId="5FBA04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E06778B" w14:textId="20AE7A08" w:rsidR="008D3DAE" w:rsidRPr="00D2126A" w:rsidRDefault="000E5A86" w:rsidP="006B7D29">
            <w:pPr>
              <w:pStyle w:val="C-TableText"/>
              <w:keepNext/>
              <w:spacing w:before="0" w:after="0"/>
              <w:ind w:left="180"/>
              <w:rPr>
                <w:color w:val="000000"/>
                <w:sz w:val="20"/>
                <w:vertAlign w:val="superscript"/>
              </w:rPr>
            </w:pPr>
            <w:r>
              <w:rPr>
                <w:color w:val="000000"/>
                <w:sz w:val="20"/>
              </w:rPr>
              <w:t>RR [IC à 95 %]</w:t>
            </w:r>
            <w:r>
              <w:rPr>
                <w:color w:val="000000"/>
                <w:sz w:val="20"/>
                <w:vertAlign w:val="superscript"/>
              </w:rPr>
              <w:t>c </w:t>
            </w:r>
            <w:r>
              <w:rPr>
                <w:color w:val="000000"/>
                <w:sz w:val="20"/>
              </w:rPr>
              <w:t>; valeur p</w:t>
            </w:r>
            <w:r>
              <w:rPr>
                <w:color w:val="000000"/>
                <w:sz w:val="20"/>
                <w:vertAlign w:val="superscript"/>
              </w:rPr>
              <w:t>d</w:t>
            </w:r>
          </w:p>
        </w:tc>
        <w:tc>
          <w:tcPr>
            <w:tcW w:w="927" w:type="pct"/>
            <w:shd w:val="clear" w:color="auto" w:fill="auto"/>
            <w:tcMar>
              <w:top w:w="0" w:type="dxa"/>
              <w:left w:w="108" w:type="dxa"/>
              <w:bottom w:w="0" w:type="dxa"/>
              <w:right w:w="108" w:type="dxa"/>
            </w:tcMar>
          </w:tcPr>
          <w:p w14:paraId="2924C3CC" w14:textId="77777777" w:rsidR="008D3DAE" w:rsidRPr="00AB0414" w:rsidRDefault="008D3DAE" w:rsidP="006B7D29">
            <w:pPr>
              <w:pStyle w:val="C-TableText"/>
              <w:spacing w:before="0" w:after="0"/>
              <w:jc w:val="center"/>
              <w:rPr>
                <w:color w:val="000000"/>
                <w:sz w:val="20"/>
              </w:rPr>
            </w:pPr>
          </w:p>
        </w:tc>
        <w:tc>
          <w:tcPr>
            <w:tcW w:w="927" w:type="pct"/>
            <w:shd w:val="clear" w:color="auto" w:fill="auto"/>
            <w:tcMar>
              <w:top w:w="0" w:type="dxa"/>
              <w:left w:w="108" w:type="dxa"/>
              <w:bottom w:w="0" w:type="dxa"/>
              <w:right w:w="108" w:type="dxa"/>
            </w:tcMar>
          </w:tcPr>
          <w:p w14:paraId="02783AB6" w14:textId="77777777" w:rsidR="008D3DAE" w:rsidRPr="00AB0414" w:rsidRDefault="008D3DAE" w:rsidP="006B7D29">
            <w:pPr>
              <w:pStyle w:val="C-TableText"/>
              <w:spacing w:before="0" w:after="0"/>
              <w:jc w:val="center"/>
              <w:rPr>
                <w:color w:val="000000"/>
                <w:sz w:val="20"/>
              </w:rPr>
            </w:pPr>
          </w:p>
        </w:tc>
        <w:tc>
          <w:tcPr>
            <w:tcW w:w="927" w:type="pct"/>
            <w:shd w:val="clear" w:color="auto" w:fill="auto"/>
            <w:tcMar>
              <w:top w:w="0" w:type="dxa"/>
              <w:left w:w="108" w:type="dxa"/>
              <w:bottom w:w="0" w:type="dxa"/>
              <w:right w:w="108" w:type="dxa"/>
            </w:tcMar>
          </w:tcPr>
          <w:p w14:paraId="5971042C" w14:textId="77777777" w:rsidR="008D3DAE" w:rsidRPr="00AB0414" w:rsidRDefault="008D3DAE" w:rsidP="006B7D29">
            <w:pPr>
              <w:pStyle w:val="C-TableText"/>
              <w:spacing w:before="0" w:after="0"/>
              <w:jc w:val="center"/>
              <w:rPr>
                <w:color w:val="000000"/>
                <w:sz w:val="20"/>
              </w:rPr>
            </w:pPr>
          </w:p>
        </w:tc>
      </w:tr>
      <w:tr w:rsidR="00D5485C" w:rsidRPr="00D2126A" w14:paraId="4E86A0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53030B" w14:textId="77777777" w:rsidR="008D3DAE" w:rsidRPr="00D2126A" w:rsidRDefault="000E5A86" w:rsidP="006B7D29">
            <w:pPr>
              <w:pStyle w:val="C-TableText"/>
              <w:keepNext/>
              <w:spacing w:before="0" w:after="0"/>
              <w:ind w:left="450"/>
              <w:rPr>
                <w:color w:val="000000"/>
                <w:sz w:val="20"/>
              </w:rPr>
            </w:pPr>
            <w:r>
              <w:rPr>
                <w:color w:val="000000"/>
                <w:sz w:val="20"/>
              </w:rPr>
              <w:t xml:space="preserve">Rd </w:t>
            </w:r>
            <w:r>
              <w:rPr>
                <w:i/>
                <w:color w:val="000000"/>
                <w:sz w:val="20"/>
              </w:rPr>
              <w:t>vs</w:t>
            </w:r>
            <w:r>
              <w:rPr>
                <w:color w:val="000000"/>
                <w:sz w:val="20"/>
              </w:rPr>
              <w:t xml:space="preserve"> MPT</w:t>
            </w:r>
          </w:p>
        </w:tc>
        <w:tc>
          <w:tcPr>
            <w:tcW w:w="2782" w:type="pct"/>
            <w:gridSpan w:val="3"/>
            <w:shd w:val="clear" w:color="auto" w:fill="auto"/>
            <w:tcMar>
              <w:top w:w="0" w:type="dxa"/>
              <w:left w:w="108" w:type="dxa"/>
              <w:bottom w:w="0" w:type="dxa"/>
              <w:right w:w="108" w:type="dxa"/>
            </w:tcMar>
          </w:tcPr>
          <w:p w14:paraId="51A8A9CB" w14:textId="28A008CA" w:rsidR="008D3DAE" w:rsidRPr="00D2126A" w:rsidRDefault="000E5A86" w:rsidP="006B7D29">
            <w:pPr>
              <w:pStyle w:val="C-TableText"/>
              <w:spacing w:before="0" w:after="0"/>
              <w:jc w:val="center"/>
              <w:rPr>
                <w:color w:val="000000"/>
                <w:sz w:val="20"/>
              </w:rPr>
            </w:pPr>
            <w:r>
              <w:rPr>
                <w:color w:val="000000"/>
                <w:sz w:val="20"/>
              </w:rPr>
              <w:t>0,69 (0,59 ; 0,80) ; &lt; 0,001</w:t>
            </w:r>
          </w:p>
        </w:tc>
      </w:tr>
      <w:tr w:rsidR="00D5485C" w:rsidRPr="00D2126A" w14:paraId="025C65C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DCF9F3D" w14:textId="77777777" w:rsidR="008D3DAE" w:rsidRPr="00D2126A" w:rsidRDefault="000E5A86" w:rsidP="006B7D29">
            <w:pPr>
              <w:pStyle w:val="C-TableText"/>
              <w:keepNext/>
              <w:spacing w:before="0" w:after="0"/>
              <w:ind w:left="450"/>
              <w:rPr>
                <w:color w:val="000000"/>
                <w:sz w:val="20"/>
              </w:rPr>
            </w:pPr>
            <w:r>
              <w:rPr>
                <w:color w:val="000000"/>
                <w:sz w:val="20"/>
              </w:rPr>
              <w:t xml:space="preserve">Rd </w:t>
            </w:r>
            <w:r>
              <w:rPr>
                <w:i/>
                <w:color w:val="000000"/>
                <w:sz w:val="20"/>
              </w:rPr>
              <w:t>vs</w:t>
            </w:r>
            <w:r>
              <w:rPr>
                <w:color w:val="000000"/>
                <w:sz w:val="20"/>
              </w:rPr>
              <w:t xml:space="preserve"> Rd18</w:t>
            </w:r>
          </w:p>
        </w:tc>
        <w:tc>
          <w:tcPr>
            <w:tcW w:w="2782" w:type="pct"/>
            <w:gridSpan w:val="3"/>
            <w:shd w:val="clear" w:color="auto" w:fill="auto"/>
            <w:tcMar>
              <w:top w:w="0" w:type="dxa"/>
              <w:left w:w="108" w:type="dxa"/>
              <w:bottom w:w="0" w:type="dxa"/>
              <w:right w:w="108" w:type="dxa"/>
            </w:tcMar>
          </w:tcPr>
          <w:p w14:paraId="411CA114" w14:textId="630D7135" w:rsidR="008D3DAE" w:rsidRPr="00D2126A" w:rsidRDefault="000E5A86" w:rsidP="006B7D29">
            <w:pPr>
              <w:pStyle w:val="C-TableText"/>
              <w:spacing w:before="0" w:after="0"/>
              <w:jc w:val="center"/>
              <w:rPr>
                <w:color w:val="000000"/>
                <w:sz w:val="20"/>
              </w:rPr>
            </w:pPr>
            <w:r>
              <w:rPr>
                <w:color w:val="000000"/>
                <w:sz w:val="20"/>
              </w:rPr>
              <w:t>0,71 (0,61 ; 0,83) ; &lt; 0,001</w:t>
            </w:r>
          </w:p>
        </w:tc>
      </w:tr>
      <w:tr w:rsidR="00D5485C" w:rsidRPr="00D2126A" w14:paraId="72CE938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DB8E074" w14:textId="77777777" w:rsidR="008D3DAE" w:rsidRPr="00D2126A" w:rsidRDefault="000E5A86" w:rsidP="006B7D29">
            <w:pPr>
              <w:pStyle w:val="C-TableText"/>
              <w:spacing w:before="0" w:after="0"/>
              <w:ind w:left="450"/>
              <w:rPr>
                <w:color w:val="000000"/>
                <w:sz w:val="20"/>
              </w:rPr>
            </w:pPr>
            <w:r>
              <w:rPr>
                <w:color w:val="000000"/>
                <w:sz w:val="20"/>
              </w:rPr>
              <w:t xml:space="preserve">Rd18 </w:t>
            </w:r>
            <w:r>
              <w:rPr>
                <w:i/>
                <w:color w:val="000000"/>
                <w:sz w:val="20"/>
              </w:rPr>
              <w:t>vs</w:t>
            </w:r>
            <w:r>
              <w:rPr>
                <w:color w:val="000000"/>
                <w:sz w:val="20"/>
              </w:rPr>
              <w:t xml:space="preserve"> MPT</w:t>
            </w:r>
          </w:p>
        </w:tc>
        <w:tc>
          <w:tcPr>
            <w:tcW w:w="2782" w:type="pct"/>
            <w:gridSpan w:val="3"/>
            <w:shd w:val="clear" w:color="auto" w:fill="auto"/>
            <w:tcMar>
              <w:top w:w="0" w:type="dxa"/>
              <w:left w:w="108" w:type="dxa"/>
              <w:bottom w:w="0" w:type="dxa"/>
              <w:right w:w="108" w:type="dxa"/>
            </w:tcMar>
          </w:tcPr>
          <w:p w14:paraId="28878A3A" w14:textId="77777777" w:rsidR="008D3DAE" w:rsidRPr="00D2126A" w:rsidRDefault="000E5A86" w:rsidP="006B7D29">
            <w:pPr>
              <w:pStyle w:val="C-TableText"/>
              <w:spacing w:before="0" w:after="0"/>
              <w:ind w:right="-7"/>
              <w:jc w:val="center"/>
              <w:rPr>
                <w:color w:val="000000"/>
                <w:sz w:val="20"/>
              </w:rPr>
            </w:pPr>
            <w:r>
              <w:rPr>
                <w:color w:val="000000"/>
                <w:sz w:val="20"/>
              </w:rPr>
              <w:t>0,99 (0,86 ; 1,14) ; 0,866</w:t>
            </w:r>
          </w:p>
        </w:tc>
      </w:tr>
      <w:tr w:rsidR="00D5485C" w:rsidRPr="00D2126A" w14:paraId="2F33458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9FDC428" w14:textId="135CC5B8" w:rsidR="008D3DAE" w:rsidRPr="00D2126A" w:rsidRDefault="000E5A86" w:rsidP="00333629">
            <w:pPr>
              <w:pStyle w:val="C-TableText"/>
              <w:keepNext/>
              <w:spacing w:before="0" w:after="0"/>
              <w:rPr>
                <w:b/>
                <w:bCs/>
                <w:color w:val="000000"/>
                <w:sz w:val="20"/>
              </w:rPr>
            </w:pPr>
            <w:r>
              <w:rPr>
                <w:b/>
                <w:color w:val="000000"/>
                <w:sz w:val="20"/>
              </w:rPr>
              <w:t>SSP2</w:t>
            </w:r>
            <w:r>
              <w:rPr>
                <w:b/>
                <w:color w:val="000000"/>
                <w:sz w:val="20"/>
                <w:vertAlign w:val="superscript"/>
              </w:rPr>
              <w:t>e</w:t>
            </w:r>
            <w:r>
              <w:rPr>
                <w:b/>
                <w:color w:val="000000"/>
                <w:sz w:val="20"/>
              </w:rPr>
              <w:t xml:space="preserve"> (mois)</w:t>
            </w:r>
          </w:p>
        </w:tc>
        <w:tc>
          <w:tcPr>
            <w:tcW w:w="927" w:type="pct"/>
            <w:shd w:val="clear" w:color="auto" w:fill="auto"/>
            <w:tcMar>
              <w:top w:w="0" w:type="dxa"/>
              <w:left w:w="108" w:type="dxa"/>
              <w:bottom w:w="0" w:type="dxa"/>
              <w:right w:w="108" w:type="dxa"/>
            </w:tcMar>
          </w:tcPr>
          <w:p w14:paraId="175B1BF5"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1D4C4F5C"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138D4F98" w14:textId="77777777" w:rsidR="008D3DAE" w:rsidRPr="00D2126A" w:rsidRDefault="008D3DAE" w:rsidP="006B7D29">
            <w:pPr>
              <w:pStyle w:val="C-TableText"/>
              <w:spacing w:before="0" w:after="0"/>
              <w:ind w:right="-7"/>
              <w:jc w:val="center"/>
              <w:rPr>
                <w:color w:val="000000"/>
                <w:sz w:val="20"/>
                <w:lang w:val="en-GB"/>
              </w:rPr>
            </w:pPr>
          </w:p>
        </w:tc>
      </w:tr>
      <w:tr w:rsidR="00D5485C" w:rsidRPr="00D2126A" w14:paraId="554F170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CFEEE35" w14:textId="52C7AB22" w:rsidR="008D3DAE" w:rsidRPr="00D2126A" w:rsidRDefault="000E5A86" w:rsidP="006B7D29">
            <w:pPr>
              <w:pStyle w:val="C-TableText"/>
              <w:spacing w:before="0" w:after="0"/>
              <w:ind w:left="180"/>
              <w:rPr>
                <w:color w:val="000000"/>
                <w:sz w:val="20"/>
                <w:vertAlign w:val="superscript"/>
              </w:rPr>
            </w:pPr>
            <w:r>
              <w:rPr>
                <w:color w:val="000000"/>
                <w:sz w:val="20"/>
              </w:rPr>
              <w:t>SSP2 médiane</w:t>
            </w:r>
            <w:r>
              <w:rPr>
                <w:color w:val="000000"/>
                <w:sz w:val="20"/>
                <w:vertAlign w:val="superscript"/>
              </w:rPr>
              <w:t>a</w:t>
            </w:r>
            <w:r>
              <w:rPr>
                <w:color w:val="000000"/>
                <w:sz w:val="20"/>
              </w:rPr>
              <w:t>, mois (IC à 95 %)</w:t>
            </w:r>
            <w:r>
              <w:rPr>
                <w:color w:val="000000"/>
                <w:sz w:val="20"/>
                <w:vertAlign w:val="superscript"/>
              </w:rPr>
              <w:t>b</w:t>
            </w:r>
          </w:p>
        </w:tc>
        <w:tc>
          <w:tcPr>
            <w:tcW w:w="927" w:type="pct"/>
            <w:shd w:val="clear" w:color="auto" w:fill="auto"/>
            <w:tcMar>
              <w:top w:w="0" w:type="dxa"/>
              <w:left w:w="108" w:type="dxa"/>
              <w:bottom w:w="0" w:type="dxa"/>
              <w:right w:w="108" w:type="dxa"/>
            </w:tcMar>
          </w:tcPr>
          <w:p w14:paraId="3B0560DD" w14:textId="77777777" w:rsidR="008D3DAE" w:rsidRPr="00D2126A" w:rsidRDefault="000E5A86" w:rsidP="006B7D29">
            <w:pPr>
              <w:pStyle w:val="C-TableText"/>
              <w:spacing w:before="0" w:after="0"/>
              <w:ind w:right="-7"/>
              <w:jc w:val="center"/>
              <w:rPr>
                <w:color w:val="000000"/>
                <w:sz w:val="20"/>
              </w:rPr>
            </w:pPr>
            <w:r>
              <w:rPr>
                <w:color w:val="000000"/>
                <w:sz w:val="20"/>
              </w:rPr>
              <w:t>42,9 (38,1 ; 47,4)</w:t>
            </w:r>
          </w:p>
        </w:tc>
        <w:tc>
          <w:tcPr>
            <w:tcW w:w="927" w:type="pct"/>
            <w:shd w:val="clear" w:color="auto" w:fill="auto"/>
          </w:tcPr>
          <w:p w14:paraId="5861D08E" w14:textId="77777777" w:rsidR="008D3DAE" w:rsidRPr="00D2126A" w:rsidRDefault="000E5A86" w:rsidP="006B7D29">
            <w:pPr>
              <w:pStyle w:val="C-TableText"/>
              <w:spacing w:before="0" w:after="0"/>
              <w:ind w:right="-7"/>
              <w:jc w:val="center"/>
              <w:rPr>
                <w:color w:val="000000"/>
                <w:sz w:val="20"/>
              </w:rPr>
            </w:pPr>
            <w:r>
              <w:rPr>
                <w:color w:val="000000"/>
                <w:sz w:val="20"/>
              </w:rPr>
              <w:t>40,0 (36,2 ; 44,2)</w:t>
            </w:r>
          </w:p>
        </w:tc>
        <w:tc>
          <w:tcPr>
            <w:tcW w:w="927" w:type="pct"/>
            <w:shd w:val="clear" w:color="auto" w:fill="auto"/>
          </w:tcPr>
          <w:p w14:paraId="3B8AC25C" w14:textId="77777777" w:rsidR="008D3DAE" w:rsidRPr="00D2126A" w:rsidRDefault="000E5A86" w:rsidP="006B7D29">
            <w:pPr>
              <w:pStyle w:val="C-TableText"/>
              <w:spacing w:before="0" w:after="0"/>
              <w:ind w:right="-7"/>
              <w:jc w:val="center"/>
              <w:rPr>
                <w:color w:val="000000"/>
                <w:sz w:val="20"/>
              </w:rPr>
            </w:pPr>
            <w:r>
              <w:rPr>
                <w:color w:val="000000"/>
                <w:sz w:val="20"/>
              </w:rPr>
              <w:t>35,0 (30,4 ; 37,8)</w:t>
            </w:r>
          </w:p>
        </w:tc>
      </w:tr>
      <w:tr w:rsidR="00D5485C" w:rsidRPr="00D2126A" w14:paraId="5E798E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633CFBF" w14:textId="7E087D05" w:rsidR="008D3DAE" w:rsidRPr="00D2126A" w:rsidRDefault="000E5A86" w:rsidP="006B7D29">
            <w:pPr>
              <w:pStyle w:val="C-TableText"/>
              <w:keepNext/>
              <w:spacing w:before="0" w:after="0"/>
              <w:ind w:left="180"/>
              <w:rPr>
                <w:color w:val="000000"/>
                <w:sz w:val="20"/>
                <w:vertAlign w:val="superscript"/>
              </w:rPr>
            </w:pPr>
            <w:r>
              <w:rPr>
                <w:color w:val="000000"/>
                <w:sz w:val="20"/>
              </w:rPr>
              <w:t>RR [IC à 95 %]</w:t>
            </w:r>
            <w:r>
              <w:rPr>
                <w:color w:val="000000"/>
                <w:sz w:val="20"/>
                <w:vertAlign w:val="superscript"/>
              </w:rPr>
              <w:t>c </w:t>
            </w:r>
            <w:r>
              <w:rPr>
                <w:color w:val="000000"/>
                <w:sz w:val="20"/>
              </w:rPr>
              <w:t>; valeur p</w:t>
            </w:r>
            <w:r>
              <w:rPr>
                <w:color w:val="000000"/>
                <w:sz w:val="20"/>
                <w:vertAlign w:val="superscript"/>
              </w:rPr>
              <w:t>d</w:t>
            </w:r>
          </w:p>
        </w:tc>
        <w:tc>
          <w:tcPr>
            <w:tcW w:w="927" w:type="pct"/>
            <w:shd w:val="clear" w:color="auto" w:fill="auto"/>
            <w:tcMar>
              <w:top w:w="0" w:type="dxa"/>
              <w:left w:w="108" w:type="dxa"/>
              <w:bottom w:w="0" w:type="dxa"/>
              <w:right w:w="108" w:type="dxa"/>
            </w:tcMar>
          </w:tcPr>
          <w:p w14:paraId="1CB5A88F" w14:textId="77777777" w:rsidR="008D3DAE" w:rsidRPr="00AB0414" w:rsidRDefault="008D3DAE" w:rsidP="006B7D29">
            <w:pPr>
              <w:pStyle w:val="C-TableText"/>
              <w:spacing w:before="0" w:after="0"/>
              <w:ind w:right="-7"/>
              <w:jc w:val="center"/>
              <w:rPr>
                <w:color w:val="000000"/>
                <w:sz w:val="20"/>
              </w:rPr>
            </w:pPr>
          </w:p>
        </w:tc>
        <w:tc>
          <w:tcPr>
            <w:tcW w:w="927" w:type="pct"/>
            <w:shd w:val="clear" w:color="auto" w:fill="auto"/>
          </w:tcPr>
          <w:p w14:paraId="00102515" w14:textId="77777777" w:rsidR="008D3DAE" w:rsidRPr="00AB0414" w:rsidRDefault="008D3DAE" w:rsidP="006B7D29">
            <w:pPr>
              <w:pStyle w:val="C-TableText"/>
              <w:spacing w:before="0" w:after="0"/>
              <w:ind w:right="-7"/>
              <w:jc w:val="center"/>
              <w:rPr>
                <w:color w:val="000000"/>
                <w:sz w:val="20"/>
              </w:rPr>
            </w:pPr>
          </w:p>
        </w:tc>
        <w:tc>
          <w:tcPr>
            <w:tcW w:w="927" w:type="pct"/>
            <w:shd w:val="clear" w:color="auto" w:fill="auto"/>
          </w:tcPr>
          <w:p w14:paraId="066B53C6" w14:textId="77777777" w:rsidR="008D3DAE" w:rsidRPr="00AB0414" w:rsidRDefault="008D3DAE" w:rsidP="006B7D29">
            <w:pPr>
              <w:pStyle w:val="C-TableText"/>
              <w:spacing w:before="0" w:after="0"/>
              <w:ind w:right="-7"/>
              <w:jc w:val="center"/>
              <w:rPr>
                <w:color w:val="000000"/>
                <w:sz w:val="20"/>
              </w:rPr>
            </w:pPr>
          </w:p>
        </w:tc>
      </w:tr>
      <w:tr w:rsidR="00D5485C" w:rsidRPr="00D2126A" w14:paraId="3A495D1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68149F" w14:textId="77777777" w:rsidR="008D3DAE" w:rsidRPr="00D2126A" w:rsidRDefault="000E5A86" w:rsidP="006B7D29">
            <w:pPr>
              <w:pStyle w:val="C-TableText"/>
              <w:keepNext/>
              <w:spacing w:before="0" w:after="0"/>
              <w:ind w:left="450"/>
              <w:rPr>
                <w:color w:val="000000"/>
                <w:sz w:val="20"/>
              </w:rPr>
            </w:pPr>
            <w:r>
              <w:rPr>
                <w:color w:val="000000"/>
                <w:sz w:val="20"/>
              </w:rPr>
              <w:t xml:space="preserve">Rd </w:t>
            </w:r>
            <w:r>
              <w:rPr>
                <w:i/>
                <w:color w:val="000000"/>
                <w:sz w:val="20"/>
              </w:rPr>
              <w:t>vs</w:t>
            </w:r>
            <w:r>
              <w:rPr>
                <w:color w:val="000000"/>
                <w:sz w:val="20"/>
              </w:rPr>
              <w:t xml:space="preserve"> MPT</w:t>
            </w:r>
          </w:p>
        </w:tc>
        <w:tc>
          <w:tcPr>
            <w:tcW w:w="2782" w:type="pct"/>
            <w:gridSpan w:val="3"/>
            <w:shd w:val="clear" w:color="auto" w:fill="auto"/>
            <w:tcMar>
              <w:top w:w="0" w:type="dxa"/>
              <w:left w:w="108" w:type="dxa"/>
              <w:bottom w:w="0" w:type="dxa"/>
              <w:right w:w="108" w:type="dxa"/>
            </w:tcMar>
          </w:tcPr>
          <w:p w14:paraId="4BEC10B2" w14:textId="099B184F" w:rsidR="008D3DAE" w:rsidRPr="00D2126A" w:rsidRDefault="000E5A86" w:rsidP="006B7D29">
            <w:pPr>
              <w:pStyle w:val="C-TableText"/>
              <w:spacing w:before="0" w:after="0"/>
              <w:ind w:right="-7"/>
              <w:jc w:val="center"/>
              <w:rPr>
                <w:color w:val="000000"/>
                <w:sz w:val="20"/>
              </w:rPr>
            </w:pPr>
            <w:r>
              <w:rPr>
                <w:color w:val="000000"/>
                <w:sz w:val="20"/>
              </w:rPr>
              <w:t>0,74 (0,63 ; 0,86) ; &lt; 0,001</w:t>
            </w:r>
          </w:p>
        </w:tc>
      </w:tr>
      <w:tr w:rsidR="00D5485C" w:rsidRPr="00D2126A" w14:paraId="3FBF45F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B855928" w14:textId="77777777" w:rsidR="008D3DAE" w:rsidRPr="00D2126A" w:rsidRDefault="000E5A86" w:rsidP="006B7D29">
            <w:pPr>
              <w:pStyle w:val="C-TableText"/>
              <w:keepNext/>
              <w:spacing w:before="0" w:after="0"/>
              <w:ind w:left="450"/>
              <w:rPr>
                <w:color w:val="000000"/>
                <w:sz w:val="20"/>
              </w:rPr>
            </w:pPr>
            <w:r>
              <w:rPr>
                <w:color w:val="000000"/>
                <w:sz w:val="20"/>
              </w:rPr>
              <w:t xml:space="preserve">Rd </w:t>
            </w:r>
            <w:r>
              <w:rPr>
                <w:i/>
                <w:color w:val="000000"/>
                <w:sz w:val="20"/>
              </w:rPr>
              <w:t>vs</w:t>
            </w:r>
            <w:r>
              <w:rPr>
                <w:color w:val="000000"/>
                <w:sz w:val="20"/>
              </w:rPr>
              <w:t xml:space="preserve"> Rd18</w:t>
            </w:r>
          </w:p>
        </w:tc>
        <w:tc>
          <w:tcPr>
            <w:tcW w:w="2782" w:type="pct"/>
            <w:gridSpan w:val="3"/>
            <w:shd w:val="clear" w:color="auto" w:fill="auto"/>
            <w:tcMar>
              <w:top w:w="0" w:type="dxa"/>
              <w:left w:w="108" w:type="dxa"/>
              <w:bottom w:w="0" w:type="dxa"/>
              <w:right w:w="108" w:type="dxa"/>
            </w:tcMar>
          </w:tcPr>
          <w:p w14:paraId="35BA1B8A" w14:textId="77777777" w:rsidR="008D3DAE" w:rsidRPr="00D2126A" w:rsidRDefault="000E5A86" w:rsidP="006B7D29">
            <w:pPr>
              <w:pStyle w:val="C-TableText"/>
              <w:spacing w:before="0" w:after="0"/>
              <w:ind w:right="-7"/>
              <w:jc w:val="center"/>
              <w:rPr>
                <w:color w:val="000000"/>
                <w:sz w:val="20"/>
              </w:rPr>
            </w:pPr>
            <w:r>
              <w:rPr>
                <w:color w:val="000000"/>
                <w:sz w:val="20"/>
              </w:rPr>
              <w:t>0,92 (0,78 ; 1,08) ; 0,316</w:t>
            </w:r>
          </w:p>
        </w:tc>
      </w:tr>
      <w:tr w:rsidR="00D5485C" w:rsidRPr="00D2126A" w14:paraId="7F6C586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EBDD7D" w14:textId="77777777" w:rsidR="008D3DAE" w:rsidRPr="00D2126A" w:rsidRDefault="000E5A86" w:rsidP="006B7D29">
            <w:pPr>
              <w:pStyle w:val="C-TableText"/>
              <w:spacing w:before="0" w:after="0"/>
              <w:ind w:left="450"/>
              <w:rPr>
                <w:color w:val="000000"/>
                <w:sz w:val="20"/>
              </w:rPr>
            </w:pPr>
            <w:r>
              <w:rPr>
                <w:color w:val="000000"/>
                <w:sz w:val="20"/>
              </w:rPr>
              <w:t xml:space="preserve">Rd18 </w:t>
            </w:r>
            <w:r>
              <w:rPr>
                <w:i/>
                <w:color w:val="000000"/>
                <w:sz w:val="20"/>
              </w:rPr>
              <w:t>vs</w:t>
            </w:r>
            <w:r>
              <w:rPr>
                <w:color w:val="000000"/>
                <w:sz w:val="20"/>
              </w:rPr>
              <w:t xml:space="preserve"> MPT</w:t>
            </w:r>
          </w:p>
        </w:tc>
        <w:tc>
          <w:tcPr>
            <w:tcW w:w="2782" w:type="pct"/>
            <w:gridSpan w:val="3"/>
            <w:shd w:val="clear" w:color="auto" w:fill="auto"/>
            <w:tcMar>
              <w:top w:w="0" w:type="dxa"/>
              <w:left w:w="108" w:type="dxa"/>
              <w:bottom w:w="0" w:type="dxa"/>
              <w:right w:w="108" w:type="dxa"/>
            </w:tcMar>
          </w:tcPr>
          <w:p w14:paraId="1E9CC633" w14:textId="77777777" w:rsidR="008D3DAE" w:rsidRPr="00D2126A" w:rsidRDefault="000E5A86" w:rsidP="006B7D29">
            <w:pPr>
              <w:pStyle w:val="C-TableText"/>
              <w:spacing w:before="0" w:after="0"/>
              <w:ind w:right="-7"/>
              <w:jc w:val="center"/>
              <w:rPr>
                <w:color w:val="000000"/>
                <w:sz w:val="20"/>
              </w:rPr>
            </w:pPr>
            <w:r>
              <w:rPr>
                <w:color w:val="000000"/>
                <w:sz w:val="20"/>
              </w:rPr>
              <w:t>0,80 (0,69 ; 0,93) ; 0,004</w:t>
            </w:r>
          </w:p>
        </w:tc>
      </w:tr>
      <w:tr w:rsidR="00D5485C" w:rsidRPr="00D2126A" w14:paraId="2E3A34C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A898638" w14:textId="77777777" w:rsidR="008D3DAE" w:rsidRPr="00D2126A" w:rsidRDefault="000E5A86" w:rsidP="00333629">
            <w:pPr>
              <w:pStyle w:val="C-TableText"/>
              <w:keepNext/>
              <w:spacing w:before="0" w:after="0"/>
              <w:rPr>
                <w:i/>
                <w:iCs/>
                <w:color w:val="000000"/>
                <w:sz w:val="20"/>
              </w:rPr>
            </w:pPr>
            <w:r>
              <w:rPr>
                <w:b/>
                <w:color w:val="000000"/>
                <w:sz w:val="20"/>
              </w:rPr>
              <w:t>Survie globale (mois)</w:t>
            </w:r>
          </w:p>
        </w:tc>
        <w:tc>
          <w:tcPr>
            <w:tcW w:w="927" w:type="pct"/>
            <w:shd w:val="clear" w:color="auto" w:fill="auto"/>
            <w:tcMar>
              <w:top w:w="0" w:type="dxa"/>
              <w:left w:w="108" w:type="dxa"/>
              <w:bottom w:w="0" w:type="dxa"/>
              <w:right w:w="108" w:type="dxa"/>
            </w:tcMar>
          </w:tcPr>
          <w:p w14:paraId="08EF01C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4237393"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F15B128" w14:textId="77777777" w:rsidR="008D3DAE" w:rsidRPr="00D2126A" w:rsidRDefault="008D3DAE" w:rsidP="006B7D29">
            <w:pPr>
              <w:pStyle w:val="C-TableText"/>
              <w:spacing w:before="0" w:after="0"/>
              <w:jc w:val="center"/>
              <w:rPr>
                <w:color w:val="000000"/>
                <w:sz w:val="20"/>
                <w:lang w:val="en-GB"/>
              </w:rPr>
            </w:pPr>
          </w:p>
        </w:tc>
      </w:tr>
      <w:tr w:rsidR="00D5485C" w:rsidRPr="00D2126A" w14:paraId="2B1F000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08A49F" w14:textId="573A0551" w:rsidR="008D3DAE" w:rsidRPr="00D2126A" w:rsidRDefault="000E5A86" w:rsidP="006B7D29">
            <w:pPr>
              <w:pStyle w:val="C-TableText"/>
              <w:spacing w:before="0" w:after="0"/>
              <w:ind w:left="180"/>
              <w:rPr>
                <w:color w:val="000000"/>
                <w:sz w:val="20"/>
                <w:vertAlign w:val="superscript"/>
              </w:rPr>
            </w:pPr>
            <w:r>
              <w:rPr>
                <w:color w:val="000000"/>
                <w:sz w:val="20"/>
              </w:rPr>
              <w:t>SG médiane</w:t>
            </w:r>
            <w:r>
              <w:rPr>
                <w:color w:val="000000"/>
                <w:sz w:val="20"/>
                <w:vertAlign w:val="superscript"/>
              </w:rPr>
              <w:t>a</w:t>
            </w:r>
            <w:r>
              <w:rPr>
                <w:color w:val="000000"/>
                <w:sz w:val="20"/>
              </w:rPr>
              <w:t>, mois (IC à 95 %)</w:t>
            </w:r>
            <w:r>
              <w:rPr>
                <w:color w:val="000000"/>
                <w:sz w:val="20"/>
                <w:vertAlign w:val="superscript"/>
              </w:rPr>
              <w:t>b</w:t>
            </w:r>
          </w:p>
        </w:tc>
        <w:tc>
          <w:tcPr>
            <w:tcW w:w="927" w:type="pct"/>
            <w:shd w:val="clear" w:color="auto" w:fill="auto"/>
            <w:tcMar>
              <w:top w:w="0" w:type="dxa"/>
              <w:left w:w="108" w:type="dxa"/>
              <w:bottom w:w="0" w:type="dxa"/>
              <w:right w:w="108" w:type="dxa"/>
            </w:tcMar>
          </w:tcPr>
          <w:p w14:paraId="08A01CD1" w14:textId="77777777" w:rsidR="008D3DAE" w:rsidRPr="00D2126A" w:rsidRDefault="000E5A86" w:rsidP="006B7D29">
            <w:pPr>
              <w:pStyle w:val="C-TableText"/>
              <w:spacing w:before="0" w:after="0"/>
              <w:jc w:val="center"/>
              <w:rPr>
                <w:color w:val="000000"/>
                <w:sz w:val="20"/>
              </w:rPr>
            </w:pPr>
            <w:r>
              <w:rPr>
                <w:color w:val="000000"/>
                <w:sz w:val="20"/>
              </w:rPr>
              <w:t>58,9 (56,0 ; NE)</w:t>
            </w:r>
          </w:p>
        </w:tc>
        <w:tc>
          <w:tcPr>
            <w:tcW w:w="927" w:type="pct"/>
            <w:shd w:val="clear" w:color="auto" w:fill="auto"/>
            <w:tcMar>
              <w:top w:w="0" w:type="dxa"/>
              <w:left w:w="108" w:type="dxa"/>
              <w:bottom w:w="0" w:type="dxa"/>
              <w:right w:w="108" w:type="dxa"/>
            </w:tcMar>
          </w:tcPr>
          <w:p w14:paraId="017E221F" w14:textId="77777777" w:rsidR="008D3DAE" w:rsidRPr="00D2126A" w:rsidRDefault="000E5A86" w:rsidP="006B7D29">
            <w:pPr>
              <w:pStyle w:val="C-TableText"/>
              <w:spacing w:before="0" w:after="0"/>
              <w:jc w:val="center"/>
              <w:rPr>
                <w:color w:val="000000"/>
                <w:sz w:val="20"/>
              </w:rPr>
            </w:pPr>
            <w:r>
              <w:rPr>
                <w:color w:val="000000"/>
                <w:sz w:val="20"/>
              </w:rPr>
              <w:t>56,7 (50,1 ; NE)</w:t>
            </w:r>
          </w:p>
        </w:tc>
        <w:tc>
          <w:tcPr>
            <w:tcW w:w="927" w:type="pct"/>
            <w:shd w:val="clear" w:color="auto" w:fill="auto"/>
            <w:tcMar>
              <w:top w:w="0" w:type="dxa"/>
              <w:left w:w="108" w:type="dxa"/>
              <w:bottom w:w="0" w:type="dxa"/>
              <w:right w:w="108" w:type="dxa"/>
            </w:tcMar>
          </w:tcPr>
          <w:p w14:paraId="5EEFA879" w14:textId="77777777" w:rsidR="008D3DAE" w:rsidRPr="00D2126A" w:rsidRDefault="000E5A86" w:rsidP="006B7D29">
            <w:pPr>
              <w:pStyle w:val="C-TableText"/>
              <w:spacing w:before="0" w:after="0"/>
              <w:jc w:val="center"/>
              <w:rPr>
                <w:color w:val="000000"/>
                <w:sz w:val="20"/>
              </w:rPr>
            </w:pPr>
            <w:r>
              <w:rPr>
                <w:color w:val="000000"/>
                <w:sz w:val="20"/>
              </w:rPr>
              <w:t>48,5 (44,2 ; 52,0)</w:t>
            </w:r>
          </w:p>
        </w:tc>
      </w:tr>
      <w:tr w:rsidR="00D5485C" w:rsidRPr="00D2126A" w14:paraId="42ABEF0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F51CCB6" w14:textId="7617CFA2" w:rsidR="008D3DAE" w:rsidRPr="00D2126A" w:rsidRDefault="000E5A86" w:rsidP="006B7D29">
            <w:pPr>
              <w:pStyle w:val="C-TableText"/>
              <w:keepNext/>
              <w:spacing w:before="0" w:after="0"/>
              <w:ind w:left="180" w:right="-7"/>
              <w:jc w:val="both"/>
              <w:rPr>
                <w:color w:val="000000"/>
                <w:sz w:val="20"/>
                <w:vertAlign w:val="superscript"/>
              </w:rPr>
            </w:pPr>
            <w:r>
              <w:rPr>
                <w:color w:val="000000"/>
                <w:sz w:val="20"/>
              </w:rPr>
              <w:t>RR [IC à 95 %]</w:t>
            </w:r>
            <w:r>
              <w:rPr>
                <w:color w:val="000000"/>
                <w:sz w:val="20"/>
                <w:vertAlign w:val="superscript"/>
              </w:rPr>
              <w:t>c</w:t>
            </w:r>
            <w:r>
              <w:rPr>
                <w:color w:val="000000"/>
                <w:sz w:val="20"/>
              </w:rPr>
              <w:t> ; valeur p</w:t>
            </w:r>
            <w:r>
              <w:rPr>
                <w:color w:val="000000"/>
                <w:sz w:val="20"/>
                <w:vertAlign w:val="superscript"/>
              </w:rPr>
              <w:t>d</w:t>
            </w:r>
          </w:p>
        </w:tc>
        <w:tc>
          <w:tcPr>
            <w:tcW w:w="927" w:type="pct"/>
            <w:shd w:val="clear" w:color="auto" w:fill="auto"/>
            <w:tcMar>
              <w:top w:w="0" w:type="dxa"/>
              <w:left w:w="108" w:type="dxa"/>
              <w:bottom w:w="0" w:type="dxa"/>
              <w:right w:w="108" w:type="dxa"/>
            </w:tcMar>
          </w:tcPr>
          <w:p w14:paraId="602741B9" w14:textId="77777777" w:rsidR="008D3DAE" w:rsidRPr="00AB0414" w:rsidRDefault="008D3DAE" w:rsidP="006B7D29">
            <w:pPr>
              <w:pStyle w:val="C-TableText"/>
              <w:spacing w:before="0" w:after="0"/>
              <w:jc w:val="center"/>
              <w:rPr>
                <w:color w:val="000000"/>
                <w:sz w:val="20"/>
              </w:rPr>
            </w:pPr>
          </w:p>
        </w:tc>
        <w:tc>
          <w:tcPr>
            <w:tcW w:w="927" w:type="pct"/>
            <w:shd w:val="clear" w:color="auto" w:fill="auto"/>
            <w:tcMar>
              <w:top w:w="0" w:type="dxa"/>
              <w:left w:w="108" w:type="dxa"/>
              <w:bottom w:w="0" w:type="dxa"/>
              <w:right w:w="108" w:type="dxa"/>
            </w:tcMar>
          </w:tcPr>
          <w:p w14:paraId="5D114DB7" w14:textId="77777777" w:rsidR="008D3DAE" w:rsidRPr="00AB0414" w:rsidRDefault="008D3DAE" w:rsidP="006B7D29">
            <w:pPr>
              <w:pStyle w:val="C-TableText"/>
              <w:spacing w:before="0" w:after="0"/>
              <w:jc w:val="center"/>
              <w:rPr>
                <w:color w:val="000000"/>
                <w:sz w:val="20"/>
              </w:rPr>
            </w:pPr>
          </w:p>
        </w:tc>
        <w:tc>
          <w:tcPr>
            <w:tcW w:w="927" w:type="pct"/>
            <w:shd w:val="clear" w:color="auto" w:fill="auto"/>
            <w:tcMar>
              <w:top w:w="0" w:type="dxa"/>
              <w:left w:w="108" w:type="dxa"/>
              <w:bottom w:w="0" w:type="dxa"/>
              <w:right w:w="108" w:type="dxa"/>
            </w:tcMar>
          </w:tcPr>
          <w:p w14:paraId="7BDF5AD1" w14:textId="77777777" w:rsidR="008D3DAE" w:rsidRPr="00AB0414" w:rsidRDefault="008D3DAE" w:rsidP="006B7D29">
            <w:pPr>
              <w:pStyle w:val="C-TableText"/>
              <w:spacing w:before="0" w:after="0"/>
              <w:jc w:val="center"/>
              <w:rPr>
                <w:color w:val="000000"/>
                <w:sz w:val="20"/>
              </w:rPr>
            </w:pPr>
          </w:p>
        </w:tc>
      </w:tr>
      <w:tr w:rsidR="00D5485C" w:rsidRPr="00D2126A" w14:paraId="462C28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8FC9C34" w14:textId="77777777" w:rsidR="008D3DAE" w:rsidRPr="00D2126A" w:rsidRDefault="000E5A86" w:rsidP="006B7D29">
            <w:pPr>
              <w:pStyle w:val="C-TableText"/>
              <w:keepNext/>
              <w:spacing w:before="0" w:after="0"/>
              <w:ind w:left="450"/>
              <w:rPr>
                <w:color w:val="000000"/>
                <w:sz w:val="20"/>
              </w:rPr>
            </w:pPr>
            <w:r>
              <w:rPr>
                <w:color w:val="000000"/>
                <w:sz w:val="20"/>
              </w:rPr>
              <w:t xml:space="preserve">Rd </w:t>
            </w:r>
            <w:r>
              <w:rPr>
                <w:i/>
                <w:color w:val="000000"/>
                <w:sz w:val="20"/>
              </w:rPr>
              <w:t>vs</w:t>
            </w:r>
            <w:r>
              <w:rPr>
                <w:color w:val="000000"/>
                <w:sz w:val="20"/>
              </w:rPr>
              <w:t xml:space="preserve"> MPT</w:t>
            </w:r>
          </w:p>
        </w:tc>
        <w:tc>
          <w:tcPr>
            <w:tcW w:w="2782" w:type="pct"/>
            <w:gridSpan w:val="3"/>
            <w:shd w:val="clear" w:color="auto" w:fill="auto"/>
            <w:tcMar>
              <w:top w:w="0" w:type="dxa"/>
              <w:left w:w="108" w:type="dxa"/>
              <w:bottom w:w="0" w:type="dxa"/>
              <w:right w:w="108" w:type="dxa"/>
            </w:tcMar>
          </w:tcPr>
          <w:p w14:paraId="6E01627C" w14:textId="77777777" w:rsidR="008D3DAE" w:rsidRPr="00D2126A" w:rsidRDefault="000E5A86" w:rsidP="006B7D29">
            <w:pPr>
              <w:pStyle w:val="C-TableText"/>
              <w:spacing w:before="0" w:after="0"/>
              <w:jc w:val="center"/>
              <w:rPr>
                <w:color w:val="000000"/>
                <w:sz w:val="20"/>
              </w:rPr>
            </w:pPr>
            <w:r>
              <w:rPr>
                <w:color w:val="000000"/>
                <w:sz w:val="20"/>
              </w:rPr>
              <w:t>0,75 (0,62 ; 0,90) ; 0,002</w:t>
            </w:r>
          </w:p>
        </w:tc>
      </w:tr>
      <w:tr w:rsidR="00D5485C" w:rsidRPr="00D2126A" w14:paraId="04F040B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2C06DD" w14:textId="77777777" w:rsidR="008D3DAE" w:rsidRPr="00D2126A" w:rsidRDefault="000E5A86" w:rsidP="006B7D29">
            <w:pPr>
              <w:pStyle w:val="C-TableText"/>
              <w:keepNext/>
              <w:spacing w:before="0" w:after="0"/>
              <w:ind w:left="450"/>
              <w:rPr>
                <w:color w:val="000000"/>
                <w:sz w:val="20"/>
              </w:rPr>
            </w:pPr>
            <w:r>
              <w:rPr>
                <w:color w:val="000000"/>
                <w:sz w:val="20"/>
              </w:rPr>
              <w:t xml:space="preserve">Rd </w:t>
            </w:r>
            <w:r>
              <w:rPr>
                <w:i/>
                <w:color w:val="000000"/>
                <w:sz w:val="20"/>
              </w:rPr>
              <w:t>vs</w:t>
            </w:r>
            <w:r>
              <w:rPr>
                <w:color w:val="000000"/>
                <w:sz w:val="20"/>
              </w:rPr>
              <w:t xml:space="preserve"> Rd18</w:t>
            </w:r>
          </w:p>
        </w:tc>
        <w:tc>
          <w:tcPr>
            <w:tcW w:w="2782" w:type="pct"/>
            <w:gridSpan w:val="3"/>
            <w:shd w:val="clear" w:color="auto" w:fill="auto"/>
            <w:tcMar>
              <w:top w:w="0" w:type="dxa"/>
              <w:left w:w="108" w:type="dxa"/>
              <w:bottom w:w="0" w:type="dxa"/>
              <w:right w:w="108" w:type="dxa"/>
            </w:tcMar>
          </w:tcPr>
          <w:p w14:paraId="5F10072D" w14:textId="77777777" w:rsidR="008D3DAE" w:rsidRPr="00D2126A" w:rsidRDefault="000E5A86" w:rsidP="006B7D29">
            <w:pPr>
              <w:pStyle w:val="C-TableText"/>
              <w:spacing w:before="0" w:after="0"/>
              <w:jc w:val="center"/>
              <w:rPr>
                <w:color w:val="000000"/>
                <w:sz w:val="20"/>
              </w:rPr>
            </w:pPr>
            <w:r>
              <w:rPr>
                <w:color w:val="000000"/>
                <w:sz w:val="20"/>
              </w:rPr>
              <w:t>0,91 (0,75 ; 1,09) ; 0,305</w:t>
            </w:r>
          </w:p>
        </w:tc>
      </w:tr>
      <w:tr w:rsidR="00D5485C" w:rsidRPr="00D2126A" w14:paraId="5E5EDB6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FEF4729" w14:textId="77777777" w:rsidR="008D3DAE" w:rsidRPr="00D2126A" w:rsidRDefault="000E5A86" w:rsidP="006B7D29">
            <w:pPr>
              <w:pStyle w:val="C-TableText"/>
              <w:spacing w:before="0" w:after="0"/>
              <w:ind w:left="450"/>
              <w:rPr>
                <w:color w:val="000000"/>
                <w:sz w:val="20"/>
              </w:rPr>
            </w:pPr>
            <w:r>
              <w:rPr>
                <w:color w:val="000000"/>
                <w:sz w:val="20"/>
              </w:rPr>
              <w:t xml:space="preserve">Rd18 </w:t>
            </w:r>
            <w:r>
              <w:rPr>
                <w:i/>
                <w:color w:val="000000"/>
                <w:sz w:val="20"/>
              </w:rPr>
              <w:t>vs</w:t>
            </w:r>
            <w:r>
              <w:rPr>
                <w:color w:val="000000"/>
                <w:sz w:val="20"/>
              </w:rPr>
              <w:t xml:space="preserve"> MPT</w:t>
            </w:r>
          </w:p>
        </w:tc>
        <w:tc>
          <w:tcPr>
            <w:tcW w:w="2782" w:type="pct"/>
            <w:gridSpan w:val="3"/>
            <w:shd w:val="clear" w:color="auto" w:fill="auto"/>
            <w:tcMar>
              <w:top w:w="0" w:type="dxa"/>
              <w:left w:w="108" w:type="dxa"/>
              <w:bottom w:w="0" w:type="dxa"/>
              <w:right w:w="108" w:type="dxa"/>
            </w:tcMar>
          </w:tcPr>
          <w:p w14:paraId="6989967B" w14:textId="77777777" w:rsidR="008D3DAE" w:rsidRPr="00D2126A" w:rsidRDefault="000E5A86" w:rsidP="006B7D29">
            <w:pPr>
              <w:pStyle w:val="C-TableText"/>
              <w:spacing w:before="0" w:after="0"/>
              <w:jc w:val="center"/>
              <w:rPr>
                <w:color w:val="000000"/>
                <w:sz w:val="20"/>
              </w:rPr>
            </w:pPr>
            <w:r>
              <w:rPr>
                <w:color w:val="000000"/>
                <w:sz w:val="20"/>
              </w:rPr>
              <w:t>0,83 (0,69 ; 0,99) ; 0,034</w:t>
            </w:r>
          </w:p>
        </w:tc>
      </w:tr>
      <w:tr w:rsidR="00D5485C" w:rsidRPr="00D2126A" w14:paraId="316B11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14D044" w14:textId="77777777" w:rsidR="008D3DAE" w:rsidRPr="00D2126A" w:rsidRDefault="000E5A86" w:rsidP="006B7D29">
            <w:pPr>
              <w:pStyle w:val="C-TableText"/>
              <w:keepNext/>
              <w:spacing w:before="0" w:after="0"/>
              <w:ind w:left="180"/>
              <w:rPr>
                <w:color w:val="000000"/>
                <w:sz w:val="20"/>
              </w:rPr>
            </w:pPr>
            <w:r>
              <w:rPr>
                <w:color w:val="000000"/>
                <w:sz w:val="20"/>
              </w:rPr>
              <w:t>Suivi (mois)</w:t>
            </w:r>
          </w:p>
        </w:tc>
        <w:tc>
          <w:tcPr>
            <w:tcW w:w="927" w:type="pct"/>
            <w:shd w:val="clear" w:color="auto" w:fill="auto"/>
            <w:tcMar>
              <w:top w:w="0" w:type="dxa"/>
              <w:left w:w="108" w:type="dxa"/>
              <w:bottom w:w="0" w:type="dxa"/>
              <w:right w:w="108" w:type="dxa"/>
            </w:tcMar>
          </w:tcPr>
          <w:p w14:paraId="5186C19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39BD34CA"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2A9F040C" w14:textId="77777777" w:rsidR="008D3DAE" w:rsidRPr="00D2126A" w:rsidRDefault="008D3DAE" w:rsidP="006B7D29">
            <w:pPr>
              <w:pStyle w:val="C-TableText"/>
              <w:spacing w:before="0" w:after="0"/>
              <w:jc w:val="center"/>
              <w:rPr>
                <w:color w:val="000000"/>
                <w:sz w:val="20"/>
                <w:lang w:val="en-GB"/>
              </w:rPr>
            </w:pPr>
          </w:p>
        </w:tc>
      </w:tr>
      <w:tr w:rsidR="00D5485C" w:rsidRPr="00D2126A" w14:paraId="58C0546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9CB66C" w14:textId="77777777" w:rsidR="008D3DAE" w:rsidRPr="00D2126A" w:rsidRDefault="000E5A86" w:rsidP="006B7D29">
            <w:pPr>
              <w:pStyle w:val="C-TableText"/>
              <w:spacing w:before="0" w:after="0"/>
              <w:ind w:left="450"/>
              <w:rPr>
                <w:color w:val="000000"/>
                <w:sz w:val="20"/>
              </w:rPr>
            </w:pPr>
            <w:r>
              <w:rPr>
                <w:color w:val="000000"/>
                <w:sz w:val="20"/>
              </w:rPr>
              <w:t>Médiane</w:t>
            </w:r>
            <w:r>
              <w:rPr>
                <w:color w:val="000000"/>
                <w:sz w:val="20"/>
                <w:vertAlign w:val="superscript"/>
              </w:rPr>
              <w:t>f</w:t>
            </w:r>
            <w:r>
              <w:rPr>
                <w:color w:val="000000"/>
                <w:sz w:val="20"/>
              </w:rPr>
              <w:t>(min, max) : tous patients</w:t>
            </w:r>
          </w:p>
        </w:tc>
        <w:tc>
          <w:tcPr>
            <w:tcW w:w="927" w:type="pct"/>
            <w:shd w:val="clear" w:color="auto" w:fill="auto"/>
            <w:tcMar>
              <w:top w:w="0" w:type="dxa"/>
              <w:left w:w="108" w:type="dxa"/>
              <w:bottom w:w="0" w:type="dxa"/>
              <w:right w:w="108" w:type="dxa"/>
            </w:tcMar>
          </w:tcPr>
          <w:p w14:paraId="5E0F45F1" w14:textId="77777777" w:rsidR="008D3DAE" w:rsidRPr="00D2126A" w:rsidRDefault="000E5A86" w:rsidP="006B7D29">
            <w:pPr>
              <w:pStyle w:val="C-TableText"/>
              <w:spacing w:before="0" w:after="0"/>
              <w:jc w:val="center"/>
              <w:rPr>
                <w:color w:val="000000"/>
                <w:sz w:val="20"/>
              </w:rPr>
            </w:pPr>
            <w:r>
              <w:rPr>
                <w:color w:val="000000"/>
                <w:sz w:val="20"/>
              </w:rPr>
              <w:t>40,8 (0,0 ; 65,9)</w:t>
            </w:r>
          </w:p>
        </w:tc>
        <w:tc>
          <w:tcPr>
            <w:tcW w:w="927" w:type="pct"/>
            <w:shd w:val="clear" w:color="auto" w:fill="auto"/>
            <w:tcMar>
              <w:top w:w="0" w:type="dxa"/>
              <w:left w:w="108" w:type="dxa"/>
              <w:bottom w:w="0" w:type="dxa"/>
              <w:right w:w="108" w:type="dxa"/>
            </w:tcMar>
          </w:tcPr>
          <w:p w14:paraId="0AFB205F" w14:textId="77777777" w:rsidR="008D3DAE" w:rsidRPr="00D2126A" w:rsidRDefault="000E5A86" w:rsidP="006B7D29">
            <w:pPr>
              <w:pStyle w:val="C-TableText"/>
              <w:spacing w:before="0" w:after="0"/>
              <w:jc w:val="center"/>
              <w:rPr>
                <w:color w:val="000000"/>
                <w:sz w:val="20"/>
              </w:rPr>
            </w:pPr>
            <w:r>
              <w:rPr>
                <w:color w:val="000000"/>
                <w:sz w:val="20"/>
              </w:rPr>
              <w:t>40,1 (0,4 ; 65,7)</w:t>
            </w:r>
          </w:p>
        </w:tc>
        <w:tc>
          <w:tcPr>
            <w:tcW w:w="927" w:type="pct"/>
            <w:shd w:val="clear" w:color="auto" w:fill="auto"/>
            <w:tcMar>
              <w:top w:w="0" w:type="dxa"/>
              <w:left w:w="108" w:type="dxa"/>
              <w:bottom w:w="0" w:type="dxa"/>
              <w:right w:w="108" w:type="dxa"/>
            </w:tcMar>
          </w:tcPr>
          <w:p w14:paraId="5F158C9D" w14:textId="77777777" w:rsidR="008D3DAE" w:rsidRPr="00D2126A" w:rsidRDefault="000E5A86" w:rsidP="006B7D29">
            <w:pPr>
              <w:pStyle w:val="C-TableText"/>
              <w:spacing w:before="0" w:after="0"/>
              <w:jc w:val="center"/>
              <w:rPr>
                <w:color w:val="000000"/>
                <w:sz w:val="20"/>
              </w:rPr>
            </w:pPr>
            <w:r>
              <w:rPr>
                <w:color w:val="000000"/>
                <w:sz w:val="20"/>
              </w:rPr>
              <w:t>38,7 (0,0 ; 64,2)</w:t>
            </w:r>
          </w:p>
        </w:tc>
      </w:tr>
      <w:tr w:rsidR="00D5485C" w:rsidRPr="00D2126A" w14:paraId="41BCA0D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572C670" w14:textId="77777777" w:rsidR="008D3DAE" w:rsidRPr="00D2126A" w:rsidRDefault="000E5A86" w:rsidP="00333629">
            <w:pPr>
              <w:pStyle w:val="Style6"/>
              <w:ind w:left="0" w:firstLine="0"/>
            </w:pPr>
            <w:r>
              <w:t>Taux de réponse globale</w:t>
            </w:r>
            <w:r>
              <w:rPr>
                <w:vertAlign w:val="superscript"/>
              </w:rPr>
              <w:t>g</w:t>
            </w:r>
            <w:r>
              <w:t>, n (%)</w:t>
            </w:r>
          </w:p>
        </w:tc>
        <w:tc>
          <w:tcPr>
            <w:tcW w:w="927" w:type="pct"/>
            <w:shd w:val="clear" w:color="auto" w:fill="auto"/>
            <w:tcMar>
              <w:top w:w="0" w:type="dxa"/>
              <w:left w:w="108" w:type="dxa"/>
              <w:bottom w:w="0" w:type="dxa"/>
              <w:right w:w="108" w:type="dxa"/>
            </w:tcMar>
          </w:tcPr>
          <w:p w14:paraId="7F339A6A" w14:textId="77777777" w:rsidR="008D3DAE" w:rsidRPr="00AB0414" w:rsidRDefault="008D3DAE" w:rsidP="006B7D29">
            <w:pPr>
              <w:pStyle w:val="C-TableText"/>
              <w:spacing w:before="0" w:after="0"/>
              <w:jc w:val="center"/>
              <w:rPr>
                <w:color w:val="000000"/>
                <w:sz w:val="20"/>
              </w:rPr>
            </w:pPr>
          </w:p>
        </w:tc>
        <w:tc>
          <w:tcPr>
            <w:tcW w:w="927" w:type="pct"/>
            <w:shd w:val="clear" w:color="auto" w:fill="auto"/>
            <w:tcMar>
              <w:top w:w="0" w:type="dxa"/>
              <w:left w:w="108" w:type="dxa"/>
              <w:bottom w:w="0" w:type="dxa"/>
              <w:right w:w="108" w:type="dxa"/>
            </w:tcMar>
          </w:tcPr>
          <w:p w14:paraId="79B7CBA4" w14:textId="77777777" w:rsidR="008D3DAE" w:rsidRPr="00AB0414" w:rsidRDefault="008D3DAE" w:rsidP="006B7D29">
            <w:pPr>
              <w:pStyle w:val="C-TableText"/>
              <w:spacing w:before="0" w:after="0"/>
              <w:jc w:val="center"/>
              <w:rPr>
                <w:color w:val="000000"/>
                <w:sz w:val="20"/>
              </w:rPr>
            </w:pPr>
          </w:p>
        </w:tc>
        <w:tc>
          <w:tcPr>
            <w:tcW w:w="927" w:type="pct"/>
            <w:shd w:val="clear" w:color="auto" w:fill="auto"/>
            <w:tcMar>
              <w:top w:w="0" w:type="dxa"/>
              <w:left w:w="108" w:type="dxa"/>
              <w:bottom w:w="0" w:type="dxa"/>
              <w:right w:w="108" w:type="dxa"/>
            </w:tcMar>
          </w:tcPr>
          <w:p w14:paraId="1B0C4B97" w14:textId="77777777" w:rsidR="008D3DAE" w:rsidRPr="00AB0414" w:rsidRDefault="008D3DAE" w:rsidP="006B7D29">
            <w:pPr>
              <w:pStyle w:val="C-TableText"/>
              <w:spacing w:before="0" w:after="0"/>
              <w:jc w:val="center"/>
              <w:rPr>
                <w:color w:val="000000"/>
                <w:sz w:val="20"/>
              </w:rPr>
            </w:pPr>
          </w:p>
        </w:tc>
      </w:tr>
      <w:tr w:rsidR="00D5485C" w:rsidRPr="00D2126A" w14:paraId="44163BB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C725E45" w14:textId="77777777" w:rsidR="008D3DAE" w:rsidRPr="00D2126A" w:rsidRDefault="000E5A86" w:rsidP="006B7D29">
            <w:pPr>
              <w:pStyle w:val="C-TableText"/>
              <w:keepNext/>
              <w:spacing w:before="0" w:after="0"/>
              <w:ind w:left="180"/>
              <w:rPr>
                <w:color w:val="000000"/>
                <w:sz w:val="20"/>
              </w:rPr>
            </w:pPr>
            <w:r>
              <w:rPr>
                <w:color w:val="000000"/>
                <w:sz w:val="20"/>
              </w:rPr>
              <w:t>RC</w:t>
            </w:r>
          </w:p>
        </w:tc>
        <w:tc>
          <w:tcPr>
            <w:tcW w:w="927" w:type="pct"/>
            <w:shd w:val="clear" w:color="auto" w:fill="auto"/>
            <w:tcMar>
              <w:top w:w="0" w:type="dxa"/>
              <w:left w:w="108" w:type="dxa"/>
              <w:bottom w:w="0" w:type="dxa"/>
              <w:right w:w="108" w:type="dxa"/>
            </w:tcMar>
            <w:vAlign w:val="center"/>
          </w:tcPr>
          <w:p w14:paraId="4A976FEE" w14:textId="77777777" w:rsidR="008D3DAE" w:rsidRPr="00D2126A" w:rsidRDefault="000E5A86" w:rsidP="006B7D29">
            <w:pPr>
              <w:pStyle w:val="C-TableText"/>
              <w:spacing w:before="0" w:after="0"/>
              <w:jc w:val="center"/>
              <w:rPr>
                <w:color w:val="000000"/>
                <w:sz w:val="20"/>
              </w:rPr>
            </w:pPr>
            <w:r>
              <w:rPr>
                <w:color w:val="000000"/>
                <w:sz w:val="20"/>
              </w:rPr>
              <w:t>81 (15,1)</w:t>
            </w:r>
          </w:p>
        </w:tc>
        <w:tc>
          <w:tcPr>
            <w:tcW w:w="927" w:type="pct"/>
            <w:shd w:val="clear" w:color="auto" w:fill="auto"/>
            <w:tcMar>
              <w:top w:w="0" w:type="dxa"/>
              <w:left w:w="108" w:type="dxa"/>
              <w:bottom w:w="0" w:type="dxa"/>
              <w:right w:w="108" w:type="dxa"/>
            </w:tcMar>
            <w:vAlign w:val="center"/>
          </w:tcPr>
          <w:p w14:paraId="2EADE8D6" w14:textId="77777777" w:rsidR="008D3DAE" w:rsidRPr="00D2126A" w:rsidRDefault="000E5A86" w:rsidP="006B7D29">
            <w:pPr>
              <w:pStyle w:val="C-TableText"/>
              <w:spacing w:before="0" w:after="0"/>
              <w:jc w:val="center"/>
              <w:rPr>
                <w:color w:val="000000"/>
                <w:sz w:val="20"/>
              </w:rPr>
            </w:pPr>
            <w:r>
              <w:rPr>
                <w:color w:val="000000"/>
                <w:sz w:val="20"/>
              </w:rPr>
              <w:t>77 (14,2)</w:t>
            </w:r>
          </w:p>
        </w:tc>
        <w:tc>
          <w:tcPr>
            <w:tcW w:w="927" w:type="pct"/>
            <w:shd w:val="clear" w:color="auto" w:fill="auto"/>
            <w:tcMar>
              <w:top w:w="0" w:type="dxa"/>
              <w:left w:w="108" w:type="dxa"/>
              <w:bottom w:w="0" w:type="dxa"/>
              <w:right w:w="108" w:type="dxa"/>
            </w:tcMar>
            <w:vAlign w:val="center"/>
          </w:tcPr>
          <w:p w14:paraId="60CA1861" w14:textId="77777777" w:rsidR="008D3DAE" w:rsidRPr="00D2126A" w:rsidRDefault="000E5A86" w:rsidP="006B7D29">
            <w:pPr>
              <w:pStyle w:val="C-TableText"/>
              <w:spacing w:before="0" w:after="0"/>
              <w:jc w:val="center"/>
              <w:rPr>
                <w:color w:val="000000"/>
                <w:sz w:val="20"/>
              </w:rPr>
            </w:pPr>
            <w:r>
              <w:rPr>
                <w:color w:val="000000"/>
                <w:sz w:val="20"/>
              </w:rPr>
              <w:t>51 (9,3)</w:t>
            </w:r>
          </w:p>
        </w:tc>
      </w:tr>
      <w:tr w:rsidR="00D5485C" w:rsidRPr="00D2126A" w14:paraId="6B77A9B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FEE78E" w14:textId="77777777" w:rsidR="008D3DAE" w:rsidRPr="00D2126A" w:rsidRDefault="000E5A86" w:rsidP="006B7D29">
            <w:pPr>
              <w:pStyle w:val="C-TableText"/>
              <w:keepNext/>
              <w:spacing w:before="0" w:after="0"/>
              <w:ind w:left="180"/>
              <w:rPr>
                <w:color w:val="000000"/>
                <w:sz w:val="20"/>
              </w:rPr>
            </w:pPr>
            <w:r>
              <w:rPr>
                <w:color w:val="000000"/>
                <w:sz w:val="20"/>
              </w:rPr>
              <w:t>TBRP</w:t>
            </w:r>
          </w:p>
        </w:tc>
        <w:tc>
          <w:tcPr>
            <w:tcW w:w="927" w:type="pct"/>
            <w:shd w:val="clear" w:color="auto" w:fill="auto"/>
            <w:tcMar>
              <w:top w:w="0" w:type="dxa"/>
              <w:left w:w="108" w:type="dxa"/>
              <w:bottom w:w="0" w:type="dxa"/>
              <w:right w:w="108" w:type="dxa"/>
            </w:tcMar>
            <w:vAlign w:val="center"/>
          </w:tcPr>
          <w:p w14:paraId="0505EBE9" w14:textId="77777777" w:rsidR="008D3DAE" w:rsidRPr="00D2126A" w:rsidRDefault="000E5A86" w:rsidP="006B7D29">
            <w:pPr>
              <w:pStyle w:val="C-TableText"/>
              <w:spacing w:before="0" w:after="0"/>
              <w:jc w:val="center"/>
              <w:rPr>
                <w:color w:val="000000"/>
                <w:sz w:val="20"/>
              </w:rPr>
            </w:pPr>
            <w:r>
              <w:rPr>
                <w:color w:val="000000"/>
                <w:sz w:val="20"/>
              </w:rPr>
              <w:t>152 (28,4)</w:t>
            </w:r>
          </w:p>
        </w:tc>
        <w:tc>
          <w:tcPr>
            <w:tcW w:w="927" w:type="pct"/>
            <w:shd w:val="clear" w:color="auto" w:fill="auto"/>
            <w:tcMar>
              <w:top w:w="0" w:type="dxa"/>
              <w:left w:w="108" w:type="dxa"/>
              <w:bottom w:w="0" w:type="dxa"/>
              <w:right w:w="108" w:type="dxa"/>
            </w:tcMar>
            <w:vAlign w:val="center"/>
          </w:tcPr>
          <w:p w14:paraId="4F37FB65" w14:textId="77777777" w:rsidR="008D3DAE" w:rsidRPr="00D2126A" w:rsidRDefault="000E5A86" w:rsidP="006B7D29">
            <w:pPr>
              <w:pStyle w:val="C-TableText"/>
              <w:spacing w:before="0" w:after="0"/>
              <w:jc w:val="center"/>
              <w:rPr>
                <w:color w:val="000000"/>
                <w:sz w:val="20"/>
              </w:rPr>
            </w:pPr>
            <w:r>
              <w:rPr>
                <w:color w:val="000000"/>
                <w:sz w:val="20"/>
              </w:rPr>
              <w:t>154 (28,5)</w:t>
            </w:r>
          </w:p>
        </w:tc>
        <w:tc>
          <w:tcPr>
            <w:tcW w:w="927" w:type="pct"/>
            <w:shd w:val="clear" w:color="auto" w:fill="auto"/>
            <w:tcMar>
              <w:top w:w="0" w:type="dxa"/>
              <w:left w:w="108" w:type="dxa"/>
              <w:bottom w:w="0" w:type="dxa"/>
              <w:right w:w="108" w:type="dxa"/>
            </w:tcMar>
            <w:vAlign w:val="center"/>
          </w:tcPr>
          <w:p w14:paraId="31B442E9" w14:textId="77777777" w:rsidR="008D3DAE" w:rsidRPr="00D2126A" w:rsidRDefault="000E5A86" w:rsidP="006B7D29">
            <w:pPr>
              <w:pStyle w:val="C-TableText"/>
              <w:spacing w:before="0" w:after="0"/>
              <w:jc w:val="center"/>
              <w:rPr>
                <w:color w:val="000000"/>
                <w:sz w:val="20"/>
              </w:rPr>
            </w:pPr>
            <w:r>
              <w:rPr>
                <w:color w:val="000000"/>
                <w:sz w:val="20"/>
              </w:rPr>
              <w:t>103 (18,8)</w:t>
            </w:r>
          </w:p>
        </w:tc>
      </w:tr>
      <w:tr w:rsidR="00D5485C" w:rsidRPr="00D2126A" w14:paraId="6C0848EB"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8B7308A" w14:textId="77777777" w:rsidR="008D3DAE" w:rsidRPr="00D2126A" w:rsidRDefault="000E5A86" w:rsidP="006B7D29">
            <w:pPr>
              <w:pStyle w:val="C-TableText"/>
              <w:keepNext/>
              <w:spacing w:before="0" w:after="0"/>
              <w:ind w:left="180"/>
              <w:rPr>
                <w:color w:val="000000"/>
                <w:sz w:val="20"/>
              </w:rPr>
            </w:pPr>
            <w:r>
              <w:rPr>
                <w:color w:val="000000"/>
                <w:sz w:val="20"/>
              </w:rPr>
              <w:t>RP</w:t>
            </w:r>
          </w:p>
        </w:tc>
        <w:tc>
          <w:tcPr>
            <w:tcW w:w="927" w:type="pct"/>
            <w:shd w:val="clear" w:color="auto" w:fill="auto"/>
            <w:tcMar>
              <w:top w:w="0" w:type="dxa"/>
              <w:left w:w="108" w:type="dxa"/>
              <w:bottom w:w="0" w:type="dxa"/>
              <w:right w:w="108" w:type="dxa"/>
            </w:tcMar>
            <w:vAlign w:val="center"/>
          </w:tcPr>
          <w:p w14:paraId="56CE1498" w14:textId="77777777" w:rsidR="008D3DAE" w:rsidRPr="00D2126A" w:rsidRDefault="000E5A86" w:rsidP="006B7D29">
            <w:pPr>
              <w:pStyle w:val="C-TableText"/>
              <w:spacing w:before="0" w:after="0"/>
              <w:jc w:val="center"/>
              <w:rPr>
                <w:color w:val="000000"/>
                <w:sz w:val="20"/>
              </w:rPr>
            </w:pPr>
            <w:r>
              <w:rPr>
                <w:color w:val="000000"/>
                <w:sz w:val="20"/>
              </w:rPr>
              <w:t>169 (31,6)</w:t>
            </w:r>
          </w:p>
        </w:tc>
        <w:tc>
          <w:tcPr>
            <w:tcW w:w="927" w:type="pct"/>
            <w:shd w:val="clear" w:color="auto" w:fill="auto"/>
            <w:tcMar>
              <w:top w:w="0" w:type="dxa"/>
              <w:left w:w="108" w:type="dxa"/>
              <w:bottom w:w="0" w:type="dxa"/>
              <w:right w:w="108" w:type="dxa"/>
            </w:tcMar>
            <w:vAlign w:val="center"/>
          </w:tcPr>
          <w:p w14:paraId="3AF8EBBA" w14:textId="77777777" w:rsidR="008D3DAE" w:rsidRPr="00D2126A" w:rsidRDefault="000E5A86" w:rsidP="006B7D29">
            <w:pPr>
              <w:pStyle w:val="C-TableText"/>
              <w:spacing w:before="0" w:after="0"/>
              <w:jc w:val="center"/>
              <w:rPr>
                <w:color w:val="000000"/>
                <w:sz w:val="20"/>
              </w:rPr>
            </w:pPr>
            <w:r>
              <w:rPr>
                <w:color w:val="000000"/>
                <w:sz w:val="20"/>
              </w:rPr>
              <w:t>166 (30,7)</w:t>
            </w:r>
          </w:p>
        </w:tc>
        <w:tc>
          <w:tcPr>
            <w:tcW w:w="927" w:type="pct"/>
            <w:shd w:val="clear" w:color="auto" w:fill="auto"/>
            <w:tcMar>
              <w:top w:w="0" w:type="dxa"/>
              <w:left w:w="108" w:type="dxa"/>
              <w:bottom w:w="0" w:type="dxa"/>
              <w:right w:w="108" w:type="dxa"/>
            </w:tcMar>
            <w:vAlign w:val="center"/>
          </w:tcPr>
          <w:p w14:paraId="7A78169C" w14:textId="77777777" w:rsidR="008D3DAE" w:rsidRPr="00D2126A" w:rsidRDefault="000E5A86" w:rsidP="006B7D29">
            <w:pPr>
              <w:pStyle w:val="C-TableText"/>
              <w:spacing w:before="0" w:after="0"/>
              <w:jc w:val="center"/>
              <w:rPr>
                <w:color w:val="000000"/>
                <w:sz w:val="20"/>
              </w:rPr>
            </w:pPr>
            <w:r>
              <w:rPr>
                <w:color w:val="000000"/>
                <w:sz w:val="20"/>
              </w:rPr>
              <w:t>187 (34,2)</w:t>
            </w:r>
          </w:p>
        </w:tc>
      </w:tr>
      <w:tr w:rsidR="00D5485C" w:rsidRPr="00D2126A" w14:paraId="168BB5B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4E24F18" w14:textId="77777777" w:rsidR="008D3DAE" w:rsidRPr="00D2126A" w:rsidRDefault="000E5A86" w:rsidP="00333629">
            <w:pPr>
              <w:pStyle w:val="C-TableText"/>
              <w:keepNext/>
              <w:spacing w:before="0" w:after="0"/>
              <w:ind w:left="180"/>
              <w:rPr>
                <w:color w:val="000000"/>
                <w:sz w:val="20"/>
              </w:rPr>
            </w:pPr>
            <w:r>
              <w:rPr>
                <w:color w:val="000000"/>
                <w:sz w:val="20"/>
              </w:rPr>
              <w:t>Réponse globale : RC, TBRP ou RP</w:t>
            </w:r>
          </w:p>
        </w:tc>
        <w:tc>
          <w:tcPr>
            <w:tcW w:w="927" w:type="pct"/>
            <w:shd w:val="clear" w:color="auto" w:fill="auto"/>
            <w:tcMar>
              <w:top w:w="0" w:type="dxa"/>
              <w:left w:w="108" w:type="dxa"/>
              <w:bottom w:w="0" w:type="dxa"/>
              <w:right w:w="108" w:type="dxa"/>
            </w:tcMar>
            <w:vAlign w:val="center"/>
          </w:tcPr>
          <w:p w14:paraId="4900F89A" w14:textId="77777777" w:rsidR="008D3DAE" w:rsidRPr="00D2126A" w:rsidRDefault="000E5A86" w:rsidP="006B7D29">
            <w:pPr>
              <w:pStyle w:val="C-TableText"/>
              <w:spacing w:before="0" w:after="0"/>
              <w:jc w:val="center"/>
              <w:rPr>
                <w:color w:val="000000"/>
                <w:sz w:val="20"/>
              </w:rPr>
            </w:pPr>
            <w:r>
              <w:rPr>
                <w:color w:val="000000"/>
                <w:sz w:val="20"/>
              </w:rPr>
              <w:t>402 (75,1)</w:t>
            </w:r>
          </w:p>
        </w:tc>
        <w:tc>
          <w:tcPr>
            <w:tcW w:w="927" w:type="pct"/>
            <w:shd w:val="clear" w:color="auto" w:fill="auto"/>
            <w:tcMar>
              <w:top w:w="0" w:type="dxa"/>
              <w:left w:w="108" w:type="dxa"/>
              <w:bottom w:w="0" w:type="dxa"/>
              <w:right w:w="108" w:type="dxa"/>
            </w:tcMar>
            <w:vAlign w:val="center"/>
          </w:tcPr>
          <w:p w14:paraId="454DFE37" w14:textId="77777777" w:rsidR="008D3DAE" w:rsidRPr="00D2126A" w:rsidRDefault="000E5A86" w:rsidP="006B7D29">
            <w:pPr>
              <w:pStyle w:val="C-TableText"/>
              <w:spacing w:before="0" w:after="0"/>
              <w:jc w:val="center"/>
              <w:rPr>
                <w:color w:val="000000"/>
                <w:sz w:val="20"/>
              </w:rPr>
            </w:pPr>
            <w:r>
              <w:rPr>
                <w:color w:val="000000"/>
                <w:sz w:val="20"/>
              </w:rPr>
              <w:t>397 (73,4)</w:t>
            </w:r>
          </w:p>
        </w:tc>
        <w:tc>
          <w:tcPr>
            <w:tcW w:w="927" w:type="pct"/>
            <w:shd w:val="clear" w:color="auto" w:fill="auto"/>
            <w:tcMar>
              <w:top w:w="0" w:type="dxa"/>
              <w:left w:w="108" w:type="dxa"/>
              <w:bottom w:w="0" w:type="dxa"/>
              <w:right w:w="108" w:type="dxa"/>
            </w:tcMar>
            <w:vAlign w:val="center"/>
          </w:tcPr>
          <w:p w14:paraId="5C1E6EC0" w14:textId="77777777" w:rsidR="008D3DAE" w:rsidRPr="00D2126A" w:rsidRDefault="000E5A86" w:rsidP="006B7D29">
            <w:pPr>
              <w:pStyle w:val="C-TableText"/>
              <w:spacing w:before="0" w:after="0"/>
              <w:jc w:val="center"/>
              <w:rPr>
                <w:color w:val="000000"/>
                <w:sz w:val="20"/>
              </w:rPr>
            </w:pPr>
            <w:r>
              <w:rPr>
                <w:color w:val="000000"/>
                <w:sz w:val="20"/>
              </w:rPr>
              <w:t>341 (62,3)</w:t>
            </w:r>
          </w:p>
        </w:tc>
      </w:tr>
      <w:tr w:rsidR="00D5485C" w:rsidRPr="00D2126A" w14:paraId="1573548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8C7BC0D" w14:textId="21743ECC" w:rsidR="008D3DAE" w:rsidRPr="00D2126A" w:rsidRDefault="000E5A86" w:rsidP="00333629">
            <w:pPr>
              <w:pStyle w:val="Style6"/>
              <w:ind w:left="0" w:firstLine="0"/>
              <w:rPr>
                <w:i/>
                <w:iCs/>
              </w:rPr>
            </w:pPr>
            <w:r>
              <w:t>Durée de la réponse (mois)</w:t>
            </w:r>
            <w:r>
              <w:rPr>
                <w:vertAlign w:val="superscript"/>
              </w:rPr>
              <w:t>h</w:t>
            </w:r>
          </w:p>
        </w:tc>
        <w:tc>
          <w:tcPr>
            <w:tcW w:w="927" w:type="pct"/>
            <w:shd w:val="clear" w:color="auto" w:fill="auto"/>
            <w:tcMar>
              <w:top w:w="0" w:type="dxa"/>
              <w:left w:w="108" w:type="dxa"/>
              <w:bottom w:w="0" w:type="dxa"/>
              <w:right w:w="108" w:type="dxa"/>
            </w:tcMar>
            <w:vAlign w:val="bottom"/>
          </w:tcPr>
          <w:p w14:paraId="7185EE86" w14:textId="77777777" w:rsidR="008D3DAE" w:rsidRPr="00AB0414" w:rsidRDefault="008D3DAE" w:rsidP="006B7D29">
            <w:pPr>
              <w:pStyle w:val="C-TableText"/>
              <w:spacing w:before="0" w:after="0"/>
              <w:jc w:val="center"/>
              <w:rPr>
                <w:color w:val="000000"/>
                <w:sz w:val="20"/>
              </w:rPr>
            </w:pPr>
          </w:p>
        </w:tc>
        <w:tc>
          <w:tcPr>
            <w:tcW w:w="927" w:type="pct"/>
            <w:shd w:val="clear" w:color="auto" w:fill="auto"/>
            <w:tcMar>
              <w:top w:w="0" w:type="dxa"/>
              <w:left w:w="108" w:type="dxa"/>
              <w:bottom w:w="0" w:type="dxa"/>
              <w:right w:w="108" w:type="dxa"/>
            </w:tcMar>
            <w:vAlign w:val="bottom"/>
          </w:tcPr>
          <w:p w14:paraId="3A1C8689" w14:textId="77777777" w:rsidR="008D3DAE" w:rsidRPr="00AB0414" w:rsidRDefault="008D3DAE" w:rsidP="006B7D29">
            <w:pPr>
              <w:pStyle w:val="C-TableText"/>
              <w:spacing w:before="0" w:after="0"/>
              <w:jc w:val="center"/>
              <w:rPr>
                <w:color w:val="000000"/>
                <w:sz w:val="20"/>
              </w:rPr>
            </w:pPr>
          </w:p>
        </w:tc>
        <w:tc>
          <w:tcPr>
            <w:tcW w:w="927" w:type="pct"/>
            <w:shd w:val="clear" w:color="auto" w:fill="auto"/>
            <w:tcMar>
              <w:top w:w="0" w:type="dxa"/>
              <w:left w:w="108" w:type="dxa"/>
              <w:bottom w:w="0" w:type="dxa"/>
              <w:right w:w="108" w:type="dxa"/>
            </w:tcMar>
            <w:vAlign w:val="bottom"/>
          </w:tcPr>
          <w:p w14:paraId="73621959" w14:textId="77777777" w:rsidR="008D3DAE" w:rsidRPr="00AB0414" w:rsidRDefault="008D3DAE" w:rsidP="006B7D29">
            <w:pPr>
              <w:pStyle w:val="C-TableText"/>
              <w:spacing w:before="0" w:after="0"/>
              <w:jc w:val="center"/>
              <w:rPr>
                <w:color w:val="000000"/>
                <w:sz w:val="20"/>
              </w:rPr>
            </w:pPr>
          </w:p>
        </w:tc>
      </w:tr>
      <w:tr w:rsidR="00D5485C" w:rsidRPr="00D2126A" w14:paraId="09AAE29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47EC026" w14:textId="0A0DE2F8" w:rsidR="008D3DAE" w:rsidRPr="00D2126A" w:rsidRDefault="000E5A86" w:rsidP="00333629">
            <w:pPr>
              <w:pStyle w:val="C-TableText"/>
              <w:keepNext/>
              <w:spacing w:before="0" w:after="0"/>
              <w:ind w:left="180"/>
              <w:rPr>
                <w:color w:val="000000"/>
                <w:sz w:val="20"/>
              </w:rPr>
            </w:pPr>
            <w:r>
              <w:rPr>
                <w:color w:val="000000"/>
                <w:sz w:val="20"/>
              </w:rPr>
              <w:t>Médiane</w:t>
            </w:r>
            <w:r>
              <w:rPr>
                <w:color w:val="000000"/>
                <w:sz w:val="20"/>
                <w:vertAlign w:val="superscript"/>
              </w:rPr>
              <w:t>a</w:t>
            </w:r>
            <w:r>
              <w:rPr>
                <w:color w:val="000000"/>
                <w:sz w:val="20"/>
              </w:rPr>
              <w:t xml:space="preserve"> (IC à 95 %)</w:t>
            </w:r>
            <w:r>
              <w:rPr>
                <w:color w:val="000000"/>
                <w:sz w:val="20"/>
                <w:vertAlign w:val="superscript"/>
              </w:rPr>
              <w:t>b</w:t>
            </w:r>
          </w:p>
        </w:tc>
        <w:tc>
          <w:tcPr>
            <w:tcW w:w="927" w:type="pct"/>
            <w:shd w:val="clear" w:color="auto" w:fill="auto"/>
            <w:tcMar>
              <w:top w:w="0" w:type="dxa"/>
              <w:left w:w="108" w:type="dxa"/>
              <w:bottom w:w="0" w:type="dxa"/>
              <w:right w:w="108" w:type="dxa"/>
            </w:tcMar>
            <w:vAlign w:val="center"/>
          </w:tcPr>
          <w:p w14:paraId="0D9E2403" w14:textId="77777777" w:rsidR="008D3DAE" w:rsidRPr="00D2126A" w:rsidRDefault="000E5A86" w:rsidP="006B7D29">
            <w:pPr>
              <w:pStyle w:val="C-TableText"/>
              <w:spacing w:before="0" w:after="0"/>
              <w:jc w:val="center"/>
              <w:rPr>
                <w:color w:val="000000"/>
                <w:sz w:val="20"/>
              </w:rPr>
            </w:pPr>
            <w:r>
              <w:rPr>
                <w:color w:val="000000"/>
                <w:sz w:val="20"/>
              </w:rPr>
              <w:t>35,0 (27,9 ; 43,4)</w:t>
            </w:r>
          </w:p>
        </w:tc>
        <w:tc>
          <w:tcPr>
            <w:tcW w:w="927" w:type="pct"/>
            <w:shd w:val="clear" w:color="auto" w:fill="auto"/>
            <w:tcMar>
              <w:top w:w="0" w:type="dxa"/>
              <w:left w:w="108" w:type="dxa"/>
              <w:bottom w:w="0" w:type="dxa"/>
              <w:right w:w="108" w:type="dxa"/>
            </w:tcMar>
            <w:vAlign w:val="center"/>
          </w:tcPr>
          <w:p w14:paraId="06D82F08" w14:textId="77777777" w:rsidR="008D3DAE" w:rsidRPr="00D2126A" w:rsidRDefault="000E5A86" w:rsidP="006B7D29">
            <w:pPr>
              <w:pStyle w:val="C-TableText"/>
              <w:spacing w:before="0" w:after="0"/>
              <w:jc w:val="center"/>
              <w:rPr>
                <w:color w:val="000000"/>
                <w:sz w:val="20"/>
              </w:rPr>
            </w:pPr>
            <w:r>
              <w:rPr>
                <w:color w:val="000000"/>
                <w:sz w:val="20"/>
              </w:rPr>
              <w:t>22,1 (20,3 ; 24,0)</w:t>
            </w:r>
          </w:p>
        </w:tc>
        <w:tc>
          <w:tcPr>
            <w:tcW w:w="927" w:type="pct"/>
            <w:shd w:val="clear" w:color="auto" w:fill="auto"/>
            <w:tcMar>
              <w:top w:w="0" w:type="dxa"/>
              <w:left w:w="108" w:type="dxa"/>
              <w:bottom w:w="0" w:type="dxa"/>
              <w:right w:w="108" w:type="dxa"/>
            </w:tcMar>
            <w:vAlign w:val="center"/>
          </w:tcPr>
          <w:p w14:paraId="2E90F244" w14:textId="77777777" w:rsidR="008D3DAE" w:rsidRPr="00D2126A" w:rsidRDefault="000E5A86" w:rsidP="006B7D29">
            <w:pPr>
              <w:pStyle w:val="C-TableText"/>
              <w:spacing w:before="0" w:after="0"/>
              <w:jc w:val="center"/>
              <w:rPr>
                <w:color w:val="000000"/>
                <w:sz w:val="20"/>
              </w:rPr>
            </w:pPr>
            <w:r>
              <w:rPr>
                <w:color w:val="000000"/>
                <w:sz w:val="20"/>
              </w:rPr>
              <w:t>22,3 (20,2 ; 24,9)</w:t>
            </w:r>
          </w:p>
        </w:tc>
      </w:tr>
    </w:tbl>
    <w:p w14:paraId="7BC26934" w14:textId="64B5170A" w:rsidR="002E6769" w:rsidRPr="00D2126A" w:rsidRDefault="000E5A86" w:rsidP="00CA5528">
      <w:pPr>
        <w:pStyle w:val="StyleTablenotes8"/>
      </w:pPr>
      <w:r>
        <w:t>TAM = traitement antimyélome ; IC = intervalle de confiance ; RC = réponse complète ; d = dexaméthasone à faible dose ; RR = rapport de risque ; IMWG = </w:t>
      </w:r>
      <w:r>
        <w:rPr>
          <w:i/>
        </w:rPr>
        <w:t>International Myeloma Working Group</w:t>
      </w:r>
      <w:r>
        <w:t> ; IRAC =</w:t>
      </w:r>
      <w:r>
        <w:rPr>
          <w:i/>
        </w:rPr>
        <w:t> Independent Response Adjudication Committee</w:t>
      </w:r>
      <w:r>
        <w:t xml:space="preserve"> (comité indépendant d’évaluation de la réponse) ; M = melphalan ; max = maximum ; min = minimum ; NE = non estimable ; SG = survie globale ; P = prednisone ; SSP =survie sans progression ; RP = réponse partielle ; R = lénalidomide ; Rd = Rd administrés jusqu’à la documentation de la progression de la maladie ; Rd18 = Rd administrés pendant ≤ 18 cycles ; ES = erreur standard ; T = thalidomide ; TBRP = très bonne réponse partielle ; </w:t>
      </w:r>
      <w:r>
        <w:rPr>
          <w:i/>
        </w:rPr>
        <w:t>vs</w:t>
      </w:r>
      <w:r>
        <w:t> = </w:t>
      </w:r>
      <w:r>
        <w:rPr>
          <w:i/>
        </w:rPr>
        <w:t>versus</w:t>
      </w:r>
      <w:r>
        <w:t>.</w:t>
      </w:r>
    </w:p>
    <w:p w14:paraId="6C4AE740" w14:textId="618C0051" w:rsidR="002E6769" w:rsidRPr="00D2126A" w:rsidRDefault="000E5A86" w:rsidP="00CA5528">
      <w:pPr>
        <w:pStyle w:val="StyleTablenotes8"/>
      </w:pPr>
      <w:r>
        <w:rPr>
          <w:vertAlign w:val="superscript"/>
        </w:rPr>
        <w:t>a</w:t>
      </w:r>
      <w:r>
        <w:t xml:space="preserve"> La médiane est basée sur l’estimation de Kaplan</w:t>
      </w:r>
      <w:r>
        <w:noBreakHyphen/>
        <w:t>Meier.</w:t>
      </w:r>
    </w:p>
    <w:p w14:paraId="109669BB" w14:textId="268C252D" w:rsidR="002E6769" w:rsidRPr="00D2126A" w:rsidRDefault="000E5A86" w:rsidP="00CA5528">
      <w:pPr>
        <w:pStyle w:val="StyleTablenotes8"/>
      </w:pPr>
      <w:r>
        <w:rPr>
          <w:vertAlign w:val="superscript"/>
        </w:rPr>
        <w:t>b</w:t>
      </w:r>
      <w:r>
        <w:t xml:space="preserve"> IC à 95 % de la médiane.</w:t>
      </w:r>
    </w:p>
    <w:p w14:paraId="7562D890" w14:textId="351480AC" w:rsidR="002E6769" w:rsidRPr="00D2126A" w:rsidRDefault="000E5A86" w:rsidP="00CA5528">
      <w:pPr>
        <w:pStyle w:val="StyleTablenotes8"/>
      </w:pPr>
      <w:r>
        <w:rPr>
          <w:vertAlign w:val="superscript"/>
        </w:rPr>
        <w:t>c</w:t>
      </w:r>
      <w:r>
        <w:t xml:space="preserve"> Basé sur un modèle pour risques proportionnels de Cox comparant les fonctions de risque associées aux bras de traitement indiqués.</w:t>
      </w:r>
    </w:p>
    <w:p w14:paraId="6C1AFDE7" w14:textId="2B519196" w:rsidR="002E6769" w:rsidRPr="00D2126A" w:rsidRDefault="000E5A86" w:rsidP="00CA5528">
      <w:pPr>
        <w:pStyle w:val="StyleTablenotes8"/>
      </w:pPr>
      <w:r>
        <w:rPr>
          <w:vertAlign w:val="superscript"/>
        </w:rPr>
        <w:t>d</w:t>
      </w:r>
      <w:r>
        <w:t xml:space="preserve"> Valeur p déterminée par le test log</w:t>
      </w:r>
      <w:r>
        <w:noBreakHyphen/>
        <w:t>rank non stratifié des différences de la courbe de Kaplan</w:t>
      </w:r>
      <w:r>
        <w:noBreakHyphen/>
        <w:t>Meier entre les bras de traitement indiqués.</w:t>
      </w:r>
    </w:p>
    <w:p w14:paraId="628B6ED7" w14:textId="641ADBEA" w:rsidR="002E6769" w:rsidRPr="00D2126A" w:rsidRDefault="000E5A86" w:rsidP="00CA5528">
      <w:pPr>
        <w:pStyle w:val="StyleTablenotes8"/>
      </w:pPr>
      <w:r>
        <w:rPr>
          <w:vertAlign w:val="superscript"/>
        </w:rPr>
        <w:t>e</w:t>
      </w:r>
      <w:r>
        <w:t xml:space="preserve"> Critère exploratoire (SSP2).</w:t>
      </w:r>
    </w:p>
    <w:p w14:paraId="1A282BEA" w14:textId="7A00F2B2" w:rsidR="002E6769" w:rsidRPr="00D2126A" w:rsidRDefault="000E5A86" w:rsidP="00CA5528">
      <w:pPr>
        <w:pStyle w:val="StyleTablenotes8"/>
      </w:pPr>
      <w:r>
        <w:rPr>
          <w:vertAlign w:val="superscript"/>
        </w:rPr>
        <w:t>f</w:t>
      </w:r>
      <w:r>
        <w:t xml:space="preserve"> La médiane est la statistique univariée sans ajustement pour censure.</w:t>
      </w:r>
    </w:p>
    <w:p w14:paraId="12296283" w14:textId="01FC865C" w:rsidR="002E6769" w:rsidRPr="00D2126A" w:rsidRDefault="000E5A86" w:rsidP="00333629">
      <w:pPr>
        <w:pStyle w:val="StyleTablenotes8"/>
        <w:keepNext/>
      </w:pPr>
      <w:r>
        <w:rPr>
          <w:vertAlign w:val="superscript"/>
        </w:rPr>
        <w:t>g</w:t>
      </w:r>
      <w:r>
        <w:t xml:space="preserve"> Meilleure réponse évaluée par le comité indépendant pendant la période de traitement de l’étude (pour les définitions de chaque catégorie de réponse, date de gel des données : 24 mai 2013).</w:t>
      </w:r>
    </w:p>
    <w:p w14:paraId="58B4FF66" w14:textId="766268E9" w:rsidR="002E6769" w:rsidRPr="00D2126A" w:rsidRDefault="000E5A86" w:rsidP="00333629">
      <w:pPr>
        <w:pStyle w:val="StyleTablenotes8"/>
        <w:keepNext/>
      </w:pPr>
      <w:r>
        <w:rPr>
          <w:vertAlign w:val="superscript"/>
        </w:rPr>
        <w:t>h</w:t>
      </w:r>
      <w:r>
        <w:t xml:space="preserve"> Date de gel des données : 24 mai 2013.</w:t>
      </w:r>
    </w:p>
    <w:p w14:paraId="32B6D4A8" w14:textId="77777777" w:rsidR="00DE172D" w:rsidRPr="00D2126A" w:rsidRDefault="00DE172D" w:rsidP="00C93C76">
      <w:pPr>
        <w:rPr>
          <w:color w:val="000000"/>
        </w:rPr>
      </w:pPr>
    </w:p>
    <w:p w14:paraId="2B08FA63" w14:textId="77777777" w:rsidR="00DE172D" w:rsidRPr="00D2126A" w:rsidRDefault="000E5A86" w:rsidP="00C7655E">
      <w:pPr>
        <w:keepNext/>
        <w:numPr>
          <w:ilvl w:val="0"/>
          <w:numId w:val="35"/>
        </w:numPr>
        <w:autoSpaceDE w:val="0"/>
        <w:autoSpaceDN w:val="0"/>
        <w:adjustRightInd w:val="0"/>
        <w:ind w:left="567" w:right="-20" w:hanging="567"/>
        <w:rPr>
          <w:bCs/>
          <w:iCs/>
          <w:u w:val="single"/>
        </w:rPr>
      </w:pPr>
      <w:r>
        <w:rPr>
          <w:u w:val="single"/>
        </w:rPr>
        <w:t>Lénalidomide en association avec le melphalan et la prednisone suivis d’un traitement d’entretien chez les patients non éligibles à une greffe</w:t>
      </w:r>
    </w:p>
    <w:p w14:paraId="6DFFFEC9" w14:textId="77777777" w:rsidR="00C7655E" w:rsidRPr="00AB0414" w:rsidRDefault="00C7655E" w:rsidP="00C7655E">
      <w:pPr>
        <w:pStyle w:val="C-TableText"/>
        <w:keepNext/>
        <w:spacing w:before="0" w:after="0"/>
      </w:pPr>
    </w:p>
    <w:p w14:paraId="127A7B23" w14:textId="54B6D437" w:rsidR="00C24015" w:rsidRPr="00D2126A" w:rsidRDefault="000E5A86" w:rsidP="00C93C76">
      <w:pPr>
        <w:pStyle w:val="C-TableText"/>
        <w:spacing w:before="0" w:after="0"/>
        <w:rPr>
          <w:szCs w:val="22"/>
        </w:rPr>
      </w:pPr>
      <w:r>
        <w:t>La sécurité et l’efficacité du lénalidomide ont été évaluées dans une étude de phase 3 multicentrique randomisée en double aveugle, contrôlée par placebo en trois bras (MM</w:t>
      </w:r>
      <w:r>
        <w:noBreakHyphen/>
        <w:t xml:space="preserve">015), menée chez des patients qui étaient âgés de 65 ans et plus et qui avaient une créatininémie &lt; 2,5 mg/dl. L’étude visait à comparer l’association de lénalidomide plus melphalan et prednisone (MPR) avec ou sans traitement d’entretien par le lénalidomide jusqu’à la progression de la maladie à l’association de melphalan et prednisone administrées pendant 9 cycles au maximum. Les patients ont été randomisés selon un rapport 1:1:1 dans l’un des trois bras de traitement. Les patients ont été stratifiés au moment de la randomisation en fonction de l'âge (≤ 75 ans </w:t>
      </w:r>
      <w:r>
        <w:rPr>
          <w:i/>
        </w:rPr>
        <w:t>versus</w:t>
      </w:r>
      <w:r>
        <w:t xml:space="preserve"> &gt; 75 ans) et du stade (ISS ; stades I et II </w:t>
      </w:r>
      <w:r>
        <w:rPr>
          <w:i/>
        </w:rPr>
        <w:t>versus</w:t>
      </w:r>
      <w:r>
        <w:t xml:space="preserve"> stade III).</w:t>
      </w:r>
    </w:p>
    <w:p w14:paraId="7FD2B904" w14:textId="77777777" w:rsidR="00C24015" w:rsidRPr="00D2126A" w:rsidRDefault="00C24015" w:rsidP="00C93C76">
      <w:pPr>
        <w:autoSpaceDE w:val="0"/>
        <w:autoSpaceDN w:val="0"/>
        <w:adjustRightInd w:val="0"/>
      </w:pPr>
    </w:p>
    <w:p w14:paraId="5210BD59" w14:textId="28D06C29" w:rsidR="00C24015" w:rsidRPr="00D2126A" w:rsidRDefault="000E5A86" w:rsidP="00C93C76">
      <w:r>
        <w:t>Cette étude visait à évaluer l’utilisation de l’association MPR (melphalan 0,18 mg/kg par voie orale les jours 1 à 4 de chaque cycle de 28 jours, prednisone 2 mg/kg par voie orale les jours 1 à 4 de chaque cycle de 28 jours et lénalidomide 10 mg/jour par voie orale les jours 1 à 21 de chaque cycle de 28 jours) en traitement d’induction pendant 9 cycles au maximum. Les patients qui avaient terminé les 9 cycles ou qui ne pouvaient pas les terminer en raison d’une toxicité ont poursuivi par un traitement d’entretien : lénalidomide 10 mg par voie orale les jours 1 à 21 de chaque cycle de 28 jours jusqu’à la progression de la maladie.</w:t>
      </w:r>
    </w:p>
    <w:p w14:paraId="673CD293" w14:textId="77777777" w:rsidR="00C24015" w:rsidRPr="00D2126A" w:rsidRDefault="00C24015" w:rsidP="00C93C76">
      <w:pPr>
        <w:pStyle w:val="Date"/>
      </w:pPr>
    </w:p>
    <w:p w14:paraId="23674A0A" w14:textId="623A69BB" w:rsidR="00C24015" w:rsidRPr="00D2126A" w:rsidRDefault="000E5A86" w:rsidP="00C93C76">
      <w:pPr>
        <w:autoSpaceDE w:val="0"/>
        <w:autoSpaceDN w:val="0"/>
        <w:adjustRightInd w:val="0"/>
      </w:pPr>
      <w:r>
        <w:t>Le critère d’efficacité principal dans l’étude était la survie sans progression (SSP). Au total, 459 patients ont été inclus dans l’étude, dont 152 patients randomisés dans le bras MPR+R, 153 patients dans le bras MPR+p et 154 patients dans le bras MPp+p. Les caractéristiques démographiques et pathologiques initiales des patients étaient bien équilibrées entre les trois bras ; en particulier, environ 50 % des patients inclus dans chaque bras présentaient les caractéristiques suivantes : stade ISS III et clairance de la créatinine &lt; 60 ml/min. L'âge médian était de 71 ans dans les bras MPR+R et MPR+p et de 72 ans dans le bras MPp+p.</w:t>
      </w:r>
    </w:p>
    <w:p w14:paraId="4C90260B" w14:textId="77777777" w:rsidR="00C24015" w:rsidRPr="00D2126A" w:rsidRDefault="00C24015" w:rsidP="00C93C76">
      <w:pPr>
        <w:rPr>
          <w:szCs w:val="24"/>
        </w:rPr>
      </w:pPr>
    </w:p>
    <w:p w14:paraId="5110479E" w14:textId="53E35BFF" w:rsidR="00C24015" w:rsidRPr="00D2126A" w:rsidRDefault="000E5A86" w:rsidP="0008616E">
      <w:pPr>
        <w:rPr>
          <w:color w:val="000000"/>
        </w:rPr>
      </w:pPr>
      <w:r>
        <w:rPr>
          <w:color w:val="000000"/>
        </w:rPr>
        <w:t>Les résultats de l’étude selon une analyse de la SSP, de la SSP2 et de la SG avec gel des données en avril 2013 dans laquelle la durée médiane de suivi de l’ensemble des patients survivants était de 62,4 mois sont présentés dans le tableau 10.</w:t>
      </w:r>
    </w:p>
    <w:p w14:paraId="78984725" w14:textId="77777777" w:rsidR="00DE172D" w:rsidRPr="00D2126A" w:rsidRDefault="00DE172D" w:rsidP="00C93C76"/>
    <w:p w14:paraId="04EE52FA" w14:textId="6D3BEAA3" w:rsidR="00DE172D" w:rsidRPr="00D2126A" w:rsidRDefault="000E5A86" w:rsidP="00C93C76">
      <w:pPr>
        <w:pStyle w:val="C-TableHeader"/>
        <w:spacing w:before="0" w:after="0"/>
      </w:pPr>
      <w:r>
        <w:t>Tableau 10. Synthèse des données d’efficacité globales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119"/>
        <w:gridCol w:w="1722"/>
        <w:gridCol w:w="1722"/>
        <w:gridCol w:w="1723"/>
      </w:tblGrid>
      <w:tr w:rsidR="00D5485C" w:rsidRPr="00D2126A" w14:paraId="707B17F3"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45F1F01A" w14:textId="77777777" w:rsidR="00C24015" w:rsidRPr="00AB0414" w:rsidRDefault="00C24015" w:rsidP="006B7D29">
            <w:pPr>
              <w:pStyle w:val="C-TableHeader"/>
              <w:tabs>
                <w:tab w:val="center" w:pos="4153"/>
                <w:tab w:val="right" w:pos="8306"/>
              </w:tabs>
              <w:spacing w:before="0" w:after="0"/>
              <w:rPr>
                <w:i/>
                <w:iCs/>
                <w:color w:val="000000"/>
                <w:sz w:val="20"/>
              </w:rPr>
            </w:pPr>
          </w:p>
        </w:tc>
        <w:tc>
          <w:tcPr>
            <w:tcW w:w="927" w:type="pct"/>
            <w:shd w:val="clear" w:color="auto" w:fill="auto"/>
            <w:tcMar>
              <w:top w:w="0" w:type="dxa"/>
              <w:left w:w="108" w:type="dxa"/>
              <w:bottom w:w="0" w:type="dxa"/>
              <w:right w:w="108" w:type="dxa"/>
            </w:tcMar>
            <w:vAlign w:val="bottom"/>
            <w:hideMark/>
          </w:tcPr>
          <w:p w14:paraId="18DD3567" w14:textId="77777777" w:rsidR="00F003F4" w:rsidRPr="00D2126A" w:rsidRDefault="000E5A86" w:rsidP="006B7D29">
            <w:pPr>
              <w:pStyle w:val="C-TableHeader"/>
              <w:spacing w:before="0" w:after="0"/>
              <w:ind w:left="-108" w:right="-111"/>
              <w:jc w:val="center"/>
              <w:rPr>
                <w:color w:val="000000"/>
                <w:sz w:val="20"/>
              </w:rPr>
            </w:pPr>
            <w:r>
              <w:rPr>
                <w:color w:val="000000"/>
                <w:sz w:val="20"/>
              </w:rPr>
              <w:t>MPR+R</w:t>
            </w:r>
          </w:p>
          <w:p w14:paraId="6D94E085" w14:textId="5AC2A738" w:rsidR="00C24015" w:rsidRPr="00D2126A" w:rsidRDefault="000E5A86" w:rsidP="006B7D29">
            <w:pPr>
              <w:pStyle w:val="C-TableHeader"/>
              <w:spacing w:before="0" w:after="0"/>
              <w:ind w:left="-108" w:right="-111"/>
              <w:jc w:val="center"/>
              <w:rPr>
                <w:color w:val="000000"/>
                <w:sz w:val="20"/>
              </w:rPr>
            </w:pPr>
            <w:r>
              <w:rPr>
                <w:color w:val="000000"/>
                <w:sz w:val="20"/>
              </w:rPr>
              <w:t>(N = 152)</w:t>
            </w:r>
          </w:p>
        </w:tc>
        <w:tc>
          <w:tcPr>
            <w:tcW w:w="927" w:type="pct"/>
            <w:shd w:val="clear" w:color="auto" w:fill="auto"/>
            <w:tcMar>
              <w:top w:w="0" w:type="dxa"/>
              <w:left w:w="108" w:type="dxa"/>
              <w:bottom w:w="0" w:type="dxa"/>
              <w:right w:w="108" w:type="dxa"/>
            </w:tcMar>
            <w:vAlign w:val="bottom"/>
            <w:hideMark/>
          </w:tcPr>
          <w:p w14:paraId="0A088C99" w14:textId="77777777" w:rsidR="00F003F4" w:rsidRPr="00D2126A" w:rsidRDefault="000E5A86" w:rsidP="006B7D29">
            <w:pPr>
              <w:pStyle w:val="C-TableHeader"/>
              <w:spacing w:before="0" w:after="0"/>
              <w:ind w:left="-105" w:right="-114"/>
              <w:jc w:val="center"/>
              <w:rPr>
                <w:color w:val="000000"/>
                <w:sz w:val="20"/>
              </w:rPr>
            </w:pPr>
            <w:r>
              <w:rPr>
                <w:color w:val="000000"/>
                <w:sz w:val="20"/>
              </w:rPr>
              <w:t>MPR+p</w:t>
            </w:r>
          </w:p>
          <w:p w14:paraId="03764EAC" w14:textId="2B9AF0AD" w:rsidR="00C24015" w:rsidRPr="00D2126A" w:rsidRDefault="000E5A86" w:rsidP="006B7D29">
            <w:pPr>
              <w:pStyle w:val="C-TableHeader"/>
              <w:spacing w:before="0" w:after="0"/>
              <w:ind w:left="-105" w:right="-114"/>
              <w:jc w:val="center"/>
              <w:rPr>
                <w:color w:val="000000"/>
                <w:sz w:val="20"/>
              </w:rPr>
            </w:pPr>
            <w:r>
              <w:rPr>
                <w:color w:val="000000"/>
                <w:sz w:val="20"/>
              </w:rPr>
              <w:t>(N = 153)</w:t>
            </w:r>
          </w:p>
        </w:tc>
        <w:tc>
          <w:tcPr>
            <w:tcW w:w="927" w:type="pct"/>
            <w:shd w:val="clear" w:color="auto" w:fill="auto"/>
            <w:tcMar>
              <w:top w:w="0" w:type="dxa"/>
              <w:left w:w="108" w:type="dxa"/>
              <w:bottom w:w="0" w:type="dxa"/>
              <w:right w:w="108" w:type="dxa"/>
            </w:tcMar>
            <w:vAlign w:val="bottom"/>
            <w:hideMark/>
          </w:tcPr>
          <w:p w14:paraId="022ADB23" w14:textId="77777777" w:rsidR="00F003F4" w:rsidRPr="00D2126A" w:rsidRDefault="000E5A86" w:rsidP="006B7D29">
            <w:pPr>
              <w:pStyle w:val="C-TableHeader"/>
              <w:spacing w:before="0" w:after="0"/>
              <w:ind w:left="-108" w:right="-111"/>
              <w:jc w:val="center"/>
              <w:rPr>
                <w:color w:val="000000"/>
                <w:sz w:val="20"/>
              </w:rPr>
            </w:pPr>
            <w:r>
              <w:rPr>
                <w:color w:val="000000"/>
                <w:sz w:val="20"/>
              </w:rPr>
              <w:t>MPp +p</w:t>
            </w:r>
          </w:p>
          <w:p w14:paraId="6CB4D5CD" w14:textId="68639C06" w:rsidR="00C24015" w:rsidRPr="00D2126A" w:rsidRDefault="000E5A86" w:rsidP="006B7D29">
            <w:pPr>
              <w:pStyle w:val="C-TableHeader"/>
              <w:spacing w:before="0" w:after="0"/>
              <w:ind w:left="-108" w:right="-111"/>
              <w:jc w:val="center"/>
              <w:rPr>
                <w:color w:val="000000"/>
                <w:sz w:val="20"/>
              </w:rPr>
            </w:pPr>
            <w:r>
              <w:rPr>
                <w:color w:val="000000"/>
                <w:sz w:val="20"/>
              </w:rPr>
              <w:t>(N = 154)</w:t>
            </w:r>
          </w:p>
        </w:tc>
      </w:tr>
      <w:tr w:rsidR="00D5485C" w:rsidRPr="00D2126A" w14:paraId="2E628F3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D52B67F" w14:textId="2F79853D" w:rsidR="00C24015" w:rsidRPr="00D2126A" w:rsidRDefault="000E5A86" w:rsidP="00333629">
            <w:pPr>
              <w:pStyle w:val="C-TableText"/>
              <w:keepNext/>
              <w:spacing w:before="0" w:after="0"/>
              <w:rPr>
                <w:b/>
                <w:bCs/>
                <w:color w:val="000000"/>
                <w:sz w:val="20"/>
              </w:rPr>
            </w:pPr>
            <w:r>
              <w:rPr>
                <w:b/>
                <w:color w:val="000000"/>
                <w:sz w:val="20"/>
              </w:rPr>
              <w:t>Survie sans progression évaluée par les investigateurs (mois)</w:t>
            </w:r>
          </w:p>
        </w:tc>
        <w:tc>
          <w:tcPr>
            <w:tcW w:w="2782" w:type="pct"/>
            <w:gridSpan w:val="3"/>
            <w:shd w:val="clear" w:color="auto" w:fill="auto"/>
            <w:tcMar>
              <w:top w:w="0" w:type="dxa"/>
              <w:left w:w="108" w:type="dxa"/>
              <w:bottom w:w="0" w:type="dxa"/>
              <w:right w:w="108" w:type="dxa"/>
            </w:tcMar>
          </w:tcPr>
          <w:p w14:paraId="292FEB4C" w14:textId="77777777" w:rsidR="00C24015" w:rsidRPr="00AB0414" w:rsidRDefault="00C24015" w:rsidP="006B7D29">
            <w:pPr>
              <w:pStyle w:val="C-TableText"/>
              <w:keepNext/>
              <w:spacing w:before="0" w:after="0"/>
              <w:jc w:val="center"/>
              <w:rPr>
                <w:color w:val="000000"/>
                <w:sz w:val="20"/>
              </w:rPr>
            </w:pPr>
          </w:p>
        </w:tc>
      </w:tr>
      <w:tr w:rsidR="00D5485C" w:rsidRPr="00D2126A" w14:paraId="3400FD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61BF058" w14:textId="2F86CED6" w:rsidR="00C24015" w:rsidRPr="00D2126A" w:rsidRDefault="000E5A86" w:rsidP="006B7D29">
            <w:pPr>
              <w:pStyle w:val="C-TableText"/>
              <w:spacing w:before="0" w:after="0"/>
              <w:ind w:left="180"/>
              <w:rPr>
                <w:color w:val="000000"/>
                <w:sz w:val="20"/>
                <w:vertAlign w:val="superscript"/>
              </w:rPr>
            </w:pPr>
            <w:r>
              <w:rPr>
                <w:color w:val="000000"/>
                <w:sz w:val="20"/>
              </w:rPr>
              <w:t>SSP médiane</w:t>
            </w:r>
            <w:r>
              <w:rPr>
                <w:color w:val="000000"/>
                <w:sz w:val="20"/>
                <w:vertAlign w:val="superscript"/>
              </w:rPr>
              <w:t>a</w:t>
            </w:r>
            <w:r>
              <w:rPr>
                <w:color w:val="000000"/>
                <w:sz w:val="20"/>
              </w:rPr>
              <w:t>, mois (IC à 95 %)</w:t>
            </w:r>
          </w:p>
        </w:tc>
        <w:tc>
          <w:tcPr>
            <w:tcW w:w="927" w:type="pct"/>
            <w:shd w:val="clear" w:color="auto" w:fill="auto"/>
            <w:tcMar>
              <w:top w:w="0" w:type="dxa"/>
              <w:left w:w="108" w:type="dxa"/>
              <w:bottom w:w="0" w:type="dxa"/>
              <w:right w:w="108" w:type="dxa"/>
            </w:tcMar>
          </w:tcPr>
          <w:p w14:paraId="48E01385" w14:textId="77777777" w:rsidR="00C24015" w:rsidRPr="00D2126A" w:rsidRDefault="000E5A86" w:rsidP="006B7D29">
            <w:pPr>
              <w:pStyle w:val="C-TableText"/>
              <w:spacing w:before="0" w:after="0"/>
              <w:jc w:val="center"/>
              <w:rPr>
                <w:color w:val="000000"/>
                <w:sz w:val="20"/>
              </w:rPr>
            </w:pPr>
            <w:r>
              <w:rPr>
                <w:color w:val="000000"/>
                <w:sz w:val="20"/>
              </w:rPr>
              <w:t>27,4 (21,3 ; 35,0)</w:t>
            </w:r>
          </w:p>
        </w:tc>
        <w:tc>
          <w:tcPr>
            <w:tcW w:w="927" w:type="pct"/>
            <w:shd w:val="clear" w:color="auto" w:fill="auto"/>
            <w:tcMar>
              <w:top w:w="0" w:type="dxa"/>
              <w:left w:w="108" w:type="dxa"/>
              <w:bottom w:w="0" w:type="dxa"/>
              <w:right w:w="108" w:type="dxa"/>
            </w:tcMar>
          </w:tcPr>
          <w:p w14:paraId="5759ADF5" w14:textId="77777777" w:rsidR="00C24015" w:rsidRPr="00D2126A" w:rsidRDefault="000E5A86" w:rsidP="006B7D29">
            <w:pPr>
              <w:pStyle w:val="C-TableText"/>
              <w:spacing w:before="0" w:after="0"/>
              <w:jc w:val="center"/>
              <w:rPr>
                <w:color w:val="000000"/>
                <w:sz w:val="20"/>
              </w:rPr>
            </w:pPr>
            <w:r>
              <w:rPr>
                <w:color w:val="000000"/>
                <w:sz w:val="20"/>
              </w:rPr>
              <w:t>14,3 (13,2 ; 15,7)</w:t>
            </w:r>
          </w:p>
        </w:tc>
        <w:tc>
          <w:tcPr>
            <w:tcW w:w="927" w:type="pct"/>
            <w:shd w:val="clear" w:color="auto" w:fill="auto"/>
            <w:tcMar>
              <w:top w:w="0" w:type="dxa"/>
              <w:left w:w="108" w:type="dxa"/>
              <w:bottom w:w="0" w:type="dxa"/>
              <w:right w:w="108" w:type="dxa"/>
            </w:tcMar>
          </w:tcPr>
          <w:p w14:paraId="26736546" w14:textId="77777777" w:rsidR="00C24015" w:rsidRPr="00D2126A" w:rsidRDefault="000E5A86" w:rsidP="006B7D29">
            <w:pPr>
              <w:pStyle w:val="C-TableText"/>
              <w:spacing w:before="0" w:after="0"/>
              <w:jc w:val="center"/>
              <w:rPr>
                <w:color w:val="000000"/>
                <w:sz w:val="20"/>
              </w:rPr>
            </w:pPr>
            <w:r>
              <w:rPr>
                <w:color w:val="000000"/>
                <w:sz w:val="20"/>
              </w:rPr>
              <w:t>13,1 (12,0 ; 14,8)</w:t>
            </w:r>
          </w:p>
        </w:tc>
      </w:tr>
      <w:tr w:rsidR="00D5485C" w:rsidRPr="00D2126A" w14:paraId="46D04E8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4F7E424" w14:textId="499D4875" w:rsidR="00C24015" w:rsidRPr="00D2126A" w:rsidRDefault="000E5A86" w:rsidP="006B7D29">
            <w:pPr>
              <w:pStyle w:val="C-TableText"/>
              <w:keepNext/>
              <w:spacing w:before="0" w:after="0"/>
              <w:ind w:left="180"/>
              <w:rPr>
                <w:color w:val="000000"/>
                <w:sz w:val="20"/>
                <w:vertAlign w:val="superscript"/>
              </w:rPr>
            </w:pPr>
            <w:r>
              <w:rPr>
                <w:color w:val="000000"/>
                <w:sz w:val="20"/>
              </w:rPr>
              <w:t>RR [IC à 95 %], valeur p</w:t>
            </w:r>
          </w:p>
        </w:tc>
        <w:tc>
          <w:tcPr>
            <w:tcW w:w="2782" w:type="pct"/>
            <w:gridSpan w:val="3"/>
            <w:shd w:val="clear" w:color="auto" w:fill="auto"/>
            <w:tcMar>
              <w:top w:w="0" w:type="dxa"/>
              <w:left w:w="108" w:type="dxa"/>
              <w:bottom w:w="0" w:type="dxa"/>
              <w:right w:w="108" w:type="dxa"/>
            </w:tcMar>
          </w:tcPr>
          <w:p w14:paraId="54F7F073" w14:textId="77777777" w:rsidR="00C24015" w:rsidRPr="00AB0414" w:rsidRDefault="00C24015" w:rsidP="006B7D29">
            <w:pPr>
              <w:pStyle w:val="C-TableText"/>
              <w:spacing w:before="0" w:after="0"/>
              <w:jc w:val="center"/>
              <w:rPr>
                <w:color w:val="000000"/>
                <w:sz w:val="20"/>
              </w:rPr>
            </w:pPr>
          </w:p>
        </w:tc>
      </w:tr>
      <w:tr w:rsidR="00D5485C" w:rsidRPr="00D2126A" w14:paraId="40554F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061A0AE" w14:textId="77777777" w:rsidR="00C24015" w:rsidRPr="00156723" w:rsidRDefault="000E5A86" w:rsidP="006B7D29">
            <w:pPr>
              <w:pStyle w:val="C-TableText"/>
              <w:keepNext/>
              <w:spacing w:before="0" w:after="0"/>
              <w:ind w:left="450"/>
              <w:rPr>
                <w:color w:val="000000"/>
                <w:sz w:val="20"/>
              </w:rPr>
            </w:pPr>
            <w:r>
              <w:rPr>
                <w:color w:val="000000"/>
                <w:sz w:val="20"/>
              </w:rPr>
              <w:t xml:space="preserve">MPR+R </w:t>
            </w:r>
            <w:r>
              <w:rPr>
                <w:i/>
                <w:color w:val="000000"/>
                <w:sz w:val="20"/>
              </w:rPr>
              <w:t>vs</w:t>
            </w:r>
            <w:r>
              <w:rPr>
                <w:color w:val="000000"/>
                <w:sz w:val="20"/>
              </w:rPr>
              <w:t xml:space="preserve"> MPp+p</w:t>
            </w:r>
          </w:p>
        </w:tc>
        <w:tc>
          <w:tcPr>
            <w:tcW w:w="2782" w:type="pct"/>
            <w:gridSpan w:val="3"/>
            <w:shd w:val="clear" w:color="auto" w:fill="auto"/>
            <w:tcMar>
              <w:top w:w="0" w:type="dxa"/>
              <w:left w:w="108" w:type="dxa"/>
              <w:bottom w:w="0" w:type="dxa"/>
              <w:right w:w="108" w:type="dxa"/>
            </w:tcMar>
          </w:tcPr>
          <w:p w14:paraId="7C5E14EA" w14:textId="544D3188" w:rsidR="00C24015" w:rsidRPr="00D2126A" w:rsidRDefault="000E5A86" w:rsidP="006B7D29">
            <w:pPr>
              <w:pStyle w:val="C-TableText"/>
              <w:spacing w:before="0" w:after="0"/>
              <w:jc w:val="center"/>
              <w:rPr>
                <w:color w:val="000000"/>
                <w:sz w:val="20"/>
              </w:rPr>
            </w:pPr>
            <w:r>
              <w:rPr>
                <w:color w:val="000000"/>
                <w:sz w:val="20"/>
              </w:rPr>
              <w:t>0,37 (0,27 ; 0,50) ; &lt; 0,001</w:t>
            </w:r>
          </w:p>
        </w:tc>
      </w:tr>
      <w:tr w:rsidR="00D5485C" w:rsidRPr="00D2126A" w14:paraId="06BBF0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E3D3AD" w14:textId="77777777" w:rsidR="00C24015" w:rsidRPr="00156723" w:rsidRDefault="000E5A86" w:rsidP="006B7D29">
            <w:pPr>
              <w:pStyle w:val="C-TableText"/>
              <w:keepNext/>
              <w:spacing w:before="0" w:after="0"/>
              <w:ind w:left="450"/>
              <w:rPr>
                <w:color w:val="000000"/>
                <w:sz w:val="20"/>
              </w:rPr>
            </w:pPr>
            <w:r>
              <w:rPr>
                <w:color w:val="000000"/>
                <w:sz w:val="20"/>
              </w:rPr>
              <w:t xml:space="preserve">MPR+R </w:t>
            </w:r>
            <w:r>
              <w:rPr>
                <w:i/>
                <w:color w:val="000000"/>
                <w:sz w:val="20"/>
              </w:rPr>
              <w:t>vs</w:t>
            </w:r>
            <w:r>
              <w:rPr>
                <w:color w:val="000000"/>
                <w:sz w:val="20"/>
              </w:rPr>
              <w:t xml:space="preserve"> MPR+p</w:t>
            </w:r>
          </w:p>
        </w:tc>
        <w:tc>
          <w:tcPr>
            <w:tcW w:w="2782" w:type="pct"/>
            <w:gridSpan w:val="3"/>
            <w:shd w:val="clear" w:color="auto" w:fill="auto"/>
            <w:tcMar>
              <w:top w:w="0" w:type="dxa"/>
              <w:left w:w="108" w:type="dxa"/>
              <w:bottom w:w="0" w:type="dxa"/>
              <w:right w:w="108" w:type="dxa"/>
            </w:tcMar>
          </w:tcPr>
          <w:p w14:paraId="763C6A03" w14:textId="30721DD3" w:rsidR="00C24015" w:rsidRPr="00D2126A" w:rsidRDefault="000E5A86" w:rsidP="006B7D29">
            <w:pPr>
              <w:pStyle w:val="C-TableText"/>
              <w:spacing w:before="0" w:after="0"/>
              <w:jc w:val="center"/>
              <w:rPr>
                <w:color w:val="000000"/>
                <w:sz w:val="20"/>
              </w:rPr>
            </w:pPr>
            <w:r>
              <w:rPr>
                <w:color w:val="000000"/>
                <w:sz w:val="20"/>
              </w:rPr>
              <w:t>0,47 (0,35 ; 0,65) ; &lt; 0,001</w:t>
            </w:r>
          </w:p>
        </w:tc>
      </w:tr>
      <w:tr w:rsidR="00D5485C" w:rsidRPr="00D2126A" w14:paraId="2F48DC3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17577E" w14:textId="77777777" w:rsidR="00C24015" w:rsidRPr="00156723" w:rsidRDefault="000E5A86" w:rsidP="006B7D29">
            <w:pPr>
              <w:pStyle w:val="C-TableText"/>
              <w:spacing w:before="0" w:after="0"/>
              <w:ind w:left="450"/>
              <w:rPr>
                <w:color w:val="000000"/>
                <w:sz w:val="20"/>
              </w:rPr>
            </w:pPr>
            <w:r>
              <w:rPr>
                <w:color w:val="000000"/>
                <w:sz w:val="20"/>
              </w:rPr>
              <w:t xml:space="preserve">MPR+p </w:t>
            </w:r>
            <w:r>
              <w:rPr>
                <w:i/>
                <w:color w:val="000000"/>
                <w:sz w:val="20"/>
              </w:rPr>
              <w:t>vs</w:t>
            </w:r>
            <w:r>
              <w:rPr>
                <w:color w:val="000000"/>
                <w:sz w:val="20"/>
              </w:rPr>
              <w:t xml:space="preserve"> MPp +p</w:t>
            </w:r>
          </w:p>
        </w:tc>
        <w:tc>
          <w:tcPr>
            <w:tcW w:w="2782" w:type="pct"/>
            <w:gridSpan w:val="3"/>
            <w:shd w:val="clear" w:color="auto" w:fill="auto"/>
            <w:tcMar>
              <w:top w:w="0" w:type="dxa"/>
              <w:left w:w="108" w:type="dxa"/>
              <w:bottom w:w="0" w:type="dxa"/>
              <w:right w:w="108" w:type="dxa"/>
            </w:tcMar>
          </w:tcPr>
          <w:p w14:paraId="618465F9" w14:textId="77777777" w:rsidR="00C24015" w:rsidRPr="00D2126A" w:rsidRDefault="000E5A86" w:rsidP="006B7D29">
            <w:pPr>
              <w:pStyle w:val="C-TableText"/>
              <w:spacing w:before="0" w:after="0"/>
              <w:ind w:right="-7"/>
              <w:jc w:val="center"/>
              <w:rPr>
                <w:color w:val="000000"/>
                <w:sz w:val="20"/>
              </w:rPr>
            </w:pPr>
            <w:r>
              <w:rPr>
                <w:color w:val="000000"/>
                <w:sz w:val="20"/>
              </w:rPr>
              <w:t>0,78 (0,60 ; 1,01) ; 0,059</w:t>
            </w:r>
          </w:p>
        </w:tc>
      </w:tr>
      <w:tr w:rsidR="00D5485C" w:rsidRPr="00D2126A" w14:paraId="2524A68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3442BB" w14:textId="22ED5181" w:rsidR="00C24015" w:rsidRPr="00D2126A" w:rsidRDefault="000E5A86" w:rsidP="00333629">
            <w:pPr>
              <w:pStyle w:val="Style6"/>
              <w:ind w:left="0" w:firstLine="0"/>
            </w:pPr>
            <w:r>
              <w:t>SSP2 (mois)</w:t>
            </w:r>
            <w:r>
              <w:rPr>
                <w:vertAlign w:val="superscript"/>
              </w:rPr>
              <w:t>¤</w:t>
            </w:r>
          </w:p>
        </w:tc>
        <w:tc>
          <w:tcPr>
            <w:tcW w:w="2782" w:type="pct"/>
            <w:gridSpan w:val="3"/>
            <w:shd w:val="clear" w:color="auto" w:fill="auto"/>
            <w:tcMar>
              <w:top w:w="0" w:type="dxa"/>
              <w:left w:w="108" w:type="dxa"/>
              <w:bottom w:w="0" w:type="dxa"/>
              <w:right w:w="108" w:type="dxa"/>
            </w:tcMar>
          </w:tcPr>
          <w:p w14:paraId="04F0CE3D" w14:textId="77777777" w:rsidR="00C24015" w:rsidRPr="00D2126A" w:rsidRDefault="00C24015" w:rsidP="006B7D29">
            <w:pPr>
              <w:pStyle w:val="C-TableText"/>
              <w:spacing w:before="0" w:after="0"/>
              <w:ind w:right="-7"/>
              <w:jc w:val="center"/>
              <w:rPr>
                <w:color w:val="000000"/>
                <w:sz w:val="20"/>
                <w:lang w:val="en-GB"/>
              </w:rPr>
            </w:pPr>
          </w:p>
        </w:tc>
      </w:tr>
      <w:tr w:rsidR="00D5485C" w:rsidRPr="00D2126A" w14:paraId="39AB94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15042D" w14:textId="18DD1F4F" w:rsidR="00C24015" w:rsidRPr="00D2126A" w:rsidRDefault="000E5A86" w:rsidP="006B7D29">
            <w:pPr>
              <w:pStyle w:val="C-TableText"/>
              <w:spacing w:before="0" w:after="0"/>
              <w:ind w:left="180"/>
              <w:rPr>
                <w:color w:val="000000"/>
                <w:sz w:val="20"/>
                <w:vertAlign w:val="superscript"/>
              </w:rPr>
            </w:pPr>
            <w:r>
              <w:rPr>
                <w:color w:val="000000"/>
                <w:sz w:val="20"/>
              </w:rPr>
              <w:t>SSP2 médiane</w:t>
            </w:r>
            <w:r>
              <w:rPr>
                <w:color w:val="000000"/>
                <w:sz w:val="20"/>
                <w:vertAlign w:val="superscript"/>
              </w:rPr>
              <w:t>a</w:t>
            </w:r>
            <w:r>
              <w:rPr>
                <w:color w:val="000000"/>
                <w:sz w:val="20"/>
              </w:rPr>
              <w:t>, mois (IC à 95 %)</w:t>
            </w:r>
          </w:p>
        </w:tc>
        <w:tc>
          <w:tcPr>
            <w:tcW w:w="927" w:type="pct"/>
            <w:shd w:val="clear" w:color="auto" w:fill="auto"/>
            <w:tcMar>
              <w:top w:w="0" w:type="dxa"/>
              <w:left w:w="108" w:type="dxa"/>
              <w:bottom w:w="0" w:type="dxa"/>
              <w:right w:w="108" w:type="dxa"/>
            </w:tcMar>
          </w:tcPr>
          <w:p w14:paraId="634DED3D" w14:textId="77777777" w:rsidR="00C24015" w:rsidRPr="00D2126A" w:rsidRDefault="000E5A86" w:rsidP="006B7D29">
            <w:pPr>
              <w:pStyle w:val="C-TableText"/>
              <w:spacing w:before="0" w:after="0"/>
              <w:ind w:right="-7"/>
              <w:jc w:val="center"/>
              <w:rPr>
                <w:color w:val="000000"/>
                <w:sz w:val="20"/>
              </w:rPr>
            </w:pPr>
            <w:r>
              <w:rPr>
                <w:color w:val="000000"/>
                <w:sz w:val="20"/>
              </w:rPr>
              <w:t>39,7 (29,2 ; 48,4)</w:t>
            </w:r>
          </w:p>
        </w:tc>
        <w:tc>
          <w:tcPr>
            <w:tcW w:w="927" w:type="pct"/>
            <w:shd w:val="clear" w:color="auto" w:fill="auto"/>
          </w:tcPr>
          <w:p w14:paraId="3F933485" w14:textId="77777777" w:rsidR="00C24015" w:rsidRPr="00D2126A" w:rsidRDefault="000E5A86" w:rsidP="006B7D29">
            <w:pPr>
              <w:pStyle w:val="C-TableText"/>
              <w:spacing w:before="0" w:after="0"/>
              <w:ind w:right="-7"/>
              <w:jc w:val="center"/>
              <w:rPr>
                <w:color w:val="000000"/>
                <w:sz w:val="20"/>
              </w:rPr>
            </w:pPr>
            <w:r>
              <w:rPr>
                <w:color w:val="000000"/>
                <w:sz w:val="20"/>
              </w:rPr>
              <w:t>27,8 (23,1 ; 33,1)</w:t>
            </w:r>
          </w:p>
        </w:tc>
        <w:tc>
          <w:tcPr>
            <w:tcW w:w="927" w:type="pct"/>
            <w:shd w:val="clear" w:color="auto" w:fill="auto"/>
          </w:tcPr>
          <w:p w14:paraId="0D52B9B9" w14:textId="77777777" w:rsidR="00C24015" w:rsidRPr="00D2126A" w:rsidRDefault="000E5A86" w:rsidP="006B7D29">
            <w:pPr>
              <w:pStyle w:val="C-TableText"/>
              <w:spacing w:before="0" w:after="0"/>
              <w:ind w:right="-7"/>
              <w:jc w:val="center"/>
              <w:rPr>
                <w:color w:val="000000"/>
                <w:sz w:val="20"/>
              </w:rPr>
            </w:pPr>
            <w:r>
              <w:rPr>
                <w:color w:val="000000"/>
                <w:sz w:val="20"/>
              </w:rPr>
              <w:t>28,8 (24,3 ; 33,8)</w:t>
            </w:r>
          </w:p>
        </w:tc>
      </w:tr>
      <w:tr w:rsidR="00D5485C" w:rsidRPr="00D2126A" w14:paraId="4CCF3924"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6781E7E" w14:textId="1924715A" w:rsidR="00C24015" w:rsidRPr="00D2126A" w:rsidRDefault="000E5A86" w:rsidP="006B7D29">
            <w:pPr>
              <w:pStyle w:val="C-TableText"/>
              <w:keepNext/>
              <w:spacing w:before="0" w:after="0"/>
              <w:ind w:left="180"/>
              <w:rPr>
                <w:color w:val="000000"/>
                <w:sz w:val="20"/>
                <w:vertAlign w:val="superscript"/>
              </w:rPr>
            </w:pPr>
            <w:r>
              <w:rPr>
                <w:color w:val="000000"/>
                <w:sz w:val="20"/>
              </w:rPr>
              <w:t>RR [IC à 95 %] ; valeur p</w:t>
            </w:r>
          </w:p>
        </w:tc>
        <w:tc>
          <w:tcPr>
            <w:tcW w:w="2782" w:type="pct"/>
            <w:gridSpan w:val="3"/>
            <w:shd w:val="clear" w:color="auto" w:fill="auto"/>
            <w:tcMar>
              <w:top w:w="0" w:type="dxa"/>
              <w:left w:w="108" w:type="dxa"/>
              <w:bottom w:w="0" w:type="dxa"/>
              <w:right w:w="108" w:type="dxa"/>
            </w:tcMar>
          </w:tcPr>
          <w:p w14:paraId="49368D15" w14:textId="77777777" w:rsidR="00C24015" w:rsidRPr="00AB0414" w:rsidRDefault="00C24015" w:rsidP="006B7D29">
            <w:pPr>
              <w:pStyle w:val="C-TableText"/>
              <w:spacing w:before="0" w:after="0"/>
              <w:ind w:right="-7"/>
              <w:jc w:val="center"/>
              <w:rPr>
                <w:color w:val="000000"/>
                <w:sz w:val="20"/>
              </w:rPr>
            </w:pPr>
          </w:p>
        </w:tc>
      </w:tr>
      <w:tr w:rsidR="00D5485C" w:rsidRPr="00D2126A" w14:paraId="02EDE7C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4D0041A" w14:textId="77777777" w:rsidR="00C24015" w:rsidRPr="00156723" w:rsidRDefault="000E5A86" w:rsidP="006B7D29">
            <w:pPr>
              <w:pStyle w:val="C-TableText"/>
              <w:keepNext/>
              <w:spacing w:before="0" w:after="0"/>
              <w:ind w:left="450"/>
              <w:rPr>
                <w:color w:val="000000"/>
                <w:sz w:val="20"/>
              </w:rPr>
            </w:pPr>
            <w:r>
              <w:rPr>
                <w:color w:val="000000"/>
                <w:sz w:val="20"/>
              </w:rPr>
              <w:t xml:space="preserve">MPR+R </w:t>
            </w:r>
            <w:r>
              <w:rPr>
                <w:i/>
                <w:color w:val="000000"/>
                <w:sz w:val="20"/>
              </w:rPr>
              <w:t>vs</w:t>
            </w:r>
            <w:r>
              <w:rPr>
                <w:color w:val="000000"/>
                <w:sz w:val="20"/>
              </w:rPr>
              <w:t xml:space="preserve"> MPp+p</w:t>
            </w:r>
          </w:p>
        </w:tc>
        <w:tc>
          <w:tcPr>
            <w:tcW w:w="2782" w:type="pct"/>
            <w:gridSpan w:val="3"/>
            <w:shd w:val="clear" w:color="auto" w:fill="auto"/>
            <w:tcMar>
              <w:top w:w="0" w:type="dxa"/>
              <w:left w:w="108" w:type="dxa"/>
              <w:bottom w:w="0" w:type="dxa"/>
              <w:right w:w="108" w:type="dxa"/>
            </w:tcMar>
          </w:tcPr>
          <w:p w14:paraId="7B3A341B" w14:textId="77777777" w:rsidR="00C24015" w:rsidRPr="00D2126A" w:rsidRDefault="000E5A86" w:rsidP="006B7D29">
            <w:pPr>
              <w:pStyle w:val="C-TableText"/>
              <w:spacing w:before="0" w:after="0"/>
              <w:ind w:right="-7"/>
              <w:jc w:val="center"/>
              <w:rPr>
                <w:color w:val="000000"/>
                <w:sz w:val="20"/>
              </w:rPr>
            </w:pPr>
            <w:r>
              <w:rPr>
                <w:color w:val="000000"/>
                <w:sz w:val="20"/>
              </w:rPr>
              <w:t>0,70 (0,54 ; 0,92) ; 0,009</w:t>
            </w:r>
          </w:p>
        </w:tc>
      </w:tr>
      <w:tr w:rsidR="00D5485C" w:rsidRPr="00D2126A" w14:paraId="424A4E5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1430F" w14:textId="77777777" w:rsidR="00C24015" w:rsidRPr="00156723" w:rsidRDefault="000E5A86" w:rsidP="006B7D29">
            <w:pPr>
              <w:pStyle w:val="C-TableText"/>
              <w:keepNext/>
              <w:spacing w:before="0" w:after="0"/>
              <w:ind w:left="450"/>
              <w:rPr>
                <w:color w:val="000000"/>
                <w:sz w:val="20"/>
              </w:rPr>
            </w:pPr>
            <w:r>
              <w:rPr>
                <w:color w:val="000000"/>
                <w:sz w:val="20"/>
              </w:rPr>
              <w:t xml:space="preserve">MPR+R </w:t>
            </w:r>
            <w:r>
              <w:rPr>
                <w:i/>
                <w:color w:val="000000"/>
                <w:sz w:val="20"/>
              </w:rPr>
              <w:t>vs</w:t>
            </w:r>
            <w:r>
              <w:rPr>
                <w:color w:val="000000"/>
                <w:sz w:val="20"/>
              </w:rPr>
              <w:t xml:space="preserve"> MPR+p</w:t>
            </w:r>
          </w:p>
        </w:tc>
        <w:tc>
          <w:tcPr>
            <w:tcW w:w="2782" w:type="pct"/>
            <w:gridSpan w:val="3"/>
            <w:shd w:val="clear" w:color="auto" w:fill="auto"/>
            <w:tcMar>
              <w:top w:w="0" w:type="dxa"/>
              <w:left w:w="108" w:type="dxa"/>
              <w:bottom w:w="0" w:type="dxa"/>
              <w:right w:w="108" w:type="dxa"/>
            </w:tcMar>
          </w:tcPr>
          <w:p w14:paraId="0BD69622" w14:textId="77777777" w:rsidR="00C24015" w:rsidRPr="00D2126A" w:rsidRDefault="000E5A86" w:rsidP="006B7D29">
            <w:pPr>
              <w:pStyle w:val="C-TableText"/>
              <w:spacing w:before="0" w:after="0"/>
              <w:ind w:right="-7"/>
              <w:jc w:val="center"/>
              <w:rPr>
                <w:color w:val="000000"/>
                <w:sz w:val="20"/>
              </w:rPr>
            </w:pPr>
            <w:r>
              <w:rPr>
                <w:color w:val="000000"/>
                <w:sz w:val="20"/>
              </w:rPr>
              <w:t>0,77 (0,59 ; 1,02) ; 0,065</w:t>
            </w:r>
          </w:p>
        </w:tc>
      </w:tr>
      <w:tr w:rsidR="00D5485C" w:rsidRPr="00D2126A" w14:paraId="3AED18E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7AB93EE" w14:textId="77777777" w:rsidR="00C24015" w:rsidRPr="00156723" w:rsidRDefault="000E5A86" w:rsidP="006B7D29">
            <w:pPr>
              <w:pStyle w:val="C-TableText"/>
              <w:spacing w:before="0" w:after="0"/>
              <w:ind w:left="450"/>
              <w:rPr>
                <w:color w:val="000000"/>
                <w:sz w:val="20"/>
              </w:rPr>
            </w:pPr>
            <w:r>
              <w:rPr>
                <w:color w:val="000000"/>
                <w:sz w:val="20"/>
              </w:rPr>
              <w:t xml:space="preserve">MPR+p </w:t>
            </w:r>
            <w:r>
              <w:rPr>
                <w:i/>
                <w:color w:val="000000"/>
                <w:sz w:val="20"/>
              </w:rPr>
              <w:t>vs</w:t>
            </w:r>
            <w:r>
              <w:rPr>
                <w:color w:val="000000"/>
                <w:sz w:val="20"/>
              </w:rPr>
              <w:t xml:space="preserve"> MPp +p</w:t>
            </w:r>
          </w:p>
        </w:tc>
        <w:tc>
          <w:tcPr>
            <w:tcW w:w="2782" w:type="pct"/>
            <w:gridSpan w:val="3"/>
            <w:shd w:val="clear" w:color="auto" w:fill="auto"/>
            <w:tcMar>
              <w:top w:w="0" w:type="dxa"/>
              <w:left w:w="108" w:type="dxa"/>
              <w:bottom w:w="0" w:type="dxa"/>
              <w:right w:w="108" w:type="dxa"/>
            </w:tcMar>
          </w:tcPr>
          <w:p w14:paraId="4C56D9C4" w14:textId="77777777" w:rsidR="00C24015" w:rsidRPr="00D2126A" w:rsidRDefault="000E5A86" w:rsidP="006B7D29">
            <w:pPr>
              <w:pStyle w:val="C-TableText"/>
              <w:spacing w:before="0" w:after="0"/>
              <w:ind w:right="-7"/>
              <w:jc w:val="center"/>
              <w:rPr>
                <w:color w:val="000000"/>
                <w:sz w:val="20"/>
              </w:rPr>
            </w:pPr>
            <w:r>
              <w:rPr>
                <w:color w:val="000000"/>
                <w:sz w:val="20"/>
              </w:rPr>
              <w:t>0,92 (0,71 ; 1,19) ; 0,051</w:t>
            </w:r>
          </w:p>
        </w:tc>
      </w:tr>
      <w:tr w:rsidR="00D5485C" w:rsidRPr="00D2126A" w14:paraId="2511873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4E15AEB" w14:textId="77777777" w:rsidR="00C24015" w:rsidRPr="00D2126A" w:rsidRDefault="000E5A86" w:rsidP="00333629">
            <w:pPr>
              <w:pStyle w:val="C-TableText"/>
              <w:keepNext/>
              <w:spacing w:before="0" w:after="0"/>
              <w:rPr>
                <w:i/>
                <w:iCs/>
                <w:color w:val="000000"/>
                <w:sz w:val="20"/>
              </w:rPr>
            </w:pPr>
            <w:r>
              <w:rPr>
                <w:b/>
                <w:color w:val="000000"/>
                <w:sz w:val="20"/>
              </w:rPr>
              <w:t>Survie globale (mois)</w:t>
            </w:r>
          </w:p>
        </w:tc>
        <w:tc>
          <w:tcPr>
            <w:tcW w:w="2782" w:type="pct"/>
            <w:gridSpan w:val="3"/>
            <w:shd w:val="clear" w:color="auto" w:fill="auto"/>
            <w:tcMar>
              <w:top w:w="0" w:type="dxa"/>
              <w:left w:w="108" w:type="dxa"/>
              <w:bottom w:w="0" w:type="dxa"/>
              <w:right w:w="108" w:type="dxa"/>
            </w:tcMar>
          </w:tcPr>
          <w:p w14:paraId="4469ACA8" w14:textId="77777777" w:rsidR="00C24015" w:rsidRPr="00D2126A" w:rsidRDefault="00C24015" w:rsidP="006B7D29">
            <w:pPr>
              <w:pStyle w:val="C-TableText"/>
              <w:spacing w:before="0" w:after="0"/>
              <w:jc w:val="center"/>
              <w:rPr>
                <w:color w:val="000000"/>
                <w:sz w:val="20"/>
                <w:lang w:val="en-GB"/>
              </w:rPr>
            </w:pPr>
          </w:p>
        </w:tc>
      </w:tr>
      <w:tr w:rsidR="00D5485C" w:rsidRPr="00D2126A" w14:paraId="046B0A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C7D2F2F" w14:textId="6D10C864" w:rsidR="00C24015" w:rsidRPr="00D2126A" w:rsidRDefault="000E5A86" w:rsidP="006B7D29">
            <w:pPr>
              <w:pStyle w:val="C-TableText"/>
              <w:spacing w:before="0" w:after="0"/>
              <w:ind w:left="180"/>
              <w:rPr>
                <w:color w:val="000000"/>
                <w:sz w:val="20"/>
                <w:vertAlign w:val="superscript"/>
              </w:rPr>
            </w:pPr>
            <w:r>
              <w:rPr>
                <w:color w:val="000000"/>
                <w:sz w:val="20"/>
              </w:rPr>
              <w:t>SG médiane</w:t>
            </w:r>
            <w:r>
              <w:rPr>
                <w:color w:val="000000"/>
                <w:sz w:val="20"/>
                <w:vertAlign w:val="superscript"/>
              </w:rPr>
              <w:t>a</w:t>
            </w:r>
            <w:r>
              <w:rPr>
                <w:color w:val="000000"/>
                <w:sz w:val="20"/>
              </w:rPr>
              <w:t>, mois (IC à 95 %)</w:t>
            </w:r>
          </w:p>
        </w:tc>
        <w:tc>
          <w:tcPr>
            <w:tcW w:w="927" w:type="pct"/>
            <w:shd w:val="clear" w:color="auto" w:fill="auto"/>
            <w:tcMar>
              <w:top w:w="0" w:type="dxa"/>
              <w:left w:w="108" w:type="dxa"/>
              <w:bottom w:w="0" w:type="dxa"/>
              <w:right w:w="108" w:type="dxa"/>
            </w:tcMar>
          </w:tcPr>
          <w:p w14:paraId="5987EE9F" w14:textId="77777777" w:rsidR="00C24015" w:rsidRPr="00D2126A" w:rsidRDefault="000E5A86" w:rsidP="006B7D29">
            <w:pPr>
              <w:pStyle w:val="C-TableText"/>
              <w:spacing w:before="0" w:after="0"/>
              <w:jc w:val="center"/>
              <w:rPr>
                <w:color w:val="000000"/>
                <w:sz w:val="20"/>
              </w:rPr>
            </w:pPr>
            <w:r>
              <w:rPr>
                <w:color w:val="000000"/>
                <w:sz w:val="20"/>
              </w:rPr>
              <w:t>55,9 (49,1 ; 67,5)</w:t>
            </w:r>
          </w:p>
        </w:tc>
        <w:tc>
          <w:tcPr>
            <w:tcW w:w="927" w:type="pct"/>
            <w:shd w:val="clear" w:color="auto" w:fill="auto"/>
            <w:tcMar>
              <w:top w:w="0" w:type="dxa"/>
              <w:left w:w="108" w:type="dxa"/>
              <w:bottom w:w="0" w:type="dxa"/>
              <w:right w:w="108" w:type="dxa"/>
            </w:tcMar>
          </w:tcPr>
          <w:p w14:paraId="4EDA2DB7" w14:textId="77777777" w:rsidR="00C24015" w:rsidRPr="00D2126A" w:rsidRDefault="000E5A86" w:rsidP="006B7D29">
            <w:pPr>
              <w:pStyle w:val="C-TableText"/>
              <w:spacing w:before="0" w:after="0"/>
              <w:jc w:val="center"/>
              <w:rPr>
                <w:color w:val="000000"/>
                <w:sz w:val="20"/>
              </w:rPr>
            </w:pPr>
            <w:r>
              <w:rPr>
                <w:color w:val="000000"/>
                <w:sz w:val="20"/>
              </w:rPr>
              <w:t>51,9 (43,1 ; 60,6)</w:t>
            </w:r>
          </w:p>
        </w:tc>
        <w:tc>
          <w:tcPr>
            <w:tcW w:w="927" w:type="pct"/>
            <w:shd w:val="clear" w:color="auto" w:fill="auto"/>
            <w:tcMar>
              <w:top w:w="0" w:type="dxa"/>
              <w:left w:w="108" w:type="dxa"/>
              <w:bottom w:w="0" w:type="dxa"/>
              <w:right w:w="108" w:type="dxa"/>
            </w:tcMar>
          </w:tcPr>
          <w:p w14:paraId="2318AB29" w14:textId="77777777" w:rsidR="00C24015" w:rsidRPr="00D2126A" w:rsidRDefault="000E5A86" w:rsidP="006B7D29">
            <w:pPr>
              <w:pStyle w:val="C-TableText"/>
              <w:spacing w:before="0" w:after="0"/>
              <w:jc w:val="center"/>
              <w:rPr>
                <w:color w:val="000000"/>
                <w:sz w:val="20"/>
              </w:rPr>
            </w:pPr>
            <w:r>
              <w:rPr>
                <w:color w:val="000000"/>
                <w:sz w:val="20"/>
              </w:rPr>
              <w:t>53,9 (47,3 ; 64,2)</w:t>
            </w:r>
          </w:p>
        </w:tc>
      </w:tr>
      <w:tr w:rsidR="00D5485C" w:rsidRPr="00D2126A" w14:paraId="0A0D4A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6C88FC" w14:textId="4CE879D3" w:rsidR="00C24015" w:rsidRPr="00D2126A" w:rsidRDefault="000E5A86" w:rsidP="006B7D29">
            <w:pPr>
              <w:pStyle w:val="C-TableText"/>
              <w:keepNext/>
              <w:spacing w:before="0" w:after="0"/>
              <w:ind w:left="180" w:right="-7"/>
              <w:jc w:val="both"/>
              <w:rPr>
                <w:color w:val="000000"/>
                <w:sz w:val="20"/>
                <w:vertAlign w:val="superscript"/>
              </w:rPr>
            </w:pPr>
            <w:r>
              <w:rPr>
                <w:color w:val="000000"/>
                <w:sz w:val="20"/>
              </w:rPr>
              <w:t>RR [IC à 95 %] ; valeur p</w:t>
            </w:r>
          </w:p>
        </w:tc>
        <w:tc>
          <w:tcPr>
            <w:tcW w:w="2782" w:type="pct"/>
            <w:gridSpan w:val="3"/>
            <w:shd w:val="clear" w:color="auto" w:fill="auto"/>
            <w:tcMar>
              <w:top w:w="0" w:type="dxa"/>
              <w:left w:w="108" w:type="dxa"/>
              <w:bottom w:w="0" w:type="dxa"/>
              <w:right w:w="108" w:type="dxa"/>
            </w:tcMar>
          </w:tcPr>
          <w:p w14:paraId="73CFE83C" w14:textId="77777777" w:rsidR="00C24015" w:rsidRPr="00AB0414" w:rsidRDefault="00C24015" w:rsidP="006B7D29">
            <w:pPr>
              <w:pStyle w:val="C-TableText"/>
              <w:spacing w:before="0" w:after="0"/>
              <w:jc w:val="center"/>
              <w:rPr>
                <w:color w:val="000000"/>
                <w:sz w:val="20"/>
              </w:rPr>
            </w:pPr>
          </w:p>
        </w:tc>
      </w:tr>
      <w:tr w:rsidR="00D5485C" w:rsidRPr="00D2126A" w14:paraId="6112B0D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B00F736" w14:textId="77777777" w:rsidR="00C24015" w:rsidRPr="00156723" w:rsidRDefault="000E5A86" w:rsidP="006B7D29">
            <w:pPr>
              <w:pStyle w:val="C-TableText"/>
              <w:keepNext/>
              <w:spacing w:before="0" w:after="0"/>
              <w:ind w:left="450"/>
              <w:rPr>
                <w:color w:val="000000"/>
                <w:sz w:val="20"/>
              </w:rPr>
            </w:pPr>
            <w:r>
              <w:rPr>
                <w:color w:val="000000"/>
                <w:sz w:val="20"/>
              </w:rPr>
              <w:t xml:space="preserve">MPR+R </w:t>
            </w:r>
            <w:r>
              <w:rPr>
                <w:i/>
                <w:color w:val="000000"/>
                <w:sz w:val="20"/>
              </w:rPr>
              <w:t>vs</w:t>
            </w:r>
            <w:r>
              <w:rPr>
                <w:color w:val="000000"/>
                <w:sz w:val="20"/>
              </w:rPr>
              <w:t xml:space="preserve"> MPp+p</w:t>
            </w:r>
          </w:p>
        </w:tc>
        <w:tc>
          <w:tcPr>
            <w:tcW w:w="2782" w:type="pct"/>
            <w:gridSpan w:val="3"/>
            <w:shd w:val="clear" w:color="auto" w:fill="auto"/>
            <w:tcMar>
              <w:top w:w="0" w:type="dxa"/>
              <w:left w:w="108" w:type="dxa"/>
              <w:bottom w:w="0" w:type="dxa"/>
              <w:right w:w="108" w:type="dxa"/>
            </w:tcMar>
          </w:tcPr>
          <w:p w14:paraId="2F18AF88" w14:textId="77777777" w:rsidR="00C24015" w:rsidRPr="00D2126A" w:rsidRDefault="000E5A86" w:rsidP="006B7D29">
            <w:pPr>
              <w:pStyle w:val="C-TableText"/>
              <w:spacing w:before="0" w:after="0"/>
              <w:jc w:val="center"/>
              <w:rPr>
                <w:color w:val="000000"/>
                <w:sz w:val="20"/>
              </w:rPr>
            </w:pPr>
            <w:r>
              <w:rPr>
                <w:color w:val="000000"/>
                <w:sz w:val="20"/>
              </w:rPr>
              <w:t>0,95 (0,70 ; 1,29) ; 0,736</w:t>
            </w:r>
          </w:p>
        </w:tc>
      </w:tr>
      <w:tr w:rsidR="00D5485C" w:rsidRPr="00D2126A" w14:paraId="51BEAB5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5184B42" w14:textId="77777777" w:rsidR="00C24015" w:rsidRPr="00156723" w:rsidRDefault="000E5A86" w:rsidP="006B7D29">
            <w:pPr>
              <w:pStyle w:val="C-TableText"/>
              <w:keepNext/>
              <w:spacing w:before="0" w:after="0"/>
              <w:ind w:left="450"/>
              <w:rPr>
                <w:color w:val="000000"/>
                <w:sz w:val="20"/>
              </w:rPr>
            </w:pPr>
            <w:r>
              <w:rPr>
                <w:color w:val="000000"/>
                <w:sz w:val="20"/>
              </w:rPr>
              <w:t xml:space="preserve">MPR+R </w:t>
            </w:r>
            <w:r>
              <w:rPr>
                <w:i/>
                <w:color w:val="000000"/>
                <w:sz w:val="20"/>
              </w:rPr>
              <w:t>vs</w:t>
            </w:r>
            <w:r>
              <w:rPr>
                <w:color w:val="000000"/>
                <w:sz w:val="20"/>
              </w:rPr>
              <w:t xml:space="preserve"> MPR+p</w:t>
            </w:r>
          </w:p>
        </w:tc>
        <w:tc>
          <w:tcPr>
            <w:tcW w:w="2782" w:type="pct"/>
            <w:gridSpan w:val="3"/>
            <w:shd w:val="clear" w:color="auto" w:fill="auto"/>
            <w:tcMar>
              <w:top w:w="0" w:type="dxa"/>
              <w:left w:w="108" w:type="dxa"/>
              <w:bottom w:w="0" w:type="dxa"/>
              <w:right w:w="108" w:type="dxa"/>
            </w:tcMar>
          </w:tcPr>
          <w:p w14:paraId="300BDA33" w14:textId="77777777" w:rsidR="00C24015" w:rsidRPr="00D2126A" w:rsidRDefault="000E5A86" w:rsidP="006B7D29">
            <w:pPr>
              <w:pStyle w:val="C-TableText"/>
              <w:spacing w:before="0" w:after="0"/>
              <w:jc w:val="center"/>
              <w:rPr>
                <w:color w:val="000000"/>
                <w:sz w:val="20"/>
              </w:rPr>
            </w:pPr>
            <w:r>
              <w:rPr>
                <w:color w:val="000000"/>
                <w:sz w:val="20"/>
              </w:rPr>
              <w:t>0,88 (0,65 ; 1,20) ; 0,43</w:t>
            </w:r>
          </w:p>
        </w:tc>
      </w:tr>
      <w:tr w:rsidR="00D5485C" w:rsidRPr="00D2126A" w14:paraId="51311F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AC0407D" w14:textId="77777777" w:rsidR="00C24015" w:rsidRPr="00156723" w:rsidRDefault="000E5A86" w:rsidP="006B7D29">
            <w:pPr>
              <w:pStyle w:val="C-TableText"/>
              <w:spacing w:before="0" w:after="0"/>
              <w:ind w:left="450"/>
              <w:rPr>
                <w:color w:val="000000"/>
                <w:sz w:val="20"/>
              </w:rPr>
            </w:pPr>
            <w:r>
              <w:rPr>
                <w:color w:val="000000"/>
                <w:sz w:val="20"/>
              </w:rPr>
              <w:t xml:space="preserve">MPR+p </w:t>
            </w:r>
            <w:r>
              <w:rPr>
                <w:i/>
                <w:color w:val="000000"/>
                <w:sz w:val="20"/>
              </w:rPr>
              <w:t>vs</w:t>
            </w:r>
            <w:r>
              <w:rPr>
                <w:color w:val="000000"/>
                <w:sz w:val="20"/>
              </w:rPr>
              <w:t xml:space="preserve"> MPp +p</w:t>
            </w:r>
          </w:p>
        </w:tc>
        <w:tc>
          <w:tcPr>
            <w:tcW w:w="2782" w:type="pct"/>
            <w:gridSpan w:val="3"/>
            <w:shd w:val="clear" w:color="auto" w:fill="auto"/>
            <w:tcMar>
              <w:top w:w="0" w:type="dxa"/>
              <w:left w:w="108" w:type="dxa"/>
              <w:bottom w:w="0" w:type="dxa"/>
              <w:right w:w="108" w:type="dxa"/>
            </w:tcMar>
          </w:tcPr>
          <w:p w14:paraId="5C76B601" w14:textId="77777777" w:rsidR="00C24015" w:rsidRPr="00D2126A" w:rsidRDefault="000E5A86" w:rsidP="006B7D29">
            <w:pPr>
              <w:pStyle w:val="C-TableText"/>
              <w:spacing w:before="0" w:after="0"/>
              <w:jc w:val="center"/>
              <w:rPr>
                <w:color w:val="000000"/>
                <w:sz w:val="20"/>
              </w:rPr>
            </w:pPr>
            <w:r>
              <w:rPr>
                <w:color w:val="000000"/>
                <w:sz w:val="20"/>
              </w:rPr>
              <w:t>1,07 (0,79 ; 1,45) ; 0,67</w:t>
            </w:r>
          </w:p>
        </w:tc>
      </w:tr>
      <w:tr w:rsidR="00D5485C" w:rsidRPr="00D2126A" w14:paraId="6926571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49FBFB7" w14:textId="77777777" w:rsidR="00C24015" w:rsidRPr="00D2126A" w:rsidRDefault="000E5A86" w:rsidP="006B7D29">
            <w:pPr>
              <w:pStyle w:val="C-TableText"/>
              <w:keepNext/>
              <w:spacing w:before="0" w:after="0"/>
              <w:ind w:left="180"/>
              <w:rPr>
                <w:color w:val="000000"/>
                <w:sz w:val="20"/>
              </w:rPr>
            </w:pPr>
            <w:r>
              <w:rPr>
                <w:color w:val="000000"/>
                <w:sz w:val="20"/>
              </w:rPr>
              <w:t>Suivi (mois)</w:t>
            </w:r>
          </w:p>
        </w:tc>
        <w:tc>
          <w:tcPr>
            <w:tcW w:w="2782" w:type="pct"/>
            <w:gridSpan w:val="3"/>
            <w:shd w:val="clear" w:color="auto" w:fill="auto"/>
            <w:tcMar>
              <w:top w:w="0" w:type="dxa"/>
              <w:left w:w="108" w:type="dxa"/>
              <w:bottom w:w="0" w:type="dxa"/>
              <w:right w:w="108" w:type="dxa"/>
            </w:tcMar>
          </w:tcPr>
          <w:p w14:paraId="5F8AC14C" w14:textId="77777777" w:rsidR="00C24015" w:rsidRPr="00D2126A" w:rsidRDefault="00C24015" w:rsidP="006B7D29">
            <w:pPr>
              <w:pStyle w:val="C-TableText"/>
              <w:spacing w:before="0" w:after="0"/>
              <w:jc w:val="center"/>
              <w:rPr>
                <w:color w:val="000000"/>
                <w:sz w:val="20"/>
                <w:lang w:val="en-GB"/>
              </w:rPr>
            </w:pPr>
          </w:p>
        </w:tc>
      </w:tr>
      <w:tr w:rsidR="00D5485C" w:rsidRPr="00D2126A" w14:paraId="537A62A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E76544" w14:textId="77777777" w:rsidR="00C24015" w:rsidRPr="00D2126A" w:rsidRDefault="000E5A86" w:rsidP="006B7D29">
            <w:pPr>
              <w:pStyle w:val="C-TableText"/>
              <w:spacing w:before="0" w:after="0"/>
              <w:ind w:left="450"/>
              <w:rPr>
                <w:color w:val="000000"/>
                <w:sz w:val="20"/>
              </w:rPr>
            </w:pPr>
            <w:r>
              <w:rPr>
                <w:color w:val="000000"/>
                <w:sz w:val="20"/>
              </w:rPr>
              <w:t>Médiane (min, max) : tous patients</w:t>
            </w:r>
          </w:p>
        </w:tc>
        <w:tc>
          <w:tcPr>
            <w:tcW w:w="927" w:type="pct"/>
            <w:shd w:val="clear" w:color="auto" w:fill="auto"/>
            <w:tcMar>
              <w:top w:w="0" w:type="dxa"/>
              <w:left w:w="108" w:type="dxa"/>
              <w:bottom w:w="0" w:type="dxa"/>
              <w:right w:w="108" w:type="dxa"/>
            </w:tcMar>
          </w:tcPr>
          <w:p w14:paraId="0E24DB17" w14:textId="77777777" w:rsidR="00C24015" w:rsidRPr="00D2126A" w:rsidRDefault="000E5A86" w:rsidP="006B7D29">
            <w:pPr>
              <w:pStyle w:val="C-TableText"/>
              <w:spacing w:before="0" w:after="0"/>
              <w:jc w:val="center"/>
              <w:rPr>
                <w:color w:val="000000"/>
                <w:sz w:val="20"/>
              </w:rPr>
            </w:pPr>
            <w:r>
              <w:rPr>
                <w:color w:val="000000"/>
                <w:sz w:val="20"/>
              </w:rPr>
              <w:t>48,4 (0,8 ; 73,8)</w:t>
            </w:r>
          </w:p>
        </w:tc>
        <w:tc>
          <w:tcPr>
            <w:tcW w:w="927" w:type="pct"/>
            <w:shd w:val="clear" w:color="auto" w:fill="auto"/>
            <w:tcMar>
              <w:top w:w="0" w:type="dxa"/>
              <w:left w:w="108" w:type="dxa"/>
              <w:bottom w:w="0" w:type="dxa"/>
              <w:right w:w="108" w:type="dxa"/>
            </w:tcMar>
          </w:tcPr>
          <w:p w14:paraId="36F5BEB9" w14:textId="77777777" w:rsidR="00C24015" w:rsidRPr="00D2126A" w:rsidRDefault="000E5A86" w:rsidP="006B7D29">
            <w:pPr>
              <w:pStyle w:val="C-TableText"/>
              <w:spacing w:before="0" w:after="0"/>
              <w:jc w:val="center"/>
              <w:rPr>
                <w:color w:val="000000"/>
                <w:sz w:val="20"/>
              </w:rPr>
            </w:pPr>
            <w:r>
              <w:rPr>
                <w:color w:val="000000"/>
                <w:sz w:val="20"/>
              </w:rPr>
              <w:t>46,3 (0,5 ; 71,9)</w:t>
            </w:r>
          </w:p>
        </w:tc>
        <w:tc>
          <w:tcPr>
            <w:tcW w:w="927" w:type="pct"/>
            <w:shd w:val="clear" w:color="auto" w:fill="auto"/>
            <w:tcMar>
              <w:top w:w="0" w:type="dxa"/>
              <w:left w:w="108" w:type="dxa"/>
              <w:bottom w:w="0" w:type="dxa"/>
              <w:right w:w="108" w:type="dxa"/>
            </w:tcMar>
          </w:tcPr>
          <w:p w14:paraId="0CA28FFC" w14:textId="77777777" w:rsidR="00C24015" w:rsidRPr="00D2126A" w:rsidRDefault="000E5A86" w:rsidP="006B7D29">
            <w:pPr>
              <w:pStyle w:val="C-TableText"/>
              <w:spacing w:before="0" w:after="0"/>
              <w:jc w:val="center"/>
              <w:rPr>
                <w:color w:val="000000"/>
                <w:sz w:val="20"/>
              </w:rPr>
            </w:pPr>
            <w:r>
              <w:rPr>
                <w:color w:val="000000"/>
                <w:sz w:val="20"/>
              </w:rPr>
              <w:t>50,4 (0,5 ; 73,3)</w:t>
            </w:r>
          </w:p>
        </w:tc>
      </w:tr>
      <w:tr w:rsidR="00D5485C" w:rsidRPr="00D2126A" w14:paraId="022149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288687" w14:textId="5BDB5C2D" w:rsidR="00C24015" w:rsidRPr="00D2126A" w:rsidRDefault="000E5A86" w:rsidP="006B7D29">
            <w:pPr>
              <w:pStyle w:val="C-TableText"/>
              <w:keepNext/>
              <w:spacing w:before="0" w:after="0"/>
              <w:rPr>
                <w:color w:val="000000"/>
                <w:sz w:val="20"/>
              </w:rPr>
            </w:pPr>
            <w:r>
              <w:rPr>
                <w:b/>
                <w:color w:val="000000"/>
                <w:sz w:val="20"/>
              </w:rPr>
              <w:t>Taux de réponse globale évaluée par les investigateurs, n (%)</w:t>
            </w:r>
          </w:p>
        </w:tc>
        <w:tc>
          <w:tcPr>
            <w:tcW w:w="2782" w:type="pct"/>
            <w:gridSpan w:val="3"/>
            <w:shd w:val="clear" w:color="auto" w:fill="auto"/>
            <w:tcMar>
              <w:top w:w="0" w:type="dxa"/>
              <w:left w:w="108" w:type="dxa"/>
              <w:bottom w:w="0" w:type="dxa"/>
              <w:right w:w="108" w:type="dxa"/>
            </w:tcMar>
          </w:tcPr>
          <w:p w14:paraId="42BDB04D" w14:textId="77777777" w:rsidR="00C24015" w:rsidRPr="00AB0414" w:rsidRDefault="00C24015" w:rsidP="006B7D29">
            <w:pPr>
              <w:pStyle w:val="C-TableText"/>
              <w:spacing w:before="0" w:after="0"/>
              <w:jc w:val="center"/>
              <w:rPr>
                <w:color w:val="000000"/>
                <w:sz w:val="20"/>
              </w:rPr>
            </w:pPr>
          </w:p>
        </w:tc>
      </w:tr>
      <w:tr w:rsidR="00D5485C" w:rsidRPr="00D2126A" w14:paraId="3873867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21AD56F" w14:textId="77777777" w:rsidR="00C24015" w:rsidRPr="00D2126A" w:rsidRDefault="000E5A86" w:rsidP="006B7D29">
            <w:pPr>
              <w:pStyle w:val="C-TableText"/>
              <w:spacing w:before="0" w:after="0"/>
              <w:ind w:left="180"/>
              <w:rPr>
                <w:color w:val="000000"/>
                <w:sz w:val="20"/>
              </w:rPr>
            </w:pPr>
            <w:r>
              <w:rPr>
                <w:color w:val="000000"/>
                <w:sz w:val="20"/>
              </w:rPr>
              <w:t>RC</w:t>
            </w:r>
          </w:p>
        </w:tc>
        <w:tc>
          <w:tcPr>
            <w:tcW w:w="927" w:type="pct"/>
            <w:shd w:val="clear" w:color="auto" w:fill="auto"/>
            <w:tcMar>
              <w:top w:w="0" w:type="dxa"/>
              <w:left w:w="108" w:type="dxa"/>
              <w:bottom w:w="0" w:type="dxa"/>
              <w:right w:w="108" w:type="dxa"/>
            </w:tcMar>
            <w:vAlign w:val="center"/>
          </w:tcPr>
          <w:p w14:paraId="6A7AE7BA" w14:textId="77777777" w:rsidR="00C24015" w:rsidRPr="00D2126A" w:rsidRDefault="000E5A86" w:rsidP="006B7D29">
            <w:pPr>
              <w:pStyle w:val="NoSpacing"/>
              <w:jc w:val="center"/>
              <w:rPr>
                <w:color w:val="000000"/>
                <w:sz w:val="20"/>
              </w:rPr>
            </w:pPr>
            <w:r>
              <w:rPr>
                <w:color w:val="000000"/>
                <w:sz w:val="20"/>
              </w:rPr>
              <w:t>30 (19,7)</w:t>
            </w:r>
          </w:p>
        </w:tc>
        <w:tc>
          <w:tcPr>
            <w:tcW w:w="927" w:type="pct"/>
            <w:shd w:val="clear" w:color="auto" w:fill="auto"/>
            <w:tcMar>
              <w:top w:w="0" w:type="dxa"/>
              <w:left w:w="108" w:type="dxa"/>
              <w:bottom w:w="0" w:type="dxa"/>
              <w:right w:w="108" w:type="dxa"/>
            </w:tcMar>
            <w:vAlign w:val="center"/>
          </w:tcPr>
          <w:p w14:paraId="0818CAB4" w14:textId="77777777" w:rsidR="00C24015" w:rsidRPr="00D2126A" w:rsidRDefault="000E5A86" w:rsidP="006B7D29">
            <w:pPr>
              <w:pStyle w:val="NoSpacing"/>
              <w:jc w:val="center"/>
              <w:rPr>
                <w:color w:val="000000"/>
                <w:sz w:val="20"/>
              </w:rPr>
            </w:pPr>
            <w:r>
              <w:rPr>
                <w:color w:val="000000"/>
                <w:sz w:val="20"/>
              </w:rPr>
              <w:t>17 (11,1)</w:t>
            </w:r>
          </w:p>
        </w:tc>
        <w:tc>
          <w:tcPr>
            <w:tcW w:w="927" w:type="pct"/>
            <w:shd w:val="clear" w:color="auto" w:fill="auto"/>
            <w:tcMar>
              <w:top w:w="0" w:type="dxa"/>
              <w:left w:w="108" w:type="dxa"/>
              <w:bottom w:w="0" w:type="dxa"/>
              <w:right w:w="108" w:type="dxa"/>
            </w:tcMar>
            <w:vAlign w:val="center"/>
          </w:tcPr>
          <w:p w14:paraId="3A24FFBB" w14:textId="77777777" w:rsidR="00C24015" w:rsidRPr="00D2126A" w:rsidRDefault="000E5A86" w:rsidP="006B7D29">
            <w:pPr>
              <w:pStyle w:val="NoSpacing"/>
              <w:jc w:val="center"/>
              <w:rPr>
                <w:color w:val="000000"/>
                <w:sz w:val="20"/>
              </w:rPr>
            </w:pPr>
            <w:r>
              <w:rPr>
                <w:color w:val="000000"/>
                <w:sz w:val="20"/>
              </w:rPr>
              <w:t>9 (5,8)</w:t>
            </w:r>
          </w:p>
        </w:tc>
      </w:tr>
      <w:tr w:rsidR="00D5485C" w:rsidRPr="00D2126A" w14:paraId="787F1C9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2F99144" w14:textId="77777777" w:rsidR="00C24015" w:rsidRPr="00D2126A" w:rsidRDefault="000E5A86" w:rsidP="006B7D29">
            <w:pPr>
              <w:pStyle w:val="C-TableText"/>
              <w:spacing w:before="0" w:after="0"/>
              <w:ind w:left="180"/>
              <w:rPr>
                <w:color w:val="000000"/>
                <w:sz w:val="20"/>
              </w:rPr>
            </w:pPr>
            <w:r>
              <w:rPr>
                <w:color w:val="000000"/>
                <w:sz w:val="20"/>
              </w:rPr>
              <w:t>RP</w:t>
            </w:r>
          </w:p>
        </w:tc>
        <w:tc>
          <w:tcPr>
            <w:tcW w:w="927" w:type="pct"/>
            <w:shd w:val="clear" w:color="auto" w:fill="auto"/>
            <w:tcMar>
              <w:top w:w="0" w:type="dxa"/>
              <w:left w:w="108" w:type="dxa"/>
              <w:bottom w:w="0" w:type="dxa"/>
              <w:right w:w="108" w:type="dxa"/>
            </w:tcMar>
            <w:vAlign w:val="center"/>
          </w:tcPr>
          <w:p w14:paraId="7B46ACF9" w14:textId="77777777" w:rsidR="00C24015" w:rsidRPr="00D2126A" w:rsidRDefault="000E5A86" w:rsidP="006B7D29">
            <w:pPr>
              <w:pStyle w:val="NoSpacing"/>
              <w:jc w:val="center"/>
              <w:rPr>
                <w:color w:val="000000"/>
                <w:sz w:val="20"/>
              </w:rPr>
            </w:pPr>
            <w:r>
              <w:rPr>
                <w:color w:val="000000"/>
                <w:sz w:val="20"/>
              </w:rPr>
              <w:t>90 (59,2)</w:t>
            </w:r>
          </w:p>
        </w:tc>
        <w:tc>
          <w:tcPr>
            <w:tcW w:w="927" w:type="pct"/>
            <w:shd w:val="clear" w:color="auto" w:fill="auto"/>
            <w:tcMar>
              <w:top w:w="0" w:type="dxa"/>
              <w:left w:w="108" w:type="dxa"/>
              <w:bottom w:w="0" w:type="dxa"/>
              <w:right w:w="108" w:type="dxa"/>
            </w:tcMar>
            <w:vAlign w:val="center"/>
          </w:tcPr>
          <w:p w14:paraId="6166D367" w14:textId="77777777" w:rsidR="00C24015" w:rsidRPr="00D2126A" w:rsidRDefault="000E5A86" w:rsidP="006B7D29">
            <w:pPr>
              <w:pStyle w:val="NoSpacing"/>
              <w:jc w:val="center"/>
              <w:rPr>
                <w:color w:val="000000"/>
                <w:sz w:val="20"/>
              </w:rPr>
            </w:pPr>
            <w:r>
              <w:rPr>
                <w:color w:val="000000"/>
                <w:sz w:val="20"/>
              </w:rPr>
              <w:t>99 (64,7)</w:t>
            </w:r>
          </w:p>
        </w:tc>
        <w:tc>
          <w:tcPr>
            <w:tcW w:w="927" w:type="pct"/>
            <w:shd w:val="clear" w:color="auto" w:fill="auto"/>
            <w:tcMar>
              <w:top w:w="0" w:type="dxa"/>
              <w:left w:w="108" w:type="dxa"/>
              <w:bottom w:w="0" w:type="dxa"/>
              <w:right w:w="108" w:type="dxa"/>
            </w:tcMar>
            <w:vAlign w:val="center"/>
          </w:tcPr>
          <w:p w14:paraId="40C8F581" w14:textId="77777777" w:rsidR="00C24015" w:rsidRPr="00D2126A" w:rsidRDefault="000E5A86" w:rsidP="006B7D29">
            <w:pPr>
              <w:pStyle w:val="NoSpacing"/>
              <w:jc w:val="center"/>
              <w:rPr>
                <w:color w:val="000000"/>
                <w:sz w:val="20"/>
              </w:rPr>
            </w:pPr>
            <w:r>
              <w:rPr>
                <w:color w:val="000000"/>
                <w:sz w:val="20"/>
              </w:rPr>
              <w:t>75 (48,7)</w:t>
            </w:r>
          </w:p>
        </w:tc>
      </w:tr>
      <w:tr w:rsidR="00D5485C" w:rsidRPr="00D2126A" w14:paraId="57EAF9B4" w14:textId="77777777" w:rsidTr="00F003F4">
        <w:trPr>
          <w:cantSplit/>
          <w:trHeight w:val="57"/>
          <w:jc w:val="center"/>
        </w:trPr>
        <w:tc>
          <w:tcPr>
            <w:tcW w:w="2218" w:type="pct"/>
            <w:shd w:val="clear" w:color="auto" w:fill="auto"/>
            <w:tcMar>
              <w:top w:w="0" w:type="dxa"/>
              <w:left w:w="108" w:type="dxa"/>
              <w:bottom w:w="0" w:type="dxa"/>
              <w:right w:w="108" w:type="dxa"/>
            </w:tcMar>
            <w:vAlign w:val="bottom"/>
            <w:hideMark/>
          </w:tcPr>
          <w:p w14:paraId="3F78DF0A" w14:textId="77777777" w:rsidR="00C24015" w:rsidRPr="00D2126A" w:rsidRDefault="000E5A86" w:rsidP="006B7D29">
            <w:pPr>
              <w:pStyle w:val="NoSpacing"/>
              <w:keepNext/>
              <w:rPr>
                <w:color w:val="000000"/>
                <w:sz w:val="20"/>
              </w:rPr>
            </w:pPr>
            <w:r>
              <w:rPr>
                <w:color w:val="000000"/>
                <w:sz w:val="20"/>
              </w:rPr>
              <w:t>Maladie stable (MS)</w:t>
            </w:r>
          </w:p>
        </w:tc>
        <w:tc>
          <w:tcPr>
            <w:tcW w:w="927" w:type="pct"/>
            <w:shd w:val="clear" w:color="auto" w:fill="auto"/>
            <w:tcMar>
              <w:top w:w="0" w:type="dxa"/>
              <w:left w:w="108" w:type="dxa"/>
              <w:bottom w:w="0" w:type="dxa"/>
              <w:right w:w="108" w:type="dxa"/>
            </w:tcMar>
            <w:vAlign w:val="center"/>
          </w:tcPr>
          <w:p w14:paraId="1B116B29" w14:textId="77777777" w:rsidR="00C24015" w:rsidRPr="00D2126A" w:rsidRDefault="000E5A86" w:rsidP="006B7D29">
            <w:pPr>
              <w:pStyle w:val="NoSpacing"/>
              <w:jc w:val="center"/>
              <w:rPr>
                <w:color w:val="000000"/>
                <w:sz w:val="20"/>
              </w:rPr>
            </w:pPr>
            <w:r>
              <w:rPr>
                <w:color w:val="000000"/>
                <w:sz w:val="20"/>
              </w:rPr>
              <w:t>24 (15,8)</w:t>
            </w:r>
          </w:p>
        </w:tc>
        <w:tc>
          <w:tcPr>
            <w:tcW w:w="927" w:type="pct"/>
            <w:shd w:val="clear" w:color="auto" w:fill="auto"/>
            <w:tcMar>
              <w:top w:w="0" w:type="dxa"/>
              <w:left w:w="108" w:type="dxa"/>
              <w:bottom w:w="0" w:type="dxa"/>
              <w:right w:w="108" w:type="dxa"/>
            </w:tcMar>
            <w:vAlign w:val="center"/>
          </w:tcPr>
          <w:p w14:paraId="0648C649" w14:textId="77777777" w:rsidR="00C24015" w:rsidRPr="00D2126A" w:rsidRDefault="000E5A86" w:rsidP="006B7D29">
            <w:pPr>
              <w:pStyle w:val="NoSpacing"/>
              <w:jc w:val="center"/>
              <w:rPr>
                <w:color w:val="000000"/>
                <w:sz w:val="20"/>
              </w:rPr>
            </w:pPr>
            <w:r>
              <w:rPr>
                <w:color w:val="000000"/>
                <w:sz w:val="20"/>
              </w:rPr>
              <w:t>31 (20,3)</w:t>
            </w:r>
          </w:p>
        </w:tc>
        <w:tc>
          <w:tcPr>
            <w:tcW w:w="927" w:type="pct"/>
            <w:shd w:val="clear" w:color="auto" w:fill="auto"/>
            <w:tcMar>
              <w:top w:w="0" w:type="dxa"/>
              <w:left w:w="108" w:type="dxa"/>
              <w:bottom w:w="0" w:type="dxa"/>
              <w:right w:w="108" w:type="dxa"/>
            </w:tcMar>
            <w:vAlign w:val="center"/>
          </w:tcPr>
          <w:p w14:paraId="30EB8F73" w14:textId="77777777" w:rsidR="00C24015" w:rsidRPr="00D2126A" w:rsidRDefault="000E5A86" w:rsidP="006B7D29">
            <w:pPr>
              <w:pStyle w:val="NoSpacing"/>
              <w:jc w:val="center"/>
              <w:rPr>
                <w:color w:val="000000"/>
                <w:sz w:val="20"/>
              </w:rPr>
            </w:pPr>
            <w:r>
              <w:rPr>
                <w:color w:val="000000"/>
                <w:sz w:val="20"/>
              </w:rPr>
              <w:t>63 (40,9)</w:t>
            </w:r>
          </w:p>
        </w:tc>
      </w:tr>
      <w:tr w:rsidR="00D5485C" w:rsidRPr="00D2126A" w14:paraId="6AB9C8A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C7A60CE" w14:textId="77777777" w:rsidR="00C24015" w:rsidRPr="00D2126A" w:rsidRDefault="000E5A86" w:rsidP="006B7D29">
            <w:pPr>
              <w:pStyle w:val="C-TableText"/>
              <w:spacing w:before="0" w:after="0"/>
              <w:ind w:left="180"/>
              <w:rPr>
                <w:color w:val="000000"/>
                <w:sz w:val="20"/>
              </w:rPr>
            </w:pPr>
            <w:r>
              <w:rPr>
                <w:color w:val="000000"/>
                <w:sz w:val="20"/>
              </w:rPr>
              <w:t>Réponse non évaluable (NE)</w:t>
            </w:r>
          </w:p>
        </w:tc>
        <w:tc>
          <w:tcPr>
            <w:tcW w:w="927" w:type="pct"/>
            <w:shd w:val="clear" w:color="auto" w:fill="auto"/>
            <w:tcMar>
              <w:top w:w="0" w:type="dxa"/>
              <w:left w:w="108" w:type="dxa"/>
              <w:bottom w:w="0" w:type="dxa"/>
              <w:right w:w="108" w:type="dxa"/>
            </w:tcMar>
            <w:vAlign w:val="center"/>
          </w:tcPr>
          <w:p w14:paraId="2DE0A6B0" w14:textId="77777777" w:rsidR="00C24015" w:rsidRPr="00D2126A" w:rsidRDefault="000E5A86" w:rsidP="006B7D29">
            <w:pPr>
              <w:pStyle w:val="NoSpacing"/>
              <w:jc w:val="center"/>
              <w:rPr>
                <w:color w:val="000000"/>
                <w:sz w:val="20"/>
              </w:rPr>
            </w:pPr>
            <w:r>
              <w:rPr>
                <w:color w:val="000000"/>
                <w:sz w:val="20"/>
              </w:rPr>
              <w:t>8 (5,3)</w:t>
            </w:r>
          </w:p>
        </w:tc>
        <w:tc>
          <w:tcPr>
            <w:tcW w:w="927" w:type="pct"/>
            <w:shd w:val="clear" w:color="auto" w:fill="auto"/>
            <w:tcMar>
              <w:top w:w="0" w:type="dxa"/>
              <w:left w:w="108" w:type="dxa"/>
              <w:bottom w:w="0" w:type="dxa"/>
              <w:right w:w="108" w:type="dxa"/>
            </w:tcMar>
            <w:vAlign w:val="center"/>
          </w:tcPr>
          <w:p w14:paraId="1E677E7D" w14:textId="77777777" w:rsidR="00C24015" w:rsidRPr="00D2126A" w:rsidRDefault="000E5A86" w:rsidP="006B7D29">
            <w:pPr>
              <w:pStyle w:val="NoSpacing"/>
              <w:jc w:val="center"/>
              <w:rPr>
                <w:color w:val="000000"/>
                <w:sz w:val="20"/>
              </w:rPr>
            </w:pPr>
            <w:r>
              <w:rPr>
                <w:color w:val="000000"/>
                <w:sz w:val="20"/>
              </w:rPr>
              <w:t>4 (2,6)</w:t>
            </w:r>
          </w:p>
        </w:tc>
        <w:tc>
          <w:tcPr>
            <w:tcW w:w="927" w:type="pct"/>
            <w:shd w:val="clear" w:color="auto" w:fill="auto"/>
            <w:tcMar>
              <w:top w:w="0" w:type="dxa"/>
              <w:left w:w="108" w:type="dxa"/>
              <w:bottom w:w="0" w:type="dxa"/>
              <w:right w:w="108" w:type="dxa"/>
            </w:tcMar>
            <w:vAlign w:val="center"/>
          </w:tcPr>
          <w:p w14:paraId="036C3F01" w14:textId="77777777" w:rsidR="00C24015" w:rsidRPr="00D2126A" w:rsidRDefault="000E5A86" w:rsidP="006B7D29">
            <w:pPr>
              <w:pStyle w:val="NoSpacing"/>
              <w:jc w:val="center"/>
              <w:rPr>
                <w:color w:val="000000"/>
                <w:sz w:val="20"/>
              </w:rPr>
            </w:pPr>
            <w:r>
              <w:rPr>
                <w:color w:val="000000"/>
                <w:sz w:val="20"/>
              </w:rPr>
              <w:t>7 (4,5)</w:t>
            </w:r>
          </w:p>
        </w:tc>
      </w:tr>
      <w:tr w:rsidR="00D5485C" w:rsidRPr="00D2126A" w14:paraId="2083612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4548157" w14:textId="63F94E3F" w:rsidR="00C24015" w:rsidRPr="00D2126A" w:rsidRDefault="000E5A86" w:rsidP="006B7D29">
            <w:pPr>
              <w:pStyle w:val="C-TableText"/>
              <w:keepNext/>
              <w:spacing w:before="0" w:after="0"/>
              <w:rPr>
                <w:i/>
                <w:iCs/>
                <w:color w:val="000000"/>
                <w:sz w:val="20"/>
              </w:rPr>
            </w:pPr>
            <w:r>
              <w:rPr>
                <w:b/>
                <w:color w:val="000000"/>
                <w:sz w:val="20"/>
              </w:rPr>
              <w:t>Durée de la réponse évaluée par les investigateurs (RC + RP) (mois)</w:t>
            </w:r>
          </w:p>
        </w:tc>
        <w:tc>
          <w:tcPr>
            <w:tcW w:w="927" w:type="pct"/>
            <w:shd w:val="clear" w:color="auto" w:fill="auto"/>
            <w:tcMar>
              <w:top w:w="0" w:type="dxa"/>
              <w:left w:w="108" w:type="dxa"/>
              <w:bottom w:w="0" w:type="dxa"/>
              <w:right w:w="108" w:type="dxa"/>
            </w:tcMar>
            <w:vAlign w:val="bottom"/>
          </w:tcPr>
          <w:p w14:paraId="68F2E768" w14:textId="77777777" w:rsidR="00C24015" w:rsidRPr="00AB0414" w:rsidRDefault="00C24015" w:rsidP="006B7D29">
            <w:pPr>
              <w:pStyle w:val="C-TableText"/>
              <w:spacing w:before="0" w:after="0"/>
              <w:jc w:val="center"/>
              <w:rPr>
                <w:color w:val="000000"/>
                <w:sz w:val="20"/>
              </w:rPr>
            </w:pPr>
          </w:p>
        </w:tc>
        <w:tc>
          <w:tcPr>
            <w:tcW w:w="927" w:type="pct"/>
            <w:shd w:val="clear" w:color="auto" w:fill="auto"/>
            <w:tcMar>
              <w:top w:w="0" w:type="dxa"/>
              <w:left w:w="108" w:type="dxa"/>
              <w:bottom w:w="0" w:type="dxa"/>
              <w:right w:w="108" w:type="dxa"/>
            </w:tcMar>
            <w:vAlign w:val="bottom"/>
          </w:tcPr>
          <w:p w14:paraId="49A463E9" w14:textId="77777777" w:rsidR="00C24015" w:rsidRPr="00AB0414" w:rsidRDefault="00C24015" w:rsidP="006B7D29">
            <w:pPr>
              <w:pStyle w:val="C-TableText"/>
              <w:spacing w:before="0" w:after="0"/>
              <w:jc w:val="center"/>
              <w:rPr>
                <w:color w:val="000000"/>
                <w:sz w:val="20"/>
              </w:rPr>
            </w:pPr>
          </w:p>
        </w:tc>
        <w:tc>
          <w:tcPr>
            <w:tcW w:w="927" w:type="pct"/>
            <w:shd w:val="clear" w:color="auto" w:fill="auto"/>
            <w:tcMar>
              <w:top w:w="0" w:type="dxa"/>
              <w:left w:w="108" w:type="dxa"/>
              <w:bottom w:w="0" w:type="dxa"/>
              <w:right w:w="108" w:type="dxa"/>
            </w:tcMar>
            <w:vAlign w:val="bottom"/>
          </w:tcPr>
          <w:p w14:paraId="4299C766" w14:textId="77777777" w:rsidR="00C24015" w:rsidRPr="00AB0414" w:rsidRDefault="00C24015" w:rsidP="006B7D29">
            <w:pPr>
              <w:pStyle w:val="C-TableText"/>
              <w:spacing w:before="0" w:after="0"/>
              <w:jc w:val="center"/>
              <w:rPr>
                <w:color w:val="000000"/>
                <w:sz w:val="20"/>
              </w:rPr>
            </w:pPr>
          </w:p>
        </w:tc>
      </w:tr>
      <w:tr w:rsidR="00D5485C" w:rsidRPr="00D2126A" w14:paraId="2CC0D9C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B3311D9" w14:textId="2408FBF9" w:rsidR="00C24015" w:rsidRPr="00D2126A" w:rsidRDefault="000E5A86" w:rsidP="006B7D29">
            <w:pPr>
              <w:pStyle w:val="C-TableText"/>
              <w:keepNext/>
              <w:spacing w:before="0" w:after="0"/>
              <w:ind w:left="180"/>
              <w:rPr>
                <w:color w:val="000000"/>
                <w:sz w:val="20"/>
              </w:rPr>
            </w:pPr>
            <w:r>
              <w:rPr>
                <w:color w:val="000000"/>
                <w:sz w:val="20"/>
              </w:rPr>
              <w:t>Médiane</w:t>
            </w:r>
            <w:r>
              <w:rPr>
                <w:color w:val="000000"/>
                <w:sz w:val="20"/>
                <w:vertAlign w:val="superscript"/>
              </w:rPr>
              <w:t>a</w:t>
            </w:r>
            <w:r>
              <w:rPr>
                <w:color w:val="000000"/>
                <w:sz w:val="20"/>
              </w:rPr>
              <w:t xml:space="preserve"> (IC à 95 %)</w:t>
            </w:r>
          </w:p>
        </w:tc>
        <w:tc>
          <w:tcPr>
            <w:tcW w:w="927" w:type="pct"/>
            <w:shd w:val="clear" w:color="auto" w:fill="auto"/>
            <w:tcMar>
              <w:top w:w="0" w:type="dxa"/>
              <w:left w:w="108" w:type="dxa"/>
              <w:bottom w:w="0" w:type="dxa"/>
              <w:right w:w="108" w:type="dxa"/>
            </w:tcMar>
            <w:vAlign w:val="center"/>
          </w:tcPr>
          <w:p w14:paraId="21409544" w14:textId="77777777" w:rsidR="00C24015" w:rsidRPr="00D2126A" w:rsidRDefault="000E5A86" w:rsidP="006B7D29">
            <w:pPr>
              <w:pStyle w:val="C-TableText"/>
              <w:spacing w:before="0" w:after="0"/>
              <w:jc w:val="center"/>
              <w:rPr>
                <w:color w:val="000000"/>
                <w:sz w:val="20"/>
              </w:rPr>
            </w:pPr>
            <w:r>
              <w:rPr>
                <w:color w:val="000000"/>
                <w:sz w:val="20"/>
              </w:rPr>
              <w:t>26,5 (19,4 ; 35,8)</w:t>
            </w:r>
          </w:p>
        </w:tc>
        <w:tc>
          <w:tcPr>
            <w:tcW w:w="927" w:type="pct"/>
            <w:shd w:val="clear" w:color="auto" w:fill="auto"/>
            <w:tcMar>
              <w:top w:w="0" w:type="dxa"/>
              <w:left w:w="108" w:type="dxa"/>
              <w:bottom w:w="0" w:type="dxa"/>
              <w:right w:w="108" w:type="dxa"/>
            </w:tcMar>
            <w:vAlign w:val="center"/>
          </w:tcPr>
          <w:p w14:paraId="45AB06AD" w14:textId="77777777" w:rsidR="00C24015" w:rsidRPr="00D2126A" w:rsidRDefault="000E5A86" w:rsidP="006B7D29">
            <w:pPr>
              <w:pStyle w:val="C-TableText"/>
              <w:spacing w:before="0" w:after="0"/>
              <w:jc w:val="center"/>
              <w:rPr>
                <w:color w:val="000000"/>
                <w:sz w:val="20"/>
              </w:rPr>
            </w:pPr>
            <w:r>
              <w:rPr>
                <w:color w:val="000000"/>
                <w:sz w:val="20"/>
              </w:rPr>
              <w:t>12,4 (11,2 ; 13,9)</w:t>
            </w:r>
          </w:p>
        </w:tc>
        <w:tc>
          <w:tcPr>
            <w:tcW w:w="927" w:type="pct"/>
            <w:shd w:val="clear" w:color="auto" w:fill="auto"/>
            <w:tcMar>
              <w:top w:w="0" w:type="dxa"/>
              <w:left w:w="108" w:type="dxa"/>
              <w:bottom w:w="0" w:type="dxa"/>
              <w:right w:w="108" w:type="dxa"/>
            </w:tcMar>
            <w:vAlign w:val="center"/>
          </w:tcPr>
          <w:p w14:paraId="4D2C04CC" w14:textId="77777777" w:rsidR="00C24015" w:rsidRPr="00D2126A" w:rsidRDefault="000E5A86" w:rsidP="006B7D29">
            <w:pPr>
              <w:pStyle w:val="C-TableText"/>
              <w:spacing w:before="0" w:after="0"/>
              <w:jc w:val="center"/>
              <w:rPr>
                <w:color w:val="000000"/>
                <w:sz w:val="20"/>
              </w:rPr>
            </w:pPr>
            <w:r>
              <w:rPr>
                <w:color w:val="000000"/>
                <w:sz w:val="20"/>
              </w:rPr>
              <w:t>12,0 (9,4 ; 14,5)</w:t>
            </w:r>
          </w:p>
        </w:tc>
      </w:tr>
    </w:tbl>
    <w:p w14:paraId="1565E799" w14:textId="1317B65E" w:rsidR="00036363" w:rsidRPr="00D2126A" w:rsidRDefault="000E5A86" w:rsidP="00B66DC4">
      <w:pPr>
        <w:pStyle w:val="C-TableFootnote"/>
        <w:tabs>
          <w:tab w:val="clear" w:pos="432"/>
        </w:tabs>
        <w:ind w:left="0" w:firstLine="0"/>
        <w:rPr>
          <w:rFonts w:cs="Times New Roman"/>
          <w:color w:val="000000"/>
          <w:sz w:val="16"/>
          <w:szCs w:val="16"/>
        </w:rPr>
      </w:pPr>
      <w:r>
        <w:rPr>
          <w:color w:val="000000"/>
          <w:sz w:val="16"/>
        </w:rPr>
        <w:t>IC = intervalle de confiance ; RC = réponse complète ; RR = rapport de risque ; M = melphalan ; NE = non estimable ; SG = survie globale ; p = placebo ; P = prednisone ;</w:t>
      </w:r>
    </w:p>
    <w:p w14:paraId="6159DEA1" w14:textId="5B92B119" w:rsidR="00C24015" w:rsidRPr="00D2126A" w:rsidRDefault="000E5A86" w:rsidP="00B66DC4">
      <w:pPr>
        <w:pStyle w:val="C-TableFootnote"/>
        <w:tabs>
          <w:tab w:val="clear" w:pos="432"/>
        </w:tabs>
        <w:ind w:left="0" w:firstLine="0"/>
        <w:rPr>
          <w:rFonts w:cs="Times New Roman"/>
          <w:color w:val="000000"/>
          <w:sz w:val="16"/>
          <w:szCs w:val="16"/>
        </w:rPr>
      </w:pPr>
      <w:r>
        <w:rPr>
          <w:color w:val="000000"/>
          <w:sz w:val="16"/>
        </w:rPr>
        <w:t>MP = maladie en progression ; RP = réponse partielle ; R = lénalidomide ; MS = maladie stable ; TBRP = très bonne réponse partielle.</w:t>
      </w:r>
    </w:p>
    <w:p w14:paraId="4FBEC2CB" w14:textId="77777777" w:rsidR="00C24015" w:rsidRPr="00D2126A" w:rsidRDefault="000E5A86" w:rsidP="00B66DC4">
      <w:pPr>
        <w:keepNext/>
        <w:rPr>
          <w:color w:val="000000"/>
          <w:sz w:val="16"/>
          <w:szCs w:val="16"/>
        </w:rPr>
      </w:pPr>
      <w:r>
        <w:rPr>
          <w:color w:val="000000"/>
          <w:sz w:val="16"/>
        </w:rPr>
        <w:t>ª La médiane est basée sur l’estimation de Kaplan</w:t>
      </w:r>
      <w:r>
        <w:rPr>
          <w:color w:val="000000"/>
          <w:sz w:val="16"/>
        </w:rPr>
        <w:noBreakHyphen/>
        <w:t>Meier.</w:t>
      </w:r>
    </w:p>
    <w:p w14:paraId="6443CCB2" w14:textId="61D82BD3" w:rsidR="00C24015" w:rsidRPr="00D2126A" w:rsidRDefault="000E5A86" w:rsidP="00B66DC4">
      <w:pPr>
        <w:pStyle w:val="StyleTablenotes8"/>
      </w:pPr>
      <w:r>
        <w:rPr>
          <w:vertAlign w:val="superscript"/>
        </w:rPr>
        <w:t>¤</w:t>
      </w:r>
      <w:r>
        <w:t xml:space="preserve"> La SSP2 (un critère exploratoire) était définie pour tous les patients randomisés (population ITT) comme le délai entre la randomisation et le début d’un traitement antimyélome (TAM) de 3</w:t>
      </w:r>
      <w:r>
        <w:rPr>
          <w:vertAlign w:val="superscript"/>
        </w:rPr>
        <w:t>e</w:t>
      </w:r>
      <w:r>
        <w:t> ligne ou le décès.</w:t>
      </w:r>
    </w:p>
    <w:p w14:paraId="1810B889" w14:textId="77777777" w:rsidR="00DE172D" w:rsidRPr="00D2126A" w:rsidRDefault="00DE172D" w:rsidP="00C93C76">
      <w:pPr>
        <w:pStyle w:val="Date"/>
      </w:pPr>
    </w:p>
    <w:p w14:paraId="54841A83" w14:textId="77777777" w:rsidR="00DE172D" w:rsidRPr="00D2126A" w:rsidRDefault="000E5A86" w:rsidP="00C7655E">
      <w:pPr>
        <w:keepNext/>
        <w:rPr>
          <w:color w:val="000000"/>
        </w:rPr>
      </w:pPr>
      <w:r>
        <w:rPr>
          <w:i/>
          <w:color w:val="000000"/>
        </w:rPr>
        <w:t>Études de confirmation dans le myélome multiple non préalablement traité</w:t>
      </w:r>
    </w:p>
    <w:p w14:paraId="6AF9FD03" w14:textId="18A8108A" w:rsidR="00DE172D" w:rsidRPr="00D2126A" w:rsidRDefault="000E5A86" w:rsidP="00E93417">
      <w:pPr>
        <w:rPr>
          <w:color w:val="000000"/>
        </w:rPr>
      </w:pPr>
      <w:r>
        <w:rPr>
          <w:color w:val="000000"/>
        </w:rPr>
        <w:t>Une étude de phase 3 multicentrique, randomisée, en ouvert, (ECOG E4A03) a été menée chez 445 patients atteints d’un myélome multiple non préalablement traité ; 222 patients ont été randomisés dans le bras lénalidomide/dexaméthasone à faible dose et 223 patients dans le bras lénalidomide/dexaméthasone à dose standard. Les patients randomisés dans le bras lénalidomide/dexaméthasone à dose standard ont reçu 25 mg par jour de lénalidomide des jours 1 à 21 de cycles de 28 jours et 40 mg par jour de dexaméthasone les jours 1 à 4, 9 à 12 et 17 à 20 pendant les quatre premiers cycles de 28 jours. Les patients randomisés dans le bras lénalidomide/dexaméthasone à faible dose ont reçu 25 mg par jour de lénalidomide des jours 1 à 21 de cycles de 28 jours et une dose faible de dexaméthasone (40 mg par jour les jours 1, 8, 15 et 22 de chaque cycle de 28 jours). Dans le bras lénalidomide/dexaméthasone à faible dose, 20 patients (9,1 %) ont eu au moins une interruption de traitement contre 65 patients (29,3 %) dans le groupe lénalidomide/dexaméthasone à dose standard.</w:t>
      </w:r>
    </w:p>
    <w:p w14:paraId="136C4BBC" w14:textId="77777777" w:rsidR="00DE172D" w:rsidRPr="00D2126A" w:rsidRDefault="00DE172D" w:rsidP="00C93C76">
      <w:pPr>
        <w:rPr>
          <w:color w:val="000000"/>
        </w:rPr>
      </w:pPr>
    </w:p>
    <w:p w14:paraId="3CA237A6" w14:textId="1B9F9A94" w:rsidR="00DE172D" w:rsidRPr="00D2126A" w:rsidRDefault="000E5A86" w:rsidP="00C93C76">
      <w:pPr>
        <w:rPr>
          <w:color w:val="000000"/>
        </w:rPr>
      </w:pPr>
      <w:r>
        <w:rPr>
          <w:color w:val="000000"/>
        </w:rPr>
        <w:t>Une analyse post hoc a montré une mortalité plus faible dans le bras lénalidomide/dexaméthasone à faible dose (6,8 %, 15/220) que dans le bras lénalidomide/dexaméthasone à dose standard (19,3 %, 43/223) dans la population de patients atteints d’un myélome multiple non préalablement traité, avec un suivi médian de 72,3 semaines.</w:t>
      </w:r>
    </w:p>
    <w:p w14:paraId="363DB8AB" w14:textId="77777777" w:rsidR="00DE172D" w:rsidRPr="00D2126A" w:rsidRDefault="00DE172D" w:rsidP="00C93C76"/>
    <w:p w14:paraId="78E23808" w14:textId="47258894" w:rsidR="00DE172D" w:rsidRPr="00D2126A" w:rsidRDefault="000E5A86" w:rsidP="00C93C76">
      <w:pPr>
        <w:rPr>
          <w:color w:val="000000"/>
        </w:rPr>
      </w:pPr>
      <w:r>
        <w:rPr>
          <w:color w:val="000000"/>
        </w:rPr>
        <w:t>Cependant, avec un suivi plus long, la différence de survie globale en faveur de l’association lénalidomide/dexaméthasone à faible dose a tendance à diminuer.</w:t>
      </w:r>
    </w:p>
    <w:p w14:paraId="198C88CA" w14:textId="77777777" w:rsidR="00DE172D" w:rsidRPr="00D2126A" w:rsidRDefault="00DE172D" w:rsidP="00C93C76">
      <w:pPr>
        <w:pStyle w:val="Date"/>
      </w:pPr>
    </w:p>
    <w:p w14:paraId="3F6866DA" w14:textId="77777777" w:rsidR="00201D3E" w:rsidRPr="00D2126A" w:rsidRDefault="000E5A86" w:rsidP="00C7655E">
      <w:pPr>
        <w:keepNext/>
        <w:rPr>
          <w:i/>
          <w:color w:val="000000"/>
          <w:u w:val="single"/>
        </w:rPr>
      </w:pPr>
      <w:r>
        <w:rPr>
          <w:i/>
          <w:color w:val="000000"/>
          <w:u w:val="single"/>
        </w:rPr>
        <w:t>Myélome multiple chez les patients ayant reçu au moins un traitement antérieur</w:t>
      </w:r>
    </w:p>
    <w:p w14:paraId="233E9F40" w14:textId="0DEF5027" w:rsidR="00375EAB" w:rsidRPr="00D2126A" w:rsidRDefault="000E5A86" w:rsidP="00C93C76">
      <w:pPr>
        <w:rPr>
          <w:color w:val="000000"/>
        </w:rPr>
      </w:pPr>
      <w:r>
        <w:rPr>
          <w:color w:val="000000"/>
        </w:rPr>
        <w:t>L’efficacité et la sécurité d’emploi du lénalidomide ont été évaluées lors de deux études de phase 3, multicentriques, randomisées, en double aveugle, contrôlées par placebo, en groupes parallèles (MM</w:t>
      </w:r>
      <w:r>
        <w:rPr>
          <w:color w:val="000000"/>
        </w:rPr>
        <w:noBreakHyphen/>
        <w:t>009 et MM</w:t>
      </w:r>
      <w:r>
        <w:rPr>
          <w:color w:val="000000"/>
        </w:rPr>
        <w:noBreakHyphen/>
        <w:t>010), ayant comparé l’association lénalidomide/dexaméthasone à la dexaméthasone en monothérapie chez des patients ayant déjà été traités, atteints de myélome multiple. Parmi les 353 patients des études MM</w:t>
      </w:r>
      <w:r>
        <w:rPr>
          <w:color w:val="000000"/>
        </w:rPr>
        <w:noBreakHyphen/>
        <w:t>009 et MM</w:t>
      </w:r>
      <w:r>
        <w:rPr>
          <w:color w:val="000000"/>
        </w:rPr>
        <w:noBreakHyphen/>
        <w:t>010 ayant reçu l’association lénalidomide/dexaméthasone, 45,6 % étaient âgés de 65 ans ou plus. Sur l’ensemble des 704 patients évalués lors des études MM</w:t>
      </w:r>
      <w:r>
        <w:rPr>
          <w:color w:val="000000"/>
        </w:rPr>
        <w:noBreakHyphen/>
        <w:t>009 et MM</w:t>
      </w:r>
      <w:r>
        <w:rPr>
          <w:color w:val="000000"/>
        </w:rPr>
        <w:noBreakHyphen/>
        <w:t>010, 44,6 % étaient âgés de 65 ans ou plus.</w:t>
      </w:r>
    </w:p>
    <w:p w14:paraId="34701CDD" w14:textId="77777777" w:rsidR="00375EAB" w:rsidRPr="00D2126A" w:rsidRDefault="00375EAB" w:rsidP="00C93C76">
      <w:pPr>
        <w:rPr>
          <w:color w:val="000000"/>
        </w:rPr>
      </w:pPr>
    </w:p>
    <w:p w14:paraId="4C10101E" w14:textId="5884C12A" w:rsidR="00375EAB" w:rsidRPr="00D2126A" w:rsidRDefault="000E5A86" w:rsidP="000E4C89">
      <w:r>
        <w:t>Lors des deux études, les patients du groupe lénalidomide/dexaméthasone (lén/dex) ont pris 25 mg de lénalidomide par voie orale en une prise par jour les jours 1 à 21 et une gélule de placebo correspondante en une prise par jour les jours 22 à 28 de chaque cycle de 28 jours. Les patients du groupe placebo/dexaméthasone (placebo/dex) ont pris 1 gélule placebo les jours 1 à 28 de chaque cycle de 28 jours. Les patients des deux groupes ont pris 40 mg de dexaméthasone par voie orale en une prise par jour les jours 1 à 4, 9 à 12 et 17 à 20 de chaque cycle de 28 jours pendant les 4 premiers cycles de 28 jours. La dose de dexaméthasone a ensuite été réduite à 40 mg par voie orale en une prise par jour les jours 1 à 4 uniquement des cycles suivants de 28 jours (après les 4 premiers cycles du traitement). Lors des deux études, le traitement devait être poursuivi jusqu’à la progression de la maladie. Dans les deux études, des ajustements posologiques étaient autorisés en fonction des résultats cliniques et des analyses biologiques.</w:t>
      </w:r>
    </w:p>
    <w:p w14:paraId="1F4733D4" w14:textId="77777777" w:rsidR="00375EAB" w:rsidRPr="00D2126A" w:rsidRDefault="00375EAB" w:rsidP="00C93C76">
      <w:pPr>
        <w:rPr>
          <w:color w:val="000000"/>
        </w:rPr>
      </w:pPr>
    </w:p>
    <w:p w14:paraId="099C1932" w14:textId="6767C645" w:rsidR="00375EAB" w:rsidRPr="00D2126A" w:rsidRDefault="000E5A86" w:rsidP="00C93C76">
      <w:pPr>
        <w:rPr>
          <w:color w:val="000000"/>
        </w:rPr>
      </w:pPr>
      <w:r>
        <w:rPr>
          <w:color w:val="000000"/>
        </w:rPr>
        <w:t>Le critère d’évaluation principal d’efficacité des deux études était le temps jusqu’à progression (</w:t>
      </w:r>
      <w:r>
        <w:rPr>
          <w:i/>
          <w:color w:val="000000"/>
        </w:rPr>
        <w:t>time to progression</w:t>
      </w:r>
      <w:r>
        <w:rPr>
          <w:color w:val="000000"/>
        </w:rPr>
        <w:t>, TTP). Au total, 353 patients ont été évalués dans le cadre de l’étude MM</w:t>
      </w:r>
      <w:r>
        <w:rPr>
          <w:color w:val="000000"/>
        </w:rPr>
        <w:noBreakHyphen/>
        <w:t>009, 177 dans le groupe lén/dex et 176 dans le groupe placebo/dex et, au total, 351 patients ont été évalués dans le cadre de l’étude MM</w:t>
      </w:r>
      <w:r>
        <w:rPr>
          <w:color w:val="000000"/>
        </w:rPr>
        <w:noBreakHyphen/>
        <w:t>010, 176 dans le groupe lén/dex et 175 dans le groupe placebo/dex.</w:t>
      </w:r>
    </w:p>
    <w:p w14:paraId="447F4A16" w14:textId="77777777" w:rsidR="00375EAB" w:rsidRPr="00D2126A" w:rsidRDefault="00375EAB" w:rsidP="00C93C76">
      <w:pPr>
        <w:rPr>
          <w:color w:val="000000"/>
        </w:rPr>
      </w:pPr>
    </w:p>
    <w:p w14:paraId="624A0D4D" w14:textId="77777777" w:rsidR="00375EAB" w:rsidRPr="00D2126A" w:rsidRDefault="000E5A86" w:rsidP="00C93C76">
      <w:pPr>
        <w:rPr>
          <w:color w:val="000000"/>
        </w:rPr>
      </w:pPr>
      <w:r>
        <w:rPr>
          <w:color w:val="000000"/>
        </w:rPr>
        <w:t>Lors des deux études, les caractéristiques démographiques et pathologiques initiales des patients étaient comparables dans les deux groupes (lén/dex et placebo/dex). Les populations étudiées présentaient dans les deux cas un âge médian de 63 ans, avec une proportion hommes/femmes comparable. Les indices de performance tels que définis par l’ECOG (</w:t>
      </w:r>
      <w:r>
        <w:rPr>
          <w:i/>
          <w:color w:val="000000"/>
        </w:rPr>
        <w:t>Eastern Cooperative Oncology Group</w:t>
      </w:r>
      <w:r>
        <w:rPr>
          <w:color w:val="000000"/>
        </w:rPr>
        <w:t>) étaient comparables dans les deux groupes, comme l’étaient le nombre et le type des traitements antérieurs.</w:t>
      </w:r>
    </w:p>
    <w:p w14:paraId="4DED1E9C" w14:textId="77777777" w:rsidR="00375EAB" w:rsidRPr="00D2126A" w:rsidRDefault="00375EAB" w:rsidP="00C93C76">
      <w:pPr>
        <w:rPr>
          <w:color w:val="000000"/>
          <w:u w:val="single"/>
        </w:rPr>
      </w:pPr>
    </w:p>
    <w:p w14:paraId="1CBC2622" w14:textId="77777777" w:rsidR="00375EAB" w:rsidRPr="00D2126A" w:rsidRDefault="000E5A86" w:rsidP="00C93C76">
      <w:pPr>
        <w:rPr>
          <w:color w:val="000000"/>
        </w:rPr>
      </w:pPr>
      <w:r>
        <w:rPr>
          <w:color w:val="000000"/>
        </w:rPr>
        <w:t>Les analyses intermédiaires préalablement planifiées pour les deux études ont montré que l’association lén/dex donnait un résultat significativement supérieur en termes statistiques (p &lt; 0,00001) à celui obtenu par la dexaméthasone en monothérapie sur le critère principal d’évaluation de l’efficacité, le TTP (suivi médian de 98,0 semaines). Les taux de réponses complètes et de réponses globales lén/dex ont également été significativement supérieurs à ceux du groupe placebo/dex dans les deux études. Les résultats de ces analyses ont eu pour conséquence la levée de l’aveugle, dans les deux études, de façon à ce que les patients du groupe placebo/dex puissent bénéficier du traitement par l’association lén/dex.</w:t>
      </w:r>
    </w:p>
    <w:p w14:paraId="790FA98F" w14:textId="77777777" w:rsidR="00375EAB" w:rsidRPr="00D2126A" w:rsidRDefault="00375EAB" w:rsidP="00C93C76">
      <w:pPr>
        <w:rPr>
          <w:color w:val="000000"/>
        </w:rPr>
      </w:pPr>
    </w:p>
    <w:p w14:paraId="68E8D087" w14:textId="6FC58983" w:rsidR="00375EAB" w:rsidRPr="00D2126A" w:rsidRDefault="000E5A86" w:rsidP="00C96725">
      <w:r>
        <w:t>Une analyse de l’efficacité après un suivi prolongé a été menée avec un suivi médian de 130,7 semaines. Le tableau 11 récapitule les résultats d’efficacité issus des analyses de suivi des études MM</w:t>
      </w:r>
      <w:r>
        <w:noBreakHyphen/>
        <w:t>009 et MM</w:t>
      </w:r>
      <w:r>
        <w:noBreakHyphen/>
        <w:t>010 groupées.</w:t>
      </w:r>
    </w:p>
    <w:p w14:paraId="4694B55E" w14:textId="77777777" w:rsidR="00375EAB" w:rsidRPr="00D2126A" w:rsidRDefault="00375EAB" w:rsidP="00C93C76">
      <w:pPr>
        <w:rPr>
          <w:color w:val="000000"/>
        </w:rPr>
      </w:pPr>
    </w:p>
    <w:p w14:paraId="51FEA752" w14:textId="2D943045" w:rsidR="00375EAB" w:rsidRPr="00D2126A" w:rsidRDefault="000E5A86" w:rsidP="00C93C76">
      <w:pPr>
        <w:autoSpaceDE w:val="0"/>
        <w:autoSpaceDN w:val="0"/>
        <w:adjustRightInd w:val="0"/>
        <w:rPr>
          <w:color w:val="000000"/>
        </w:rPr>
      </w:pPr>
      <w:r>
        <w:rPr>
          <w:color w:val="000000"/>
        </w:rPr>
        <w:t>Dans cette analyse du suivi prolongé, le TTP médian était de 60,1 semaines (IC à 95 % : 44,3 ; 73,1) chez les patients traités par lén/dex (N = 353) contre 20,1 semaines (IC à 95 % : 17,7 ; 20,3) chez les patients traités par placebo/dex (N = 351). La durée médiane de survie sans progression de la maladie a été de 48,1 semaines (IC à 95 % : 36,4 ; 62,1) chez les patients traités par lén/dex contre 20,0 semaines (IC à 95 % : 16,1 ; 20,1) chez les patients traités par placebo/dex. La durée médiane de traitement a été de 44,0 semaines (min : 0,1 ; max : 254,9) dans le bras lén/dex, et de 23,1 semaines (min : 0,3 ; max : 238,1) dans le bras placebo/dex. Dans les deux études, les taux de réponses complètes (RC), de réponses partielles (RP) et de réponses globales (RC+RP) sont restés significativement plus élevés dans le groupe lén/dex que dans le groupe placebo/dex. Le taux médian de survie globale dans l’analyse du suivi prolongé des études groupées est de 164,3 semaines (IC à 95 % : 145,1 ; 192,6) chez les patients traités par lén/dex contre 136,4 semaines (IC à 95 % : 113,1 ;161,7) chez les patients ayant reçu l’association placebo/dex. Bien que 170 des 351 patients randomisés dans le groupe placebo/dex aient finalement reçu le traitement par le lénalidomide après progression de la maladie ou une fois l’insu levé, l’analyse groupée de la survie globale a permis de montrer une différence statistiquement significative concernant la survie en faveur de l’association lén/dex par rapport à l’association placebo/dex (RR = 0,833 ; IC à 95 % : 0,687 ; 1,009 ; p = 0,045).</w:t>
      </w:r>
    </w:p>
    <w:p w14:paraId="3165DC44" w14:textId="77777777" w:rsidR="00375EAB" w:rsidRPr="00D2126A" w:rsidRDefault="00375EAB" w:rsidP="00C93C76">
      <w:pPr>
        <w:autoSpaceDE w:val="0"/>
        <w:autoSpaceDN w:val="0"/>
        <w:adjustRightInd w:val="0"/>
        <w:rPr>
          <w:color w:val="000000"/>
        </w:rPr>
      </w:pPr>
    </w:p>
    <w:p w14:paraId="2BBFF0A0" w14:textId="47A87F37" w:rsidR="00375EAB" w:rsidRPr="00D2126A" w:rsidRDefault="000E5A86" w:rsidP="00C93C76">
      <w:pPr>
        <w:pStyle w:val="C-TableHeader"/>
        <w:spacing w:before="0" w:after="0"/>
        <w:rPr>
          <w:rFonts w:ascii="Arial" w:hAnsi="Arial" w:cs="Arial"/>
        </w:rPr>
      </w:pPr>
      <w:r>
        <w:t>Tableau 11. Résumé des résultats des analyses de l’efficacité à la date de fin de collecte des données après suivi prolongé — études MM</w:t>
      </w:r>
      <w:r>
        <w:noBreakHyphen/>
        <w:t>009 et MM</w:t>
      </w:r>
      <w:r>
        <w:noBreakHyphen/>
        <w:t>010 regroupées (dates de fin de collecte des données respectives, 23 juillet 2008 et 2 mars 2008)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773"/>
        <w:gridCol w:w="1872"/>
        <w:gridCol w:w="1868"/>
        <w:gridCol w:w="2773"/>
      </w:tblGrid>
      <w:tr w:rsidR="00D5485C" w:rsidRPr="00D2126A" w14:paraId="399975DD" w14:textId="77777777" w:rsidTr="00CB5D87">
        <w:trPr>
          <w:cantSplit/>
          <w:trHeight w:val="57"/>
          <w:tblHeader/>
          <w:jc w:val="center"/>
        </w:trPr>
        <w:tc>
          <w:tcPr>
            <w:tcW w:w="1493" w:type="pct"/>
            <w:shd w:val="clear" w:color="auto" w:fill="auto"/>
          </w:tcPr>
          <w:p w14:paraId="7D7EEE62" w14:textId="77777777" w:rsidR="00375EAB" w:rsidRPr="00D2126A" w:rsidRDefault="000E5A86" w:rsidP="00C7655E">
            <w:pPr>
              <w:keepNext/>
              <w:jc w:val="center"/>
              <w:rPr>
                <w:b/>
                <w:color w:val="000000"/>
                <w:sz w:val="20"/>
                <w:szCs w:val="20"/>
              </w:rPr>
            </w:pPr>
            <w:r>
              <w:rPr>
                <w:b/>
                <w:color w:val="000000"/>
                <w:sz w:val="20"/>
              </w:rPr>
              <w:t>Critère d’évaluation</w:t>
            </w:r>
          </w:p>
        </w:tc>
        <w:tc>
          <w:tcPr>
            <w:tcW w:w="1008" w:type="pct"/>
            <w:shd w:val="clear" w:color="auto" w:fill="auto"/>
          </w:tcPr>
          <w:p w14:paraId="24331F50" w14:textId="77777777" w:rsidR="00F003F4" w:rsidRPr="00D2126A" w:rsidRDefault="000E5A86" w:rsidP="00C7655E">
            <w:pPr>
              <w:keepNext/>
              <w:jc w:val="center"/>
              <w:rPr>
                <w:b/>
                <w:color w:val="000000"/>
                <w:sz w:val="20"/>
                <w:szCs w:val="20"/>
              </w:rPr>
            </w:pPr>
            <w:r>
              <w:rPr>
                <w:b/>
                <w:color w:val="000000"/>
                <w:sz w:val="20"/>
              </w:rPr>
              <w:t>lén/dex</w:t>
            </w:r>
          </w:p>
          <w:p w14:paraId="098C11A7" w14:textId="61996A6D" w:rsidR="00375EAB" w:rsidRPr="00D2126A" w:rsidRDefault="000E5A86" w:rsidP="00C7655E">
            <w:pPr>
              <w:keepNext/>
              <w:jc w:val="center"/>
              <w:rPr>
                <w:b/>
                <w:color w:val="000000"/>
                <w:sz w:val="20"/>
                <w:szCs w:val="20"/>
              </w:rPr>
            </w:pPr>
            <w:r>
              <w:rPr>
                <w:b/>
                <w:color w:val="000000"/>
                <w:sz w:val="20"/>
              </w:rPr>
              <w:t>(N = 353)</w:t>
            </w:r>
          </w:p>
        </w:tc>
        <w:tc>
          <w:tcPr>
            <w:tcW w:w="1006" w:type="pct"/>
            <w:shd w:val="clear" w:color="auto" w:fill="auto"/>
          </w:tcPr>
          <w:p w14:paraId="4207D919" w14:textId="77777777" w:rsidR="00F003F4" w:rsidRPr="00D2126A" w:rsidRDefault="000E5A86" w:rsidP="00C7655E">
            <w:pPr>
              <w:keepNext/>
              <w:jc w:val="center"/>
              <w:rPr>
                <w:b/>
                <w:color w:val="000000"/>
                <w:sz w:val="20"/>
                <w:szCs w:val="20"/>
              </w:rPr>
            </w:pPr>
            <w:r>
              <w:rPr>
                <w:b/>
                <w:color w:val="000000"/>
                <w:sz w:val="20"/>
              </w:rPr>
              <w:t>placebo/dex</w:t>
            </w:r>
          </w:p>
          <w:p w14:paraId="5D8DE472" w14:textId="47368707" w:rsidR="00375EAB" w:rsidRPr="00D2126A" w:rsidRDefault="000E5A86" w:rsidP="00C7655E">
            <w:pPr>
              <w:keepNext/>
              <w:jc w:val="center"/>
              <w:rPr>
                <w:b/>
                <w:color w:val="000000"/>
                <w:sz w:val="20"/>
                <w:szCs w:val="20"/>
              </w:rPr>
            </w:pPr>
            <w:r>
              <w:rPr>
                <w:b/>
                <w:color w:val="000000"/>
                <w:sz w:val="20"/>
              </w:rPr>
              <w:t>(N = 351)</w:t>
            </w:r>
          </w:p>
        </w:tc>
        <w:tc>
          <w:tcPr>
            <w:tcW w:w="1493" w:type="pct"/>
            <w:shd w:val="clear" w:color="auto" w:fill="auto"/>
          </w:tcPr>
          <w:p w14:paraId="2781CCC5" w14:textId="77777777" w:rsidR="00375EAB" w:rsidRPr="00D2126A" w:rsidRDefault="00375EAB" w:rsidP="00C7655E">
            <w:pPr>
              <w:keepNext/>
              <w:jc w:val="center"/>
              <w:rPr>
                <w:b/>
                <w:color w:val="000000"/>
                <w:sz w:val="20"/>
                <w:szCs w:val="20"/>
              </w:rPr>
            </w:pPr>
          </w:p>
        </w:tc>
      </w:tr>
      <w:tr w:rsidR="00D5485C" w:rsidRPr="00D2126A" w14:paraId="42343D36" w14:textId="77777777" w:rsidTr="00CB5D87">
        <w:trPr>
          <w:cantSplit/>
          <w:trHeight w:val="57"/>
          <w:jc w:val="center"/>
        </w:trPr>
        <w:tc>
          <w:tcPr>
            <w:tcW w:w="1493" w:type="pct"/>
            <w:shd w:val="clear" w:color="auto" w:fill="auto"/>
          </w:tcPr>
          <w:p w14:paraId="4F4B6006" w14:textId="6E3BC5F6" w:rsidR="00375EAB" w:rsidRPr="00D2126A" w:rsidRDefault="000E5A86" w:rsidP="00C7655E">
            <w:pPr>
              <w:keepNext/>
              <w:jc w:val="center"/>
              <w:rPr>
                <w:color w:val="000000"/>
                <w:sz w:val="20"/>
                <w:szCs w:val="20"/>
              </w:rPr>
            </w:pPr>
            <w:r>
              <w:rPr>
                <w:b/>
                <w:color w:val="000000"/>
                <w:sz w:val="20"/>
              </w:rPr>
              <w:t>Délai avant événement</w:t>
            </w:r>
          </w:p>
        </w:tc>
        <w:tc>
          <w:tcPr>
            <w:tcW w:w="1008" w:type="pct"/>
            <w:shd w:val="clear" w:color="auto" w:fill="auto"/>
          </w:tcPr>
          <w:p w14:paraId="19AF9DA0" w14:textId="77777777" w:rsidR="00375EAB" w:rsidRPr="00D2126A" w:rsidRDefault="00375EAB" w:rsidP="00C7655E">
            <w:pPr>
              <w:keepNext/>
              <w:jc w:val="center"/>
              <w:rPr>
                <w:color w:val="000000"/>
                <w:sz w:val="20"/>
                <w:szCs w:val="20"/>
              </w:rPr>
            </w:pPr>
          </w:p>
        </w:tc>
        <w:tc>
          <w:tcPr>
            <w:tcW w:w="1006" w:type="pct"/>
            <w:shd w:val="clear" w:color="auto" w:fill="auto"/>
          </w:tcPr>
          <w:p w14:paraId="013EB5A1" w14:textId="77777777" w:rsidR="00375EAB" w:rsidRPr="00D2126A" w:rsidRDefault="00375EAB" w:rsidP="00C7655E">
            <w:pPr>
              <w:keepNext/>
              <w:jc w:val="center"/>
              <w:rPr>
                <w:color w:val="000000"/>
                <w:sz w:val="20"/>
                <w:szCs w:val="20"/>
              </w:rPr>
            </w:pPr>
          </w:p>
        </w:tc>
        <w:tc>
          <w:tcPr>
            <w:tcW w:w="1493" w:type="pct"/>
            <w:shd w:val="clear" w:color="auto" w:fill="auto"/>
          </w:tcPr>
          <w:p w14:paraId="5DCAA54C" w14:textId="6109F464" w:rsidR="00375EAB" w:rsidRPr="00D2126A" w:rsidRDefault="000E5A86" w:rsidP="000E4C89">
            <w:pPr>
              <w:pStyle w:val="Style7"/>
            </w:pPr>
            <w:r>
              <w:t>RR [IC à 95 %], p</w:t>
            </w:r>
            <w:r>
              <w:rPr>
                <w:vertAlign w:val="superscript"/>
              </w:rPr>
              <w:t>a</w:t>
            </w:r>
          </w:p>
        </w:tc>
      </w:tr>
      <w:tr w:rsidR="00D5485C" w:rsidRPr="00D2126A" w14:paraId="4A7DDC97" w14:textId="77777777" w:rsidTr="00CB5D87">
        <w:trPr>
          <w:cantSplit/>
          <w:trHeight w:val="57"/>
          <w:jc w:val="center"/>
        </w:trPr>
        <w:tc>
          <w:tcPr>
            <w:tcW w:w="1493" w:type="pct"/>
            <w:shd w:val="clear" w:color="auto" w:fill="auto"/>
          </w:tcPr>
          <w:p w14:paraId="23AA5F28" w14:textId="77777777" w:rsidR="00036363" w:rsidRPr="00D2126A" w:rsidRDefault="000E5A86" w:rsidP="00C7655E">
            <w:pPr>
              <w:keepNext/>
              <w:jc w:val="center"/>
              <w:rPr>
                <w:color w:val="000000"/>
                <w:sz w:val="20"/>
                <w:szCs w:val="20"/>
              </w:rPr>
            </w:pPr>
            <w:r>
              <w:rPr>
                <w:color w:val="000000"/>
                <w:sz w:val="20"/>
              </w:rPr>
              <w:t>Temps jusqu’à progression</w:t>
            </w:r>
          </w:p>
          <w:p w14:paraId="1BCC34D8" w14:textId="70D2B859" w:rsidR="00375EAB" w:rsidRPr="00D2126A" w:rsidRDefault="000E5A86" w:rsidP="00C7655E">
            <w:pPr>
              <w:keepNext/>
              <w:jc w:val="center"/>
              <w:rPr>
                <w:color w:val="000000"/>
                <w:sz w:val="20"/>
                <w:szCs w:val="20"/>
              </w:rPr>
            </w:pPr>
            <w:r>
              <w:rPr>
                <w:color w:val="000000"/>
                <w:sz w:val="20"/>
              </w:rPr>
              <w:t>médiane [IC à 95 %], semaines</w:t>
            </w:r>
          </w:p>
        </w:tc>
        <w:tc>
          <w:tcPr>
            <w:tcW w:w="1008" w:type="pct"/>
            <w:shd w:val="clear" w:color="auto" w:fill="auto"/>
          </w:tcPr>
          <w:p w14:paraId="0413FD11" w14:textId="77777777" w:rsidR="00375EAB" w:rsidRPr="00D2126A" w:rsidRDefault="000E5A86" w:rsidP="00C93C76">
            <w:pPr>
              <w:jc w:val="center"/>
              <w:rPr>
                <w:color w:val="000000"/>
                <w:sz w:val="20"/>
                <w:szCs w:val="20"/>
              </w:rPr>
            </w:pPr>
            <w:r>
              <w:rPr>
                <w:color w:val="000000"/>
                <w:sz w:val="20"/>
              </w:rPr>
              <w:t>60,1 [44,3 ; 73,1]</w:t>
            </w:r>
          </w:p>
        </w:tc>
        <w:tc>
          <w:tcPr>
            <w:tcW w:w="1006" w:type="pct"/>
            <w:shd w:val="clear" w:color="auto" w:fill="auto"/>
          </w:tcPr>
          <w:p w14:paraId="0DE02A4E" w14:textId="77777777" w:rsidR="00375EAB" w:rsidRPr="00D2126A" w:rsidRDefault="000E5A86" w:rsidP="00C93C76">
            <w:pPr>
              <w:jc w:val="center"/>
              <w:rPr>
                <w:color w:val="000000"/>
                <w:sz w:val="20"/>
                <w:szCs w:val="20"/>
              </w:rPr>
            </w:pPr>
            <w:r>
              <w:rPr>
                <w:color w:val="000000"/>
                <w:sz w:val="20"/>
              </w:rPr>
              <w:t>20,1 [17,7 ; 20,3]</w:t>
            </w:r>
          </w:p>
        </w:tc>
        <w:tc>
          <w:tcPr>
            <w:tcW w:w="1493" w:type="pct"/>
            <w:shd w:val="clear" w:color="auto" w:fill="auto"/>
          </w:tcPr>
          <w:p w14:paraId="6BC39D7E" w14:textId="062670F9" w:rsidR="00375EAB" w:rsidRPr="00D2126A" w:rsidRDefault="000E5A86" w:rsidP="00C93C76">
            <w:pPr>
              <w:jc w:val="center"/>
              <w:rPr>
                <w:color w:val="000000"/>
                <w:sz w:val="20"/>
                <w:szCs w:val="20"/>
              </w:rPr>
            </w:pPr>
            <w:r>
              <w:rPr>
                <w:color w:val="000000"/>
                <w:sz w:val="20"/>
              </w:rPr>
              <w:t>0,350 [0,287 ; 0,426], p &lt; 0,001</w:t>
            </w:r>
          </w:p>
        </w:tc>
      </w:tr>
      <w:tr w:rsidR="00D5485C" w:rsidRPr="00D2126A" w14:paraId="0B8D2122" w14:textId="77777777" w:rsidTr="00CB5D87">
        <w:trPr>
          <w:cantSplit/>
          <w:trHeight w:val="57"/>
          <w:jc w:val="center"/>
        </w:trPr>
        <w:tc>
          <w:tcPr>
            <w:tcW w:w="1493" w:type="pct"/>
            <w:shd w:val="clear" w:color="auto" w:fill="auto"/>
          </w:tcPr>
          <w:p w14:paraId="6364914B" w14:textId="77777777" w:rsidR="00036363" w:rsidRPr="00D2126A" w:rsidRDefault="000E5A86" w:rsidP="00C7655E">
            <w:pPr>
              <w:keepNext/>
              <w:ind w:left="-113" w:right="-113"/>
              <w:jc w:val="center"/>
              <w:rPr>
                <w:color w:val="000000"/>
                <w:sz w:val="20"/>
                <w:szCs w:val="20"/>
              </w:rPr>
            </w:pPr>
            <w:r>
              <w:rPr>
                <w:color w:val="000000"/>
                <w:sz w:val="20"/>
              </w:rPr>
              <w:t>Survie sans progression</w:t>
            </w:r>
          </w:p>
          <w:p w14:paraId="46E61207" w14:textId="4C8486B9" w:rsidR="00375EAB" w:rsidRPr="00D2126A" w:rsidRDefault="000E5A86" w:rsidP="00C7655E">
            <w:pPr>
              <w:keepNext/>
              <w:jc w:val="center"/>
              <w:rPr>
                <w:color w:val="000000"/>
                <w:sz w:val="20"/>
                <w:szCs w:val="20"/>
              </w:rPr>
            </w:pPr>
            <w:r>
              <w:rPr>
                <w:color w:val="000000"/>
                <w:sz w:val="20"/>
              </w:rPr>
              <w:t>médiane [IC à 95 %], semaines</w:t>
            </w:r>
          </w:p>
        </w:tc>
        <w:tc>
          <w:tcPr>
            <w:tcW w:w="1008" w:type="pct"/>
            <w:shd w:val="clear" w:color="auto" w:fill="auto"/>
          </w:tcPr>
          <w:p w14:paraId="71968427" w14:textId="01351D64" w:rsidR="00375EAB" w:rsidRPr="00D2126A" w:rsidRDefault="000E5A86" w:rsidP="00EA2362">
            <w:pPr>
              <w:jc w:val="center"/>
              <w:rPr>
                <w:color w:val="000000"/>
                <w:sz w:val="20"/>
                <w:szCs w:val="20"/>
              </w:rPr>
            </w:pPr>
            <w:r>
              <w:rPr>
                <w:color w:val="000000"/>
                <w:sz w:val="20"/>
              </w:rPr>
              <w:t>48,1 [36,4 ; 62,1]</w:t>
            </w:r>
          </w:p>
        </w:tc>
        <w:tc>
          <w:tcPr>
            <w:tcW w:w="1006" w:type="pct"/>
            <w:shd w:val="clear" w:color="auto" w:fill="auto"/>
          </w:tcPr>
          <w:p w14:paraId="3658BFC9" w14:textId="77777777" w:rsidR="00375EAB" w:rsidRPr="00D2126A" w:rsidRDefault="000E5A86" w:rsidP="00C93C76">
            <w:pPr>
              <w:jc w:val="center"/>
              <w:rPr>
                <w:color w:val="000000"/>
                <w:sz w:val="20"/>
                <w:szCs w:val="20"/>
              </w:rPr>
            </w:pPr>
            <w:r>
              <w:rPr>
                <w:color w:val="000000"/>
                <w:sz w:val="20"/>
              </w:rPr>
              <w:t>20,0 [16,1 ; 20,1]</w:t>
            </w:r>
          </w:p>
        </w:tc>
        <w:tc>
          <w:tcPr>
            <w:tcW w:w="1493" w:type="pct"/>
            <w:shd w:val="clear" w:color="auto" w:fill="auto"/>
          </w:tcPr>
          <w:p w14:paraId="05C256EB" w14:textId="0BC8A4A7" w:rsidR="00375EAB" w:rsidRPr="00D2126A" w:rsidRDefault="000E5A86" w:rsidP="00C93C76">
            <w:pPr>
              <w:jc w:val="center"/>
              <w:rPr>
                <w:color w:val="000000"/>
                <w:sz w:val="20"/>
                <w:szCs w:val="20"/>
              </w:rPr>
            </w:pPr>
            <w:r>
              <w:rPr>
                <w:color w:val="000000"/>
                <w:sz w:val="20"/>
              </w:rPr>
              <w:t>0,393 [0,326 ; 0,473], p &lt; 0,001</w:t>
            </w:r>
          </w:p>
        </w:tc>
      </w:tr>
      <w:tr w:rsidR="00D5485C" w:rsidRPr="00D2126A" w14:paraId="209C8677" w14:textId="77777777" w:rsidTr="00EA2362">
        <w:trPr>
          <w:cantSplit/>
          <w:trHeight w:val="57"/>
          <w:jc w:val="center"/>
        </w:trPr>
        <w:tc>
          <w:tcPr>
            <w:tcW w:w="1493" w:type="pct"/>
            <w:shd w:val="clear" w:color="auto" w:fill="auto"/>
          </w:tcPr>
          <w:p w14:paraId="403CCBD3" w14:textId="77777777" w:rsidR="00375EAB" w:rsidRPr="00D2126A" w:rsidRDefault="000E5A86" w:rsidP="00C93C76">
            <w:pPr>
              <w:jc w:val="center"/>
              <w:rPr>
                <w:color w:val="000000"/>
                <w:sz w:val="20"/>
                <w:szCs w:val="20"/>
              </w:rPr>
            </w:pPr>
            <w:r>
              <w:rPr>
                <w:color w:val="000000"/>
                <w:sz w:val="20"/>
              </w:rPr>
              <w:t>Survie globale</w:t>
            </w:r>
          </w:p>
          <w:p w14:paraId="77643983" w14:textId="62D2E3F4" w:rsidR="00375EAB" w:rsidRPr="00D2126A" w:rsidRDefault="000E5A86" w:rsidP="00C93C76">
            <w:pPr>
              <w:jc w:val="center"/>
              <w:rPr>
                <w:color w:val="000000"/>
                <w:sz w:val="20"/>
                <w:szCs w:val="20"/>
              </w:rPr>
            </w:pPr>
            <w:r>
              <w:rPr>
                <w:color w:val="000000"/>
                <w:sz w:val="20"/>
              </w:rPr>
              <w:t>médiane [IC à 95 %], semaines</w:t>
            </w:r>
          </w:p>
          <w:p w14:paraId="5AFF4AF4" w14:textId="6D3C0D62" w:rsidR="00375EAB" w:rsidRPr="00D2126A" w:rsidRDefault="000E5A86" w:rsidP="00C93C76">
            <w:pPr>
              <w:jc w:val="center"/>
              <w:rPr>
                <w:color w:val="000000"/>
                <w:sz w:val="20"/>
                <w:szCs w:val="20"/>
              </w:rPr>
            </w:pPr>
            <w:r>
              <w:rPr>
                <w:color w:val="000000"/>
                <w:sz w:val="20"/>
              </w:rPr>
              <w:t>Taux de survie globale à 1 an</w:t>
            </w:r>
          </w:p>
        </w:tc>
        <w:tc>
          <w:tcPr>
            <w:tcW w:w="1008" w:type="pct"/>
            <w:shd w:val="clear" w:color="auto" w:fill="auto"/>
            <w:vAlign w:val="center"/>
          </w:tcPr>
          <w:p w14:paraId="0EEB4FEE" w14:textId="77777777" w:rsidR="00375EAB" w:rsidRPr="00D2126A" w:rsidRDefault="000E5A86" w:rsidP="00EA2362">
            <w:pPr>
              <w:jc w:val="center"/>
              <w:rPr>
                <w:color w:val="000000"/>
                <w:sz w:val="20"/>
                <w:szCs w:val="20"/>
              </w:rPr>
            </w:pPr>
            <w:r>
              <w:rPr>
                <w:color w:val="000000"/>
                <w:sz w:val="20"/>
              </w:rPr>
              <w:t>164,3 [145,1 ; 192,6]</w:t>
            </w:r>
          </w:p>
          <w:p w14:paraId="74661667" w14:textId="77777777" w:rsidR="00375EAB" w:rsidRPr="00D2126A" w:rsidRDefault="000E5A86" w:rsidP="00EA2362">
            <w:pPr>
              <w:jc w:val="center"/>
              <w:rPr>
                <w:color w:val="000000"/>
                <w:sz w:val="20"/>
                <w:szCs w:val="20"/>
              </w:rPr>
            </w:pPr>
            <w:r>
              <w:rPr>
                <w:color w:val="000000"/>
                <w:sz w:val="20"/>
              </w:rPr>
              <w:t>82 %</w:t>
            </w:r>
          </w:p>
        </w:tc>
        <w:tc>
          <w:tcPr>
            <w:tcW w:w="1006" w:type="pct"/>
            <w:shd w:val="clear" w:color="auto" w:fill="auto"/>
            <w:vAlign w:val="center"/>
          </w:tcPr>
          <w:p w14:paraId="0B766F6C" w14:textId="77777777" w:rsidR="00375EAB" w:rsidRPr="00D2126A" w:rsidRDefault="000E5A86" w:rsidP="00EA2362">
            <w:pPr>
              <w:jc w:val="center"/>
              <w:rPr>
                <w:color w:val="000000"/>
                <w:sz w:val="20"/>
                <w:szCs w:val="20"/>
              </w:rPr>
            </w:pPr>
            <w:r>
              <w:rPr>
                <w:color w:val="000000"/>
                <w:sz w:val="20"/>
              </w:rPr>
              <w:t>136,4 [113,1 ; 161,7]</w:t>
            </w:r>
          </w:p>
          <w:p w14:paraId="599D3B67" w14:textId="77777777" w:rsidR="00375EAB" w:rsidRPr="00D2126A" w:rsidRDefault="000E5A86" w:rsidP="00EA2362">
            <w:pPr>
              <w:jc w:val="center"/>
              <w:rPr>
                <w:color w:val="000000"/>
                <w:sz w:val="20"/>
                <w:szCs w:val="20"/>
              </w:rPr>
            </w:pPr>
            <w:r>
              <w:rPr>
                <w:color w:val="000000"/>
                <w:sz w:val="20"/>
              </w:rPr>
              <w:t>75 %</w:t>
            </w:r>
          </w:p>
        </w:tc>
        <w:tc>
          <w:tcPr>
            <w:tcW w:w="1493" w:type="pct"/>
            <w:shd w:val="clear" w:color="auto" w:fill="auto"/>
            <w:vAlign w:val="center"/>
          </w:tcPr>
          <w:p w14:paraId="7FFCCEF5" w14:textId="648A857A" w:rsidR="00375EAB" w:rsidRPr="00D2126A" w:rsidRDefault="000E5A86" w:rsidP="00EA2362">
            <w:pPr>
              <w:jc w:val="center"/>
              <w:rPr>
                <w:color w:val="000000"/>
                <w:sz w:val="20"/>
                <w:szCs w:val="20"/>
              </w:rPr>
            </w:pPr>
            <w:r>
              <w:rPr>
                <w:color w:val="000000"/>
                <w:sz w:val="20"/>
              </w:rPr>
              <w:t>0,833 [0,687 ; 1,009], p = 0,045</w:t>
            </w:r>
          </w:p>
        </w:tc>
      </w:tr>
      <w:tr w:rsidR="00D5485C" w:rsidRPr="00156723" w14:paraId="07B0ED04" w14:textId="77777777" w:rsidTr="00CB5D87">
        <w:trPr>
          <w:cantSplit/>
          <w:trHeight w:val="57"/>
          <w:jc w:val="center"/>
        </w:trPr>
        <w:tc>
          <w:tcPr>
            <w:tcW w:w="1493" w:type="pct"/>
            <w:shd w:val="clear" w:color="auto" w:fill="auto"/>
          </w:tcPr>
          <w:p w14:paraId="2FDF47A4" w14:textId="77777777" w:rsidR="00375EAB" w:rsidRPr="00D2126A" w:rsidRDefault="000E5A86" w:rsidP="00C7655E">
            <w:pPr>
              <w:keepNext/>
              <w:jc w:val="center"/>
              <w:rPr>
                <w:color w:val="000000"/>
                <w:sz w:val="20"/>
                <w:szCs w:val="20"/>
              </w:rPr>
            </w:pPr>
            <w:r>
              <w:rPr>
                <w:b/>
                <w:color w:val="000000"/>
                <w:sz w:val="20"/>
              </w:rPr>
              <w:t>Taux de réponse</w:t>
            </w:r>
          </w:p>
        </w:tc>
        <w:tc>
          <w:tcPr>
            <w:tcW w:w="1008" w:type="pct"/>
            <w:shd w:val="clear" w:color="auto" w:fill="auto"/>
          </w:tcPr>
          <w:p w14:paraId="23CC3233" w14:textId="77777777" w:rsidR="00375EAB" w:rsidRPr="00D2126A" w:rsidRDefault="00375EAB" w:rsidP="00C7655E">
            <w:pPr>
              <w:keepNext/>
              <w:jc w:val="center"/>
              <w:rPr>
                <w:color w:val="000000"/>
                <w:sz w:val="20"/>
                <w:szCs w:val="20"/>
              </w:rPr>
            </w:pPr>
          </w:p>
        </w:tc>
        <w:tc>
          <w:tcPr>
            <w:tcW w:w="1006" w:type="pct"/>
            <w:shd w:val="clear" w:color="auto" w:fill="auto"/>
          </w:tcPr>
          <w:p w14:paraId="6BAE9D46" w14:textId="77777777" w:rsidR="00375EAB" w:rsidRPr="00D2126A" w:rsidRDefault="00375EAB" w:rsidP="00C7655E">
            <w:pPr>
              <w:keepNext/>
              <w:jc w:val="center"/>
              <w:rPr>
                <w:color w:val="000000"/>
                <w:sz w:val="20"/>
                <w:szCs w:val="20"/>
              </w:rPr>
            </w:pPr>
          </w:p>
        </w:tc>
        <w:tc>
          <w:tcPr>
            <w:tcW w:w="1493" w:type="pct"/>
            <w:shd w:val="clear" w:color="auto" w:fill="auto"/>
          </w:tcPr>
          <w:p w14:paraId="24D482F6" w14:textId="2BF414C7" w:rsidR="00375EAB" w:rsidRPr="00156723" w:rsidRDefault="000E5A86" w:rsidP="000E4C89">
            <w:pPr>
              <w:pStyle w:val="Style7"/>
            </w:pPr>
            <w:r>
              <w:rPr>
                <w:i/>
              </w:rPr>
              <w:t>Odds ratio</w:t>
            </w:r>
            <w:r>
              <w:t xml:space="preserve"> [IC à 95 %], p</w:t>
            </w:r>
            <w:r>
              <w:rPr>
                <w:vertAlign w:val="superscript"/>
              </w:rPr>
              <w:t>b</w:t>
            </w:r>
          </w:p>
        </w:tc>
      </w:tr>
      <w:tr w:rsidR="00D5485C" w:rsidRPr="00D2126A" w14:paraId="26F442D3" w14:textId="77777777" w:rsidTr="00CB5D87">
        <w:trPr>
          <w:cantSplit/>
          <w:trHeight w:val="57"/>
          <w:jc w:val="center"/>
        </w:trPr>
        <w:tc>
          <w:tcPr>
            <w:tcW w:w="1493" w:type="pct"/>
            <w:shd w:val="clear" w:color="auto" w:fill="auto"/>
          </w:tcPr>
          <w:p w14:paraId="2981572B" w14:textId="77777777" w:rsidR="00375EAB" w:rsidRPr="00D2126A" w:rsidRDefault="000E5A86" w:rsidP="00C7655E">
            <w:pPr>
              <w:keepNext/>
              <w:jc w:val="center"/>
              <w:rPr>
                <w:color w:val="000000"/>
                <w:sz w:val="20"/>
                <w:szCs w:val="20"/>
              </w:rPr>
            </w:pPr>
            <w:r>
              <w:rPr>
                <w:color w:val="000000"/>
                <w:sz w:val="20"/>
              </w:rPr>
              <w:t>Réponses globales [n, %]</w:t>
            </w:r>
          </w:p>
          <w:p w14:paraId="61F9E69C" w14:textId="77777777" w:rsidR="00375EAB" w:rsidRPr="00D2126A" w:rsidRDefault="000E5A86" w:rsidP="00C7655E">
            <w:pPr>
              <w:keepNext/>
              <w:jc w:val="center"/>
              <w:rPr>
                <w:b/>
                <w:color w:val="000000"/>
                <w:sz w:val="20"/>
                <w:szCs w:val="20"/>
              </w:rPr>
            </w:pPr>
            <w:r>
              <w:rPr>
                <w:color w:val="000000"/>
                <w:sz w:val="20"/>
              </w:rPr>
              <w:t>Réponses complètes [n, %]</w:t>
            </w:r>
          </w:p>
        </w:tc>
        <w:tc>
          <w:tcPr>
            <w:tcW w:w="1008" w:type="pct"/>
            <w:shd w:val="clear" w:color="auto" w:fill="auto"/>
          </w:tcPr>
          <w:p w14:paraId="4B10CE48" w14:textId="77777777" w:rsidR="00375EAB" w:rsidRPr="00D2126A" w:rsidRDefault="000E5A86" w:rsidP="00C7655E">
            <w:pPr>
              <w:keepNext/>
              <w:jc w:val="center"/>
              <w:rPr>
                <w:color w:val="000000"/>
                <w:sz w:val="20"/>
                <w:szCs w:val="20"/>
              </w:rPr>
            </w:pPr>
            <w:r>
              <w:rPr>
                <w:color w:val="000000"/>
                <w:sz w:val="20"/>
              </w:rPr>
              <w:t>212 (60,1)</w:t>
            </w:r>
          </w:p>
          <w:p w14:paraId="5EC6714D" w14:textId="77777777" w:rsidR="00375EAB" w:rsidRPr="00D2126A" w:rsidRDefault="000E5A86" w:rsidP="00C7655E">
            <w:pPr>
              <w:keepNext/>
              <w:jc w:val="center"/>
              <w:rPr>
                <w:color w:val="000000"/>
                <w:sz w:val="20"/>
                <w:szCs w:val="20"/>
              </w:rPr>
            </w:pPr>
            <w:r>
              <w:rPr>
                <w:color w:val="000000"/>
                <w:sz w:val="20"/>
              </w:rPr>
              <w:t>58 (16,4)</w:t>
            </w:r>
          </w:p>
        </w:tc>
        <w:tc>
          <w:tcPr>
            <w:tcW w:w="1006" w:type="pct"/>
            <w:shd w:val="clear" w:color="auto" w:fill="auto"/>
          </w:tcPr>
          <w:p w14:paraId="7DF58C4F" w14:textId="77777777" w:rsidR="00375EAB" w:rsidRPr="00D2126A" w:rsidRDefault="000E5A86" w:rsidP="00C7655E">
            <w:pPr>
              <w:keepNext/>
              <w:jc w:val="center"/>
              <w:rPr>
                <w:color w:val="000000"/>
                <w:sz w:val="20"/>
                <w:szCs w:val="20"/>
              </w:rPr>
            </w:pPr>
            <w:r>
              <w:rPr>
                <w:color w:val="000000"/>
                <w:sz w:val="20"/>
              </w:rPr>
              <w:t>75 (21,4)</w:t>
            </w:r>
          </w:p>
          <w:p w14:paraId="50149DC5" w14:textId="77777777" w:rsidR="00375EAB" w:rsidRPr="00D2126A" w:rsidRDefault="000E5A86" w:rsidP="00C7655E">
            <w:pPr>
              <w:keepNext/>
              <w:jc w:val="center"/>
              <w:rPr>
                <w:color w:val="000000"/>
                <w:sz w:val="20"/>
                <w:szCs w:val="20"/>
              </w:rPr>
            </w:pPr>
            <w:r>
              <w:rPr>
                <w:color w:val="000000"/>
                <w:sz w:val="20"/>
              </w:rPr>
              <w:t>11 (3,1)</w:t>
            </w:r>
          </w:p>
        </w:tc>
        <w:tc>
          <w:tcPr>
            <w:tcW w:w="1493" w:type="pct"/>
            <w:shd w:val="clear" w:color="auto" w:fill="auto"/>
          </w:tcPr>
          <w:p w14:paraId="41F57E23" w14:textId="77777777" w:rsidR="00375EAB" w:rsidRPr="00D2126A" w:rsidRDefault="000E5A86" w:rsidP="00C7655E">
            <w:pPr>
              <w:keepNext/>
              <w:jc w:val="center"/>
              <w:rPr>
                <w:color w:val="000000"/>
                <w:sz w:val="20"/>
                <w:szCs w:val="20"/>
              </w:rPr>
            </w:pPr>
            <w:r>
              <w:rPr>
                <w:color w:val="000000"/>
                <w:sz w:val="20"/>
              </w:rPr>
              <w:t>5,53 [3,97 ; 7,71], p &lt; 0,001</w:t>
            </w:r>
          </w:p>
          <w:p w14:paraId="01F4C9F4" w14:textId="4D75E4D5" w:rsidR="00375EAB" w:rsidRPr="00D2126A" w:rsidRDefault="000E5A86" w:rsidP="00C7655E">
            <w:pPr>
              <w:keepNext/>
              <w:jc w:val="center"/>
              <w:rPr>
                <w:b/>
                <w:bCs/>
                <w:color w:val="000000"/>
                <w:sz w:val="20"/>
                <w:szCs w:val="20"/>
              </w:rPr>
            </w:pPr>
            <w:r>
              <w:rPr>
                <w:color w:val="000000"/>
                <w:sz w:val="20"/>
              </w:rPr>
              <w:t>6,08 [3,13 ; 11,80], p &lt; 0,001</w:t>
            </w:r>
          </w:p>
        </w:tc>
      </w:tr>
    </w:tbl>
    <w:p w14:paraId="03B46071" w14:textId="77777777" w:rsidR="00375EAB" w:rsidRPr="00D2126A" w:rsidRDefault="000E5A86" w:rsidP="00C7655E">
      <w:pPr>
        <w:keepNext/>
        <w:tabs>
          <w:tab w:val="left" w:pos="284"/>
        </w:tabs>
        <w:rPr>
          <w:color w:val="000000"/>
          <w:sz w:val="16"/>
          <w:szCs w:val="16"/>
        </w:rPr>
      </w:pPr>
      <w:r>
        <w:rPr>
          <w:color w:val="000000"/>
          <w:sz w:val="16"/>
          <w:vertAlign w:val="superscript"/>
        </w:rPr>
        <w:t>a</w:t>
      </w:r>
      <w:r>
        <w:rPr>
          <w:color w:val="000000"/>
          <w:sz w:val="16"/>
        </w:rPr>
        <w:t> Test bilatéral du log</w:t>
      </w:r>
      <w:r>
        <w:rPr>
          <w:color w:val="000000"/>
          <w:sz w:val="16"/>
        </w:rPr>
        <w:noBreakHyphen/>
        <w:t>rank comparant les courbes de survie entre les groupes de traitement.</w:t>
      </w:r>
    </w:p>
    <w:p w14:paraId="39E4739E" w14:textId="77777777" w:rsidR="00194440" w:rsidRPr="00D2126A" w:rsidRDefault="000E5A86" w:rsidP="00C93C76">
      <w:pPr>
        <w:tabs>
          <w:tab w:val="left" w:pos="284"/>
        </w:tabs>
        <w:adjustRightInd w:val="0"/>
        <w:rPr>
          <w:color w:val="000000"/>
          <w:sz w:val="16"/>
          <w:szCs w:val="16"/>
        </w:rPr>
      </w:pPr>
      <w:r>
        <w:rPr>
          <w:color w:val="000000"/>
          <w:sz w:val="16"/>
          <w:vertAlign w:val="superscript"/>
        </w:rPr>
        <w:t>b</w:t>
      </w:r>
      <w:r>
        <w:rPr>
          <w:color w:val="000000"/>
          <w:sz w:val="16"/>
        </w:rPr>
        <w:t> Test bilatéral du χ² corrigé en fonction de la continuité.</w:t>
      </w:r>
    </w:p>
    <w:p w14:paraId="0C344074" w14:textId="77777777" w:rsidR="00375EAB" w:rsidRPr="00D2126A" w:rsidRDefault="00375EAB" w:rsidP="00C93C76">
      <w:pPr>
        <w:rPr>
          <w:color w:val="000000"/>
        </w:rPr>
      </w:pPr>
    </w:p>
    <w:p w14:paraId="4B9963A1" w14:textId="77777777" w:rsidR="008339B0" w:rsidRPr="00D2126A" w:rsidRDefault="000E5A86" w:rsidP="00C7655E">
      <w:pPr>
        <w:keepNext/>
        <w:rPr>
          <w:i/>
          <w:color w:val="000000"/>
          <w:u w:val="single"/>
        </w:rPr>
      </w:pPr>
      <w:r>
        <w:rPr>
          <w:i/>
          <w:color w:val="000000"/>
          <w:u w:val="single"/>
        </w:rPr>
        <w:t>Syndromes myélodysplasiques</w:t>
      </w:r>
    </w:p>
    <w:p w14:paraId="22763A5F" w14:textId="285C27B7" w:rsidR="00036363" w:rsidRPr="00D2126A" w:rsidRDefault="000E5A86" w:rsidP="00C93C76">
      <w:pPr>
        <w:rPr>
          <w:color w:val="000000"/>
        </w:rPr>
      </w:pPr>
      <w:r>
        <w:rPr>
          <w:color w:val="000000"/>
        </w:rPr>
        <w:t xml:space="preserve">L’efficacité et la tolérance du lénalidomide ont été évaluées dans deux études principales menées chez des patients présentant une anémie avec dépendance transfusionnelle due à un syndrome myélodysplasique à risque faible ou intermédiaire 1 associé à une anomalie cytogénétique de type délétion 5q, avec ou sans autres anomalies cytogénétiques : une étude de phase 3 multicentrique, randomisée en double aveugle, placebo contrôle, de trois bras, évaluant deux doses orales de lénalidomide (10 mg et 5 mg) </w:t>
      </w:r>
      <w:r>
        <w:rPr>
          <w:i/>
          <w:iCs/>
          <w:color w:val="000000"/>
        </w:rPr>
        <w:t>versus</w:t>
      </w:r>
      <w:r>
        <w:rPr>
          <w:color w:val="000000"/>
        </w:rPr>
        <w:t xml:space="preserve"> placebo (MDS</w:t>
      </w:r>
      <w:r>
        <w:rPr>
          <w:color w:val="000000"/>
        </w:rPr>
        <w:noBreakHyphen/>
        <w:t>004) et une étude de phase 2 multicentrique du traitement en ouvert par le lénalidomide (10 mg) uniquement (MDS</w:t>
      </w:r>
      <w:r>
        <w:rPr>
          <w:color w:val="000000"/>
        </w:rPr>
        <w:noBreakHyphen/>
        <w:t>003).</w:t>
      </w:r>
    </w:p>
    <w:p w14:paraId="69BFC57B" w14:textId="0979D893" w:rsidR="008339B0" w:rsidRPr="00D2126A" w:rsidRDefault="008339B0" w:rsidP="00C93C76">
      <w:pPr>
        <w:rPr>
          <w:color w:val="000000"/>
        </w:rPr>
      </w:pPr>
    </w:p>
    <w:p w14:paraId="7D07ED9A" w14:textId="60AB814C" w:rsidR="004F7445" w:rsidRPr="00D2126A" w:rsidRDefault="000E5A86" w:rsidP="00C93C76">
      <w:pPr>
        <w:pStyle w:val="Date"/>
        <w:rPr>
          <w:color w:val="000000"/>
        </w:rPr>
      </w:pPr>
      <w:r>
        <w:rPr>
          <w:color w:val="000000"/>
        </w:rPr>
        <w:t>Les résultats présentés ci</w:t>
      </w:r>
      <w:r>
        <w:rPr>
          <w:color w:val="000000"/>
        </w:rPr>
        <w:noBreakHyphen/>
        <w:t>dessous représentent la population en intention</w:t>
      </w:r>
      <w:r>
        <w:rPr>
          <w:color w:val="000000"/>
        </w:rPr>
        <w:noBreakHyphen/>
        <w:t>de</w:t>
      </w:r>
      <w:r>
        <w:rPr>
          <w:color w:val="000000"/>
        </w:rPr>
        <w:noBreakHyphen/>
        <w:t>traiter des études MDS</w:t>
      </w:r>
      <w:r>
        <w:rPr>
          <w:color w:val="000000"/>
        </w:rPr>
        <w:noBreakHyphen/>
        <w:t>003 et MDS</w:t>
      </w:r>
      <w:r>
        <w:rPr>
          <w:color w:val="000000"/>
        </w:rPr>
        <w:noBreakHyphen/>
        <w:t>004 ; les résultats dans la sous</w:t>
      </w:r>
      <w:r>
        <w:rPr>
          <w:color w:val="000000"/>
        </w:rPr>
        <w:noBreakHyphen/>
        <w:t>population de patients porteurs de l’anomalie del 5q isolée sont également présentés séparément.</w:t>
      </w:r>
    </w:p>
    <w:p w14:paraId="343318B1" w14:textId="77777777" w:rsidR="004F7445" w:rsidRPr="00D2126A" w:rsidRDefault="004F7445" w:rsidP="00C93C76">
      <w:pPr>
        <w:rPr>
          <w:color w:val="000000"/>
        </w:rPr>
      </w:pPr>
    </w:p>
    <w:p w14:paraId="27471FEF" w14:textId="3A44EC9E" w:rsidR="008339B0" w:rsidRPr="00D2126A" w:rsidRDefault="000E5A86" w:rsidP="00C93C76">
      <w:pPr>
        <w:rPr>
          <w:color w:val="000000"/>
        </w:rPr>
      </w:pPr>
      <w:r>
        <w:rPr>
          <w:color w:val="000000"/>
        </w:rPr>
        <w:t>Dans l’étude MDS</w:t>
      </w:r>
      <w:r>
        <w:rPr>
          <w:color w:val="000000"/>
        </w:rPr>
        <w:noBreakHyphen/>
        <w:t>004, 205 patients ont été randomisés, selon un rapport égal, pour recevoir le lénalidomide 10 mg, le lénalidomide 5 mg ou le placebo : le critère principal d’efficacité consistait en une comparaison des taux de réponse d’indépendance transfusionnelle dans les bras lénalidomide 10 mg et 5 mg par rapport au bras placebo (phase en double aveugle de 16 à 52 semaines et extension en ouvert allant jusqu’à 156 semaines au total). Le traitement devait être arrêté chez lez patients qui ne présentaient pas au moins une réponse érythroïde mineure après 16 semaines. Les patients présentant une réponse érythroïde au moins mineure pouvaient poursuivre le traitement jusqu’à la rechute, la progression de la maladie ou une toxicité inacceptable. Les patients qui avaient reçu initialement le placebo ou le lénalidomide 5 mg et qui n’avaient pas obtenu une réponse érythroïde au moins mineure après 16 semaines de traitement pouvaient passer du placebo au lénalidomide 5 mg ou poursuivre le traitement par le lénalidomide à une dose plus élevée (de 5 mg à 10 mg).</w:t>
      </w:r>
    </w:p>
    <w:p w14:paraId="6EA0E14C" w14:textId="77777777" w:rsidR="008339B0" w:rsidRPr="00D2126A" w:rsidRDefault="008339B0" w:rsidP="00C93C76">
      <w:pPr>
        <w:pStyle w:val="Date"/>
        <w:rPr>
          <w:color w:val="000000"/>
        </w:rPr>
      </w:pPr>
    </w:p>
    <w:p w14:paraId="2CF019C5" w14:textId="7F0C9B7B" w:rsidR="008339B0" w:rsidRPr="00D2126A" w:rsidRDefault="000E5A86" w:rsidP="00C93C76">
      <w:pPr>
        <w:rPr>
          <w:color w:val="000000"/>
        </w:rPr>
      </w:pPr>
      <w:r>
        <w:rPr>
          <w:color w:val="000000"/>
        </w:rPr>
        <w:t>Dans l’étude MDS</w:t>
      </w:r>
      <w:r>
        <w:rPr>
          <w:color w:val="000000"/>
        </w:rPr>
        <w:noBreakHyphen/>
        <w:t>003, au cours de laquelle 148 patients ont reçu le lénalidomide à la dose de 10 mg, l’analyse du critère principal consistait à évaluer l’efficacité du traitement par le lénalidomide sur l’amélioration hématopoïétique chez les patients présentant un syndrome myélodysplasique à risque faible ou intermédiaire 1.</w:t>
      </w:r>
    </w:p>
    <w:p w14:paraId="12196978" w14:textId="77777777" w:rsidR="001120BE" w:rsidRPr="00D2126A" w:rsidRDefault="001120BE" w:rsidP="00C93C76">
      <w:pPr>
        <w:pStyle w:val="Date"/>
        <w:rPr>
          <w:b/>
          <w:color w:val="000000"/>
        </w:rPr>
      </w:pPr>
    </w:p>
    <w:p w14:paraId="73EFDE55" w14:textId="32E4FC1C" w:rsidR="008339B0" w:rsidRPr="00D2126A" w:rsidRDefault="000E5A86" w:rsidP="00C93C76">
      <w:pPr>
        <w:pStyle w:val="C-TableHeader"/>
        <w:spacing w:before="0" w:after="0"/>
      </w:pPr>
      <w:r>
        <w:t>Tableau 12. Synthèse des résultats d’efficacité – Études MDS</w:t>
      </w:r>
      <w:r>
        <w:noBreakHyphen/>
        <w:t>004 (phase en double aveugle) et MDS</w:t>
      </w:r>
      <w:r>
        <w:noBreakHyphen/>
        <w:t>003, population en intention</w:t>
      </w:r>
      <w:r>
        <w:noBreakHyphen/>
        <w:t>de</w:t>
      </w:r>
      <w:r>
        <w:noBreakHyphen/>
        <w:t>traiter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423"/>
        <w:gridCol w:w="1354"/>
        <w:gridCol w:w="1352"/>
        <w:gridCol w:w="1354"/>
        <w:gridCol w:w="1803"/>
      </w:tblGrid>
      <w:tr w:rsidR="00D5485C" w:rsidRPr="00D2126A" w14:paraId="44A30A88" w14:textId="77777777" w:rsidTr="00ED4E7A">
        <w:trPr>
          <w:cantSplit/>
          <w:trHeight w:val="57"/>
          <w:tblHeader/>
        </w:trPr>
        <w:tc>
          <w:tcPr>
            <w:tcW w:w="1843" w:type="pct"/>
            <w:vMerge w:val="restart"/>
            <w:shd w:val="clear" w:color="auto" w:fill="auto"/>
          </w:tcPr>
          <w:p w14:paraId="5431567E" w14:textId="15A8843C" w:rsidR="008339B0" w:rsidRPr="00A60DF7" w:rsidRDefault="00A60DF7" w:rsidP="00A60DF7">
            <w:pPr>
              <w:pStyle w:val="Style12"/>
            </w:pPr>
            <w:r>
              <w:t>Critère d’évaluation</w:t>
            </w:r>
          </w:p>
        </w:tc>
        <w:tc>
          <w:tcPr>
            <w:tcW w:w="2186" w:type="pct"/>
            <w:gridSpan w:val="3"/>
            <w:shd w:val="clear" w:color="auto" w:fill="auto"/>
          </w:tcPr>
          <w:p w14:paraId="03D0041B" w14:textId="1FEB94FA" w:rsidR="008339B0" w:rsidRPr="00D2126A" w:rsidRDefault="000E5A86" w:rsidP="00C93C76">
            <w:pPr>
              <w:keepNext/>
              <w:jc w:val="center"/>
              <w:rPr>
                <w:b/>
                <w:color w:val="000000"/>
                <w:sz w:val="20"/>
                <w:szCs w:val="20"/>
              </w:rPr>
            </w:pPr>
            <w:r>
              <w:rPr>
                <w:b/>
                <w:color w:val="000000"/>
                <w:sz w:val="20"/>
              </w:rPr>
              <w:t>MDS</w:t>
            </w:r>
            <w:r>
              <w:rPr>
                <w:b/>
                <w:color w:val="000000"/>
                <w:sz w:val="20"/>
              </w:rPr>
              <w:noBreakHyphen/>
              <w:t>004</w:t>
            </w:r>
          </w:p>
          <w:p w14:paraId="5E3A3B9A" w14:textId="084FD04E" w:rsidR="008339B0" w:rsidRPr="00D2126A" w:rsidRDefault="000E5A86" w:rsidP="00C93C76">
            <w:pPr>
              <w:keepNext/>
              <w:jc w:val="center"/>
              <w:rPr>
                <w:b/>
                <w:color w:val="000000"/>
                <w:sz w:val="20"/>
                <w:szCs w:val="20"/>
              </w:rPr>
            </w:pPr>
            <w:r>
              <w:rPr>
                <w:b/>
                <w:color w:val="000000"/>
                <w:sz w:val="20"/>
              </w:rPr>
              <w:t>N = 205</w:t>
            </w:r>
          </w:p>
        </w:tc>
        <w:tc>
          <w:tcPr>
            <w:tcW w:w="971" w:type="pct"/>
            <w:shd w:val="clear" w:color="auto" w:fill="auto"/>
          </w:tcPr>
          <w:p w14:paraId="7B0D5AD5" w14:textId="77777777" w:rsidR="008339B0" w:rsidRPr="00D2126A" w:rsidRDefault="000E5A86" w:rsidP="00C93C76">
            <w:pPr>
              <w:keepNext/>
              <w:jc w:val="center"/>
              <w:rPr>
                <w:b/>
                <w:color w:val="000000"/>
                <w:sz w:val="20"/>
                <w:szCs w:val="20"/>
              </w:rPr>
            </w:pPr>
            <w:r>
              <w:rPr>
                <w:b/>
                <w:color w:val="000000"/>
                <w:sz w:val="20"/>
              </w:rPr>
              <w:t>MDS</w:t>
            </w:r>
            <w:r>
              <w:rPr>
                <w:b/>
                <w:color w:val="000000"/>
                <w:sz w:val="20"/>
              </w:rPr>
              <w:noBreakHyphen/>
              <w:t>003</w:t>
            </w:r>
          </w:p>
          <w:p w14:paraId="4A62A00E" w14:textId="37332A5F" w:rsidR="008339B0" w:rsidRPr="00D2126A" w:rsidRDefault="000E5A86" w:rsidP="00C93C76">
            <w:pPr>
              <w:pStyle w:val="Date"/>
              <w:keepNext/>
              <w:jc w:val="center"/>
              <w:rPr>
                <w:b/>
                <w:color w:val="000000"/>
                <w:sz w:val="20"/>
                <w:szCs w:val="20"/>
              </w:rPr>
            </w:pPr>
            <w:r>
              <w:rPr>
                <w:b/>
                <w:color w:val="000000"/>
                <w:sz w:val="20"/>
              </w:rPr>
              <w:t>N = 148</w:t>
            </w:r>
          </w:p>
        </w:tc>
      </w:tr>
      <w:tr w:rsidR="00D5485C" w:rsidRPr="00D2126A" w14:paraId="5CFFC318" w14:textId="77777777" w:rsidTr="00ED4E7A">
        <w:trPr>
          <w:cantSplit/>
          <w:trHeight w:val="57"/>
          <w:tblHeader/>
        </w:trPr>
        <w:tc>
          <w:tcPr>
            <w:tcW w:w="1843" w:type="pct"/>
            <w:vMerge/>
            <w:shd w:val="clear" w:color="auto" w:fill="auto"/>
          </w:tcPr>
          <w:p w14:paraId="3DD7EE41" w14:textId="77777777" w:rsidR="008339B0" w:rsidRPr="00D2126A" w:rsidRDefault="008339B0" w:rsidP="00C93C76">
            <w:pPr>
              <w:keepNext/>
              <w:rPr>
                <w:b/>
                <w:color w:val="000000"/>
                <w:sz w:val="20"/>
                <w:szCs w:val="20"/>
              </w:rPr>
            </w:pPr>
          </w:p>
        </w:tc>
        <w:tc>
          <w:tcPr>
            <w:tcW w:w="729" w:type="pct"/>
            <w:shd w:val="clear" w:color="auto" w:fill="auto"/>
          </w:tcPr>
          <w:p w14:paraId="1FDC0E34" w14:textId="5DABF7D5" w:rsidR="008339B0" w:rsidRPr="00D2126A" w:rsidRDefault="000E5A86" w:rsidP="00C93C76">
            <w:pPr>
              <w:keepNext/>
              <w:jc w:val="center"/>
              <w:rPr>
                <w:b/>
                <w:color w:val="000000"/>
                <w:sz w:val="20"/>
                <w:szCs w:val="20"/>
              </w:rPr>
            </w:pPr>
            <w:r>
              <w:rPr>
                <w:b/>
                <w:color w:val="000000"/>
                <w:sz w:val="20"/>
              </w:rPr>
              <w:t>10 mg</w:t>
            </w:r>
            <w:r>
              <w:rPr>
                <w:b/>
                <w:color w:val="000000"/>
                <w:sz w:val="20"/>
                <w:vertAlign w:val="superscript"/>
              </w:rPr>
              <w:t>†</w:t>
            </w:r>
          </w:p>
          <w:p w14:paraId="5819AB85" w14:textId="698EE6F4" w:rsidR="008339B0" w:rsidRPr="00D2126A" w:rsidRDefault="000E5A86" w:rsidP="00C93C76">
            <w:pPr>
              <w:keepNext/>
              <w:jc w:val="center"/>
              <w:rPr>
                <w:b/>
                <w:color w:val="000000"/>
                <w:sz w:val="20"/>
                <w:szCs w:val="20"/>
              </w:rPr>
            </w:pPr>
            <w:r>
              <w:rPr>
                <w:b/>
                <w:color w:val="000000"/>
                <w:sz w:val="20"/>
              </w:rPr>
              <w:t>N = 69</w:t>
            </w:r>
          </w:p>
        </w:tc>
        <w:tc>
          <w:tcPr>
            <w:tcW w:w="728" w:type="pct"/>
            <w:shd w:val="clear" w:color="auto" w:fill="auto"/>
          </w:tcPr>
          <w:p w14:paraId="6BD5E3DB" w14:textId="125A6BB4" w:rsidR="008339B0" w:rsidRPr="00D2126A" w:rsidRDefault="000E5A86" w:rsidP="00C93C76">
            <w:pPr>
              <w:keepNext/>
              <w:jc w:val="center"/>
              <w:rPr>
                <w:b/>
                <w:color w:val="000000"/>
                <w:sz w:val="20"/>
                <w:szCs w:val="20"/>
              </w:rPr>
            </w:pPr>
            <w:r>
              <w:rPr>
                <w:b/>
                <w:color w:val="000000"/>
                <w:sz w:val="20"/>
              </w:rPr>
              <w:t>5 mg</w:t>
            </w:r>
            <w:r>
              <w:rPr>
                <w:b/>
                <w:color w:val="000000"/>
                <w:sz w:val="20"/>
                <w:vertAlign w:val="superscript"/>
              </w:rPr>
              <w:t>††</w:t>
            </w:r>
          </w:p>
          <w:p w14:paraId="079340E6" w14:textId="52E55243" w:rsidR="008339B0" w:rsidRPr="00D2126A" w:rsidRDefault="000E5A86" w:rsidP="00C93C76">
            <w:pPr>
              <w:keepNext/>
              <w:jc w:val="center"/>
              <w:rPr>
                <w:b/>
                <w:color w:val="000000"/>
                <w:sz w:val="20"/>
                <w:szCs w:val="20"/>
              </w:rPr>
            </w:pPr>
            <w:r>
              <w:rPr>
                <w:b/>
                <w:color w:val="000000"/>
                <w:sz w:val="20"/>
              </w:rPr>
              <w:t>N = 69</w:t>
            </w:r>
          </w:p>
        </w:tc>
        <w:tc>
          <w:tcPr>
            <w:tcW w:w="729" w:type="pct"/>
            <w:shd w:val="clear" w:color="auto" w:fill="auto"/>
          </w:tcPr>
          <w:p w14:paraId="372D603E" w14:textId="77777777" w:rsidR="008339B0" w:rsidRPr="00D2126A" w:rsidRDefault="000E5A86" w:rsidP="00C93C76">
            <w:pPr>
              <w:keepNext/>
              <w:jc w:val="center"/>
              <w:rPr>
                <w:b/>
                <w:color w:val="000000"/>
                <w:sz w:val="20"/>
                <w:szCs w:val="20"/>
              </w:rPr>
            </w:pPr>
            <w:r>
              <w:rPr>
                <w:b/>
                <w:color w:val="000000"/>
                <w:sz w:val="20"/>
              </w:rPr>
              <w:t>Placebo*</w:t>
            </w:r>
          </w:p>
          <w:p w14:paraId="62D1F633" w14:textId="687AFBE6" w:rsidR="008339B0" w:rsidRPr="00D2126A" w:rsidRDefault="000E5A86" w:rsidP="00C93C76">
            <w:pPr>
              <w:keepNext/>
              <w:jc w:val="center"/>
              <w:rPr>
                <w:b/>
                <w:color w:val="000000"/>
                <w:sz w:val="20"/>
                <w:szCs w:val="20"/>
              </w:rPr>
            </w:pPr>
            <w:r>
              <w:rPr>
                <w:b/>
                <w:color w:val="000000"/>
                <w:sz w:val="20"/>
              </w:rPr>
              <w:t>N = 67</w:t>
            </w:r>
          </w:p>
        </w:tc>
        <w:tc>
          <w:tcPr>
            <w:tcW w:w="971" w:type="pct"/>
            <w:shd w:val="clear" w:color="auto" w:fill="auto"/>
          </w:tcPr>
          <w:p w14:paraId="2BDEEDE7" w14:textId="67B718EE" w:rsidR="008339B0" w:rsidRPr="00D2126A" w:rsidRDefault="000E5A86" w:rsidP="00C93C76">
            <w:pPr>
              <w:keepNext/>
              <w:jc w:val="center"/>
              <w:rPr>
                <w:b/>
                <w:color w:val="000000"/>
                <w:sz w:val="20"/>
                <w:szCs w:val="20"/>
              </w:rPr>
            </w:pPr>
            <w:r>
              <w:rPr>
                <w:b/>
                <w:color w:val="000000"/>
                <w:sz w:val="20"/>
              </w:rPr>
              <w:t>10 mg</w:t>
            </w:r>
          </w:p>
          <w:p w14:paraId="2259758F" w14:textId="1F3DFA2B" w:rsidR="008339B0" w:rsidRPr="00D2126A" w:rsidRDefault="000E5A86" w:rsidP="00C93C76">
            <w:pPr>
              <w:keepNext/>
              <w:jc w:val="center"/>
              <w:rPr>
                <w:b/>
                <w:color w:val="000000"/>
                <w:sz w:val="20"/>
                <w:szCs w:val="20"/>
              </w:rPr>
            </w:pPr>
            <w:r>
              <w:rPr>
                <w:b/>
                <w:color w:val="000000"/>
                <w:sz w:val="20"/>
              </w:rPr>
              <w:t>N = 148</w:t>
            </w:r>
          </w:p>
        </w:tc>
      </w:tr>
      <w:tr w:rsidR="00D5485C" w:rsidRPr="00D2126A" w14:paraId="4E83EF95" w14:textId="77777777" w:rsidTr="00F003F4">
        <w:trPr>
          <w:cantSplit/>
          <w:trHeight w:val="57"/>
        </w:trPr>
        <w:tc>
          <w:tcPr>
            <w:tcW w:w="1843" w:type="pct"/>
            <w:shd w:val="clear" w:color="auto" w:fill="auto"/>
          </w:tcPr>
          <w:p w14:paraId="1692F99A" w14:textId="77777777" w:rsidR="00036363" w:rsidRPr="00D2126A" w:rsidRDefault="000E5A86" w:rsidP="00C93C76">
            <w:pPr>
              <w:keepNext/>
              <w:rPr>
                <w:color w:val="000000"/>
                <w:sz w:val="20"/>
                <w:szCs w:val="20"/>
              </w:rPr>
            </w:pPr>
            <w:r>
              <w:rPr>
                <w:color w:val="000000"/>
                <w:sz w:val="20"/>
              </w:rPr>
              <w:t>Indépendance transfusionnelle</w:t>
            </w:r>
          </w:p>
          <w:p w14:paraId="35B4E5C9" w14:textId="6C1A6B52" w:rsidR="008339B0" w:rsidRPr="00D2126A" w:rsidRDefault="000E5A86" w:rsidP="009B144A">
            <w:pPr>
              <w:rPr>
                <w:color w:val="000000"/>
                <w:sz w:val="20"/>
                <w:szCs w:val="20"/>
              </w:rPr>
            </w:pPr>
            <w:r>
              <w:rPr>
                <w:color w:val="000000"/>
                <w:sz w:val="20"/>
              </w:rPr>
              <w:t>(≥ 182 jours)</w:t>
            </w:r>
            <w:r>
              <w:rPr>
                <w:color w:val="000000"/>
                <w:sz w:val="20"/>
                <w:vertAlign w:val="superscript"/>
              </w:rPr>
              <w:t xml:space="preserve"> #</w:t>
            </w:r>
          </w:p>
        </w:tc>
        <w:tc>
          <w:tcPr>
            <w:tcW w:w="729" w:type="pct"/>
            <w:shd w:val="clear" w:color="auto" w:fill="auto"/>
          </w:tcPr>
          <w:p w14:paraId="77E02822" w14:textId="77777777" w:rsidR="008339B0" w:rsidRPr="00D2126A" w:rsidRDefault="000E5A86" w:rsidP="00C93C76">
            <w:pPr>
              <w:keepNext/>
              <w:jc w:val="center"/>
              <w:rPr>
                <w:color w:val="000000"/>
                <w:sz w:val="20"/>
                <w:szCs w:val="20"/>
              </w:rPr>
            </w:pPr>
            <w:r>
              <w:rPr>
                <w:color w:val="000000"/>
                <w:sz w:val="20"/>
              </w:rPr>
              <w:t>38 (55,1 %)</w:t>
            </w:r>
          </w:p>
        </w:tc>
        <w:tc>
          <w:tcPr>
            <w:tcW w:w="728" w:type="pct"/>
            <w:shd w:val="clear" w:color="auto" w:fill="auto"/>
          </w:tcPr>
          <w:p w14:paraId="6D709191" w14:textId="77777777" w:rsidR="008339B0" w:rsidRPr="00D2126A" w:rsidRDefault="000E5A86" w:rsidP="00C93C76">
            <w:pPr>
              <w:keepNext/>
              <w:jc w:val="center"/>
              <w:rPr>
                <w:color w:val="000000"/>
                <w:sz w:val="20"/>
                <w:szCs w:val="20"/>
              </w:rPr>
            </w:pPr>
            <w:r>
              <w:rPr>
                <w:color w:val="000000"/>
                <w:sz w:val="20"/>
              </w:rPr>
              <w:t>24 (34,8 %)</w:t>
            </w:r>
          </w:p>
        </w:tc>
        <w:tc>
          <w:tcPr>
            <w:tcW w:w="729" w:type="pct"/>
            <w:shd w:val="clear" w:color="auto" w:fill="auto"/>
          </w:tcPr>
          <w:p w14:paraId="128D5333" w14:textId="77777777" w:rsidR="008339B0" w:rsidRPr="00D2126A" w:rsidRDefault="000E5A86" w:rsidP="00C93C76">
            <w:pPr>
              <w:keepNext/>
              <w:jc w:val="center"/>
              <w:rPr>
                <w:color w:val="000000"/>
                <w:sz w:val="20"/>
                <w:szCs w:val="20"/>
              </w:rPr>
            </w:pPr>
            <w:r>
              <w:rPr>
                <w:color w:val="000000"/>
                <w:sz w:val="20"/>
              </w:rPr>
              <w:t>4 (6,0 %)</w:t>
            </w:r>
          </w:p>
        </w:tc>
        <w:tc>
          <w:tcPr>
            <w:tcW w:w="971" w:type="pct"/>
            <w:shd w:val="clear" w:color="auto" w:fill="auto"/>
          </w:tcPr>
          <w:p w14:paraId="52BD982E" w14:textId="77777777" w:rsidR="008339B0" w:rsidRPr="00D2126A" w:rsidRDefault="000E5A86" w:rsidP="00C93C76">
            <w:pPr>
              <w:keepNext/>
              <w:jc w:val="center"/>
              <w:rPr>
                <w:color w:val="000000"/>
                <w:sz w:val="20"/>
                <w:szCs w:val="20"/>
              </w:rPr>
            </w:pPr>
            <w:r>
              <w:rPr>
                <w:color w:val="000000"/>
                <w:sz w:val="20"/>
              </w:rPr>
              <w:t>86 (58,1 %)</w:t>
            </w:r>
          </w:p>
        </w:tc>
      </w:tr>
      <w:tr w:rsidR="00D5485C" w:rsidRPr="00D2126A" w14:paraId="1AA71820" w14:textId="77777777" w:rsidTr="00F003F4">
        <w:trPr>
          <w:cantSplit/>
          <w:trHeight w:val="57"/>
        </w:trPr>
        <w:tc>
          <w:tcPr>
            <w:tcW w:w="1843" w:type="pct"/>
            <w:shd w:val="clear" w:color="auto" w:fill="auto"/>
          </w:tcPr>
          <w:p w14:paraId="4CC0804A" w14:textId="77777777" w:rsidR="00036363" w:rsidRPr="00D2126A" w:rsidRDefault="000E5A86" w:rsidP="00C93C76">
            <w:pPr>
              <w:rPr>
                <w:color w:val="000000"/>
                <w:sz w:val="20"/>
                <w:szCs w:val="20"/>
              </w:rPr>
            </w:pPr>
            <w:r>
              <w:rPr>
                <w:color w:val="000000"/>
                <w:sz w:val="20"/>
              </w:rPr>
              <w:t>Indépendance transfusionnelle</w:t>
            </w:r>
          </w:p>
          <w:p w14:paraId="0D15C2C1" w14:textId="73190FB8" w:rsidR="008339B0" w:rsidRPr="00D2126A" w:rsidRDefault="000E5A86" w:rsidP="00C93C76">
            <w:pPr>
              <w:rPr>
                <w:color w:val="000000"/>
                <w:sz w:val="20"/>
                <w:szCs w:val="20"/>
              </w:rPr>
            </w:pPr>
            <w:r>
              <w:rPr>
                <w:color w:val="000000"/>
                <w:sz w:val="20"/>
              </w:rPr>
              <w:t>(≥ 56 jours)</w:t>
            </w:r>
            <w:r>
              <w:rPr>
                <w:color w:val="000000"/>
                <w:sz w:val="20"/>
                <w:vertAlign w:val="superscript"/>
              </w:rPr>
              <w:t xml:space="preserve"> #</w:t>
            </w:r>
          </w:p>
        </w:tc>
        <w:tc>
          <w:tcPr>
            <w:tcW w:w="729" w:type="pct"/>
            <w:shd w:val="clear" w:color="auto" w:fill="auto"/>
          </w:tcPr>
          <w:p w14:paraId="16DD1180" w14:textId="77777777" w:rsidR="008339B0" w:rsidRPr="00D2126A" w:rsidRDefault="000E5A86" w:rsidP="00C93C76">
            <w:pPr>
              <w:jc w:val="center"/>
              <w:rPr>
                <w:color w:val="000000"/>
                <w:sz w:val="20"/>
                <w:szCs w:val="20"/>
              </w:rPr>
            </w:pPr>
            <w:r>
              <w:rPr>
                <w:color w:val="000000"/>
                <w:sz w:val="20"/>
              </w:rPr>
              <w:t>42 (60,9 %)</w:t>
            </w:r>
          </w:p>
        </w:tc>
        <w:tc>
          <w:tcPr>
            <w:tcW w:w="728" w:type="pct"/>
            <w:shd w:val="clear" w:color="auto" w:fill="auto"/>
          </w:tcPr>
          <w:p w14:paraId="39F5157F" w14:textId="77777777" w:rsidR="008339B0" w:rsidRPr="00D2126A" w:rsidRDefault="000E5A86" w:rsidP="00C93C76">
            <w:pPr>
              <w:jc w:val="center"/>
              <w:rPr>
                <w:color w:val="000000"/>
                <w:sz w:val="20"/>
                <w:szCs w:val="20"/>
              </w:rPr>
            </w:pPr>
            <w:r>
              <w:rPr>
                <w:color w:val="000000"/>
                <w:sz w:val="20"/>
              </w:rPr>
              <w:t>33 (47,8 %)</w:t>
            </w:r>
          </w:p>
        </w:tc>
        <w:tc>
          <w:tcPr>
            <w:tcW w:w="729" w:type="pct"/>
            <w:shd w:val="clear" w:color="auto" w:fill="auto"/>
          </w:tcPr>
          <w:p w14:paraId="0A46733F" w14:textId="77777777" w:rsidR="008339B0" w:rsidRPr="00D2126A" w:rsidRDefault="000E5A86" w:rsidP="00C93C76">
            <w:pPr>
              <w:jc w:val="center"/>
              <w:rPr>
                <w:color w:val="000000"/>
                <w:sz w:val="20"/>
                <w:szCs w:val="20"/>
              </w:rPr>
            </w:pPr>
            <w:r>
              <w:rPr>
                <w:color w:val="000000"/>
                <w:sz w:val="20"/>
              </w:rPr>
              <w:t>5 (7,5 %)</w:t>
            </w:r>
          </w:p>
        </w:tc>
        <w:tc>
          <w:tcPr>
            <w:tcW w:w="971" w:type="pct"/>
            <w:shd w:val="clear" w:color="auto" w:fill="auto"/>
          </w:tcPr>
          <w:p w14:paraId="4BBFDDA6" w14:textId="77777777" w:rsidR="008339B0" w:rsidRPr="00D2126A" w:rsidRDefault="000E5A86" w:rsidP="00C93C76">
            <w:pPr>
              <w:jc w:val="center"/>
              <w:rPr>
                <w:color w:val="000000"/>
                <w:sz w:val="20"/>
                <w:szCs w:val="20"/>
              </w:rPr>
            </w:pPr>
            <w:r>
              <w:rPr>
                <w:color w:val="000000"/>
                <w:sz w:val="20"/>
              </w:rPr>
              <w:t>97 (65,5 %)</w:t>
            </w:r>
          </w:p>
        </w:tc>
      </w:tr>
      <w:tr w:rsidR="00D5485C" w:rsidRPr="00D2126A" w14:paraId="359B921C" w14:textId="77777777" w:rsidTr="00F003F4">
        <w:trPr>
          <w:cantSplit/>
          <w:trHeight w:val="57"/>
        </w:trPr>
        <w:tc>
          <w:tcPr>
            <w:tcW w:w="1843" w:type="pct"/>
            <w:shd w:val="clear" w:color="auto" w:fill="auto"/>
          </w:tcPr>
          <w:p w14:paraId="17554FE8" w14:textId="77777777" w:rsidR="008339B0" w:rsidRPr="00D2126A" w:rsidRDefault="000E5A86" w:rsidP="00C93C76">
            <w:pPr>
              <w:rPr>
                <w:color w:val="000000"/>
                <w:sz w:val="20"/>
                <w:szCs w:val="20"/>
              </w:rPr>
            </w:pPr>
            <w:r>
              <w:rPr>
                <w:color w:val="000000"/>
                <w:sz w:val="20"/>
              </w:rPr>
              <w:t>Délai médian jusqu’à l’indépendance transfusionnelle (semaines)</w:t>
            </w:r>
          </w:p>
        </w:tc>
        <w:tc>
          <w:tcPr>
            <w:tcW w:w="729" w:type="pct"/>
            <w:shd w:val="clear" w:color="auto" w:fill="auto"/>
          </w:tcPr>
          <w:p w14:paraId="3EE72750" w14:textId="77777777" w:rsidR="008339B0" w:rsidRPr="00D2126A" w:rsidRDefault="000E5A86" w:rsidP="00C93C76">
            <w:pPr>
              <w:jc w:val="center"/>
              <w:rPr>
                <w:color w:val="000000"/>
                <w:sz w:val="20"/>
                <w:szCs w:val="20"/>
              </w:rPr>
            </w:pPr>
            <w:r>
              <w:rPr>
                <w:color w:val="000000"/>
                <w:sz w:val="20"/>
              </w:rPr>
              <w:t>4,6</w:t>
            </w:r>
          </w:p>
        </w:tc>
        <w:tc>
          <w:tcPr>
            <w:tcW w:w="728" w:type="pct"/>
            <w:shd w:val="clear" w:color="auto" w:fill="auto"/>
          </w:tcPr>
          <w:p w14:paraId="44DBEC19" w14:textId="77777777" w:rsidR="008339B0" w:rsidRPr="00D2126A" w:rsidRDefault="000E5A86" w:rsidP="00C93C76">
            <w:pPr>
              <w:jc w:val="center"/>
              <w:rPr>
                <w:color w:val="000000"/>
                <w:sz w:val="20"/>
                <w:szCs w:val="20"/>
              </w:rPr>
            </w:pPr>
            <w:r>
              <w:rPr>
                <w:color w:val="000000"/>
                <w:sz w:val="20"/>
              </w:rPr>
              <w:t>4,1</w:t>
            </w:r>
          </w:p>
        </w:tc>
        <w:tc>
          <w:tcPr>
            <w:tcW w:w="729" w:type="pct"/>
            <w:shd w:val="clear" w:color="auto" w:fill="auto"/>
          </w:tcPr>
          <w:p w14:paraId="43FD5239" w14:textId="77777777" w:rsidR="008339B0" w:rsidRPr="00D2126A" w:rsidRDefault="000E5A86" w:rsidP="00C93C76">
            <w:pPr>
              <w:jc w:val="center"/>
              <w:rPr>
                <w:color w:val="000000"/>
                <w:sz w:val="20"/>
                <w:szCs w:val="20"/>
              </w:rPr>
            </w:pPr>
            <w:r>
              <w:rPr>
                <w:color w:val="000000"/>
                <w:sz w:val="20"/>
              </w:rPr>
              <w:t>0,3</w:t>
            </w:r>
          </w:p>
        </w:tc>
        <w:tc>
          <w:tcPr>
            <w:tcW w:w="971" w:type="pct"/>
            <w:shd w:val="clear" w:color="auto" w:fill="auto"/>
          </w:tcPr>
          <w:p w14:paraId="6848380F" w14:textId="77777777" w:rsidR="008339B0" w:rsidRPr="00D2126A" w:rsidRDefault="000E5A86" w:rsidP="00C93C76">
            <w:pPr>
              <w:jc w:val="center"/>
              <w:rPr>
                <w:color w:val="000000"/>
                <w:sz w:val="20"/>
                <w:szCs w:val="20"/>
              </w:rPr>
            </w:pPr>
            <w:r>
              <w:rPr>
                <w:color w:val="000000"/>
                <w:sz w:val="20"/>
              </w:rPr>
              <w:t>4,1</w:t>
            </w:r>
          </w:p>
        </w:tc>
      </w:tr>
      <w:tr w:rsidR="00D5485C" w:rsidRPr="00D2126A" w14:paraId="23782ACC" w14:textId="77777777" w:rsidTr="00F003F4">
        <w:trPr>
          <w:cantSplit/>
          <w:trHeight w:val="57"/>
        </w:trPr>
        <w:tc>
          <w:tcPr>
            <w:tcW w:w="1843" w:type="pct"/>
            <w:shd w:val="clear" w:color="auto" w:fill="auto"/>
          </w:tcPr>
          <w:p w14:paraId="2C40FCE9" w14:textId="77777777" w:rsidR="008339B0" w:rsidRPr="00D2126A" w:rsidRDefault="000E5A86" w:rsidP="009B144A">
            <w:pPr>
              <w:keepNext/>
              <w:rPr>
                <w:color w:val="000000"/>
                <w:sz w:val="20"/>
                <w:szCs w:val="20"/>
              </w:rPr>
            </w:pPr>
            <w:r>
              <w:rPr>
                <w:color w:val="000000"/>
                <w:sz w:val="20"/>
              </w:rPr>
              <w:t>Durée médiane d’indépendance transfusionnelle (semaines)</w:t>
            </w:r>
          </w:p>
        </w:tc>
        <w:tc>
          <w:tcPr>
            <w:tcW w:w="729" w:type="pct"/>
            <w:shd w:val="clear" w:color="auto" w:fill="auto"/>
          </w:tcPr>
          <w:p w14:paraId="54334E16" w14:textId="77777777" w:rsidR="008339B0" w:rsidRPr="00D2126A" w:rsidRDefault="000E5A86" w:rsidP="00C93C76">
            <w:pPr>
              <w:jc w:val="center"/>
              <w:rPr>
                <w:color w:val="000000"/>
                <w:sz w:val="20"/>
                <w:szCs w:val="20"/>
              </w:rPr>
            </w:pPr>
            <w:r>
              <w:rPr>
                <w:color w:val="000000"/>
                <w:sz w:val="20"/>
              </w:rPr>
              <w:t>NR</w:t>
            </w:r>
            <w:r>
              <w:rPr>
                <w:color w:val="000000"/>
                <w:sz w:val="20"/>
                <w:vertAlign w:val="superscript"/>
              </w:rPr>
              <w:t>∞</w:t>
            </w:r>
          </w:p>
          <w:p w14:paraId="4F477ADB" w14:textId="77777777" w:rsidR="008339B0" w:rsidRPr="00D2126A" w:rsidRDefault="008339B0" w:rsidP="00C93C76">
            <w:pPr>
              <w:jc w:val="center"/>
              <w:rPr>
                <w:color w:val="000000"/>
                <w:sz w:val="20"/>
                <w:szCs w:val="20"/>
              </w:rPr>
            </w:pPr>
          </w:p>
        </w:tc>
        <w:tc>
          <w:tcPr>
            <w:tcW w:w="728" w:type="pct"/>
            <w:shd w:val="clear" w:color="auto" w:fill="auto"/>
          </w:tcPr>
          <w:p w14:paraId="04410DBC" w14:textId="77777777" w:rsidR="008339B0" w:rsidRPr="00D2126A" w:rsidRDefault="000E5A86" w:rsidP="00C93C76">
            <w:pPr>
              <w:jc w:val="center"/>
              <w:rPr>
                <w:color w:val="000000"/>
                <w:sz w:val="20"/>
                <w:szCs w:val="20"/>
              </w:rPr>
            </w:pPr>
            <w:r>
              <w:rPr>
                <w:color w:val="000000"/>
                <w:sz w:val="20"/>
              </w:rPr>
              <w:t>NR</w:t>
            </w:r>
          </w:p>
        </w:tc>
        <w:tc>
          <w:tcPr>
            <w:tcW w:w="729" w:type="pct"/>
            <w:shd w:val="clear" w:color="auto" w:fill="auto"/>
          </w:tcPr>
          <w:p w14:paraId="4EB8A788" w14:textId="77777777" w:rsidR="008339B0" w:rsidRPr="00D2126A" w:rsidRDefault="000E5A86" w:rsidP="00C93C76">
            <w:pPr>
              <w:jc w:val="center"/>
              <w:rPr>
                <w:color w:val="000000"/>
                <w:sz w:val="20"/>
                <w:szCs w:val="20"/>
              </w:rPr>
            </w:pPr>
            <w:r>
              <w:rPr>
                <w:color w:val="000000"/>
                <w:sz w:val="20"/>
              </w:rPr>
              <w:t>NR</w:t>
            </w:r>
          </w:p>
        </w:tc>
        <w:tc>
          <w:tcPr>
            <w:tcW w:w="971" w:type="pct"/>
            <w:shd w:val="clear" w:color="auto" w:fill="auto"/>
          </w:tcPr>
          <w:p w14:paraId="1CFFFC20" w14:textId="77777777" w:rsidR="008339B0" w:rsidRPr="00D2126A" w:rsidRDefault="000E5A86" w:rsidP="00C93C76">
            <w:pPr>
              <w:jc w:val="center"/>
              <w:rPr>
                <w:color w:val="000000"/>
                <w:sz w:val="20"/>
                <w:szCs w:val="20"/>
              </w:rPr>
            </w:pPr>
            <w:r>
              <w:rPr>
                <w:color w:val="000000"/>
                <w:sz w:val="20"/>
              </w:rPr>
              <w:t>114,4</w:t>
            </w:r>
          </w:p>
        </w:tc>
      </w:tr>
      <w:tr w:rsidR="00D5485C" w:rsidRPr="00D2126A" w14:paraId="075CBF20" w14:textId="77777777" w:rsidTr="00F003F4">
        <w:trPr>
          <w:cantSplit/>
          <w:trHeight w:val="57"/>
        </w:trPr>
        <w:tc>
          <w:tcPr>
            <w:tcW w:w="1843" w:type="pct"/>
            <w:shd w:val="clear" w:color="auto" w:fill="auto"/>
          </w:tcPr>
          <w:p w14:paraId="540E9F69" w14:textId="77777777" w:rsidR="008339B0" w:rsidRPr="00D2126A" w:rsidRDefault="000E5A86" w:rsidP="009B144A">
            <w:pPr>
              <w:keepNext/>
              <w:rPr>
                <w:color w:val="000000"/>
                <w:sz w:val="20"/>
                <w:szCs w:val="20"/>
              </w:rPr>
            </w:pPr>
            <w:r>
              <w:rPr>
                <w:color w:val="000000"/>
                <w:sz w:val="20"/>
              </w:rPr>
              <w:t>Augmentation médiane de l’Hb, g/dl</w:t>
            </w:r>
          </w:p>
        </w:tc>
        <w:tc>
          <w:tcPr>
            <w:tcW w:w="729" w:type="pct"/>
            <w:shd w:val="clear" w:color="auto" w:fill="auto"/>
          </w:tcPr>
          <w:p w14:paraId="50066E0A" w14:textId="77777777" w:rsidR="008339B0" w:rsidRPr="00D2126A" w:rsidRDefault="000E5A86" w:rsidP="00C93C76">
            <w:pPr>
              <w:jc w:val="center"/>
              <w:rPr>
                <w:color w:val="000000"/>
                <w:sz w:val="20"/>
                <w:szCs w:val="20"/>
              </w:rPr>
            </w:pPr>
            <w:r>
              <w:rPr>
                <w:color w:val="000000"/>
                <w:sz w:val="20"/>
              </w:rPr>
              <w:t>6,4</w:t>
            </w:r>
          </w:p>
        </w:tc>
        <w:tc>
          <w:tcPr>
            <w:tcW w:w="728" w:type="pct"/>
            <w:shd w:val="clear" w:color="auto" w:fill="auto"/>
          </w:tcPr>
          <w:p w14:paraId="21B848E1" w14:textId="77777777" w:rsidR="008339B0" w:rsidRPr="00D2126A" w:rsidRDefault="000E5A86" w:rsidP="00C93C76">
            <w:pPr>
              <w:jc w:val="center"/>
              <w:rPr>
                <w:color w:val="000000"/>
                <w:sz w:val="20"/>
                <w:szCs w:val="20"/>
              </w:rPr>
            </w:pPr>
            <w:r>
              <w:rPr>
                <w:color w:val="000000"/>
                <w:sz w:val="20"/>
              </w:rPr>
              <w:t>5,3</w:t>
            </w:r>
          </w:p>
        </w:tc>
        <w:tc>
          <w:tcPr>
            <w:tcW w:w="729" w:type="pct"/>
            <w:shd w:val="clear" w:color="auto" w:fill="auto"/>
          </w:tcPr>
          <w:p w14:paraId="35D0B203" w14:textId="77777777" w:rsidR="008339B0" w:rsidRPr="00D2126A" w:rsidRDefault="000E5A86" w:rsidP="00C93C76">
            <w:pPr>
              <w:jc w:val="center"/>
              <w:rPr>
                <w:color w:val="000000"/>
                <w:sz w:val="20"/>
                <w:szCs w:val="20"/>
              </w:rPr>
            </w:pPr>
            <w:r>
              <w:rPr>
                <w:color w:val="000000"/>
                <w:sz w:val="20"/>
              </w:rPr>
              <w:t>2,6</w:t>
            </w:r>
          </w:p>
        </w:tc>
        <w:tc>
          <w:tcPr>
            <w:tcW w:w="971" w:type="pct"/>
            <w:shd w:val="clear" w:color="auto" w:fill="auto"/>
          </w:tcPr>
          <w:p w14:paraId="2249E180" w14:textId="77777777" w:rsidR="008339B0" w:rsidRPr="00D2126A" w:rsidRDefault="000E5A86" w:rsidP="00C93C76">
            <w:pPr>
              <w:jc w:val="center"/>
              <w:rPr>
                <w:color w:val="000000"/>
                <w:sz w:val="20"/>
                <w:szCs w:val="20"/>
              </w:rPr>
            </w:pPr>
            <w:r>
              <w:rPr>
                <w:color w:val="000000"/>
                <w:sz w:val="20"/>
              </w:rPr>
              <w:t>5,6</w:t>
            </w:r>
          </w:p>
        </w:tc>
      </w:tr>
    </w:tbl>
    <w:p w14:paraId="61B4DFAA" w14:textId="415846C9" w:rsidR="00036363" w:rsidRPr="00D2126A" w:rsidRDefault="000E5A86" w:rsidP="00BC15C7">
      <w:pPr>
        <w:pStyle w:val="StyleTablenotes8"/>
      </w:pPr>
      <w:r>
        <w:rPr>
          <w:vertAlign w:val="superscript"/>
        </w:rPr>
        <w:t>†</w:t>
      </w:r>
      <w:r>
        <w:t xml:space="preserve"> Patients traités par le lénalidomide 10 mg pendant 21 jours de cycles de 28 jours.</w:t>
      </w:r>
    </w:p>
    <w:p w14:paraId="49716442" w14:textId="2EBA3C35" w:rsidR="008339B0" w:rsidRPr="00D2126A" w:rsidRDefault="000E5A86" w:rsidP="00BC15C7">
      <w:pPr>
        <w:pStyle w:val="StyleTablenotes8"/>
      </w:pPr>
      <w:r>
        <w:rPr>
          <w:vertAlign w:val="superscript"/>
        </w:rPr>
        <w:t>††</w:t>
      </w:r>
      <w:r>
        <w:t xml:space="preserve"> Patients traités par le lénalidomide 5 mg pendant 28 jours de cycles de 28 jours.</w:t>
      </w:r>
    </w:p>
    <w:p w14:paraId="48D15FB6" w14:textId="76E6EC2F" w:rsidR="00036363" w:rsidRPr="00D2126A" w:rsidRDefault="000E5A86" w:rsidP="00BC15C7">
      <w:pPr>
        <w:pStyle w:val="StyleTablenotes8"/>
      </w:pPr>
      <w:r>
        <w:rPr>
          <w:vertAlign w:val="superscript"/>
        </w:rPr>
        <w:t>*</w:t>
      </w:r>
      <w:r>
        <w:t xml:space="preserve"> La majorité des patients sous placebo a arrêté le traitement en double aveugle après 16 semaines en raison d’un manque d’efficacité avant d’entrer dans la phase en ouvert.</w:t>
      </w:r>
    </w:p>
    <w:p w14:paraId="0E13609C" w14:textId="3D163803" w:rsidR="00036363" w:rsidRPr="00D2126A" w:rsidRDefault="000E5A86" w:rsidP="00EA2362">
      <w:pPr>
        <w:pStyle w:val="StyleTablenotes8"/>
        <w:keepNext/>
      </w:pPr>
      <w:r>
        <w:rPr>
          <w:vertAlign w:val="superscript"/>
        </w:rPr>
        <w:t>#</w:t>
      </w:r>
      <w:r>
        <w:t xml:space="preserve"> Associée à une augmentation de l’Hb ≥ 1 g/dl</w:t>
      </w:r>
    </w:p>
    <w:p w14:paraId="0E24D951" w14:textId="2351A428" w:rsidR="008339B0" w:rsidRPr="00D2126A" w:rsidRDefault="000E5A86" w:rsidP="00EA2362">
      <w:pPr>
        <w:pStyle w:val="StyleTablenotes8"/>
        <w:keepNext/>
      </w:pPr>
      <w:r>
        <w:rPr>
          <w:vertAlign w:val="superscript"/>
        </w:rPr>
        <w:t>∞</w:t>
      </w:r>
      <w:r>
        <w:t xml:space="preserve"> Non atteinte (la médiane n’a pas été atteinte).</w:t>
      </w:r>
    </w:p>
    <w:p w14:paraId="36B1B0EC" w14:textId="77777777" w:rsidR="008339B0" w:rsidRPr="00D2126A" w:rsidRDefault="008339B0" w:rsidP="00C93C76">
      <w:pPr>
        <w:rPr>
          <w:color w:val="000000"/>
        </w:rPr>
      </w:pPr>
    </w:p>
    <w:p w14:paraId="59DD25EC" w14:textId="7CC9AD0E" w:rsidR="005F0AA5" w:rsidRPr="00D2126A" w:rsidRDefault="000E5A86" w:rsidP="00C93C76">
      <w:pPr>
        <w:rPr>
          <w:color w:val="000000"/>
        </w:rPr>
      </w:pPr>
      <w:r>
        <w:rPr>
          <w:color w:val="000000"/>
        </w:rPr>
        <w:t>Dans l’étude MDS</w:t>
      </w:r>
      <w:r>
        <w:rPr>
          <w:color w:val="000000"/>
        </w:rPr>
        <w:noBreakHyphen/>
        <w:t xml:space="preserve">004, le pourcentage de patients atteints d’un syndrome myélodysplasique ayant atteint le critère principal d’indépendance transfusionnelle (&gt; 182 jours) a été significativement plus élevé avec le lénalidomide 10 mg qu’avec le placebo (55,1 % </w:t>
      </w:r>
      <w:r>
        <w:rPr>
          <w:i/>
          <w:color w:val="000000"/>
        </w:rPr>
        <w:t>versus</w:t>
      </w:r>
      <w:r>
        <w:rPr>
          <w:color w:val="000000"/>
        </w:rPr>
        <w:t xml:space="preserve"> 6,0 %). Chez les 47 patients porteurs d’une anomalie cytogénétique del 5q isolée et traités par le lénalidomide 10 mg, 27 patients (57,4 %) ont obtenu l’indépendance vis</w:t>
      </w:r>
      <w:r>
        <w:rPr>
          <w:color w:val="000000"/>
        </w:rPr>
        <w:noBreakHyphen/>
        <w:t>à</w:t>
      </w:r>
      <w:r>
        <w:rPr>
          <w:color w:val="000000"/>
        </w:rPr>
        <w:noBreakHyphen/>
        <w:t>vis des transfusions de globules rouges.</w:t>
      </w:r>
    </w:p>
    <w:p w14:paraId="1404C6EC" w14:textId="77777777" w:rsidR="008339B0" w:rsidRPr="00D2126A" w:rsidRDefault="008339B0" w:rsidP="00C93C76">
      <w:pPr>
        <w:rPr>
          <w:color w:val="000000"/>
        </w:rPr>
      </w:pPr>
    </w:p>
    <w:p w14:paraId="4EC8D5A1" w14:textId="33F73566" w:rsidR="00036363" w:rsidRPr="00D2126A" w:rsidRDefault="000E5A86" w:rsidP="00C93C76">
      <w:pPr>
        <w:rPr>
          <w:color w:val="000000"/>
        </w:rPr>
      </w:pPr>
      <w:r>
        <w:rPr>
          <w:color w:val="000000"/>
        </w:rPr>
        <w:t>Dans le bras lénalidomide 10 mg, le délai médian jusqu’à l’indépendance transfusionnelle a été de 4,6 semaines. La durée médiane d’indépendance transfusionnelle n’a été atteinte dans aucun bras de traitement, mais elle devrait être supérieure à 2 ans chez les patients traités par le lénalidomide. L’augmentation médiane du taux d’hémoglobine (Hb) depuis le début du traitement a été de 6,4 g/dl dans le bras 10 mg.</w:t>
      </w:r>
    </w:p>
    <w:p w14:paraId="1803F503" w14:textId="186DFE7E" w:rsidR="008339B0" w:rsidRPr="00D2126A" w:rsidRDefault="008339B0" w:rsidP="00C93C76">
      <w:pPr>
        <w:rPr>
          <w:color w:val="000000"/>
        </w:rPr>
      </w:pPr>
    </w:p>
    <w:p w14:paraId="6ADB4097" w14:textId="31A24EBF" w:rsidR="003836CA" w:rsidRPr="00D2126A" w:rsidRDefault="000E5A86" w:rsidP="00C93C76">
      <w:pPr>
        <w:rPr>
          <w:color w:val="000000"/>
        </w:rPr>
      </w:pPr>
      <w:r>
        <w:rPr>
          <w:color w:val="000000"/>
        </w:rPr>
        <w:t>Les autres critères d’évaluation de l’étude étaient la réponse cytogénétique (dans le bras 10 mg, des réponses cytogénétiques majeures et mineures ont été observées chez respectivement 30,0 % et 24,0 % des patients), l’évaluation de la qualité de vie liée à la santé (QdVLS) et la progression en leucémie aiguë myéloblastique. Les résultats en termes de réponse cytogénétique et de qualité de vie ont concordé avec les résultats du critère principal et étaient en faveur du traitement par le lénalidomide par rapport au placebo.</w:t>
      </w:r>
    </w:p>
    <w:p w14:paraId="7849CC26" w14:textId="77777777" w:rsidR="003836CA" w:rsidRPr="00D2126A" w:rsidRDefault="003836CA" w:rsidP="00C93C76">
      <w:pPr>
        <w:pStyle w:val="Date"/>
        <w:rPr>
          <w:color w:val="000000"/>
        </w:rPr>
      </w:pPr>
    </w:p>
    <w:p w14:paraId="0185EC54" w14:textId="6E1C6B74" w:rsidR="00036363" w:rsidRPr="00D2126A" w:rsidRDefault="000E5A86" w:rsidP="00C93C76">
      <w:pPr>
        <w:rPr>
          <w:color w:val="000000"/>
        </w:rPr>
      </w:pPr>
      <w:r>
        <w:rPr>
          <w:color w:val="000000"/>
        </w:rPr>
        <w:t>Dans l’étude MDS</w:t>
      </w:r>
      <w:r>
        <w:rPr>
          <w:color w:val="000000"/>
        </w:rPr>
        <w:noBreakHyphen/>
        <w:t>003, un pourcentage élevé (58,1 %) de patients atteints de syndromes myélodysplasiques traités par le lénalidomide 10 mg a atteint l’indépendance transfusionnelle (&gt; 182 jours). Le délai médian jusqu’à l’indépendance transfusionnelle a été de 4,1 semaines. La durée médiane d’indépendance transfusionnelle a été de 114,4 semaines. L’augmentation médiane du taux d’hémoglobine (Hb) a été de 5,6 g/dl. Des réponses cytogénétiques majeures et mineures ont été observées chez 40,9 % et 30,7 % des patients respectivement.</w:t>
      </w:r>
    </w:p>
    <w:p w14:paraId="5971ED3B" w14:textId="09B861A0" w:rsidR="00F840E5" w:rsidRPr="00D2126A" w:rsidRDefault="00F840E5" w:rsidP="00C93C76">
      <w:pPr>
        <w:pStyle w:val="Date"/>
        <w:rPr>
          <w:color w:val="000000"/>
        </w:rPr>
      </w:pPr>
    </w:p>
    <w:p w14:paraId="02A6D032" w14:textId="74C07842" w:rsidR="00F840E5" w:rsidRPr="00D2126A" w:rsidRDefault="000E5A86" w:rsidP="00C93C76">
      <w:pPr>
        <w:rPr>
          <w:color w:val="000000"/>
        </w:rPr>
      </w:pPr>
      <w:r>
        <w:rPr>
          <w:color w:val="000000"/>
        </w:rPr>
        <w:t>Un pourcentage élevé de patients inclus dans les études MDS</w:t>
      </w:r>
      <w:r>
        <w:rPr>
          <w:color w:val="000000"/>
        </w:rPr>
        <w:noBreakHyphen/>
        <w:t>003 (72,9 %) et MDS</w:t>
      </w:r>
      <w:r>
        <w:rPr>
          <w:color w:val="000000"/>
        </w:rPr>
        <w:noBreakHyphen/>
        <w:t>004 (52,7 %) avaient reçu antérieurement des agents stimulant l’érythropoïèse.</w:t>
      </w:r>
    </w:p>
    <w:p w14:paraId="548DC6E2" w14:textId="77777777" w:rsidR="004F7445" w:rsidRPr="00D2126A" w:rsidRDefault="004F7445" w:rsidP="00C93C76">
      <w:pPr>
        <w:rPr>
          <w:color w:val="000000"/>
        </w:rPr>
      </w:pPr>
    </w:p>
    <w:p w14:paraId="5E13B933" w14:textId="77777777" w:rsidR="00030FCF" w:rsidRPr="00D2126A" w:rsidRDefault="000E5A86" w:rsidP="00DF154F">
      <w:pPr>
        <w:keepNext/>
        <w:rPr>
          <w:i/>
          <w:color w:val="000000"/>
          <w:u w:val="single"/>
        </w:rPr>
      </w:pPr>
      <w:r>
        <w:rPr>
          <w:i/>
          <w:color w:val="000000"/>
          <w:u w:val="single"/>
        </w:rPr>
        <w:t>Lymphome à cellules du manteau</w:t>
      </w:r>
    </w:p>
    <w:p w14:paraId="35B4B5FD" w14:textId="1BE4F1C9" w:rsidR="00030FCF" w:rsidRPr="00D2126A" w:rsidRDefault="000E5A86" w:rsidP="00C93C76">
      <w:r>
        <w:t>L’efficacité et la sécurité du lénalidomide ont été évaluées chez des patients présentant un lymphome à cellules du manteau dans une étude de phase 2 multicentrique, randomisée en ouvert, par rapport à une monothérapie choisie par l’investigateur, chez des patients qui étaient réfractaires à leur dernier traitement ou avaient rechuté une à trois fois (étude MCL</w:t>
      </w:r>
      <w:r>
        <w:noBreakHyphen/>
        <w:t>002).</w:t>
      </w:r>
    </w:p>
    <w:p w14:paraId="344D62DD" w14:textId="77777777" w:rsidR="009B144A" w:rsidRPr="00D2126A" w:rsidRDefault="009B144A" w:rsidP="009B144A">
      <w:pPr>
        <w:pStyle w:val="Date"/>
      </w:pPr>
    </w:p>
    <w:p w14:paraId="70B68A4B" w14:textId="6A93750E" w:rsidR="00030FCF" w:rsidRPr="00D2126A" w:rsidRDefault="000E5A86" w:rsidP="00C93C76">
      <w:r>
        <w:t>Des patients âgés d’au moins 18 ans qui présentaient un lymphome à cellules du manteau confirmé par histologie et une maladie mesurable par TDM ont été inclus. Les patients devaient avoir reçu préalablement un traitement adéquat avec au moins un protocole de polychimiothérapie. De plus, les patients ne devaient pas être éligibles à une chimiothérapie intensive et/ou à une greffe au moment de l’inclusion dans l’étude. Les patients ont été randomisés selon un rapport 2:1 dans le bras lénalidomide ou dans le bras contrôle. Le traitement choisi par l’investigateur était sélectionné avant la randomisation et consistait en une monothérapie par chlorambucil, cytarabine, rituximab, fludarabine ou gemcitabine.</w:t>
      </w:r>
    </w:p>
    <w:p w14:paraId="25E441DB" w14:textId="77777777" w:rsidR="00030FCF" w:rsidRPr="00D2126A" w:rsidRDefault="00030FCF" w:rsidP="00C93C76">
      <w:pPr>
        <w:pStyle w:val="Date"/>
      </w:pPr>
    </w:p>
    <w:p w14:paraId="5966F546" w14:textId="35E65D3E" w:rsidR="00036363" w:rsidRPr="00D2126A" w:rsidRDefault="000E5A86" w:rsidP="00C93C76">
      <w:r>
        <w:t>Le lénalidomide était administré par voie orale à la dose de 25 mg en une prise par jour pendant les 21 premiers jours (J1 à J21) de chaque cycle de 28 jours jusqu’à la progression de la maladie ou la survenue d’une toxicité inacceptable. Les patients présentant une insuffisance rénale modérée devaient recevoir une dose initiale plus faible de 10 mg de lénalidomide par jour selon le même schéma.</w:t>
      </w:r>
    </w:p>
    <w:p w14:paraId="7FC3025A" w14:textId="09C804A5" w:rsidR="00030FCF" w:rsidRPr="00D2126A" w:rsidRDefault="00030FCF" w:rsidP="00C93C76"/>
    <w:p w14:paraId="773E30C0" w14:textId="025F21F6" w:rsidR="00030FCF" w:rsidRPr="00D2126A" w:rsidRDefault="000E5A86" w:rsidP="00C93C76">
      <w:pPr>
        <w:pStyle w:val="Date"/>
      </w:pPr>
      <w:r>
        <w:t>Les caractéristiques démographiques initiales étaient comparables entre le bras lénalidomide et le bras contrôle. L'âge médian était de 68,5 ans dans les deux populations de patients et le rapport hommes/femmes était comparable. L’indice de performance ECOG était comparable dans les deux groupes, ainsi que le nombre de traitements antérieurs.</w:t>
      </w:r>
    </w:p>
    <w:p w14:paraId="27E131E8" w14:textId="77777777" w:rsidR="00030FCF" w:rsidRPr="00D2126A" w:rsidRDefault="00030FCF" w:rsidP="00C93C76"/>
    <w:p w14:paraId="05446A60" w14:textId="0FDE5AA9" w:rsidR="00030FCF" w:rsidRPr="00D2126A" w:rsidRDefault="000E5A86" w:rsidP="00C93C76">
      <w:pPr>
        <w:pStyle w:val="Date"/>
        <w:rPr>
          <w:strike/>
        </w:rPr>
      </w:pPr>
      <w:r>
        <w:t>Le critère principal d’évaluation de l’efficacité dans l’étude MCL</w:t>
      </w:r>
      <w:r>
        <w:noBreakHyphen/>
        <w:t>002 était la survie sans progression (SSP).</w:t>
      </w:r>
    </w:p>
    <w:p w14:paraId="2CB1973A" w14:textId="77777777" w:rsidR="00030FCF" w:rsidRPr="00D2126A" w:rsidRDefault="00030FCF" w:rsidP="00C93C76">
      <w:pPr>
        <w:rPr>
          <w:i/>
        </w:rPr>
      </w:pPr>
    </w:p>
    <w:p w14:paraId="3403684F" w14:textId="641C4FD3" w:rsidR="00030FCF" w:rsidRPr="00D2126A" w:rsidRDefault="000E5A86" w:rsidP="00C93C76">
      <w:r>
        <w:t>Les résultats d’efficacité dans la population en intention de traiter (ITT) étaient évalués par le Comité d’évaluation indépendant (IRC) et sont présentés dans le tableau 13 ci</w:t>
      </w:r>
      <w:r>
        <w:noBreakHyphen/>
        <w:t>dessous.</w:t>
      </w:r>
    </w:p>
    <w:p w14:paraId="01C5692F" w14:textId="77777777" w:rsidR="00030FCF" w:rsidRPr="00D2126A" w:rsidRDefault="00030FCF" w:rsidP="00C93C76">
      <w:pPr>
        <w:pStyle w:val="Date"/>
      </w:pPr>
    </w:p>
    <w:p w14:paraId="0D60D252" w14:textId="224CFAC9" w:rsidR="00030FCF" w:rsidRPr="00D2126A" w:rsidRDefault="000E5A86" w:rsidP="00C93C76">
      <w:pPr>
        <w:pStyle w:val="C-TableHeader"/>
        <w:spacing w:before="0" w:after="0"/>
      </w:pPr>
      <w:r>
        <w:t>Tableau 13. Synthèse des résultats d’efficacité – étude MCL</w:t>
      </w:r>
      <w:r>
        <w:noBreakHyphen/>
        <w:t>002, population en intention de traiter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509"/>
        <w:gridCol w:w="2433"/>
        <w:gridCol w:w="2344"/>
      </w:tblGrid>
      <w:tr w:rsidR="00D5485C" w:rsidRPr="00D2126A" w14:paraId="420B4D60" w14:textId="77777777" w:rsidTr="00A717A8">
        <w:trPr>
          <w:cantSplit/>
          <w:trHeight w:val="57"/>
          <w:tblHeader/>
          <w:jc w:val="center"/>
        </w:trPr>
        <w:tc>
          <w:tcPr>
            <w:tcW w:w="2428" w:type="pct"/>
            <w:tcBorders>
              <w:bottom w:val="nil"/>
            </w:tcBorders>
            <w:shd w:val="clear" w:color="auto" w:fill="auto"/>
          </w:tcPr>
          <w:p w14:paraId="567147A4" w14:textId="77777777" w:rsidR="00030FCF" w:rsidRPr="00AB0414" w:rsidRDefault="00030FCF" w:rsidP="006B7D29">
            <w:pPr>
              <w:pStyle w:val="C-TableHeader"/>
              <w:spacing w:before="0" w:after="0"/>
              <w:rPr>
                <w:sz w:val="20"/>
              </w:rPr>
            </w:pPr>
          </w:p>
        </w:tc>
        <w:tc>
          <w:tcPr>
            <w:tcW w:w="1310" w:type="pct"/>
            <w:tcBorders>
              <w:bottom w:val="nil"/>
            </w:tcBorders>
            <w:shd w:val="clear" w:color="auto" w:fill="auto"/>
          </w:tcPr>
          <w:p w14:paraId="52D643BB" w14:textId="77777777" w:rsidR="00030FCF" w:rsidRPr="00D2126A" w:rsidRDefault="000E5A86" w:rsidP="006B7D29">
            <w:pPr>
              <w:pStyle w:val="C-TableHeader"/>
              <w:spacing w:before="0" w:after="0"/>
              <w:jc w:val="center"/>
              <w:rPr>
                <w:sz w:val="20"/>
              </w:rPr>
            </w:pPr>
            <w:r>
              <w:rPr>
                <w:sz w:val="20"/>
              </w:rPr>
              <w:t>Bras lénalidomide</w:t>
            </w:r>
          </w:p>
        </w:tc>
        <w:tc>
          <w:tcPr>
            <w:tcW w:w="1262" w:type="pct"/>
            <w:tcBorders>
              <w:bottom w:val="nil"/>
            </w:tcBorders>
            <w:shd w:val="clear" w:color="auto" w:fill="auto"/>
          </w:tcPr>
          <w:p w14:paraId="00F13F05" w14:textId="77777777" w:rsidR="00030FCF" w:rsidRPr="00D2126A" w:rsidRDefault="000E5A86" w:rsidP="006B7D29">
            <w:pPr>
              <w:pStyle w:val="C-TableHeader"/>
              <w:spacing w:before="0" w:after="0"/>
              <w:jc w:val="center"/>
              <w:rPr>
                <w:sz w:val="20"/>
              </w:rPr>
            </w:pPr>
            <w:r>
              <w:rPr>
                <w:sz w:val="20"/>
              </w:rPr>
              <w:t>Bras contrôle</w:t>
            </w:r>
          </w:p>
        </w:tc>
      </w:tr>
      <w:tr w:rsidR="00D5485C" w:rsidRPr="00D2126A" w14:paraId="657F1B4A" w14:textId="77777777" w:rsidTr="00A717A8">
        <w:trPr>
          <w:cantSplit/>
          <w:trHeight w:val="57"/>
          <w:tblHeader/>
          <w:jc w:val="center"/>
        </w:trPr>
        <w:tc>
          <w:tcPr>
            <w:tcW w:w="2428" w:type="pct"/>
            <w:tcBorders>
              <w:top w:val="nil"/>
              <w:bottom w:val="single" w:sz="8" w:space="0" w:color="auto"/>
            </w:tcBorders>
            <w:shd w:val="clear" w:color="auto" w:fill="auto"/>
          </w:tcPr>
          <w:p w14:paraId="46A43C4F" w14:textId="77777777" w:rsidR="00030FCF" w:rsidRPr="00D2126A" w:rsidRDefault="00030FCF" w:rsidP="006B7D29">
            <w:pPr>
              <w:pStyle w:val="C-TableHeader"/>
              <w:spacing w:before="0" w:after="0"/>
              <w:rPr>
                <w:sz w:val="20"/>
                <w:lang w:val="en-GB"/>
              </w:rPr>
            </w:pPr>
          </w:p>
        </w:tc>
        <w:tc>
          <w:tcPr>
            <w:tcW w:w="1310" w:type="pct"/>
            <w:tcBorders>
              <w:top w:val="nil"/>
              <w:bottom w:val="single" w:sz="8" w:space="0" w:color="auto"/>
            </w:tcBorders>
            <w:shd w:val="clear" w:color="auto" w:fill="auto"/>
          </w:tcPr>
          <w:p w14:paraId="25AA7F3D" w14:textId="1B78A0D2" w:rsidR="00030FCF" w:rsidRPr="00D2126A" w:rsidRDefault="000E5A86" w:rsidP="006B7D29">
            <w:pPr>
              <w:pStyle w:val="C-TableHeader"/>
              <w:spacing w:before="0" w:after="0"/>
              <w:jc w:val="center"/>
              <w:rPr>
                <w:b w:val="0"/>
                <w:sz w:val="20"/>
              </w:rPr>
            </w:pPr>
            <w:r>
              <w:rPr>
                <w:b w:val="0"/>
                <w:sz w:val="20"/>
              </w:rPr>
              <w:t>N = 170</w:t>
            </w:r>
          </w:p>
        </w:tc>
        <w:tc>
          <w:tcPr>
            <w:tcW w:w="1262" w:type="pct"/>
            <w:tcBorders>
              <w:top w:val="nil"/>
              <w:bottom w:val="single" w:sz="8" w:space="0" w:color="auto"/>
            </w:tcBorders>
            <w:shd w:val="clear" w:color="auto" w:fill="auto"/>
          </w:tcPr>
          <w:p w14:paraId="18E00727" w14:textId="0A4A9A69" w:rsidR="00030FCF" w:rsidRPr="00D2126A" w:rsidRDefault="000E5A86" w:rsidP="006B7D29">
            <w:pPr>
              <w:pStyle w:val="C-TableHeader"/>
              <w:spacing w:before="0" w:after="0"/>
              <w:jc w:val="center"/>
              <w:rPr>
                <w:b w:val="0"/>
                <w:sz w:val="20"/>
              </w:rPr>
            </w:pPr>
            <w:r>
              <w:rPr>
                <w:b w:val="0"/>
                <w:sz w:val="20"/>
              </w:rPr>
              <w:t>N = 84</w:t>
            </w:r>
          </w:p>
        </w:tc>
      </w:tr>
      <w:tr w:rsidR="00D5485C" w:rsidRPr="00D2126A" w14:paraId="52A5D53F" w14:textId="77777777" w:rsidTr="00A717A8">
        <w:trPr>
          <w:cantSplit/>
          <w:trHeight w:val="57"/>
          <w:jc w:val="center"/>
        </w:trPr>
        <w:tc>
          <w:tcPr>
            <w:tcW w:w="2428" w:type="pct"/>
            <w:tcBorders>
              <w:top w:val="single" w:sz="8" w:space="0" w:color="auto"/>
              <w:bottom w:val="nil"/>
            </w:tcBorders>
            <w:shd w:val="clear" w:color="auto" w:fill="auto"/>
          </w:tcPr>
          <w:p w14:paraId="5846C198" w14:textId="77777777" w:rsidR="00030FCF" w:rsidRPr="00D2126A" w:rsidRDefault="000E5A86" w:rsidP="006B7D29">
            <w:pPr>
              <w:pStyle w:val="C-TableText"/>
              <w:keepNext/>
              <w:spacing w:before="0" w:after="0"/>
              <w:rPr>
                <w:b/>
                <w:sz w:val="20"/>
              </w:rPr>
            </w:pPr>
            <w:r>
              <w:rPr>
                <w:b/>
                <w:sz w:val="20"/>
              </w:rPr>
              <w:t>SSP</w:t>
            </w:r>
          </w:p>
          <w:p w14:paraId="2D7DCAA6" w14:textId="0C51F4B9" w:rsidR="00030FCF" w:rsidRPr="00D2126A" w:rsidRDefault="000E5A86" w:rsidP="006B7D29">
            <w:pPr>
              <w:pStyle w:val="C-TableText"/>
              <w:keepNext/>
              <w:spacing w:before="0" w:after="0"/>
              <w:rPr>
                <w:sz w:val="20"/>
              </w:rPr>
            </w:pPr>
            <w:r>
              <w:rPr>
                <w:b/>
                <w:sz w:val="20"/>
              </w:rPr>
              <w:t>SSP, médiane</w:t>
            </w:r>
            <w:r>
              <w:rPr>
                <w:sz w:val="20"/>
                <w:vertAlign w:val="superscript"/>
              </w:rPr>
              <w:t xml:space="preserve">a </w:t>
            </w:r>
            <w:r>
              <w:rPr>
                <w:sz w:val="20"/>
              </w:rPr>
              <w:t>[IC à 95 %]</w:t>
            </w:r>
            <w:r>
              <w:rPr>
                <w:sz w:val="20"/>
                <w:vertAlign w:val="superscript"/>
              </w:rPr>
              <w:t>b</w:t>
            </w:r>
            <w:r>
              <w:rPr>
                <w:sz w:val="20"/>
              </w:rPr>
              <w:t xml:space="preserve"> (semaines)</w:t>
            </w:r>
          </w:p>
        </w:tc>
        <w:tc>
          <w:tcPr>
            <w:tcW w:w="1310" w:type="pct"/>
            <w:tcBorders>
              <w:top w:val="single" w:sz="8" w:space="0" w:color="auto"/>
              <w:bottom w:val="nil"/>
            </w:tcBorders>
            <w:shd w:val="clear" w:color="auto" w:fill="auto"/>
          </w:tcPr>
          <w:p w14:paraId="4DD40165" w14:textId="77777777" w:rsidR="00030FCF" w:rsidRPr="00AB0414" w:rsidRDefault="00030FCF" w:rsidP="006B7D29">
            <w:pPr>
              <w:pStyle w:val="C-TableText"/>
              <w:spacing w:before="0" w:after="0"/>
              <w:jc w:val="center"/>
              <w:rPr>
                <w:sz w:val="20"/>
              </w:rPr>
            </w:pPr>
          </w:p>
          <w:p w14:paraId="59465748" w14:textId="77777777" w:rsidR="00030FCF" w:rsidRPr="00D2126A" w:rsidRDefault="000E5A86" w:rsidP="006B7D29">
            <w:pPr>
              <w:pStyle w:val="C-TableText"/>
              <w:spacing w:before="0" w:after="0"/>
              <w:jc w:val="center"/>
              <w:rPr>
                <w:sz w:val="20"/>
              </w:rPr>
            </w:pPr>
            <w:r>
              <w:rPr>
                <w:sz w:val="20"/>
              </w:rPr>
              <w:t>37,6 [24,0 ; 52,6]</w:t>
            </w:r>
          </w:p>
        </w:tc>
        <w:tc>
          <w:tcPr>
            <w:tcW w:w="1262" w:type="pct"/>
            <w:tcBorders>
              <w:top w:val="single" w:sz="8" w:space="0" w:color="auto"/>
              <w:bottom w:val="nil"/>
            </w:tcBorders>
            <w:shd w:val="clear" w:color="auto" w:fill="auto"/>
          </w:tcPr>
          <w:p w14:paraId="7A8F4BF4" w14:textId="77777777" w:rsidR="00030FCF" w:rsidRPr="00D2126A" w:rsidRDefault="00030FCF" w:rsidP="006B7D29">
            <w:pPr>
              <w:pStyle w:val="C-TableText"/>
              <w:spacing w:before="0" w:after="0"/>
              <w:jc w:val="center"/>
              <w:rPr>
                <w:sz w:val="20"/>
                <w:lang w:val="en-GB"/>
              </w:rPr>
            </w:pPr>
          </w:p>
          <w:p w14:paraId="6661D7EF" w14:textId="77777777" w:rsidR="00030FCF" w:rsidRPr="00D2126A" w:rsidRDefault="000E5A86" w:rsidP="006B7D29">
            <w:pPr>
              <w:pStyle w:val="C-TableText"/>
              <w:spacing w:before="0" w:after="0"/>
              <w:jc w:val="center"/>
              <w:rPr>
                <w:sz w:val="20"/>
              </w:rPr>
            </w:pPr>
            <w:r>
              <w:rPr>
                <w:sz w:val="20"/>
              </w:rPr>
              <w:t>22,7 [15,9 ; 30,1]</w:t>
            </w:r>
          </w:p>
        </w:tc>
      </w:tr>
      <w:tr w:rsidR="00D5485C" w:rsidRPr="00D2126A" w14:paraId="06F6121A" w14:textId="77777777" w:rsidTr="00A717A8">
        <w:trPr>
          <w:cantSplit/>
          <w:trHeight w:val="57"/>
          <w:jc w:val="center"/>
        </w:trPr>
        <w:tc>
          <w:tcPr>
            <w:tcW w:w="2428" w:type="pct"/>
            <w:tcBorders>
              <w:top w:val="nil"/>
              <w:bottom w:val="nil"/>
            </w:tcBorders>
            <w:shd w:val="clear" w:color="auto" w:fill="auto"/>
          </w:tcPr>
          <w:p w14:paraId="3EF2C188" w14:textId="33606F7A" w:rsidR="00030FCF" w:rsidRPr="00D2126A" w:rsidRDefault="000E5A86" w:rsidP="006B7D29">
            <w:pPr>
              <w:pStyle w:val="C-TableText"/>
              <w:keepNext/>
              <w:spacing w:before="0" w:after="0"/>
              <w:rPr>
                <w:sz w:val="20"/>
              </w:rPr>
            </w:pPr>
            <w:r>
              <w:rPr>
                <w:b/>
                <w:sz w:val="20"/>
              </w:rPr>
              <w:t>RR séquentiel</w:t>
            </w:r>
            <w:r>
              <w:rPr>
                <w:sz w:val="20"/>
              </w:rPr>
              <w:t xml:space="preserve"> [IC à 95 %]</w:t>
            </w:r>
            <w:r>
              <w:rPr>
                <w:sz w:val="20"/>
                <w:vertAlign w:val="superscript"/>
              </w:rPr>
              <w:t>c</w:t>
            </w:r>
          </w:p>
        </w:tc>
        <w:tc>
          <w:tcPr>
            <w:tcW w:w="2572" w:type="pct"/>
            <w:gridSpan w:val="2"/>
            <w:tcBorders>
              <w:top w:val="nil"/>
              <w:bottom w:val="nil"/>
            </w:tcBorders>
            <w:shd w:val="clear" w:color="auto" w:fill="auto"/>
          </w:tcPr>
          <w:p w14:paraId="01F74A9D" w14:textId="77777777" w:rsidR="00030FCF" w:rsidRPr="00D2126A" w:rsidRDefault="000E5A86" w:rsidP="006B7D29">
            <w:pPr>
              <w:pStyle w:val="C-TableText"/>
              <w:spacing w:before="0" w:after="0"/>
              <w:jc w:val="center"/>
              <w:rPr>
                <w:sz w:val="20"/>
              </w:rPr>
            </w:pPr>
            <w:r>
              <w:rPr>
                <w:sz w:val="20"/>
              </w:rPr>
              <w:t>0,61 [0,44 ; 0,84]</w:t>
            </w:r>
          </w:p>
        </w:tc>
      </w:tr>
      <w:tr w:rsidR="00D5485C" w:rsidRPr="00D2126A" w14:paraId="1C3DB24D" w14:textId="77777777" w:rsidTr="00A717A8">
        <w:trPr>
          <w:cantSplit/>
          <w:trHeight w:val="57"/>
          <w:jc w:val="center"/>
        </w:trPr>
        <w:tc>
          <w:tcPr>
            <w:tcW w:w="2428" w:type="pct"/>
            <w:tcBorders>
              <w:top w:val="nil"/>
              <w:bottom w:val="single" w:sz="8" w:space="0" w:color="auto"/>
            </w:tcBorders>
            <w:shd w:val="clear" w:color="auto" w:fill="auto"/>
          </w:tcPr>
          <w:p w14:paraId="2921113E" w14:textId="1E8D766B" w:rsidR="00030FCF" w:rsidRPr="00D2126A" w:rsidRDefault="000E5A86" w:rsidP="006B7D29">
            <w:pPr>
              <w:pStyle w:val="C-TableText"/>
              <w:spacing w:before="0" w:after="0"/>
              <w:rPr>
                <w:sz w:val="20"/>
              </w:rPr>
            </w:pPr>
            <w:r>
              <w:rPr>
                <w:sz w:val="20"/>
              </w:rPr>
              <w:t>Test du log</w:t>
            </w:r>
            <w:r>
              <w:rPr>
                <w:sz w:val="20"/>
              </w:rPr>
              <w:noBreakHyphen/>
              <w:t>rank séquentiel, valeur p</w:t>
            </w:r>
            <w:r>
              <w:rPr>
                <w:sz w:val="20"/>
                <w:vertAlign w:val="superscript"/>
              </w:rPr>
              <w:t>e</w:t>
            </w:r>
          </w:p>
        </w:tc>
        <w:tc>
          <w:tcPr>
            <w:tcW w:w="2572" w:type="pct"/>
            <w:gridSpan w:val="2"/>
            <w:tcBorders>
              <w:top w:val="nil"/>
              <w:bottom w:val="single" w:sz="8" w:space="0" w:color="auto"/>
            </w:tcBorders>
            <w:shd w:val="clear" w:color="auto" w:fill="auto"/>
          </w:tcPr>
          <w:p w14:paraId="749F3EEB" w14:textId="77777777" w:rsidR="00030FCF" w:rsidRPr="00D2126A" w:rsidRDefault="000E5A86" w:rsidP="006B7D29">
            <w:pPr>
              <w:pStyle w:val="C-TableText"/>
              <w:spacing w:before="0" w:after="0"/>
              <w:jc w:val="center"/>
              <w:rPr>
                <w:sz w:val="20"/>
              </w:rPr>
            </w:pPr>
            <w:r>
              <w:rPr>
                <w:sz w:val="20"/>
              </w:rPr>
              <w:t>0,004</w:t>
            </w:r>
          </w:p>
        </w:tc>
      </w:tr>
      <w:tr w:rsidR="00D5485C" w:rsidRPr="00D2126A" w14:paraId="294613FB" w14:textId="77777777" w:rsidTr="00A717A8">
        <w:trPr>
          <w:cantSplit/>
          <w:trHeight w:val="57"/>
          <w:jc w:val="center"/>
        </w:trPr>
        <w:tc>
          <w:tcPr>
            <w:tcW w:w="2428" w:type="pct"/>
            <w:tcBorders>
              <w:top w:val="single" w:sz="8" w:space="0" w:color="auto"/>
              <w:bottom w:val="nil"/>
            </w:tcBorders>
            <w:shd w:val="clear" w:color="auto" w:fill="auto"/>
          </w:tcPr>
          <w:p w14:paraId="05EDE5A7" w14:textId="77777777" w:rsidR="00030FCF" w:rsidRPr="00D2126A" w:rsidRDefault="000E5A86" w:rsidP="006B7D29">
            <w:pPr>
              <w:pStyle w:val="C-TableText"/>
              <w:keepNext/>
              <w:spacing w:before="100" w:after="100"/>
              <w:rPr>
                <w:b/>
                <w:sz w:val="20"/>
              </w:rPr>
            </w:pPr>
            <w:r>
              <w:rPr>
                <w:b/>
                <w:sz w:val="20"/>
              </w:rPr>
              <w:t>Réponse</w:t>
            </w:r>
            <w:r>
              <w:rPr>
                <w:sz w:val="20"/>
                <w:vertAlign w:val="superscript"/>
              </w:rPr>
              <w:t>a</w:t>
            </w:r>
            <w:r>
              <w:rPr>
                <w:sz w:val="20"/>
              </w:rPr>
              <w:t>, n (%)</w:t>
            </w:r>
          </w:p>
        </w:tc>
        <w:tc>
          <w:tcPr>
            <w:tcW w:w="1310" w:type="pct"/>
            <w:tcBorders>
              <w:top w:val="single" w:sz="8" w:space="0" w:color="auto"/>
              <w:bottom w:val="nil"/>
            </w:tcBorders>
            <w:shd w:val="clear" w:color="auto" w:fill="auto"/>
          </w:tcPr>
          <w:p w14:paraId="128FFB8E" w14:textId="77777777" w:rsidR="00030FCF" w:rsidRPr="00D2126A" w:rsidRDefault="00030FCF" w:rsidP="006B7D29">
            <w:pPr>
              <w:pStyle w:val="C-TableText"/>
              <w:spacing w:before="100" w:after="100"/>
              <w:jc w:val="center"/>
              <w:rPr>
                <w:sz w:val="20"/>
                <w:lang w:val="en-GB"/>
              </w:rPr>
            </w:pPr>
          </w:p>
        </w:tc>
        <w:tc>
          <w:tcPr>
            <w:tcW w:w="1262" w:type="pct"/>
            <w:tcBorders>
              <w:top w:val="single" w:sz="8" w:space="0" w:color="auto"/>
              <w:bottom w:val="nil"/>
            </w:tcBorders>
            <w:shd w:val="clear" w:color="auto" w:fill="auto"/>
          </w:tcPr>
          <w:p w14:paraId="38B23FCB" w14:textId="77777777" w:rsidR="00030FCF" w:rsidRPr="00D2126A" w:rsidRDefault="00030FCF" w:rsidP="006B7D29">
            <w:pPr>
              <w:pStyle w:val="C-TableText"/>
              <w:spacing w:before="100" w:after="100"/>
              <w:jc w:val="center"/>
              <w:rPr>
                <w:sz w:val="20"/>
                <w:lang w:val="en-GB"/>
              </w:rPr>
            </w:pPr>
          </w:p>
        </w:tc>
      </w:tr>
      <w:tr w:rsidR="00D5485C" w:rsidRPr="00D2126A" w14:paraId="5BE87C26" w14:textId="77777777" w:rsidTr="00A717A8">
        <w:trPr>
          <w:cantSplit/>
          <w:trHeight w:val="57"/>
          <w:jc w:val="center"/>
        </w:trPr>
        <w:tc>
          <w:tcPr>
            <w:tcW w:w="2428" w:type="pct"/>
            <w:tcBorders>
              <w:top w:val="nil"/>
              <w:bottom w:val="nil"/>
            </w:tcBorders>
            <w:shd w:val="clear" w:color="auto" w:fill="auto"/>
          </w:tcPr>
          <w:p w14:paraId="007957BC" w14:textId="77777777" w:rsidR="00030FCF" w:rsidRPr="00D2126A" w:rsidRDefault="000E5A86" w:rsidP="00EA2362">
            <w:pPr>
              <w:pStyle w:val="C-TableText"/>
              <w:keepNext/>
              <w:spacing w:before="0" w:after="0"/>
              <w:ind w:left="57"/>
              <w:rPr>
                <w:sz w:val="20"/>
              </w:rPr>
            </w:pPr>
            <w:r>
              <w:rPr>
                <w:sz w:val="20"/>
              </w:rPr>
              <w:t>Réponse complète (RC)</w:t>
            </w:r>
          </w:p>
        </w:tc>
        <w:tc>
          <w:tcPr>
            <w:tcW w:w="1310" w:type="pct"/>
            <w:tcBorders>
              <w:top w:val="nil"/>
              <w:bottom w:val="nil"/>
            </w:tcBorders>
            <w:shd w:val="clear" w:color="auto" w:fill="auto"/>
          </w:tcPr>
          <w:p w14:paraId="4A2768B7" w14:textId="77777777" w:rsidR="00030FCF" w:rsidRPr="00D2126A" w:rsidRDefault="000E5A86" w:rsidP="006B7D29">
            <w:pPr>
              <w:pStyle w:val="C-TableText"/>
              <w:spacing w:before="0" w:after="0"/>
              <w:jc w:val="center"/>
              <w:rPr>
                <w:sz w:val="20"/>
              </w:rPr>
            </w:pPr>
            <w:r>
              <w:rPr>
                <w:sz w:val="20"/>
              </w:rPr>
              <w:t>8 (4,7)</w:t>
            </w:r>
          </w:p>
        </w:tc>
        <w:tc>
          <w:tcPr>
            <w:tcW w:w="1262" w:type="pct"/>
            <w:tcBorders>
              <w:top w:val="nil"/>
              <w:bottom w:val="nil"/>
            </w:tcBorders>
            <w:shd w:val="clear" w:color="auto" w:fill="auto"/>
          </w:tcPr>
          <w:p w14:paraId="64E90EC5" w14:textId="77777777" w:rsidR="00030FCF" w:rsidRPr="00D2126A" w:rsidRDefault="000E5A86" w:rsidP="006B7D29">
            <w:pPr>
              <w:pStyle w:val="C-TableText"/>
              <w:spacing w:before="0" w:after="0"/>
              <w:jc w:val="center"/>
              <w:rPr>
                <w:sz w:val="20"/>
              </w:rPr>
            </w:pPr>
            <w:r>
              <w:rPr>
                <w:sz w:val="20"/>
              </w:rPr>
              <w:t>0 (0,0)</w:t>
            </w:r>
          </w:p>
        </w:tc>
      </w:tr>
      <w:tr w:rsidR="00D5485C" w:rsidRPr="00D2126A" w14:paraId="25E4C350" w14:textId="77777777" w:rsidTr="00A717A8">
        <w:trPr>
          <w:cantSplit/>
          <w:trHeight w:val="57"/>
          <w:jc w:val="center"/>
        </w:trPr>
        <w:tc>
          <w:tcPr>
            <w:tcW w:w="2428" w:type="pct"/>
            <w:tcBorders>
              <w:top w:val="nil"/>
              <w:bottom w:val="nil"/>
            </w:tcBorders>
            <w:shd w:val="clear" w:color="auto" w:fill="auto"/>
          </w:tcPr>
          <w:p w14:paraId="00EF9CD1" w14:textId="77777777" w:rsidR="00030FCF" w:rsidRPr="00D2126A" w:rsidRDefault="000E5A86" w:rsidP="006B7D29">
            <w:pPr>
              <w:pStyle w:val="C-TableText"/>
              <w:keepNext/>
              <w:spacing w:before="0" w:after="0"/>
              <w:ind w:left="57"/>
              <w:rPr>
                <w:sz w:val="20"/>
              </w:rPr>
            </w:pPr>
            <w:r>
              <w:rPr>
                <w:sz w:val="20"/>
              </w:rPr>
              <w:t>Réponse partielle (RP)</w:t>
            </w:r>
          </w:p>
        </w:tc>
        <w:tc>
          <w:tcPr>
            <w:tcW w:w="1310" w:type="pct"/>
            <w:tcBorders>
              <w:top w:val="nil"/>
              <w:bottom w:val="nil"/>
            </w:tcBorders>
            <w:shd w:val="clear" w:color="auto" w:fill="auto"/>
          </w:tcPr>
          <w:p w14:paraId="035FBDB2" w14:textId="77777777" w:rsidR="00030FCF" w:rsidRPr="00D2126A" w:rsidRDefault="000E5A86" w:rsidP="006B7D29">
            <w:pPr>
              <w:pStyle w:val="C-TableText"/>
              <w:keepNext/>
              <w:spacing w:before="0" w:after="0"/>
              <w:jc w:val="center"/>
              <w:rPr>
                <w:sz w:val="20"/>
              </w:rPr>
            </w:pPr>
            <w:r>
              <w:rPr>
                <w:sz w:val="20"/>
              </w:rPr>
              <w:t>60 (35,3)</w:t>
            </w:r>
          </w:p>
        </w:tc>
        <w:tc>
          <w:tcPr>
            <w:tcW w:w="1262" w:type="pct"/>
            <w:tcBorders>
              <w:top w:val="nil"/>
              <w:bottom w:val="nil"/>
            </w:tcBorders>
            <w:shd w:val="clear" w:color="auto" w:fill="auto"/>
          </w:tcPr>
          <w:p w14:paraId="0AFCF8E3" w14:textId="77777777" w:rsidR="00030FCF" w:rsidRPr="00D2126A" w:rsidRDefault="000E5A86" w:rsidP="006B7D29">
            <w:pPr>
              <w:pStyle w:val="C-TableText"/>
              <w:keepNext/>
              <w:spacing w:before="0" w:after="0"/>
              <w:jc w:val="center"/>
              <w:rPr>
                <w:sz w:val="20"/>
              </w:rPr>
            </w:pPr>
            <w:r>
              <w:rPr>
                <w:sz w:val="20"/>
              </w:rPr>
              <w:t>9 (10,7)</w:t>
            </w:r>
          </w:p>
        </w:tc>
      </w:tr>
      <w:tr w:rsidR="00D5485C" w:rsidRPr="00D2126A" w14:paraId="24EA99CD" w14:textId="77777777" w:rsidTr="00A717A8">
        <w:trPr>
          <w:cantSplit/>
          <w:trHeight w:val="57"/>
          <w:jc w:val="center"/>
        </w:trPr>
        <w:tc>
          <w:tcPr>
            <w:tcW w:w="2428" w:type="pct"/>
            <w:tcBorders>
              <w:top w:val="nil"/>
              <w:bottom w:val="nil"/>
            </w:tcBorders>
            <w:shd w:val="clear" w:color="auto" w:fill="auto"/>
          </w:tcPr>
          <w:p w14:paraId="54259A07" w14:textId="77777777" w:rsidR="00030FCF" w:rsidRPr="00D2126A" w:rsidRDefault="000E5A86" w:rsidP="006B7D29">
            <w:pPr>
              <w:pStyle w:val="C-TableText"/>
              <w:keepNext/>
              <w:spacing w:before="0" w:after="0"/>
              <w:ind w:left="57"/>
              <w:rPr>
                <w:sz w:val="20"/>
              </w:rPr>
            </w:pPr>
            <w:r>
              <w:rPr>
                <w:sz w:val="20"/>
              </w:rPr>
              <w:t>Maladie stable (MS)</w:t>
            </w:r>
            <w:r>
              <w:rPr>
                <w:sz w:val="20"/>
                <w:vertAlign w:val="superscript"/>
              </w:rPr>
              <w:t>b</w:t>
            </w:r>
          </w:p>
        </w:tc>
        <w:tc>
          <w:tcPr>
            <w:tcW w:w="1310" w:type="pct"/>
            <w:tcBorders>
              <w:top w:val="nil"/>
              <w:bottom w:val="nil"/>
            </w:tcBorders>
            <w:shd w:val="clear" w:color="auto" w:fill="auto"/>
          </w:tcPr>
          <w:p w14:paraId="4192D2EA" w14:textId="77777777" w:rsidR="00030FCF" w:rsidRPr="00D2126A" w:rsidRDefault="000E5A86" w:rsidP="006B7D29">
            <w:pPr>
              <w:pStyle w:val="C-TableText"/>
              <w:keepNext/>
              <w:spacing w:before="0" w:after="0"/>
              <w:jc w:val="center"/>
              <w:rPr>
                <w:sz w:val="20"/>
              </w:rPr>
            </w:pPr>
            <w:r>
              <w:rPr>
                <w:sz w:val="20"/>
              </w:rPr>
              <w:t>50 (29,4)</w:t>
            </w:r>
          </w:p>
        </w:tc>
        <w:tc>
          <w:tcPr>
            <w:tcW w:w="1262" w:type="pct"/>
            <w:tcBorders>
              <w:top w:val="nil"/>
              <w:bottom w:val="nil"/>
            </w:tcBorders>
            <w:shd w:val="clear" w:color="auto" w:fill="auto"/>
          </w:tcPr>
          <w:p w14:paraId="38B222B7" w14:textId="77777777" w:rsidR="00030FCF" w:rsidRPr="00D2126A" w:rsidRDefault="000E5A86" w:rsidP="006B7D29">
            <w:pPr>
              <w:pStyle w:val="C-TableText"/>
              <w:keepNext/>
              <w:spacing w:before="0" w:after="0"/>
              <w:jc w:val="center"/>
              <w:rPr>
                <w:sz w:val="20"/>
              </w:rPr>
            </w:pPr>
            <w:r>
              <w:rPr>
                <w:sz w:val="20"/>
              </w:rPr>
              <w:t>44 (52,4)</w:t>
            </w:r>
          </w:p>
        </w:tc>
      </w:tr>
      <w:tr w:rsidR="00D5485C" w:rsidRPr="00D2126A" w14:paraId="4CF8FE8A" w14:textId="77777777" w:rsidTr="00A717A8">
        <w:trPr>
          <w:cantSplit/>
          <w:trHeight w:val="57"/>
          <w:jc w:val="center"/>
        </w:trPr>
        <w:tc>
          <w:tcPr>
            <w:tcW w:w="2428" w:type="pct"/>
            <w:tcBorders>
              <w:top w:val="nil"/>
              <w:bottom w:val="nil"/>
            </w:tcBorders>
            <w:shd w:val="clear" w:color="auto" w:fill="auto"/>
          </w:tcPr>
          <w:p w14:paraId="571B26B6" w14:textId="77777777" w:rsidR="00030FCF" w:rsidRPr="00D2126A" w:rsidRDefault="000E5A86" w:rsidP="006B7D29">
            <w:pPr>
              <w:pStyle w:val="C-TableText"/>
              <w:keepNext/>
              <w:spacing w:before="0" w:after="0"/>
              <w:ind w:left="57"/>
              <w:rPr>
                <w:sz w:val="20"/>
              </w:rPr>
            </w:pPr>
            <w:r>
              <w:rPr>
                <w:sz w:val="20"/>
              </w:rPr>
              <w:t>Maladie en progression (MP)</w:t>
            </w:r>
          </w:p>
        </w:tc>
        <w:tc>
          <w:tcPr>
            <w:tcW w:w="1310" w:type="pct"/>
            <w:tcBorders>
              <w:top w:val="nil"/>
              <w:bottom w:val="nil"/>
            </w:tcBorders>
            <w:shd w:val="clear" w:color="auto" w:fill="auto"/>
          </w:tcPr>
          <w:p w14:paraId="47A8FAC5" w14:textId="77777777" w:rsidR="00030FCF" w:rsidRPr="00D2126A" w:rsidRDefault="000E5A86" w:rsidP="006B7D29">
            <w:pPr>
              <w:pStyle w:val="C-TableText"/>
              <w:keepNext/>
              <w:spacing w:before="0" w:after="0"/>
              <w:jc w:val="center"/>
              <w:rPr>
                <w:sz w:val="20"/>
              </w:rPr>
            </w:pPr>
            <w:r>
              <w:rPr>
                <w:sz w:val="20"/>
              </w:rPr>
              <w:t>34 (20,0)</w:t>
            </w:r>
          </w:p>
        </w:tc>
        <w:tc>
          <w:tcPr>
            <w:tcW w:w="1262" w:type="pct"/>
            <w:tcBorders>
              <w:top w:val="nil"/>
              <w:bottom w:val="nil"/>
            </w:tcBorders>
            <w:shd w:val="clear" w:color="auto" w:fill="auto"/>
          </w:tcPr>
          <w:p w14:paraId="38A92B90" w14:textId="77777777" w:rsidR="00030FCF" w:rsidRPr="00D2126A" w:rsidRDefault="000E5A86" w:rsidP="006B7D29">
            <w:pPr>
              <w:pStyle w:val="C-TableText"/>
              <w:keepNext/>
              <w:spacing w:before="0" w:after="0"/>
              <w:jc w:val="center"/>
              <w:rPr>
                <w:sz w:val="20"/>
              </w:rPr>
            </w:pPr>
            <w:r>
              <w:rPr>
                <w:sz w:val="20"/>
              </w:rPr>
              <w:t>26 (31,0)</w:t>
            </w:r>
          </w:p>
        </w:tc>
      </w:tr>
      <w:tr w:rsidR="00D5485C" w:rsidRPr="00D2126A" w14:paraId="7FCEAF94" w14:textId="77777777" w:rsidTr="00A717A8">
        <w:trPr>
          <w:cantSplit/>
          <w:trHeight w:val="57"/>
          <w:jc w:val="center"/>
        </w:trPr>
        <w:tc>
          <w:tcPr>
            <w:tcW w:w="2428" w:type="pct"/>
            <w:tcBorders>
              <w:top w:val="nil"/>
              <w:bottom w:val="single" w:sz="8" w:space="0" w:color="auto"/>
            </w:tcBorders>
            <w:shd w:val="clear" w:color="auto" w:fill="auto"/>
          </w:tcPr>
          <w:p w14:paraId="0749DC10" w14:textId="77777777" w:rsidR="00030FCF" w:rsidRPr="00D2126A" w:rsidRDefault="000E5A86" w:rsidP="006B7D29">
            <w:pPr>
              <w:pStyle w:val="C-TableText"/>
              <w:spacing w:before="0" w:after="0"/>
              <w:ind w:left="57"/>
              <w:rPr>
                <w:sz w:val="20"/>
              </w:rPr>
            </w:pPr>
            <w:r>
              <w:rPr>
                <w:sz w:val="20"/>
              </w:rPr>
              <w:t>Non évaluée/Données manquantes</w:t>
            </w:r>
          </w:p>
        </w:tc>
        <w:tc>
          <w:tcPr>
            <w:tcW w:w="1310" w:type="pct"/>
            <w:tcBorders>
              <w:top w:val="nil"/>
              <w:bottom w:val="single" w:sz="8" w:space="0" w:color="auto"/>
            </w:tcBorders>
            <w:shd w:val="clear" w:color="auto" w:fill="auto"/>
          </w:tcPr>
          <w:p w14:paraId="378C02D1" w14:textId="77777777" w:rsidR="00030FCF" w:rsidRPr="00D2126A" w:rsidRDefault="000E5A86" w:rsidP="006B7D29">
            <w:pPr>
              <w:pStyle w:val="C-TableText"/>
              <w:keepNext/>
              <w:spacing w:before="0" w:after="0"/>
              <w:jc w:val="center"/>
              <w:rPr>
                <w:sz w:val="20"/>
              </w:rPr>
            </w:pPr>
            <w:r>
              <w:rPr>
                <w:sz w:val="20"/>
              </w:rPr>
              <w:t>18 (10,6)</w:t>
            </w:r>
          </w:p>
        </w:tc>
        <w:tc>
          <w:tcPr>
            <w:tcW w:w="1262" w:type="pct"/>
            <w:tcBorders>
              <w:top w:val="nil"/>
              <w:bottom w:val="single" w:sz="8" w:space="0" w:color="auto"/>
            </w:tcBorders>
            <w:shd w:val="clear" w:color="auto" w:fill="auto"/>
          </w:tcPr>
          <w:p w14:paraId="1154DDD3" w14:textId="77777777" w:rsidR="00030FCF" w:rsidRPr="00D2126A" w:rsidRDefault="000E5A86" w:rsidP="006B7D29">
            <w:pPr>
              <w:pStyle w:val="C-TableText"/>
              <w:keepNext/>
              <w:spacing w:before="0" w:after="0"/>
              <w:jc w:val="center"/>
              <w:rPr>
                <w:sz w:val="20"/>
              </w:rPr>
            </w:pPr>
            <w:r>
              <w:rPr>
                <w:sz w:val="20"/>
              </w:rPr>
              <w:t>5 (6,0)</w:t>
            </w:r>
          </w:p>
        </w:tc>
      </w:tr>
      <w:tr w:rsidR="00D5485C" w:rsidRPr="00D2126A" w14:paraId="24D75145" w14:textId="77777777" w:rsidTr="00A717A8">
        <w:trPr>
          <w:cantSplit/>
          <w:trHeight w:val="57"/>
          <w:jc w:val="center"/>
        </w:trPr>
        <w:tc>
          <w:tcPr>
            <w:tcW w:w="2428" w:type="pct"/>
            <w:tcBorders>
              <w:top w:val="single" w:sz="8" w:space="0" w:color="auto"/>
              <w:bottom w:val="nil"/>
            </w:tcBorders>
            <w:shd w:val="clear" w:color="auto" w:fill="auto"/>
          </w:tcPr>
          <w:p w14:paraId="3732CF5B" w14:textId="6F51C978" w:rsidR="00030FCF" w:rsidRPr="00156723" w:rsidRDefault="000E5A86" w:rsidP="006B7D29">
            <w:pPr>
              <w:pStyle w:val="C-TableText"/>
              <w:keepNext/>
              <w:spacing w:before="0" w:after="0"/>
              <w:rPr>
                <w:sz w:val="20"/>
              </w:rPr>
            </w:pPr>
            <w:r>
              <w:rPr>
                <w:b/>
                <w:sz w:val="20"/>
              </w:rPr>
              <w:t>TRG (RC, RCnc, RP)</w:t>
            </w:r>
            <w:r>
              <w:rPr>
                <w:sz w:val="20"/>
              </w:rPr>
              <w:t>, n (%) [IC à 95 %]</w:t>
            </w:r>
            <w:r>
              <w:rPr>
                <w:sz w:val="20"/>
                <w:vertAlign w:val="superscript"/>
              </w:rPr>
              <w:t>c</w:t>
            </w:r>
          </w:p>
        </w:tc>
        <w:tc>
          <w:tcPr>
            <w:tcW w:w="1310" w:type="pct"/>
            <w:tcBorders>
              <w:top w:val="single" w:sz="8" w:space="0" w:color="auto"/>
              <w:bottom w:val="nil"/>
            </w:tcBorders>
            <w:shd w:val="clear" w:color="auto" w:fill="auto"/>
          </w:tcPr>
          <w:p w14:paraId="3349A303" w14:textId="77777777" w:rsidR="00030FCF" w:rsidRPr="00D2126A" w:rsidRDefault="000E5A86" w:rsidP="006B7D29">
            <w:pPr>
              <w:pStyle w:val="C-TableText"/>
              <w:spacing w:before="0" w:after="0"/>
              <w:jc w:val="center"/>
              <w:rPr>
                <w:sz w:val="20"/>
              </w:rPr>
            </w:pPr>
            <w:r>
              <w:rPr>
                <w:sz w:val="20"/>
              </w:rPr>
              <w:t>68 (40,0) [32,58 ; 47,78]</w:t>
            </w:r>
          </w:p>
        </w:tc>
        <w:tc>
          <w:tcPr>
            <w:tcW w:w="1262" w:type="pct"/>
            <w:tcBorders>
              <w:top w:val="single" w:sz="8" w:space="0" w:color="auto"/>
              <w:bottom w:val="nil"/>
            </w:tcBorders>
            <w:shd w:val="clear" w:color="auto" w:fill="auto"/>
          </w:tcPr>
          <w:p w14:paraId="2AFF7279" w14:textId="77777777" w:rsidR="00030FCF" w:rsidRPr="00D2126A" w:rsidRDefault="000E5A86" w:rsidP="006B7D29">
            <w:pPr>
              <w:pStyle w:val="C-TableText"/>
              <w:spacing w:before="0" w:after="0"/>
              <w:jc w:val="center"/>
              <w:rPr>
                <w:sz w:val="20"/>
              </w:rPr>
            </w:pPr>
            <w:r>
              <w:rPr>
                <w:sz w:val="20"/>
              </w:rPr>
              <w:t>9 (10,7)</w:t>
            </w:r>
            <w:r>
              <w:rPr>
                <w:sz w:val="20"/>
                <w:vertAlign w:val="superscript"/>
              </w:rPr>
              <w:t xml:space="preserve">d </w:t>
            </w:r>
            <w:r>
              <w:rPr>
                <w:sz w:val="20"/>
              </w:rPr>
              <w:t>[5,02 ; 19,37]</w:t>
            </w:r>
          </w:p>
        </w:tc>
      </w:tr>
      <w:tr w:rsidR="00D5485C" w:rsidRPr="00D2126A" w14:paraId="455FC11A" w14:textId="77777777" w:rsidTr="00A717A8">
        <w:trPr>
          <w:cantSplit/>
          <w:trHeight w:val="57"/>
          <w:jc w:val="center"/>
        </w:trPr>
        <w:tc>
          <w:tcPr>
            <w:tcW w:w="2428" w:type="pct"/>
            <w:tcBorders>
              <w:top w:val="nil"/>
              <w:bottom w:val="single" w:sz="8" w:space="0" w:color="auto"/>
            </w:tcBorders>
            <w:shd w:val="clear" w:color="auto" w:fill="auto"/>
          </w:tcPr>
          <w:p w14:paraId="73557837" w14:textId="39AE4F45" w:rsidR="00030FCF" w:rsidRPr="00D2126A" w:rsidRDefault="00996A85" w:rsidP="006B7D29">
            <w:pPr>
              <w:pStyle w:val="C-TableText"/>
              <w:spacing w:before="0" w:after="0"/>
              <w:ind w:left="57"/>
              <w:rPr>
                <w:sz w:val="20"/>
              </w:rPr>
            </w:pPr>
            <w:r>
              <w:rPr>
                <w:sz w:val="20"/>
              </w:rPr>
              <w:t>Valeur p</w:t>
            </w:r>
            <w:r>
              <w:rPr>
                <w:sz w:val="20"/>
                <w:vertAlign w:val="superscript"/>
              </w:rPr>
              <w:t>e</w:t>
            </w:r>
          </w:p>
        </w:tc>
        <w:tc>
          <w:tcPr>
            <w:tcW w:w="2572" w:type="pct"/>
            <w:gridSpan w:val="2"/>
            <w:tcBorders>
              <w:top w:val="nil"/>
              <w:bottom w:val="single" w:sz="8" w:space="0" w:color="auto"/>
            </w:tcBorders>
            <w:shd w:val="clear" w:color="auto" w:fill="auto"/>
          </w:tcPr>
          <w:p w14:paraId="30F1C001" w14:textId="77777777" w:rsidR="00030FCF" w:rsidRPr="00D2126A" w:rsidRDefault="000E5A86" w:rsidP="006B7D29">
            <w:pPr>
              <w:pStyle w:val="C-TableText"/>
              <w:spacing w:before="0" w:after="0"/>
              <w:jc w:val="center"/>
              <w:rPr>
                <w:sz w:val="20"/>
              </w:rPr>
            </w:pPr>
            <w:r>
              <w:rPr>
                <w:sz w:val="20"/>
              </w:rPr>
              <w:t>&lt; 0,001</w:t>
            </w:r>
          </w:p>
        </w:tc>
      </w:tr>
      <w:tr w:rsidR="00D5485C" w:rsidRPr="00D2126A" w14:paraId="19DF3D95" w14:textId="77777777" w:rsidTr="00A717A8">
        <w:trPr>
          <w:cantSplit/>
          <w:trHeight w:val="57"/>
          <w:jc w:val="center"/>
        </w:trPr>
        <w:tc>
          <w:tcPr>
            <w:tcW w:w="2428" w:type="pct"/>
            <w:tcBorders>
              <w:top w:val="single" w:sz="8" w:space="0" w:color="auto"/>
              <w:bottom w:val="nil"/>
            </w:tcBorders>
            <w:shd w:val="clear" w:color="auto" w:fill="auto"/>
          </w:tcPr>
          <w:p w14:paraId="057FDB04" w14:textId="4A25B3A7" w:rsidR="00030FCF" w:rsidRPr="00156723" w:rsidRDefault="000E5A86" w:rsidP="00EA2362">
            <w:pPr>
              <w:pStyle w:val="C-TableText"/>
              <w:keepNext/>
              <w:spacing w:before="0" w:after="0"/>
              <w:rPr>
                <w:sz w:val="20"/>
              </w:rPr>
            </w:pPr>
            <w:r>
              <w:rPr>
                <w:b/>
                <w:sz w:val="20"/>
              </w:rPr>
              <w:t>Taux de RC (RC, RCnc)</w:t>
            </w:r>
            <w:r>
              <w:rPr>
                <w:sz w:val="20"/>
              </w:rPr>
              <w:t>, n (%) [IC à 95 %]</w:t>
            </w:r>
            <w:r>
              <w:rPr>
                <w:sz w:val="20"/>
                <w:vertAlign w:val="superscript"/>
              </w:rPr>
              <w:t>c</w:t>
            </w:r>
          </w:p>
        </w:tc>
        <w:tc>
          <w:tcPr>
            <w:tcW w:w="1310" w:type="pct"/>
            <w:tcBorders>
              <w:top w:val="single" w:sz="8" w:space="0" w:color="auto"/>
              <w:bottom w:val="nil"/>
            </w:tcBorders>
            <w:shd w:val="clear" w:color="auto" w:fill="auto"/>
          </w:tcPr>
          <w:p w14:paraId="1501D065" w14:textId="77777777" w:rsidR="00030FCF" w:rsidRPr="00D2126A" w:rsidRDefault="000E5A86" w:rsidP="006B7D29">
            <w:pPr>
              <w:pStyle w:val="C-TableText"/>
              <w:spacing w:before="0" w:after="0"/>
              <w:jc w:val="center"/>
              <w:rPr>
                <w:sz w:val="20"/>
              </w:rPr>
            </w:pPr>
            <w:r>
              <w:rPr>
                <w:sz w:val="20"/>
              </w:rPr>
              <w:t>8 (4,7) [2,05 ; 9,06]</w:t>
            </w:r>
          </w:p>
        </w:tc>
        <w:tc>
          <w:tcPr>
            <w:tcW w:w="1262" w:type="pct"/>
            <w:tcBorders>
              <w:top w:val="single" w:sz="8" w:space="0" w:color="auto"/>
              <w:bottom w:val="nil"/>
            </w:tcBorders>
            <w:shd w:val="clear" w:color="auto" w:fill="auto"/>
          </w:tcPr>
          <w:p w14:paraId="01A45F0E" w14:textId="77777777" w:rsidR="00030FCF" w:rsidRPr="00D2126A" w:rsidRDefault="000E5A86" w:rsidP="006B7D29">
            <w:pPr>
              <w:pStyle w:val="C-TableText"/>
              <w:spacing w:before="0" w:after="0"/>
              <w:jc w:val="center"/>
              <w:rPr>
                <w:sz w:val="20"/>
              </w:rPr>
            </w:pPr>
            <w:r>
              <w:rPr>
                <w:sz w:val="20"/>
              </w:rPr>
              <w:t>0 (0,0) [95,70 ; 100,00]</w:t>
            </w:r>
          </w:p>
        </w:tc>
      </w:tr>
      <w:tr w:rsidR="00D5485C" w:rsidRPr="00D2126A" w14:paraId="0B9054E7" w14:textId="77777777" w:rsidTr="00A717A8">
        <w:trPr>
          <w:cantSplit/>
          <w:trHeight w:val="57"/>
          <w:jc w:val="center"/>
        </w:trPr>
        <w:tc>
          <w:tcPr>
            <w:tcW w:w="2428" w:type="pct"/>
            <w:tcBorders>
              <w:top w:val="nil"/>
              <w:bottom w:val="single" w:sz="8" w:space="0" w:color="auto"/>
            </w:tcBorders>
            <w:shd w:val="clear" w:color="auto" w:fill="auto"/>
          </w:tcPr>
          <w:p w14:paraId="244A3807" w14:textId="4DEB3876" w:rsidR="00030FCF" w:rsidRPr="00D2126A" w:rsidRDefault="00996A85" w:rsidP="006B7D29">
            <w:pPr>
              <w:pStyle w:val="C-TableText"/>
              <w:spacing w:before="0" w:after="0"/>
              <w:ind w:left="57"/>
              <w:rPr>
                <w:sz w:val="20"/>
              </w:rPr>
            </w:pPr>
            <w:r>
              <w:rPr>
                <w:sz w:val="20"/>
              </w:rPr>
              <w:t>Valeur p</w:t>
            </w:r>
            <w:r>
              <w:rPr>
                <w:sz w:val="20"/>
                <w:vertAlign w:val="superscript"/>
              </w:rPr>
              <w:t>e</w:t>
            </w:r>
          </w:p>
        </w:tc>
        <w:tc>
          <w:tcPr>
            <w:tcW w:w="2572" w:type="pct"/>
            <w:gridSpan w:val="2"/>
            <w:tcBorders>
              <w:top w:val="nil"/>
              <w:bottom w:val="single" w:sz="8" w:space="0" w:color="auto"/>
            </w:tcBorders>
            <w:shd w:val="clear" w:color="auto" w:fill="auto"/>
          </w:tcPr>
          <w:p w14:paraId="4E541AAE" w14:textId="77777777" w:rsidR="00030FCF" w:rsidRPr="00D2126A" w:rsidRDefault="000E5A86" w:rsidP="006B7D29">
            <w:pPr>
              <w:pStyle w:val="C-TableText"/>
              <w:spacing w:before="0" w:after="0"/>
              <w:jc w:val="center"/>
              <w:rPr>
                <w:sz w:val="20"/>
              </w:rPr>
            </w:pPr>
            <w:r>
              <w:rPr>
                <w:sz w:val="20"/>
              </w:rPr>
              <w:t>0,043</w:t>
            </w:r>
          </w:p>
        </w:tc>
      </w:tr>
      <w:tr w:rsidR="00D5485C" w:rsidRPr="00D2126A" w14:paraId="03C7FCB7" w14:textId="77777777" w:rsidTr="00A717A8">
        <w:trPr>
          <w:cantSplit/>
          <w:trHeight w:val="57"/>
          <w:jc w:val="center"/>
        </w:trPr>
        <w:tc>
          <w:tcPr>
            <w:tcW w:w="2428" w:type="pct"/>
            <w:tcBorders>
              <w:top w:val="single" w:sz="8" w:space="0" w:color="auto"/>
              <w:bottom w:val="single" w:sz="4" w:space="0" w:color="auto"/>
            </w:tcBorders>
            <w:shd w:val="clear" w:color="auto" w:fill="auto"/>
          </w:tcPr>
          <w:p w14:paraId="3B15C8E2" w14:textId="30D4D88C" w:rsidR="00030FCF" w:rsidRPr="00D2126A" w:rsidRDefault="000E5A86" w:rsidP="006B7D29">
            <w:pPr>
              <w:pStyle w:val="C-TableText"/>
              <w:keepNext/>
              <w:spacing w:before="0" w:after="0"/>
              <w:rPr>
                <w:b/>
                <w:sz w:val="20"/>
              </w:rPr>
            </w:pPr>
            <w:r>
              <w:rPr>
                <w:b/>
                <w:sz w:val="20"/>
              </w:rPr>
              <w:t>Durée de la réponse,</w:t>
            </w:r>
            <w:r>
              <w:rPr>
                <w:sz w:val="20"/>
              </w:rPr>
              <w:t xml:space="preserve"> </w:t>
            </w:r>
            <w:r>
              <w:rPr>
                <w:b/>
                <w:sz w:val="20"/>
              </w:rPr>
              <w:t>médiane</w:t>
            </w:r>
            <w:r>
              <w:rPr>
                <w:sz w:val="20"/>
                <w:vertAlign w:val="superscript"/>
              </w:rPr>
              <w:t>a</w:t>
            </w:r>
            <w:r>
              <w:rPr>
                <w:sz w:val="20"/>
              </w:rPr>
              <w:t xml:space="preserve"> [IC à 95 %] (semaines)</w:t>
            </w:r>
          </w:p>
        </w:tc>
        <w:tc>
          <w:tcPr>
            <w:tcW w:w="1310" w:type="pct"/>
            <w:tcBorders>
              <w:top w:val="single" w:sz="8" w:space="0" w:color="auto"/>
              <w:bottom w:val="single" w:sz="4" w:space="0" w:color="auto"/>
            </w:tcBorders>
            <w:shd w:val="clear" w:color="auto" w:fill="auto"/>
          </w:tcPr>
          <w:p w14:paraId="4DC84AF6" w14:textId="77777777" w:rsidR="00030FCF" w:rsidRPr="00D2126A" w:rsidRDefault="000E5A86" w:rsidP="006B7D29">
            <w:pPr>
              <w:pStyle w:val="C-TableText"/>
              <w:keepNext/>
              <w:spacing w:before="0" w:after="0"/>
              <w:jc w:val="center"/>
              <w:rPr>
                <w:sz w:val="20"/>
              </w:rPr>
            </w:pPr>
            <w:r>
              <w:rPr>
                <w:sz w:val="20"/>
              </w:rPr>
              <w:t>69,6 [41,1 ; 86,7]</w:t>
            </w:r>
          </w:p>
        </w:tc>
        <w:tc>
          <w:tcPr>
            <w:tcW w:w="1262" w:type="pct"/>
            <w:tcBorders>
              <w:top w:val="single" w:sz="8" w:space="0" w:color="auto"/>
              <w:bottom w:val="single" w:sz="4" w:space="0" w:color="auto"/>
            </w:tcBorders>
            <w:shd w:val="clear" w:color="auto" w:fill="auto"/>
          </w:tcPr>
          <w:p w14:paraId="17F09670" w14:textId="77777777" w:rsidR="00030FCF" w:rsidRPr="00D2126A" w:rsidRDefault="000E5A86" w:rsidP="006B7D29">
            <w:pPr>
              <w:pStyle w:val="C-TableText"/>
              <w:keepNext/>
              <w:spacing w:before="0" w:after="0"/>
              <w:jc w:val="center"/>
              <w:rPr>
                <w:sz w:val="20"/>
              </w:rPr>
            </w:pPr>
            <w:r>
              <w:rPr>
                <w:sz w:val="20"/>
              </w:rPr>
              <w:t>45,1 [36,3 ; 80,9]</w:t>
            </w:r>
          </w:p>
        </w:tc>
      </w:tr>
      <w:tr w:rsidR="00EA2362" w:rsidRPr="00D2126A" w14:paraId="57DB0B88" w14:textId="77777777" w:rsidTr="00EA2362">
        <w:trPr>
          <w:cantSplit/>
          <w:trHeight w:val="57"/>
          <w:jc w:val="center"/>
        </w:trPr>
        <w:tc>
          <w:tcPr>
            <w:tcW w:w="2428" w:type="pct"/>
            <w:tcBorders>
              <w:bottom w:val="nil"/>
            </w:tcBorders>
            <w:shd w:val="clear" w:color="auto" w:fill="auto"/>
          </w:tcPr>
          <w:p w14:paraId="2A36AA89" w14:textId="77777777" w:rsidR="00EA2362" w:rsidRPr="00D2126A" w:rsidRDefault="00EA2362" w:rsidP="006B7D29">
            <w:pPr>
              <w:pStyle w:val="C-TableText"/>
              <w:keepNext/>
              <w:spacing w:before="0" w:after="0"/>
              <w:rPr>
                <w:sz w:val="20"/>
              </w:rPr>
            </w:pPr>
            <w:r>
              <w:rPr>
                <w:b/>
                <w:sz w:val="20"/>
              </w:rPr>
              <w:t>Survie globale</w:t>
            </w:r>
          </w:p>
        </w:tc>
        <w:tc>
          <w:tcPr>
            <w:tcW w:w="2572" w:type="pct"/>
            <w:gridSpan w:val="2"/>
            <w:tcBorders>
              <w:bottom w:val="nil"/>
            </w:tcBorders>
            <w:shd w:val="clear" w:color="auto" w:fill="auto"/>
          </w:tcPr>
          <w:p w14:paraId="3D469551" w14:textId="77777777" w:rsidR="00EA2362" w:rsidRPr="00D2126A" w:rsidRDefault="00EA2362" w:rsidP="006B7D29">
            <w:pPr>
              <w:pStyle w:val="C-TableText"/>
              <w:keepNext/>
              <w:spacing w:before="0" w:after="0"/>
              <w:jc w:val="center"/>
              <w:rPr>
                <w:sz w:val="20"/>
                <w:lang w:val="en-GB"/>
              </w:rPr>
            </w:pPr>
          </w:p>
        </w:tc>
      </w:tr>
      <w:tr w:rsidR="00D5485C" w:rsidRPr="00D2126A" w14:paraId="269FA03D" w14:textId="77777777" w:rsidTr="00A717A8">
        <w:trPr>
          <w:cantSplit/>
          <w:trHeight w:val="57"/>
          <w:jc w:val="center"/>
        </w:trPr>
        <w:tc>
          <w:tcPr>
            <w:tcW w:w="2428" w:type="pct"/>
            <w:tcBorders>
              <w:top w:val="nil"/>
              <w:bottom w:val="nil"/>
            </w:tcBorders>
            <w:shd w:val="clear" w:color="auto" w:fill="auto"/>
          </w:tcPr>
          <w:p w14:paraId="095648B6" w14:textId="1BC4C021" w:rsidR="00030FCF" w:rsidRPr="00D2126A" w:rsidRDefault="000E5A86" w:rsidP="006B7D29">
            <w:pPr>
              <w:pStyle w:val="C-TableText"/>
              <w:keepNext/>
              <w:spacing w:before="0" w:after="0"/>
              <w:ind w:left="57"/>
              <w:rPr>
                <w:sz w:val="20"/>
              </w:rPr>
            </w:pPr>
            <w:r>
              <w:rPr>
                <w:b/>
                <w:sz w:val="20"/>
              </w:rPr>
              <w:t>RR</w:t>
            </w:r>
            <w:r>
              <w:rPr>
                <w:sz w:val="20"/>
              </w:rPr>
              <w:t xml:space="preserve"> [IC à 95 %]</w:t>
            </w:r>
            <w:r>
              <w:rPr>
                <w:sz w:val="20"/>
                <w:vertAlign w:val="superscript"/>
              </w:rPr>
              <w:t>c</w:t>
            </w:r>
          </w:p>
        </w:tc>
        <w:tc>
          <w:tcPr>
            <w:tcW w:w="2572" w:type="pct"/>
            <w:gridSpan w:val="2"/>
            <w:tcBorders>
              <w:top w:val="nil"/>
              <w:bottom w:val="nil"/>
            </w:tcBorders>
            <w:shd w:val="clear" w:color="auto" w:fill="auto"/>
          </w:tcPr>
          <w:p w14:paraId="4E301B99" w14:textId="77777777" w:rsidR="00030FCF" w:rsidRPr="00D2126A" w:rsidRDefault="000E5A86" w:rsidP="006B7D29">
            <w:pPr>
              <w:pStyle w:val="C-TableText"/>
              <w:keepNext/>
              <w:spacing w:before="0" w:after="0"/>
              <w:jc w:val="center"/>
              <w:rPr>
                <w:sz w:val="20"/>
              </w:rPr>
            </w:pPr>
            <w:r>
              <w:rPr>
                <w:sz w:val="20"/>
              </w:rPr>
              <w:t>0,89 [0,62 ; 1,28]</w:t>
            </w:r>
          </w:p>
        </w:tc>
      </w:tr>
      <w:tr w:rsidR="00D5485C" w:rsidRPr="00D2126A" w14:paraId="7FE09645" w14:textId="77777777" w:rsidTr="00A717A8">
        <w:trPr>
          <w:cantSplit/>
          <w:trHeight w:val="57"/>
          <w:jc w:val="center"/>
        </w:trPr>
        <w:tc>
          <w:tcPr>
            <w:tcW w:w="2428" w:type="pct"/>
            <w:tcBorders>
              <w:top w:val="nil"/>
            </w:tcBorders>
            <w:shd w:val="clear" w:color="auto" w:fill="auto"/>
          </w:tcPr>
          <w:p w14:paraId="54D30DF7" w14:textId="2FB918F8" w:rsidR="00030FCF" w:rsidRPr="00D2126A" w:rsidRDefault="000E5A86" w:rsidP="006B7D29">
            <w:pPr>
              <w:pStyle w:val="C-TableText"/>
              <w:keepNext/>
              <w:spacing w:before="0" w:after="0"/>
              <w:ind w:left="57"/>
              <w:rPr>
                <w:sz w:val="20"/>
              </w:rPr>
            </w:pPr>
            <w:r>
              <w:rPr>
                <w:sz w:val="20"/>
              </w:rPr>
              <w:t>Valeur p, test du log</w:t>
            </w:r>
            <w:r>
              <w:rPr>
                <w:sz w:val="20"/>
              </w:rPr>
              <w:noBreakHyphen/>
              <w:t>rank</w:t>
            </w:r>
          </w:p>
        </w:tc>
        <w:tc>
          <w:tcPr>
            <w:tcW w:w="2572" w:type="pct"/>
            <w:gridSpan w:val="2"/>
            <w:tcBorders>
              <w:top w:val="nil"/>
            </w:tcBorders>
            <w:shd w:val="clear" w:color="auto" w:fill="auto"/>
          </w:tcPr>
          <w:p w14:paraId="3FCB9359" w14:textId="77777777" w:rsidR="00030FCF" w:rsidRPr="00D2126A" w:rsidRDefault="000E5A86" w:rsidP="006B7D29">
            <w:pPr>
              <w:pStyle w:val="C-TableText"/>
              <w:keepNext/>
              <w:spacing w:before="0" w:after="0"/>
              <w:jc w:val="center"/>
              <w:rPr>
                <w:sz w:val="20"/>
              </w:rPr>
            </w:pPr>
            <w:r>
              <w:rPr>
                <w:sz w:val="20"/>
              </w:rPr>
              <w:t>0,520</w:t>
            </w:r>
          </w:p>
        </w:tc>
      </w:tr>
    </w:tbl>
    <w:p w14:paraId="65F1C635" w14:textId="0D9E87BD" w:rsidR="00030FCF" w:rsidRPr="00D2126A" w:rsidRDefault="000E5A86" w:rsidP="00C93C76">
      <w:pPr>
        <w:pStyle w:val="C-TableFootnote"/>
        <w:tabs>
          <w:tab w:val="clear" w:pos="432"/>
          <w:tab w:val="left" w:pos="284"/>
        </w:tabs>
        <w:ind w:left="0" w:firstLine="0"/>
        <w:rPr>
          <w:sz w:val="16"/>
          <w:szCs w:val="16"/>
        </w:rPr>
      </w:pPr>
      <w:r>
        <w:rPr>
          <w:sz w:val="16"/>
        </w:rPr>
        <w:t>IC = intervalle de confiance ; Taux de RC = taux de réponse complète ; RC = réponse complète ; RCnc = réponse complète non confirmée ; CSI = Comité de surveillance indépendant ; ITT = intention de traiter ; RR = rapport de risque ; KM = Kaplan</w:t>
      </w:r>
      <w:r>
        <w:rPr>
          <w:sz w:val="16"/>
        </w:rPr>
        <w:noBreakHyphen/>
        <w:t>Meier ; MIPI = </w:t>
      </w:r>
      <w:r>
        <w:rPr>
          <w:i/>
          <w:sz w:val="16"/>
        </w:rPr>
        <w:t>Mantle Cell Lymphoma International Prognostic Index</w:t>
      </w:r>
      <w:r>
        <w:rPr>
          <w:sz w:val="16"/>
        </w:rPr>
        <w:t> ; S/O = sans objet ; TRG = taux de réponse globale ; MP = maladie en progression ; SSP = survie sans progression ; RP = réponse partielle ; GCS = greffe de cellules souches ; MS = maladie stable ; ES = erreur standard.</w:t>
      </w:r>
    </w:p>
    <w:p w14:paraId="074DC3E3" w14:textId="77777777" w:rsidR="00030FCF" w:rsidRPr="00D2126A" w:rsidRDefault="000E5A86" w:rsidP="00C93C76">
      <w:pPr>
        <w:pStyle w:val="C-TableFootnote"/>
        <w:ind w:left="0" w:firstLine="0"/>
        <w:rPr>
          <w:sz w:val="16"/>
          <w:szCs w:val="16"/>
        </w:rPr>
      </w:pPr>
      <w:r>
        <w:rPr>
          <w:sz w:val="16"/>
          <w:vertAlign w:val="superscript"/>
        </w:rPr>
        <w:t>a</w:t>
      </w:r>
      <w:r>
        <w:rPr>
          <w:sz w:val="16"/>
        </w:rPr>
        <w:t xml:space="preserve"> La médiane était basée sur l’estimation de KM.</w:t>
      </w:r>
    </w:p>
    <w:p w14:paraId="4D608CC4" w14:textId="5ECA51B1" w:rsidR="00030FCF" w:rsidRPr="00D2126A" w:rsidRDefault="000E5A86" w:rsidP="00C93C76">
      <w:pPr>
        <w:pStyle w:val="C-TableFootnote"/>
        <w:ind w:left="0" w:firstLine="0"/>
        <w:rPr>
          <w:sz w:val="16"/>
          <w:szCs w:val="16"/>
        </w:rPr>
      </w:pPr>
      <w:r>
        <w:rPr>
          <w:sz w:val="16"/>
          <w:vertAlign w:val="superscript"/>
        </w:rPr>
        <w:t>b</w:t>
      </w:r>
      <w:r>
        <w:rPr>
          <w:sz w:val="16"/>
        </w:rPr>
        <w:t xml:space="preserve"> L’intervalle était calculé comme les IC à 95 % de la durée de survie médiane.</w:t>
      </w:r>
    </w:p>
    <w:p w14:paraId="0C0528FA" w14:textId="77777777" w:rsidR="00030FCF" w:rsidRPr="00D2126A" w:rsidRDefault="000E5A86" w:rsidP="00C93C76">
      <w:pPr>
        <w:pStyle w:val="C-TableFootnote"/>
        <w:ind w:left="0" w:firstLine="0"/>
        <w:rPr>
          <w:sz w:val="16"/>
          <w:szCs w:val="16"/>
        </w:rPr>
      </w:pPr>
      <w:r>
        <w:rPr>
          <w:sz w:val="16"/>
          <w:vertAlign w:val="superscript"/>
        </w:rPr>
        <w:t>c</w:t>
      </w:r>
      <w:r>
        <w:rPr>
          <w:sz w:val="16"/>
        </w:rPr>
        <w:t xml:space="preserve"> La moyenne et la médiane sont les statistiques univariées sans ajustement pour censure.</w:t>
      </w:r>
    </w:p>
    <w:p w14:paraId="6A796218" w14:textId="6FB9B5B5" w:rsidR="00036363" w:rsidRPr="00D2126A" w:rsidRDefault="000E5A86" w:rsidP="009B144A">
      <w:pPr>
        <w:pStyle w:val="C-TableFootnote"/>
        <w:keepNext/>
        <w:tabs>
          <w:tab w:val="clear" w:pos="432"/>
          <w:tab w:val="left" w:pos="0"/>
        </w:tabs>
        <w:ind w:left="0" w:firstLine="0"/>
        <w:rPr>
          <w:sz w:val="16"/>
          <w:szCs w:val="16"/>
        </w:rPr>
      </w:pPr>
      <w:r>
        <w:rPr>
          <w:sz w:val="16"/>
          <w:vertAlign w:val="superscript"/>
        </w:rPr>
        <w:t>d</w:t>
      </w:r>
      <w:r>
        <w:rPr>
          <w:sz w:val="16"/>
        </w:rPr>
        <w:t xml:space="preserve"> Les variables de stratification étaient le délai entre le diagnostic et la première dose (&lt; 3 ans et ≥ 3 ans), le délai entre le dernier traitement systémique antérieur du lymphome et la première dose (&lt; 6 mois et ≥ 6 mois), les antécédents de GCS (oui ou non) et le score MIPI lors de l’inclusion (risque faible, intermédiaire et élevé).</w:t>
      </w:r>
    </w:p>
    <w:p w14:paraId="05BA386E" w14:textId="3E38FEDA" w:rsidR="00030FCF" w:rsidRPr="00D2126A" w:rsidRDefault="000E5A86" w:rsidP="009B144A">
      <w:pPr>
        <w:pStyle w:val="C-TableFootnote"/>
        <w:keepNext/>
        <w:tabs>
          <w:tab w:val="clear" w:pos="432"/>
          <w:tab w:val="left" w:pos="142"/>
        </w:tabs>
        <w:ind w:left="0" w:firstLine="0"/>
        <w:rPr>
          <w:sz w:val="16"/>
          <w:szCs w:val="16"/>
        </w:rPr>
      </w:pPr>
      <w:r>
        <w:rPr>
          <w:sz w:val="16"/>
          <w:vertAlign w:val="superscript"/>
        </w:rPr>
        <w:t>e</w:t>
      </w:r>
      <w:r>
        <w:rPr>
          <w:sz w:val="16"/>
        </w:rPr>
        <w:t xml:space="preserve"> Le test séquentiel était basé sur une moyenne pondérée des statistiques d’un test du log</w:t>
      </w:r>
      <w:r>
        <w:rPr>
          <w:sz w:val="16"/>
        </w:rPr>
        <w:noBreakHyphen/>
        <w:t>rank en utilisant le test du log</w:t>
      </w:r>
      <w:r>
        <w:rPr>
          <w:sz w:val="16"/>
        </w:rPr>
        <w:noBreakHyphen/>
        <w:t>rank non stratifié pour l’augmentation de la taille de l’effectif et le test du log</w:t>
      </w:r>
      <w:r>
        <w:rPr>
          <w:sz w:val="16"/>
        </w:rPr>
        <w:noBreakHyphen/>
        <w:t>rank non stratifié de l’analyse principale. Les pondérations sont basées sur les événements observés au moment de la troisième réunion du CSI et sur la différence entre les événements attendus et observés au moment de l’analyse principale. Le RR séquentiel associé et l’IC à 95 % correspondant sont présentés.</w:t>
      </w:r>
    </w:p>
    <w:p w14:paraId="541392C0" w14:textId="77777777" w:rsidR="00030FCF" w:rsidRPr="00D2126A" w:rsidRDefault="00030FCF" w:rsidP="00C93C76">
      <w:pPr>
        <w:pStyle w:val="Date"/>
        <w:rPr>
          <w:u w:val="single"/>
        </w:rPr>
      </w:pPr>
    </w:p>
    <w:p w14:paraId="0DF1B1D6" w14:textId="1DE3FC15" w:rsidR="00030FCF" w:rsidRPr="00D2126A" w:rsidRDefault="000E5A86" w:rsidP="00C93C76">
      <w:pPr>
        <w:autoSpaceDE w:val="0"/>
        <w:autoSpaceDN w:val="0"/>
      </w:pPr>
      <w:r>
        <w:t>Dans la population ITT de l’étude MCL</w:t>
      </w:r>
      <w:r>
        <w:noBreakHyphen/>
        <w:t>002, il a été observé une augmentation apparente globale des décès au cours des 20 premières semaines dans le bras lénalidomide (22/170 patients [13 %]) par rapport au bras contrôle (6/84 patients [7 %]). Chez les patients ayant une charge tumorale élevée, les chiffres correspondants étaient de 16/81 patients (20 %) et 2/28 patients (7 %) (voir rubrique 4.4).</w:t>
      </w:r>
    </w:p>
    <w:p w14:paraId="0C40094E" w14:textId="77777777" w:rsidR="00047B7F" w:rsidRPr="00D2126A" w:rsidRDefault="00047B7F" w:rsidP="00DF154F">
      <w:pPr>
        <w:rPr>
          <w:i/>
          <w:color w:val="000000"/>
          <w:u w:val="single"/>
        </w:rPr>
      </w:pPr>
    </w:p>
    <w:p w14:paraId="0FB1AF69" w14:textId="77777777" w:rsidR="00047B7F" w:rsidRPr="00156723" w:rsidRDefault="000E5A86" w:rsidP="00DF154F">
      <w:pPr>
        <w:keepNext/>
        <w:rPr>
          <w:i/>
          <w:color w:val="000000"/>
          <w:u w:val="single"/>
        </w:rPr>
      </w:pPr>
      <w:r>
        <w:rPr>
          <w:i/>
          <w:color w:val="000000"/>
          <w:u w:val="single"/>
        </w:rPr>
        <w:t>Lymphome folliculaire</w:t>
      </w:r>
    </w:p>
    <w:p w14:paraId="3AC8A0E8" w14:textId="0AF2950F" w:rsidR="00036363" w:rsidRPr="00156723" w:rsidRDefault="000E5A86" w:rsidP="00C93C76">
      <w:r>
        <w:t>AUGMENT - CC</w:t>
      </w:r>
      <w:r>
        <w:noBreakHyphen/>
        <w:t>5013</w:t>
      </w:r>
      <w:r>
        <w:noBreakHyphen/>
        <w:t>NHL</w:t>
      </w:r>
      <w:r>
        <w:noBreakHyphen/>
        <w:t>007</w:t>
      </w:r>
    </w:p>
    <w:p w14:paraId="3D580E91" w14:textId="3FD7E9C8" w:rsidR="00931CD5" w:rsidRPr="00D2126A" w:rsidRDefault="000E5A86" w:rsidP="00C93C76">
      <w:pPr>
        <w:autoSpaceDE w:val="0"/>
        <w:autoSpaceDN w:val="0"/>
        <w:adjustRightInd w:val="0"/>
      </w:pPr>
      <w:r>
        <w:t xml:space="preserve">L’efficacité et la sécurité du lénalidomide en association avec le rituximab </w:t>
      </w:r>
      <w:r>
        <w:rPr>
          <w:i/>
        </w:rPr>
        <w:t>versus</w:t>
      </w:r>
      <w:r>
        <w:t xml:space="preserve"> rituximab plus placebo ont été évaluées chez des patients atteints d’un lymphome non hodgkinien indolent en rechute ou réfractaire, y compris un lymphome folliculaire, dans une étude de phase 3, multicentrique, randomisée, en double aveugle, contrôlée (CC</w:t>
      </w:r>
      <w:r>
        <w:noBreakHyphen/>
        <w:t>5013</w:t>
      </w:r>
      <w:r>
        <w:noBreakHyphen/>
        <w:t>NHL</w:t>
      </w:r>
      <w:r>
        <w:noBreakHyphen/>
        <w:t>007 [AUGMENT]).</w:t>
      </w:r>
    </w:p>
    <w:p w14:paraId="76339981" w14:textId="77777777" w:rsidR="00047B7F" w:rsidRPr="00D2126A" w:rsidRDefault="00047B7F" w:rsidP="00C93C76">
      <w:pPr>
        <w:pStyle w:val="Date"/>
      </w:pPr>
    </w:p>
    <w:p w14:paraId="3494D8FC" w14:textId="66444192" w:rsidR="00047B7F" w:rsidRPr="00D2126A" w:rsidRDefault="000E5A86" w:rsidP="00C93C76">
      <w:pPr>
        <w:autoSpaceDE w:val="0"/>
        <w:autoSpaceDN w:val="0"/>
        <w:adjustRightInd w:val="0"/>
      </w:pPr>
      <w:r>
        <w:t>Au total, 358 patients âgés de 18 ans et plus, atteints de LZM ou de LF de grade 1, 2 ou 3a confirmé histologiquement (CD20+ par cytométrie en flux ou histochimie) tel qu’évalué par l’investigateur ou l’anatomo</w:t>
      </w:r>
      <w:r>
        <w:noBreakHyphen/>
        <w:t>pathologiste du centre, ont été randomisés selon un rapport 1:1. Les patients avaient reçu au moins un traitement antérieur par chimiothérapie systémique, immunothérapie ou immunochimiothérapie.</w:t>
      </w:r>
    </w:p>
    <w:p w14:paraId="4D54FD69" w14:textId="77777777" w:rsidR="00047B7F" w:rsidRPr="00D2126A" w:rsidRDefault="00047B7F" w:rsidP="00C93C76"/>
    <w:p w14:paraId="508A7205" w14:textId="6A28862C" w:rsidR="00047B7F" w:rsidRPr="00D2126A" w:rsidRDefault="000E5A86" w:rsidP="00C93C76">
      <w:pPr>
        <w:pStyle w:val="C-BodyText"/>
        <w:spacing w:before="0" w:after="0" w:line="240" w:lineRule="auto"/>
        <w:rPr>
          <w:sz w:val="22"/>
          <w:szCs w:val="22"/>
        </w:rPr>
      </w:pPr>
      <w:r>
        <w:rPr>
          <w:sz w:val="22"/>
        </w:rPr>
        <w:t>Le lénalidomide était administré par voie orale à la dose de 20 mg en une prise par jour pendant les 21 premiers jours de chaque cycle de 28 jours pendant 12 cycles ou jusqu’à la survenue d’une toxicité inacceptable. La dose de rituximab était de 375 mg/m</w:t>
      </w:r>
      <w:r>
        <w:rPr>
          <w:sz w:val="22"/>
          <w:vertAlign w:val="superscript"/>
        </w:rPr>
        <w:t>2</w:t>
      </w:r>
      <w:r>
        <w:rPr>
          <w:sz w:val="22"/>
        </w:rPr>
        <w:t xml:space="preserve"> chaque semaine au cours du cycle 1 (jours 1, 8, 15 et 22) et le jour 1 de chaque cycle de 28 jours pendant les cycles 2 à 5. Toutes les doses de rituximab étaient calculées en fonction de la surface corporelle (SC) du patient, déterminée à partir du poids réel du patient.</w:t>
      </w:r>
    </w:p>
    <w:p w14:paraId="6A451197" w14:textId="77777777" w:rsidR="00047B7F" w:rsidRPr="00AB0414" w:rsidRDefault="00047B7F" w:rsidP="00C93C76">
      <w:pPr>
        <w:pStyle w:val="C-BodyText"/>
        <w:spacing w:before="0" w:after="0" w:line="240" w:lineRule="auto"/>
        <w:rPr>
          <w:sz w:val="22"/>
          <w:szCs w:val="22"/>
        </w:rPr>
      </w:pPr>
    </w:p>
    <w:p w14:paraId="76C0BDA5" w14:textId="5ABA39D7" w:rsidR="00047B7F" w:rsidRPr="00D2126A" w:rsidRDefault="000E5A86" w:rsidP="00C93C76">
      <w:pPr>
        <w:pStyle w:val="C-BodyText"/>
        <w:spacing w:before="0" w:after="0" w:line="240" w:lineRule="auto"/>
        <w:rPr>
          <w:sz w:val="22"/>
          <w:szCs w:val="22"/>
        </w:rPr>
      </w:pPr>
      <w:r>
        <w:rPr>
          <w:sz w:val="22"/>
        </w:rPr>
        <w:t>Les caractéristiques démographiques et pathologiques initiales étaient comparables entre les deux groupes de traitement.</w:t>
      </w:r>
    </w:p>
    <w:p w14:paraId="5B386371" w14:textId="77777777" w:rsidR="00047B7F" w:rsidRPr="00D2126A" w:rsidRDefault="00047B7F" w:rsidP="00C93C76"/>
    <w:p w14:paraId="33B96E73" w14:textId="138AEA46" w:rsidR="00036363" w:rsidRPr="00D2126A" w:rsidRDefault="000E5A86" w:rsidP="00C93C76">
      <w:pPr>
        <w:autoSpaceDE w:val="0"/>
        <w:autoSpaceDN w:val="0"/>
        <w:adjustRightInd w:val="0"/>
      </w:pPr>
      <w:r>
        <w:t>L’objectif principal de l’étude était de comparer l’efficacité du lénalidomide en association avec le rituximab à celle du rituximab plus placebo chez des patients atteints de LF de grade 1, 2 ou 3a ou de LZM en rechute ou réfractaire. Le critère principal d’évaluation de l’efficacité était la SSP, évaluée par un comité d’évaluation indépendant (IRC) selon les critères de réponse de l’International Working Group (CR</w:t>
      </w:r>
      <w:r>
        <w:noBreakHyphen/>
        <w:t>IWG) 2007, mais sans le recours à la tomographie par émission de positrons (TEP).</w:t>
      </w:r>
    </w:p>
    <w:p w14:paraId="01043D5D" w14:textId="3DD1C683" w:rsidR="00047B7F" w:rsidRPr="00D2126A" w:rsidRDefault="00047B7F" w:rsidP="00C93C76"/>
    <w:p w14:paraId="1AB2BE07" w14:textId="77777777" w:rsidR="00931CD5" w:rsidRPr="00D2126A" w:rsidRDefault="000E5A86" w:rsidP="00C93C76">
      <w:pPr>
        <w:autoSpaceDE w:val="0"/>
        <w:autoSpaceDN w:val="0"/>
        <w:adjustRightInd w:val="0"/>
      </w:pPr>
      <w:r>
        <w:t>Les objectifs secondaires de l’étude étaient de comparer la tolérance du lénalidomide en association avec le rituximab à celle du rituximab plus placebo. Les autres objectifs secondaires étaient de comparer l’efficacité du rituximab plus lénalidomide à celle du rituximab plus placebo à l’aide des autres critères d’efficacité suivants :</w:t>
      </w:r>
    </w:p>
    <w:p w14:paraId="5630D095" w14:textId="6341A0EA" w:rsidR="00931CD5" w:rsidRPr="00D2126A" w:rsidRDefault="000E5A86" w:rsidP="00C93C76">
      <w:pPr>
        <w:pStyle w:val="Date"/>
      </w:pPr>
      <w:r>
        <w:t>taux de réponse globale (RG), taux de RC et durée de la réponse (DR) selon les critères IWG 2007 sans TEP ainsi que la SG.</w:t>
      </w:r>
    </w:p>
    <w:p w14:paraId="29BED8C2" w14:textId="77777777" w:rsidR="006436BA" w:rsidRPr="00D2126A" w:rsidRDefault="006436BA" w:rsidP="00C93C76"/>
    <w:p w14:paraId="198E4692" w14:textId="44636051" w:rsidR="006436BA" w:rsidRPr="00D2126A" w:rsidRDefault="000E5A86" w:rsidP="00C93C76">
      <w:pPr>
        <w:autoSpaceDE w:val="0"/>
        <w:autoSpaceDN w:val="0"/>
        <w:adjustRightInd w:val="0"/>
      </w:pPr>
      <w:r>
        <w:t>Les résultats dans la population totale incluant les patients atteints de LF ou de LZM ont montré qu’après un suivi médian de 28,3 mois, l’étude avait atteint son critère principal de SSP avec un rapport de risque (RR) (intervalle de confiance [IC] à 95 %) de 0,45 (0,33 ; 0,61), valeur p &lt; 0,0001. Les résultats d’efficacité dans la population de patients atteints d’un lymphome folliculaire sont présentés dans le tableau 14.</w:t>
      </w:r>
    </w:p>
    <w:p w14:paraId="02361C72" w14:textId="77777777" w:rsidR="00047B7F" w:rsidRPr="00D2126A" w:rsidRDefault="00047B7F" w:rsidP="00C93C76"/>
    <w:p w14:paraId="70EDE6E0" w14:textId="7460E497" w:rsidR="00047B7F" w:rsidRPr="00D2126A" w:rsidRDefault="000E5A86" w:rsidP="00C93C76">
      <w:pPr>
        <w:pStyle w:val="C-TableHeader"/>
        <w:spacing w:before="0" w:after="0"/>
        <w:rPr>
          <w:szCs w:val="22"/>
        </w:rPr>
      </w:pPr>
      <w:r>
        <w:t>Tableau 14 : Synthèse des résultats d’efficacité chez les patients atteints d’un lymphome folliculaire – Étude CC</w:t>
      </w:r>
      <w:r>
        <w:noBreakHyphen/>
        <w:t>5013</w:t>
      </w:r>
      <w:r>
        <w:noBreakHyphen/>
        <w:t>NHL</w:t>
      </w:r>
      <w:r>
        <w:noBreakHyphen/>
        <w:t>007</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541"/>
        <w:gridCol w:w="2913"/>
        <w:gridCol w:w="2949"/>
      </w:tblGrid>
      <w:tr w:rsidR="00D5485C" w:rsidRPr="00D2126A" w14:paraId="65978323"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71BF18AF" w14:textId="77777777" w:rsidR="00C2047C" w:rsidRPr="00D2126A" w:rsidRDefault="00C2047C" w:rsidP="006B7D29">
            <w:pPr>
              <w:keepNext/>
              <w:tabs>
                <w:tab w:val="center" w:pos="4153"/>
                <w:tab w:val="right" w:pos="8306"/>
              </w:tabs>
              <w:rPr>
                <w:b/>
                <w:i/>
                <w:iCs/>
                <w:sz w:val="20"/>
              </w:rPr>
            </w:pPr>
          </w:p>
        </w:tc>
        <w:tc>
          <w:tcPr>
            <w:tcW w:w="3117" w:type="pct"/>
            <w:gridSpan w:val="2"/>
            <w:shd w:val="clear" w:color="auto" w:fill="auto"/>
          </w:tcPr>
          <w:p w14:paraId="4B22E557" w14:textId="77777777" w:rsidR="00C2047C" w:rsidRPr="00D2126A" w:rsidRDefault="000E5A86" w:rsidP="006B7D29">
            <w:pPr>
              <w:keepNext/>
              <w:jc w:val="center"/>
              <w:rPr>
                <w:sz w:val="20"/>
              </w:rPr>
            </w:pPr>
            <w:r>
              <w:rPr>
                <w:sz w:val="20"/>
              </w:rPr>
              <w:t>LF</w:t>
            </w:r>
          </w:p>
          <w:p w14:paraId="14C50683" w14:textId="067B80CF" w:rsidR="00C2047C" w:rsidRPr="00D2126A" w:rsidRDefault="000E5A86" w:rsidP="006B7D29">
            <w:pPr>
              <w:keepNext/>
              <w:jc w:val="center"/>
              <w:rPr>
                <w:sz w:val="20"/>
              </w:rPr>
            </w:pPr>
            <w:r>
              <w:rPr>
                <w:sz w:val="20"/>
              </w:rPr>
              <w:t>(N = 295)</w:t>
            </w:r>
          </w:p>
        </w:tc>
      </w:tr>
      <w:tr w:rsidR="00D5485C" w:rsidRPr="00D2126A" w14:paraId="6CCCC6F4"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008ED4B9" w14:textId="77777777" w:rsidR="00C2047C" w:rsidRPr="00D2126A" w:rsidRDefault="00C2047C" w:rsidP="006B7D29">
            <w:pPr>
              <w:keepNext/>
              <w:tabs>
                <w:tab w:val="center" w:pos="4153"/>
                <w:tab w:val="right" w:pos="8306"/>
              </w:tabs>
              <w:rPr>
                <w:b/>
                <w:i/>
                <w:iCs/>
                <w:sz w:val="20"/>
              </w:rPr>
            </w:pPr>
          </w:p>
        </w:tc>
        <w:tc>
          <w:tcPr>
            <w:tcW w:w="1549" w:type="pct"/>
            <w:shd w:val="clear" w:color="auto" w:fill="auto"/>
          </w:tcPr>
          <w:p w14:paraId="00BE40EB" w14:textId="77777777" w:rsidR="00036363" w:rsidRPr="00D2126A" w:rsidRDefault="000E5A86" w:rsidP="006B7D29">
            <w:pPr>
              <w:keepNext/>
              <w:jc w:val="center"/>
              <w:rPr>
                <w:rFonts w:ascii="Yu Gothic" w:eastAsia="Yu Gothic" w:cs="Yu Gothic"/>
                <w:b/>
                <w:bCs/>
                <w:sz w:val="20"/>
              </w:rPr>
            </w:pPr>
            <w:r>
              <w:rPr>
                <w:sz w:val="20"/>
              </w:rPr>
              <w:t>Lénalidomide + rituximab</w:t>
            </w:r>
          </w:p>
          <w:p w14:paraId="06D76324" w14:textId="3D3D2618" w:rsidR="00C2047C" w:rsidRPr="00D2126A" w:rsidRDefault="000E5A86" w:rsidP="006B7D29">
            <w:pPr>
              <w:keepNext/>
              <w:jc w:val="center"/>
              <w:rPr>
                <w:sz w:val="20"/>
              </w:rPr>
            </w:pPr>
            <w:r>
              <w:rPr>
                <w:sz w:val="20"/>
              </w:rPr>
              <w:t>(N = 147)</w:t>
            </w:r>
          </w:p>
        </w:tc>
        <w:tc>
          <w:tcPr>
            <w:tcW w:w="1568" w:type="pct"/>
            <w:shd w:val="clear" w:color="auto" w:fill="auto"/>
          </w:tcPr>
          <w:p w14:paraId="64F70139" w14:textId="77777777" w:rsidR="00036363" w:rsidRPr="00D2126A" w:rsidRDefault="000E5A86" w:rsidP="006B7D29">
            <w:pPr>
              <w:keepNext/>
              <w:jc w:val="center"/>
              <w:rPr>
                <w:sz w:val="20"/>
              </w:rPr>
            </w:pPr>
            <w:r>
              <w:rPr>
                <w:sz w:val="20"/>
              </w:rPr>
              <w:t>Placebo + rituximab</w:t>
            </w:r>
          </w:p>
          <w:p w14:paraId="5F8E2FCD" w14:textId="771548BA" w:rsidR="00C2047C" w:rsidRPr="00D2126A" w:rsidRDefault="000E5A86" w:rsidP="006B7D29">
            <w:pPr>
              <w:keepNext/>
              <w:jc w:val="center"/>
              <w:rPr>
                <w:sz w:val="20"/>
              </w:rPr>
            </w:pPr>
            <w:r>
              <w:rPr>
                <w:sz w:val="20"/>
              </w:rPr>
              <w:t>(N = 148)</w:t>
            </w:r>
          </w:p>
        </w:tc>
      </w:tr>
      <w:tr w:rsidR="00D5485C" w:rsidRPr="00D2126A" w14:paraId="28BE21AC" w14:textId="77777777" w:rsidTr="0097536F">
        <w:trPr>
          <w:cantSplit/>
          <w:trHeight w:val="57"/>
          <w:jc w:val="center"/>
        </w:trPr>
        <w:tc>
          <w:tcPr>
            <w:tcW w:w="5000" w:type="pct"/>
            <w:gridSpan w:val="3"/>
            <w:shd w:val="clear" w:color="auto" w:fill="auto"/>
            <w:tcMar>
              <w:top w:w="0" w:type="dxa"/>
              <w:left w:w="108" w:type="dxa"/>
              <w:bottom w:w="0" w:type="dxa"/>
              <w:right w:w="108" w:type="dxa"/>
            </w:tcMar>
          </w:tcPr>
          <w:p w14:paraId="06F965AC" w14:textId="77777777" w:rsidR="00C2047C" w:rsidRPr="00D2126A" w:rsidRDefault="000E5A86" w:rsidP="006B7D29">
            <w:pPr>
              <w:keepNext/>
              <w:rPr>
                <w:sz w:val="20"/>
              </w:rPr>
            </w:pPr>
            <w:r>
              <w:rPr>
                <w:b/>
                <w:sz w:val="20"/>
              </w:rPr>
              <w:t>Survie sans progression (SSP) (données censurées selon les règles de l’EMA)</w:t>
            </w:r>
          </w:p>
        </w:tc>
      </w:tr>
      <w:tr w:rsidR="00D5485C" w:rsidRPr="00D2126A" w14:paraId="650E071D" w14:textId="77777777" w:rsidTr="0097536F">
        <w:trPr>
          <w:cantSplit/>
          <w:trHeight w:val="57"/>
          <w:jc w:val="center"/>
        </w:trPr>
        <w:tc>
          <w:tcPr>
            <w:tcW w:w="1883" w:type="pct"/>
            <w:shd w:val="clear" w:color="auto" w:fill="auto"/>
            <w:tcMar>
              <w:top w:w="0" w:type="dxa"/>
              <w:left w:w="108" w:type="dxa"/>
              <w:bottom w:w="0" w:type="dxa"/>
              <w:right w:w="108" w:type="dxa"/>
            </w:tcMar>
          </w:tcPr>
          <w:p w14:paraId="211E8114" w14:textId="639466DD" w:rsidR="00C2047C" w:rsidRPr="00D2126A" w:rsidRDefault="000E5A86" w:rsidP="006B7D29">
            <w:pPr>
              <w:keepNext/>
              <w:ind w:left="180"/>
              <w:rPr>
                <w:sz w:val="20"/>
              </w:rPr>
            </w:pPr>
            <w:r>
              <w:rPr>
                <w:sz w:val="20"/>
              </w:rPr>
              <w:t>SSP médiane</w:t>
            </w:r>
            <w:r>
              <w:rPr>
                <w:sz w:val="20"/>
                <w:vertAlign w:val="superscript"/>
              </w:rPr>
              <w:t>a</w:t>
            </w:r>
            <w:r>
              <w:rPr>
                <w:sz w:val="20"/>
              </w:rPr>
              <w:t>, mois (IC à 95 %)</w:t>
            </w:r>
          </w:p>
        </w:tc>
        <w:tc>
          <w:tcPr>
            <w:tcW w:w="1549" w:type="pct"/>
            <w:shd w:val="clear" w:color="auto" w:fill="auto"/>
          </w:tcPr>
          <w:p w14:paraId="2A4A9B95" w14:textId="77777777" w:rsidR="00C2047C" w:rsidRPr="00D2126A" w:rsidRDefault="000E5A86" w:rsidP="006B7D29">
            <w:pPr>
              <w:keepNext/>
              <w:jc w:val="center"/>
              <w:rPr>
                <w:sz w:val="20"/>
              </w:rPr>
            </w:pPr>
            <w:r>
              <w:rPr>
                <w:sz w:val="20"/>
              </w:rPr>
              <w:t>39,4</w:t>
            </w:r>
          </w:p>
          <w:p w14:paraId="0B3F6944" w14:textId="1BF47806" w:rsidR="00C2047C" w:rsidRPr="00D2126A" w:rsidRDefault="000E5A86" w:rsidP="006B7D29">
            <w:pPr>
              <w:keepNext/>
              <w:jc w:val="center"/>
              <w:rPr>
                <w:sz w:val="20"/>
              </w:rPr>
            </w:pPr>
            <w:r>
              <w:rPr>
                <w:sz w:val="20"/>
              </w:rPr>
              <w:t>(25,1 ; NE)</w:t>
            </w:r>
          </w:p>
        </w:tc>
        <w:tc>
          <w:tcPr>
            <w:tcW w:w="1568" w:type="pct"/>
            <w:shd w:val="clear" w:color="auto" w:fill="auto"/>
          </w:tcPr>
          <w:p w14:paraId="04E53A87" w14:textId="77777777" w:rsidR="00036363" w:rsidRPr="00D2126A" w:rsidRDefault="000E5A86" w:rsidP="006B7D29">
            <w:pPr>
              <w:keepNext/>
              <w:jc w:val="center"/>
              <w:rPr>
                <w:sz w:val="20"/>
              </w:rPr>
            </w:pPr>
            <w:r>
              <w:rPr>
                <w:sz w:val="20"/>
              </w:rPr>
              <w:t>13,8</w:t>
            </w:r>
          </w:p>
          <w:p w14:paraId="54A1FA59" w14:textId="72F6E612" w:rsidR="00C2047C" w:rsidRPr="00D2126A" w:rsidRDefault="000E5A86" w:rsidP="006B7D29">
            <w:pPr>
              <w:keepNext/>
              <w:jc w:val="center"/>
              <w:rPr>
                <w:sz w:val="20"/>
              </w:rPr>
            </w:pPr>
            <w:r>
              <w:rPr>
                <w:sz w:val="20"/>
              </w:rPr>
              <w:t>(11,2 ; 16,0)</w:t>
            </w:r>
          </w:p>
        </w:tc>
      </w:tr>
      <w:tr w:rsidR="00D5485C" w:rsidRPr="00D2126A" w14:paraId="751653D7" w14:textId="77777777" w:rsidTr="0097536F">
        <w:trPr>
          <w:cantSplit/>
          <w:trHeight w:val="57"/>
          <w:jc w:val="center"/>
        </w:trPr>
        <w:tc>
          <w:tcPr>
            <w:tcW w:w="1883" w:type="pct"/>
            <w:shd w:val="clear" w:color="auto" w:fill="auto"/>
            <w:tcMar>
              <w:top w:w="0" w:type="dxa"/>
              <w:left w:w="108" w:type="dxa"/>
              <w:bottom w:w="0" w:type="dxa"/>
              <w:right w:w="108" w:type="dxa"/>
            </w:tcMar>
          </w:tcPr>
          <w:p w14:paraId="6633DB1E" w14:textId="1A9FA58E" w:rsidR="00C2047C" w:rsidRPr="00D2126A" w:rsidRDefault="000E5A86" w:rsidP="006B7D29">
            <w:pPr>
              <w:keepNext/>
              <w:ind w:left="180"/>
              <w:rPr>
                <w:sz w:val="20"/>
              </w:rPr>
            </w:pPr>
            <w:r>
              <w:rPr>
                <w:sz w:val="20"/>
              </w:rPr>
              <w:t>RR (IC à 95 %)</w:t>
            </w:r>
          </w:p>
        </w:tc>
        <w:tc>
          <w:tcPr>
            <w:tcW w:w="3117" w:type="pct"/>
            <w:gridSpan w:val="2"/>
            <w:shd w:val="clear" w:color="auto" w:fill="auto"/>
          </w:tcPr>
          <w:p w14:paraId="6E6A0A34" w14:textId="77777777" w:rsidR="00C2047C" w:rsidRPr="00D2126A" w:rsidRDefault="000E5A86" w:rsidP="006B7D29">
            <w:pPr>
              <w:keepNext/>
              <w:jc w:val="center"/>
              <w:rPr>
                <w:sz w:val="20"/>
              </w:rPr>
            </w:pPr>
            <w:r>
              <w:rPr>
                <w:sz w:val="20"/>
              </w:rPr>
              <w:t>0,40 (0,29 ; 0,55)</w:t>
            </w:r>
            <w:r>
              <w:rPr>
                <w:sz w:val="20"/>
                <w:vertAlign w:val="superscript"/>
              </w:rPr>
              <w:t>b</w:t>
            </w:r>
          </w:p>
        </w:tc>
      </w:tr>
      <w:tr w:rsidR="00D5485C" w:rsidRPr="00D2126A" w14:paraId="34BA3C77" w14:textId="77777777" w:rsidTr="0097536F">
        <w:trPr>
          <w:cantSplit/>
          <w:trHeight w:val="57"/>
          <w:jc w:val="center"/>
        </w:trPr>
        <w:tc>
          <w:tcPr>
            <w:tcW w:w="1883" w:type="pct"/>
            <w:tcBorders>
              <w:bottom w:val="single" w:sz="4" w:space="0" w:color="auto"/>
            </w:tcBorders>
            <w:shd w:val="clear" w:color="auto" w:fill="auto"/>
            <w:tcMar>
              <w:top w:w="0" w:type="dxa"/>
              <w:left w:w="108" w:type="dxa"/>
              <w:bottom w:w="0" w:type="dxa"/>
              <w:right w:w="108" w:type="dxa"/>
            </w:tcMar>
          </w:tcPr>
          <w:p w14:paraId="749B4F1F" w14:textId="57299C30" w:rsidR="00C2047C" w:rsidRPr="00D2126A" w:rsidRDefault="00996A85" w:rsidP="006B7D29">
            <w:pPr>
              <w:ind w:left="180"/>
              <w:rPr>
                <w:sz w:val="20"/>
              </w:rPr>
            </w:pPr>
            <w:r>
              <w:rPr>
                <w:sz w:val="20"/>
              </w:rPr>
              <w:t>Valeur p</w:t>
            </w:r>
          </w:p>
        </w:tc>
        <w:tc>
          <w:tcPr>
            <w:tcW w:w="3117" w:type="pct"/>
            <w:gridSpan w:val="2"/>
            <w:tcBorders>
              <w:bottom w:val="single" w:sz="4" w:space="0" w:color="auto"/>
            </w:tcBorders>
            <w:shd w:val="clear" w:color="auto" w:fill="auto"/>
          </w:tcPr>
          <w:p w14:paraId="05374762" w14:textId="5B28AACB" w:rsidR="00C2047C" w:rsidRPr="00D2126A" w:rsidRDefault="000E5A86" w:rsidP="006B7D29">
            <w:pPr>
              <w:keepNext/>
              <w:jc w:val="center"/>
              <w:rPr>
                <w:sz w:val="20"/>
              </w:rPr>
            </w:pPr>
            <w:r>
              <w:rPr>
                <w:sz w:val="20"/>
              </w:rPr>
              <w:t>&lt; 0,0001</w:t>
            </w:r>
            <w:r>
              <w:rPr>
                <w:sz w:val="20"/>
                <w:vertAlign w:val="superscript"/>
              </w:rPr>
              <w:t>c</w:t>
            </w:r>
          </w:p>
        </w:tc>
      </w:tr>
      <w:tr w:rsidR="00D5485C" w:rsidRPr="00D2126A" w14:paraId="2B2FD249"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9C2E996" w14:textId="399B95BE" w:rsidR="00C2047C" w:rsidRPr="00D2126A" w:rsidRDefault="000E5A86" w:rsidP="006B7D29">
            <w:pPr>
              <w:rPr>
                <w:b/>
                <w:sz w:val="20"/>
              </w:rPr>
            </w:pPr>
            <w:r>
              <w:rPr>
                <w:b/>
                <w:sz w:val="20"/>
              </w:rPr>
              <w:t>Réponse objective</w:t>
            </w:r>
            <w:r>
              <w:rPr>
                <w:b/>
                <w:sz w:val="20"/>
                <w:vertAlign w:val="superscript"/>
              </w:rPr>
              <w:t xml:space="preserve">d </w:t>
            </w:r>
            <w:r>
              <w:rPr>
                <w:b/>
                <w:sz w:val="20"/>
              </w:rPr>
              <w:t>(RC + RP), n (%)</w:t>
            </w:r>
          </w:p>
        </w:tc>
        <w:tc>
          <w:tcPr>
            <w:tcW w:w="1549" w:type="pct"/>
            <w:tcBorders>
              <w:bottom w:val="nil"/>
            </w:tcBorders>
            <w:shd w:val="clear" w:color="auto" w:fill="auto"/>
            <w:vAlign w:val="center"/>
          </w:tcPr>
          <w:p w14:paraId="39FF7FE0" w14:textId="08EDD9ED" w:rsidR="00C2047C" w:rsidRPr="00D2126A" w:rsidRDefault="00C2047C" w:rsidP="006B7D29">
            <w:pPr>
              <w:jc w:val="center"/>
              <w:rPr>
                <w:sz w:val="20"/>
              </w:rPr>
            </w:pPr>
          </w:p>
        </w:tc>
        <w:tc>
          <w:tcPr>
            <w:tcW w:w="1568" w:type="pct"/>
            <w:tcBorders>
              <w:bottom w:val="nil"/>
            </w:tcBorders>
            <w:shd w:val="clear" w:color="auto" w:fill="auto"/>
            <w:vAlign w:val="center"/>
          </w:tcPr>
          <w:p w14:paraId="4765E5DB" w14:textId="094F0CD3" w:rsidR="00C2047C" w:rsidRPr="00D2126A" w:rsidRDefault="00C2047C" w:rsidP="006B7D29">
            <w:pPr>
              <w:jc w:val="center"/>
              <w:rPr>
                <w:sz w:val="20"/>
              </w:rPr>
            </w:pPr>
          </w:p>
        </w:tc>
      </w:tr>
      <w:tr w:rsidR="00F622BB" w:rsidRPr="00D2126A" w14:paraId="71E982D3"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1D26573E" w14:textId="631ED0F1" w:rsidR="00F622BB" w:rsidRPr="00D2126A" w:rsidRDefault="00F622BB" w:rsidP="006B7D29">
            <w:pPr>
              <w:ind w:left="180"/>
              <w:rPr>
                <w:sz w:val="20"/>
              </w:rPr>
            </w:pPr>
            <w:r>
              <w:rPr>
                <w:sz w:val="20"/>
                <w:u w:val="single"/>
              </w:rPr>
              <w:t>(IRC</w:t>
            </w:r>
            <w:r>
              <w:rPr>
                <w:sz w:val="20"/>
                <w:u w:val="single"/>
              </w:rPr>
              <w:noBreakHyphen/>
              <w:t>IWG 2007)</w:t>
            </w:r>
          </w:p>
        </w:tc>
        <w:tc>
          <w:tcPr>
            <w:tcW w:w="1549" w:type="pct"/>
            <w:tcBorders>
              <w:top w:val="nil"/>
              <w:bottom w:val="nil"/>
            </w:tcBorders>
            <w:shd w:val="clear" w:color="auto" w:fill="auto"/>
          </w:tcPr>
          <w:p w14:paraId="62ED96F9" w14:textId="32FBE9F0" w:rsidR="00F622BB" w:rsidRPr="00D2126A" w:rsidRDefault="00F622BB" w:rsidP="006B7D29">
            <w:pPr>
              <w:jc w:val="center"/>
              <w:rPr>
                <w:sz w:val="20"/>
              </w:rPr>
            </w:pPr>
            <w:r>
              <w:rPr>
                <w:sz w:val="20"/>
              </w:rPr>
              <w:t>118 (80,3)</w:t>
            </w:r>
          </w:p>
        </w:tc>
        <w:tc>
          <w:tcPr>
            <w:tcW w:w="1568" w:type="pct"/>
            <w:tcBorders>
              <w:top w:val="nil"/>
              <w:bottom w:val="nil"/>
            </w:tcBorders>
            <w:shd w:val="clear" w:color="auto" w:fill="auto"/>
          </w:tcPr>
          <w:p w14:paraId="4FC5CA2A" w14:textId="3C3DA315" w:rsidR="00F622BB" w:rsidRPr="00D2126A" w:rsidRDefault="00F622BB" w:rsidP="006B7D29">
            <w:pPr>
              <w:jc w:val="center"/>
              <w:rPr>
                <w:sz w:val="20"/>
              </w:rPr>
            </w:pPr>
            <w:r>
              <w:rPr>
                <w:sz w:val="20"/>
              </w:rPr>
              <w:t>82 (55,4)</w:t>
            </w:r>
          </w:p>
        </w:tc>
      </w:tr>
      <w:tr w:rsidR="00F622BB" w:rsidRPr="00D2126A" w14:paraId="288CEB72" w14:textId="77777777" w:rsidTr="0097536F">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3CDD4C45" w14:textId="4F3B0A8B" w:rsidR="00F622BB" w:rsidRPr="00D2126A" w:rsidRDefault="00F622BB" w:rsidP="006B7D29">
            <w:pPr>
              <w:ind w:left="180"/>
              <w:rPr>
                <w:b/>
                <w:sz w:val="20"/>
              </w:rPr>
            </w:pPr>
            <w:r>
              <w:rPr>
                <w:sz w:val="20"/>
              </w:rPr>
              <w:t>IC à 95 %</w:t>
            </w:r>
            <w:r>
              <w:rPr>
                <w:sz w:val="20"/>
                <w:vertAlign w:val="superscript"/>
              </w:rPr>
              <w:t>f</w:t>
            </w:r>
          </w:p>
        </w:tc>
        <w:tc>
          <w:tcPr>
            <w:tcW w:w="1549" w:type="pct"/>
            <w:tcBorders>
              <w:top w:val="nil"/>
              <w:bottom w:val="single" w:sz="4" w:space="0" w:color="auto"/>
            </w:tcBorders>
            <w:shd w:val="clear" w:color="auto" w:fill="auto"/>
          </w:tcPr>
          <w:p w14:paraId="10C3BD8C" w14:textId="054A63D3" w:rsidR="00F622BB" w:rsidRPr="00D2126A" w:rsidRDefault="00F622BB" w:rsidP="006B7D29">
            <w:pPr>
              <w:jc w:val="center"/>
              <w:rPr>
                <w:sz w:val="20"/>
              </w:rPr>
            </w:pPr>
            <w:r>
              <w:rPr>
                <w:sz w:val="20"/>
              </w:rPr>
              <w:t>(72,9 ; 86,4)</w:t>
            </w:r>
          </w:p>
        </w:tc>
        <w:tc>
          <w:tcPr>
            <w:tcW w:w="1568" w:type="pct"/>
            <w:tcBorders>
              <w:top w:val="nil"/>
              <w:bottom w:val="single" w:sz="4" w:space="0" w:color="auto"/>
            </w:tcBorders>
            <w:shd w:val="clear" w:color="auto" w:fill="auto"/>
          </w:tcPr>
          <w:p w14:paraId="404B6C77" w14:textId="23A63067" w:rsidR="00F622BB" w:rsidRPr="00D2126A" w:rsidRDefault="00F622BB" w:rsidP="006B7D29">
            <w:pPr>
              <w:jc w:val="center"/>
              <w:rPr>
                <w:sz w:val="20"/>
              </w:rPr>
            </w:pPr>
            <w:r>
              <w:rPr>
                <w:sz w:val="20"/>
              </w:rPr>
              <w:t>(47,0 ; 63,6)</w:t>
            </w:r>
          </w:p>
        </w:tc>
      </w:tr>
      <w:tr w:rsidR="00D5485C" w:rsidRPr="00D2126A" w14:paraId="449EFE81"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502B527" w14:textId="09A42BF2" w:rsidR="00C2047C" w:rsidRPr="00D2126A" w:rsidRDefault="000E5A86" w:rsidP="006B7D29">
            <w:pPr>
              <w:tabs>
                <w:tab w:val="left" w:pos="157"/>
              </w:tabs>
              <w:rPr>
                <w:b/>
                <w:sz w:val="20"/>
              </w:rPr>
            </w:pPr>
            <w:r>
              <w:rPr>
                <w:b/>
                <w:sz w:val="20"/>
              </w:rPr>
              <w:t>Réponse complète</w:t>
            </w:r>
            <w:r>
              <w:rPr>
                <w:b/>
                <w:sz w:val="20"/>
                <w:vertAlign w:val="superscript"/>
              </w:rPr>
              <w:t>d</w:t>
            </w:r>
            <w:r>
              <w:rPr>
                <w:b/>
                <w:sz w:val="20"/>
              </w:rPr>
              <w:t>, n (%)</w:t>
            </w:r>
          </w:p>
        </w:tc>
        <w:tc>
          <w:tcPr>
            <w:tcW w:w="1549" w:type="pct"/>
            <w:tcBorders>
              <w:bottom w:val="nil"/>
            </w:tcBorders>
            <w:shd w:val="clear" w:color="auto" w:fill="auto"/>
            <w:vAlign w:val="center"/>
          </w:tcPr>
          <w:p w14:paraId="279F196E" w14:textId="67C8A050" w:rsidR="00C2047C" w:rsidRPr="00D2126A" w:rsidRDefault="00C2047C" w:rsidP="006B7D29">
            <w:pPr>
              <w:jc w:val="center"/>
              <w:rPr>
                <w:sz w:val="20"/>
              </w:rPr>
            </w:pPr>
          </w:p>
        </w:tc>
        <w:tc>
          <w:tcPr>
            <w:tcW w:w="1568" w:type="pct"/>
            <w:tcBorders>
              <w:bottom w:val="nil"/>
            </w:tcBorders>
            <w:shd w:val="clear" w:color="auto" w:fill="auto"/>
            <w:vAlign w:val="center"/>
          </w:tcPr>
          <w:p w14:paraId="07D9ABC3" w14:textId="7581B71D" w:rsidR="00C2047C" w:rsidRPr="00D2126A" w:rsidRDefault="00C2047C" w:rsidP="006B7D29">
            <w:pPr>
              <w:jc w:val="center"/>
              <w:rPr>
                <w:sz w:val="20"/>
              </w:rPr>
            </w:pPr>
          </w:p>
        </w:tc>
      </w:tr>
      <w:tr w:rsidR="00F622BB" w:rsidRPr="00D2126A" w14:paraId="484D2777"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2DD92D11" w14:textId="05EE9ADF" w:rsidR="00F622BB" w:rsidRPr="00D2126A" w:rsidRDefault="00F622BB" w:rsidP="006B7D29">
            <w:pPr>
              <w:ind w:left="180"/>
              <w:rPr>
                <w:sz w:val="20"/>
                <w:u w:val="single"/>
              </w:rPr>
            </w:pPr>
            <w:r>
              <w:rPr>
                <w:sz w:val="20"/>
                <w:u w:val="single"/>
              </w:rPr>
              <w:t>(IRC</w:t>
            </w:r>
            <w:r>
              <w:rPr>
                <w:sz w:val="20"/>
                <w:u w:val="single"/>
              </w:rPr>
              <w:noBreakHyphen/>
              <w:t>IWG 2007)</w:t>
            </w:r>
          </w:p>
        </w:tc>
        <w:tc>
          <w:tcPr>
            <w:tcW w:w="1549" w:type="pct"/>
            <w:tcBorders>
              <w:top w:val="nil"/>
              <w:bottom w:val="nil"/>
            </w:tcBorders>
            <w:shd w:val="clear" w:color="auto" w:fill="auto"/>
          </w:tcPr>
          <w:p w14:paraId="7FA2A623" w14:textId="5CFB6589" w:rsidR="00F622BB" w:rsidRPr="00D2126A" w:rsidRDefault="00F622BB" w:rsidP="006B7D29">
            <w:pPr>
              <w:jc w:val="center"/>
              <w:rPr>
                <w:sz w:val="20"/>
              </w:rPr>
            </w:pPr>
            <w:r>
              <w:rPr>
                <w:sz w:val="20"/>
              </w:rPr>
              <w:t>51 (34,7)</w:t>
            </w:r>
          </w:p>
        </w:tc>
        <w:tc>
          <w:tcPr>
            <w:tcW w:w="1568" w:type="pct"/>
            <w:tcBorders>
              <w:top w:val="nil"/>
              <w:bottom w:val="nil"/>
            </w:tcBorders>
            <w:shd w:val="clear" w:color="auto" w:fill="auto"/>
          </w:tcPr>
          <w:p w14:paraId="1DCC7910" w14:textId="76B606A8" w:rsidR="00F622BB" w:rsidRPr="00D2126A" w:rsidRDefault="00F622BB" w:rsidP="006B7D29">
            <w:pPr>
              <w:jc w:val="center"/>
              <w:rPr>
                <w:sz w:val="20"/>
              </w:rPr>
            </w:pPr>
            <w:r>
              <w:rPr>
                <w:sz w:val="20"/>
              </w:rPr>
              <w:t>29 (19,6)</w:t>
            </w:r>
          </w:p>
        </w:tc>
      </w:tr>
      <w:tr w:rsidR="00332130" w:rsidRPr="00D2126A" w14:paraId="59DB9045" w14:textId="77777777" w:rsidTr="00617C08">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037156AE" w14:textId="271063AB" w:rsidR="00332130" w:rsidRPr="00D2126A" w:rsidRDefault="00332130" w:rsidP="006B7D29">
            <w:pPr>
              <w:ind w:left="180"/>
              <w:rPr>
                <w:b/>
                <w:sz w:val="20"/>
              </w:rPr>
            </w:pPr>
            <w:r>
              <w:rPr>
                <w:sz w:val="20"/>
              </w:rPr>
              <w:t>IC à 95 %</w:t>
            </w:r>
            <w:r>
              <w:rPr>
                <w:sz w:val="20"/>
                <w:vertAlign w:val="superscript"/>
              </w:rPr>
              <w:t>f</w:t>
            </w:r>
          </w:p>
        </w:tc>
        <w:tc>
          <w:tcPr>
            <w:tcW w:w="1549" w:type="pct"/>
            <w:tcBorders>
              <w:top w:val="nil"/>
              <w:bottom w:val="single" w:sz="4" w:space="0" w:color="auto"/>
            </w:tcBorders>
            <w:shd w:val="clear" w:color="auto" w:fill="auto"/>
          </w:tcPr>
          <w:p w14:paraId="2E170D74" w14:textId="01886D5E" w:rsidR="00332130" w:rsidRPr="00D2126A" w:rsidRDefault="00332130" w:rsidP="006B7D29">
            <w:pPr>
              <w:jc w:val="center"/>
              <w:rPr>
                <w:sz w:val="20"/>
              </w:rPr>
            </w:pPr>
            <w:r>
              <w:rPr>
                <w:sz w:val="20"/>
              </w:rPr>
              <w:t>(27,0 ; 43,0)</w:t>
            </w:r>
          </w:p>
        </w:tc>
        <w:tc>
          <w:tcPr>
            <w:tcW w:w="1568" w:type="pct"/>
            <w:tcBorders>
              <w:top w:val="nil"/>
              <w:bottom w:val="single" w:sz="4" w:space="0" w:color="auto"/>
            </w:tcBorders>
            <w:shd w:val="clear" w:color="auto" w:fill="auto"/>
          </w:tcPr>
          <w:p w14:paraId="456BF67A" w14:textId="69D8714F" w:rsidR="00332130" w:rsidRPr="00D2126A" w:rsidRDefault="00332130" w:rsidP="006B7D29">
            <w:pPr>
              <w:jc w:val="center"/>
              <w:rPr>
                <w:sz w:val="20"/>
              </w:rPr>
            </w:pPr>
            <w:r>
              <w:rPr>
                <w:sz w:val="20"/>
              </w:rPr>
              <w:t>(13,5 ; 26,9)</w:t>
            </w:r>
          </w:p>
        </w:tc>
      </w:tr>
      <w:tr w:rsidR="00F622BB" w:rsidRPr="00D2126A" w14:paraId="10CDE868"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F75812A" w14:textId="0352D9EA" w:rsidR="00F622BB" w:rsidRPr="00D2126A" w:rsidRDefault="00F622BB" w:rsidP="006B7D29">
            <w:pPr>
              <w:tabs>
                <w:tab w:val="left" w:pos="157"/>
              </w:tabs>
              <w:rPr>
                <w:b/>
                <w:sz w:val="20"/>
              </w:rPr>
            </w:pPr>
            <w:r>
              <w:rPr>
                <w:b/>
                <w:sz w:val="20"/>
              </w:rPr>
              <w:t>Durée de la réponse</w:t>
            </w:r>
            <w:r>
              <w:rPr>
                <w:b/>
                <w:sz w:val="20"/>
                <w:vertAlign w:val="superscript"/>
              </w:rPr>
              <w:t>d</w:t>
            </w:r>
            <w:r>
              <w:rPr>
                <w:b/>
                <w:sz w:val="20"/>
              </w:rPr>
              <w:t xml:space="preserve"> (médiane) (mois)</w:t>
            </w:r>
          </w:p>
        </w:tc>
        <w:tc>
          <w:tcPr>
            <w:tcW w:w="1549" w:type="pct"/>
            <w:tcBorders>
              <w:bottom w:val="nil"/>
            </w:tcBorders>
            <w:shd w:val="clear" w:color="auto" w:fill="auto"/>
          </w:tcPr>
          <w:p w14:paraId="60EA46CD" w14:textId="2C7EC5A6" w:rsidR="00F622BB" w:rsidRPr="00D2126A" w:rsidRDefault="00F622BB" w:rsidP="006B7D29">
            <w:pPr>
              <w:jc w:val="center"/>
              <w:rPr>
                <w:sz w:val="20"/>
              </w:rPr>
            </w:pPr>
            <w:r>
              <w:rPr>
                <w:sz w:val="20"/>
              </w:rPr>
              <w:t>36,6</w:t>
            </w:r>
          </w:p>
        </w:tc>
        <w:tc>
          <w:tcPr>
            <w:tcW w:w="1568" w:type="pct"/>
            <w:tcBorders>
              <w:bottom w:val="nil"/>
            </w:tcBorders>
            <w:shd w:val="clear" w:color="auto" w:fill="auto"/>
          </w:tcPr>
          <w:p w14:paraId="3D0C02A2" w14:textId="1A249F94" w:rsidR="00F622BB" w:rsidRPr="00D2126A" w:rsidRDefault="00F622BB" w:rsidP="006B7D29">
            <w:pPr>
              <w:jc w:val="center"/>
              <w:rPr>
                <w:sz w:val="20"/>
              </w:rPr>
            </w:pPr>
            <w:r>
              <w:rPr>
                <w:sz w:val="20"/>
              </w:rPr>
              <w:t>15,5</w:t>
            </w:r>
          </w:p>
        </w:tc>
      </w:tr>
      <w:tr w:rsidR="00F622BB" w:rsidRPr="00D2126A" w14:paraId="1003B4F6"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329ADDF3" w14:textId="3ACC638C" w:rsidR="00F622BB" w:rsidRPr="00D2126A" w:rsidRDefault="00F622BB" w:rsidP="006B7D29">
            <w:pPr>
              <w:tabs>
                <w:tab w:val="left" w:pos="161"/>
              </w:tabs>
              <w:ind w:left="181"/>
              <w:rPr>
                <w:b/>
                <w:sz w:val="20"/>
              </w:rPr>
            </w:pPr>
            <w:r>
              <w:rPr>
                <w:sz w:val="20"/>
              </w:rPr>
              <w:t>IC à 95 %</w:t>
            </w:r>
            <w:r>
              <w:rPr>
                <w:sz w:val="20"/>
                <w:vertAlign w:val="superscript"/>
              </w:rPr>
              <w:t>a</w:t>
            </w:r>
          </w:p>
        </w:tc>
        <w:tc>
          <w:tcPr>
            <w:tcW w:w="1549" w:type="pct"/>
            <w:tcBorders>
              <w:top w:val="nil"/>
            </w:tcBorders>
            <w:shd w:val="clear" w:color="auto" w:fill="auto"/>
          </w:tcPr>
          <w:p w14:paraId="7A418C10" w14:textId="16713963" w:rsidR="00F622BB" w:rsidRPr="00D2126A" w:rsidRDefault="00F622BB" w:rsidP="006B7D29">
            <w:pPr>
              <w:jc w:val="center"/>
              <w:rPr>
                <w:sz w:val="20"/>
              </w:rPr>
            </w:pPr>
            <w:r>
              <w:rPr>
                <w:sz w:val="20"/>
              </w:rPr>
              <w:t>(24,9 ; NE)</w:t>
            </w:r>
          </w:p>
        </w:tc>
        <w:tc>
          <w:tcPr>
            <w:tcW w:w="1568" w:type="pct"/>
            <w:tcBorders>
              <w:top w:val="nil"/>
            </w:tcBorders>
            <w:shd w:val="clear" w:color="auto" w:fill="auto"/>
          </w:tcPr>
          <w:p w14:paraId="3FA74B62" w14:textId="0A0ABE05" w:rsidR="00F622BB" w:rsidRPr="00D2126A" w:rsidRDefault="00F622BB" w:rsidP="006B7D29">
            <w:pPr>
              <w:jc w:val="center"/>
              <w:rPr>
                <w:sz w:val="20"/>
              </w:rPr>
            </w:pPr>
            <w:r>
              <w:rPr>
                <w:sz w:val="20"/>
              </w:rPr>
              <w:t>(11,2 ; 25,0)</w:t>
            </w:r>
          </w:p>
        </w:tc>
      </w:tr>
      <w:tr w:rsidR="00D5485C" w:rsidRPr="00D2126A" w14:paraId="754EA0D6" w14:textId="77777777" w:rsidTr="0097536F">
        <w:trPr>
          <w:cantSplit/>
          <w:trHeight w:val="57"/>
          <w:jc w:val="center"/>
        </w:trPr>
        <w:tc>
          <w:tcPr>
            <w:tcW w:w="5000" w:type="pct"/>
            <w:gridSpan w:val="3"/>
            <w:tcBorders>
              <w:bottom w:val="single" w:sz="4" w:space="0" w:color="auto"/>
            </w:tcBorders>
            <w:shd w:val="clear" w:color="auto" w:fill="auto"/>
            <w:tcMar>
              <w:top w:w="0" w:type="dxa"/>
              <w:left w:w="108" w:type="dxa"/>
              <w:bottom w:w="0" w:type="dxa"/>
              <w:right w:w="108" w:type="dxa"/>
            </w:tcMar>
          </w:tcPr>
          <w:p w14:paraId="4659924E" w14:textId="37D67434" w:rsidR="00C2047C" w:rsidRPr="00D2126A" w:rsidRDefault="000E5A86" w:rsidP="006B7D29">
            <w:pPr>
              <w:keepNext/>
              <w:rPr>
                <w:sz w:val="20"/>
              </w:rPr>
            </w:pPr>
            <w:r>
              <w:rPr>
                <w:b/>
                <w:sz w:val="20"/>
              </w:rPr>
              <w:t>Survie globale</w:t>
            </w:r>
            <w:r>
              <w:rPr>
                <w:b/>
                <w:sz w:val="20"/>
                <w:vertAlign w:val="superscript"/>
              </w:rPr>
              <w:t xml:space="preserve">d, e </w:t>
            </w:r>
            <w:r>
              <w:rPr>
                <w:b/>
                <w:sz w:val="20"/>
              </w:rPr>
              <w:t>(SG)</w:t>
            </w:r>
          </w:p>
        </w:tc>
      </w:tr>
      <w:tr w:rsidR="00D5485C" w:rsidRPr="00D2126A" w14:paraId="48A20CE6"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EFB04CE" w14:textId="798F533D" w:rsidR="00451E6F" w:rsidRPr="00D2126A" w:rsidRDefault="000E5A86" w:rsidP="006B7D29">
            <w:pPr>
              <w:keepNext/>
              <w:tabs>
                <w:tab w:val="left" w:pos="161"/>
              </w:tabs>
              <w:rPr>
                <w:sz w:val="20"/>
              </w:rPr>
            </w:pPr>
            <w:r>
              <w:rPr>
                <w:sz w:val="20"/>
              </w:rPr>
              <w:t>Taux de SG à5 ans, n (%)</w:t>
            </w:r>
          </w:p>
        </w:tc>
        <w:tc>
          <w:tcPr>
            <w:tcW w:w="1549" w:type="pct"/>
            <w:tcBorders>
              <w:bottom w:val="nil"/>
            </w:tcBorders>
            <w:shd w:val="clear" w:color="auto" w:fill="auto"/>
          </w:tcPr>
          <w:p w14:paraId="25ADF9B0" w14:textId="0A793F9A" w:rsidR="00451E6F" w:rsidRPr="00D2126A" w:rsidRDefault="000E5A86" w:rsidP="006B7D29">
            <w:pPr>
              <w:jc w:val="center"/>
              <w:rPr>
                <w:sz w:val="20"/>
              </w:rPr>
            </w:pPr>
            <w:r>
              <w:rPr>
                <w:sz w:val="20"/>
              </w:rPr>
              <w:t>126 (85,9)</w:t>
            </w:r>
          </w:p>
        </w:tc>
        <w:tc>
          <w:tcPr>
            <w:tcW w:w="1568" w:type="pct"/>
            <w:tcBorders>
              <w:bottom w:val="nil"/>
            </w:tcBorders>
            <w:shd w:val="clear" w:color="auto" w:fill="auto"/>
          </w:tcPr>
          <w:p w14:paraId="179BA1FC" w14:textId="376F9C42" w:rsidR="00451E6F" w:rsidRPr="00D2126A" w:rsidRDefault="000E5A86" w:rsidP="006B7D29">
            <w:pPr>
              <w:jc w:val="center"/>
              <w:rPr>
                <w:sz w:val="20"/>
              </w:rPr>
            </w:pPr>
            <w:r>
              <w:rPr>
                <w:sz w:val="20"/>
              </w:rPr>
              <w:t>114 (77,0)</w:t>
            </w:r>
          </w:p>
        </w:tc>
      </w:tr>
      <w:tr w:rsidR="00F622BB" w:rsidRPr="00D2126A" w14:paraId="1E030259"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79FABE40" w14:textId="2B6D2817" w:rsidR="00F622BB" w:rsidRPr="00D2126A" w:rsidRDefault="00F622BB" w:rsidP="006B7D29">
            <w:pPr>
              <w:keepNext/>
              <w:tabs>
                <w:tab w:val="left" w:pos="161"/>
              </w:tabs>
              <w:rPr>
                <w:sz w:val="20"/>
              </w:rPr>
            </w:pPr>
            <w:r>
              <w:rPr>
                <w:sz w:val="20"/>
              </w:rPr>
              <w:t>IC à 95 %</w:t>
            </w:r>
          </w:p>
        </w:tc>
        <w:tc>
          <w:tcPr>
            <w:tcW w:w="1549" w:type="pct"/>
            <w:tcBorders>
              <w:top w:val="nil"/>
            </w:tcBorders>
            <w:shd w:val="clear" w:color="auto" w:fill="auto"/>
          </w:tcPr>
          <w:p w14:paraId="23618939" w14:textId="45C3E80F" w:rsidR="00F622BB" w:rsidRPr="00D2126A" w:rsidRDefault="00F622BB" w:rsidP="006B7D29">
            <w:pPr>
              <w:jc w:val="center"/>
              <w:rPr>
                <w:sz w:val="20"/>
              </w:rPr>
            </w:pPr>
            <w:r>
              <w:rPr>
                <w:sz w:val="20"/>
              </w:rPr>
              <w:t>(78,6 ; 90,9)</w:t>
            </w:r>
          </w:p>
        </w:tc>
        <w:tc>
          <w:tcPr>
            <w:tcW w:w="1568" w:type="pct"/>
            <w:tcBorders>
              <w:top w:val="nil"/>
            </w:tcBorders>
            <w:shd w:val="clear" w:color="auto" w:fill="auto"/>
          </w:tcPr>
          <w:p w14:paraId="6FDA1FCE" w14:textId="7DBF3D6A" w:rsidR="00F622BB" w:rsidRPr="00D2126A" w:rsidRDefault="00F622BB" w:rsidP="006B7D29">
            <w:pPr>
              <w:jc w:val="center"/>
              <w:rPr>
                <w:sz w:val="20"/>
              </w:rPr>
            </w:pPr>
            <w:r>
              <w:rPr>
                <w:sz w:val="20"/>
              </w:rPr>
              <w:t>(68,9 ; 83,3)</w:t>
            </w:r>
          </w:p>
        </w:tc>
      </w:tr>
      <w:tr w:rsidR="00D5485C" w:rsidRPr="00D2126A" w14:paraId="77E5B308" w14:textId="77777777" w:rsidTr="0097536F">
        <w:trPr>
          <w:cantSplit/>
          <w:trHeight w:val="57"/>
          <w:jc w:val="center"/>
        </w:trPr>
        <w:tc>
          <w:tcPr>
            <w:tcW w:w="1883" w:type="pct"/>
            <w:shd w:val="clear" w:color="auto" w:fill="auto"/>
            <w:tcMar>
              <w:top w:w="0" w:type="dxa"/>
              <w:left w:w="108" w:type="dxa"/>
              <w:bottom w:w="0" w:type="dxa"/>
              <w:right w:w="108" w:type="dxa"/>
            </w:tcMar>
          </w:tcPr>
          <w:p w14:paraId="0BD5B0EB" w14:textId="60A16990" w:rsidR="00451E6F" w:rsidRPr="00D2126A" w:rsidRDefault="000E5A86" w:rsidP="006B7D29">
            <w:pPr>
              <w:tabs>
                <w:tab w:val="left" w:pos="161"/>
              </w:tabs>
              <w:ind w:left="181"/>
              <w:rPr>
                <w:b/>
                <w:sz w:val="20"/>
              </w:rPr>
            </w:pPr>
            <w:r>
              <w:rPr>
                <w:sz w:val="20"/>
              </w:rPr>
              <w:t>RR (IC à 95 %)</w:t>
            </w:r>
          </w:p>
        </w:tc>
        <w:tc>
          <w:tcPr>
            <w:tcW w:w="3117" w:type="pct"/>
            <w:gridSpan w:val="2"/>
            <w:shd w:val="clear" w:color="auto" w:fill="auto"/>
          </w:tcPr>
          <w:p w14:paraId="1FF0E74A" w14:textId="37940029" w:rsidR="00451E6F" w:rsidRPr="00D2126A" w:rsidRDefault="000E5A86" w:rsidP="006B7D29">
            <w:pPr>
              <w:jc w:val="center"/>
              <w:rPr>
                <w:sz w:val="20"/>
              </w:rPr>
            </w:pPr>
            <w:r>
              <w:rPr>
                <w:sz w:val="20"/>
              </w:rPr>
              <w:t>0,49 (0,28 ; 0,85)</w:t>
            </w:r>
            <w:r>
              <w:rPr>
                <w:sz w:val="20"/>
                <w:vertAlign w:val="superscript"/>
              </w:rPr>
              <w:t>b</w:t>
            </w:r>
          </w:p>
        </w:tc>
      </w:tr>
      <w:tr w:rsidR="00D5485C" w:rsidRPr="00D2126A" w14:paraId="0921B843" w14:textId="77777777" w:rsidTr="0097536F">
        <w:trPr>
          <w:cantSplit/>
          <w:trHeight w:val="57"/>
          <w:jc w:val="center"/>
        </w:trPr>
        <w:tc>
          <w:tcPr>
            <w:tcW w:w="1883" w:type="pct"/>
            <w:shd w:val="clear" w:color="auto" w:fill="auto"/>
            <w:tcMar>
              <w:top w:w="0" w:type="dxa"/>
              <w:left w:w="108" w:type="dxa"/>
              <w:bottom w:w="0" w:type="dxa"/>
              <w:right w:w="108" w:type="dxa"/>
            </w:tcMar>
          </w:tcPr>
          <w:p w14:paraId="4212401A" w14:textId="2B6CF328" w:rsidR="00451E6F" w:rsidRPr="00D2126A" w:rsidRDefault="000E5A86" w:rsidP="006B7D29">
            <w:pPr>
              <w:keepNext/>
              <w:tabs>
                <w:tab w:val="left" w:pos="161"/>
              </w:tabs>
              <w:ind w:left="40"/>
              <w:rPr>
                <w:sz w:val="20"/>
              </w:rPr>
            </w:pPr>
            <w:r>
              <w:rPr>
                <w:b/>
                <w:sz w:val="20"/>
              </w:rPr>
              <w:t>Suivi</w:t>
            </w:r>
          </w:p>
        </w:tc>
        <w:tc>
          <w:tcPr>
            <w:tcW w:w="1549" w:type="pct"/>
            <w:shd w:val="clear" w:color="auto" w:fill="auto"/>
          </w:tcPr>
          <w:p w14:paraId="51320B92" w14:textId="77777777" w:rsidR="00451E6F" w:rsidRPr="00D2126A" w:rsidRDefault="00451E6F" w:rsidP="006B7D29">
            <w:pPr>
              <w:jc w:val="center"/>
              <w:rPr>
                <w:sz w:val="20"/>
              </w:rPr>
            </w:pPr>
          </w:p>
        </w:tc>
        <w:tc>
          <w:tcPr>
            <w:tcW w:w="1568" w:type="pct"/>
            <w:shd w:val="clear" w:color="auto" w:fill="auto"/>
          </w:tcPr>
          <w:p w14:paraId="07F2CFFC" w14:textId="77777777" w:rsidR="00451E6F" w:rsidRPr="00D2126A" w:rsidRDefault="00451E6F" w:rsidP="006B7D29">
            <w:pPr>
              <w:jc w:val="center"/>
              <w:rPr>
                <w:sz w:val="20"/>
              </w:rPr>
            </w:pPr>
          </w:p>
        </w:tc>
      </w:tr>
      <w:tr w:rsidR="00D5485C" w:rsidRPr="00D2126A" w14:paraId="64127061" w14:textId="77777777" w:rsidTr="0097536F">
        <w:trPr>
          <w:cantSplit/>
          <w:trHeight w:val="57"/>
          <w:jc w:val="center"/>
        </w:trPr>
        <w:tc>
          <w:tcPr>
            <w:tcW w:w="1883" w:type="pct"/>
            <w:shd w:val="clear" w:color="auto" w:fill="auto"/>
            <w:tcMar>
              <w:top w:w="0" w:type="dxa"/>
              <w:left w:w="108" w:type="dxa"/>
              <w:bottom w:w="0" w:type="dxa"/>
              <w:right w:w="108" w:type="dxa"/>
            </w:tcMar>
          </w:tcPr>
          <w:p w14:paraId="6DA6A147" w14:textId="1217CFA3" w:rsidR="00451E6F" w:rsidRPr="00D2126A" w:rsidRDefault="000E5A86" w:rsidP="006B7D29">
            <w:pPr>
              <w:tabs>
                <w:tab w:val="left" w:pos="161"/>
              </w:tabs>
              <w:ind w:left="181"/>
              <w:rPr>
                <w:b/>
                <w:sz w:val="20"/>
              </w:rPr>
            </w:pPr>
            <w:r>
              <w:rPr>
                <w:sz w:val="20"/>
              </w:rPr>
              <w:t>Durée médiane du suivi, mois (min, max)</w:t>
            </w:r>
          </w:p>
        </w:tc>
        <w:tc>
          <w:tcPr>
            <w:tcW w:w="1549" w:type="pct"/>
            <w:shd w:val="clear" w:color="auto" w:fill="auto"/>
            <w:vAlign w:val="center"/>
          </w:tcPr>
          <w:p w14:paraId="322DD2E4" w14:textId="77777777" w:rsidR="00451E6F" w:rsidRPr="00D2126A" w:rsidRDefault="000E5A86" w:rsidP="006B7D29">
            <w:pPr>
              <w:jc w:val="center"/>
              <w:rPr>
                <w:sz w:val="20"/>
              </w:rPr>
            </w:pPr>
            <w:r>
              <w:rPr>
                <w:sz w:val="20"/>
              </w:rPr>
              <w:t>67,81</w:t>
            </w:r>
          </w:p>
          <w:p w14:paraId="2E3FC452" w14:textId="23003CB0" w:rsidR="00451E6F" w:rsidRPr="00D2126A" w:rsidRDefault="000E5A86" w:rsidP="006B7D29">
            <w:pPr>
              <w:jc w:val="center"/>
              <w:rPr>
                <w:sz w:val="20"/>
              </w:rPr>
            </w:pPr>
            <w:r>
              <w:rPr>
                <w:sz w:val="20"/>
              </w:rPr>
              <w:t>(0,5 ; 89,3)</w:t>
            </w:r>
          </w:p>
        </w:tc>
        <w:tc>
          <w:tcPr>
            <w:tcW w:w="1568" w:type="pct"/>
            <w:shd w:val="clear" w:color="auto" w:fill="auto"/>
            <w:vAlign w:val="center"/>
          </w:tcPr>
          <w:p w14:paraId="31B84A61" w14:textId="77777777" w:rsidR="00451E6F" w:rsidRPr="00D2126A" w:rsidRDefault="000E5A86" w:rsidP="006B7D29">
            <w:pPr>
              <w:jc w:val="center"/>
              <w:rPr>
                <w:sz w:val="20"/>
              </w:rPr>
            </w:pPr>
            <w:r>
              <w:rPr>
                <w:sz w:val="20"/>
              </w:rPr>
              <w:t>65,72</w:t>
            </w:r>
          </w:p>
          <w:p w14:paraId="4AA2D6AC" w14:textId="060A2C48" w:rsidR="00451E6F" w:rsidRPr="00D2126A" w:rsidRDefault="000E5A86" w:rsidP="006B7D29">
            <w:pPr>
              <w:jc w:val="center"/>
              <w:rPr>
                <w:sz w:val="20"/>
              </w:rPr>
            </w:pPr>
            <w:r>
              <w:rPr>
                <w:sz w:val="20"/>
              </w:rPr>
              <w:t>(0,6 ; 90,9)</w:t>
            </w:r>
          </w:p>
        </w:tc>
      </w:tr>
    </w:tbl>
    <w:p w14:paraId="326E28A8" w14:textId="77777777" w:rsidR="00047B7F" w:rsidRPr="00D2126A" w:rsidRDefault="000E5A86" w:rsidP="00C93C76">
      <w:pPr>
        <w:rPr>
          <w:sz w:val="16"/>
          <w:szCs w:val="16"/>
        </w:rPr>
      </w:pPr>
      <w:r>
        <w:rPr>
          <w:sz w:val="16"/>
        </w:rPr>
        <w:t>ª Estimation de la médiane à partir de l’analyse de Kaplan</w:t>
      </w:r>
      <w:r>
        <w:rPr>
          <w:sz w:val="16"/>
        </w:rPr>
        <w:noBreakHyphen/>
        <w:t>Meier</w:t>
      </w:r>
    </w:p>
    <w:p w14:paraId="471A92B1" w14:textId="77777777" w:rsidR="00047B7F" w:rsidRPr="00D2126A" w:rsidRDefault="000E5A86" w:rsidP="00C93C76">
      <w:pPr>
        <w:autoSpaceDE w:val="0"/>
        <w:autoSpaceDN w:val="0"/>
        <w:adjustRightInd w:val="0"/>
        <w:rPr>
          <w:rFonts w:eastAsia="Yu Gothic"/>
          <w:sz w:val="16"/>
          <w:szCs w:val="16"/>
        </w:rPr>
      </w:pPr>
      <w:r>
        <w:rPr>
          <w:sz w:val="16"/>
          <w:vertAlign w:val="superscript"/>
        </w:rPr>
        <w:t xml:space="preserve">b </w:t>
      </w:r>
      <w:r>
        <w:rPr>
          <w:sz w:val="16"/>
        </w:rPr>
        <w:t>Le rapport de risque et son intervalle de confiance ont été estimés à partir d’un modèle pour risques proportionnels de Cox non stratifié.</w:t>
      </w:r>
    </w:p>
    <w:p w14:paraId="7D0EB495" w14:textId="2E66D540" w:rsidR="00036363" w:rsidRPr="00D2126A" w:rsidRDefault="000E5A86" w:rsidP="00C93C76">
      <w:pPr>
        <w:rPr>
          <w:sz w:val="16"/>
          <w:szCs w:val="16"/>
        </w:rPr>
      </w:pPr>
      <w:r>
        <w:rPr>
          <w:sz w:val="16"/>
          <w:vertAlign w:val="superscript"/>
        </w:rPr>
        <w:t xml:space="preserve">c </w:t>
      </w:r>
      <w:r>
        <w:rPr>
          <w:sz w:val="16"/>
        </w:rPr>
        <w:t>Valeur p déterminée par le test log</w:t>
      </w:r>
      <w:r>
        <w:rPr>
          <w:sz w:val="16"/>
        </w:rPr>
        <w:noBreakHyphen/>
        <w:t>rank</w:t>
      </w:r>
    </w:p>
    <w:p w14:paraId="30917564" w14:textId="0BE6895B" w:rsidR="00931CD5" w:rsidRPr="00D2126A" w:rsidRDefault="000E5A86" w:rsidP="00C93C76">
      <w:pPr>
        <w:rPr>
          <w:sz w:val="16"/>
          <w:szCs w:val="16"/>
        </w:rPr>
      </w:pPr>
      <w:r>
        <w:rPr>
          <w:sz w:val="16"/>
          <w:vertAlign w:val="superscript"/>
        </w:rPr>
        <w:t>d</w:t>
      </w:r>
      <w:r>
        <w:rPr>
          <w:sz w:val="16"/>
        </w:rPr>
        <w:t xml:space="preserve"> Critères d’évaluation secondaires et exploratoires, sans contrôle du risque α.</w:t>
      </w:r>
    </w:p>
    <w:p w14:paraId="5751384C" w14:textId="475BDD92" w:rsidR="006436BA" w:rsidRPr="00D2126A" w:rsidRDefault="000E5A86" w:rsidP="009B144A">
      <w:pPr>
        <w:pStyle w:val="Date"/>
        <w:keepNext/>
        <w:rPr>
          <w:sz w:val="16"/>
          <w:szCs w:val="16"/>
        </w:rPr>
      </w:pPr>
      <w:r>
        <w:rPr>
          <w:sz w:val="16"/>
          <w:vertAlign w:val="superscript"/>
        </w:rPr>
        <w:t>e</w:t>
      </w:r>
      <w:r>
        <w:rPr>
          <w:sz w:val="16"/>
        </w:rPr>
        <w:t xml:space="preserve"> Après un suivi médian allant jusqu’à 66,14 mois, 19 décès ont été observés dans le bras R</w:t>
      </w:r>
      <w:r>
        <w:rPr>
          <w:sz w:val="16"/>
          <w:vertAlign w:val="superscript"/>
        </w:rPr>
        <w:t>2</w:t>
      </w:r>
      <w:r>
        <w:rPr>
          <w:sz w:val="16"/>
        </w:rPr>
        <w:t xml:space="preserve"> et 38 dans le bras contrôle.</w:t>
      </w:r>
    </w:p>
    <w:p w14:paraId="61E99393" w14:textId="77777777" w:rsidR="009C70EB" w:rsidRPr="00D2126A" w:rsidRDefault="000E5A86" w:rsidP="009B144A">
      <w:pPr>
        <w:keepNext/>
        <w:rPr>
          <w:sz w:val="16"/>
          <w:szCs w:val="16"/>
        </w:rPr>
      </w:pPr>
      <w:r>
        <w:rPr>
          <w:sz w:val="16"/>
          <w:vertAlign w:val="superscript"/>
        </w:rPr>
        <w:t>f</w:t>
      </w:r>
      <w:r>
        <w:rPr>
          <w:sz w:val="16"/>
        </w:rPr>
        <w:t xml:space="preserve"> Intervalle de confiance exact pour distribution binomiale.</w:t>
      </w:r>
    </w:p>
    <w:p w14:paraId="58CF51AE" w14:textId="77777777" w:rsidR="00047B7F" w:rsidRPr="00D2126A" w:rsidRDefault="00047B7F" w:rsidP="00C93C76"/>
    <w:p w14:paraId="247D73E7" w14:textId="77777777" w:rsidR="00047B7F" w:rsidRPr="00D2126A" w:rsidRDefault="000E5A86" w:rsidP="009B144A">
      <w:pPr>
        <w:pStyle w:val="Date"/>
        <w:keepNext/>
        <w:rPr>
          <w:i/>
          <w:color w:val="000000"/>
          <w:u w:val="single"/>
        </w:rPr>
      </w:pPr>
      <w:r>
        <w:rPr>
          <w:i/>
          <w:color w:val="000000"/>
          <w:u w:val="single"/>
        </w:rPr>
        <w:t>Lymphome folliculaire chez les patients réfractaires au rituximab</w:t>
      </w:r>
    </w:p>
    <w:p w14:paraId="0EED0E93" w14:textId="76387918" w:rsidR="00036363" w:rsidRPr="00D2126A" w:rsidRDefault="000E5A86" w:rsidP="00C93C76">
      <w:pPr>
        <w:pStyle w:val="Date"/>
        <w:keepNext/>
      </w:pPr>
      <w:r>
        <w:t>MAGNIFY - CC</w:t>
      </w:r>
      <w:r>
        <w:noBreakHyphen/>
        <w:t>5013</w:t>
      </w:r>
      <w:r>
        <w:noBreakHyphen/>
        <w:t>NHL</w:t>
      </w:r>
      <w:r>
        <w:noBreakHyphen/>
        <w:t>008</w:t>
      </w:r>
    </w:p>
    <w:p w14:paraId="15538E5D" w14:textId="02170ABA" w:rsidR="00931CD5" w:rsidRPr="00D2126A" w:rsidRDefault="000E5A86" w:rsidP="00C93C76">
      <w:r>
        <w:t>Au total, 232 patients âgés de 18 ans et plus, atteints de lymphome folliculaire (de grade 1, 2 ou 3a ou lymphome de la zone marginale) confirmé histologiquement, tel qu’évalué par l’investigateur ou l’anatomo</w:t>
      </w:r>
      <w:r>
        <w:noBreakHyphen/>
        <w:t>pathologiste du centre, ont été inclus dans la période de traitement initiale comportant 12 cycles de traitement par le lénalidomide plus rituximab. Les patients ayant obtenu une RC/RC non confirmée (RCnc), une RP ou une MS à la fin de la période de traitement d’induction étaient randomisés pour entrer dans la période de traitement d’entretien. Tous les patients inclus devaient avoir reçu au moins un traitement systémique antérieur du lymphome. Contrairement à l’étude NHL</w:t>
      </w:r>
      <w:r>
        <w:noBreakHyphen/>
        <w:t>007, des patients réfractaires au rituximab (absence de réponse ou rechute dans les 6 mois suivant le traitement par le rituximab) ou réfractaires à la fois au rituximab et à la chimiothérapie ont été inclus dans l’étude NHL</w:t>
      </w:r>
      <w:r>
        <w:noBreakHyphen/>
        <w:t>008.</w:t>
      </w:r>
    </w:p>
    <w:p w14:paraId="41893BF5" w14:textId="77777777" w:rsidR="00DB67B1" w:rsidRPr="00D2126A" w:rsidRDefault="00DB67B1" w:rsidP="00C93C76"/>
    <w:p w14:paraId="48CE0C5B" w14:textId="190E9672" w:rsidR="00931CD5" w:rsidRPr="00D2126A" w:rsidRDefault="000E5A86" w:rsidP="00E93417">
      <w:pPr>
        <w:pStyle w:val="C-BodyText"/>
        <w:spacing w:before="0" w:after="0" w:line="240" w:lineRule="auto"/>
        <w:rPr>
          <w:sz w:val="22"/>
          <w:szCs w:val="22"/>
        </w:rPr>
      </w:pPr>
      <w:r>
        <w:rPr>
          <w:sz w:val="22"/>
        </w:rPr>
        <w:t>Pendant la période de traitement d’induction, le lénalidomide était administré à la dose de 20 mg les jours 1 à 21 de chaque cycle de 28 jours pendant 12 cycles au maximum ou jusqu’à la survenue d’une toxicité inacceptable, jusqu’au retrait du consentement ou jusqu’à la progression de la maladie. La dose de rituximab était de 375 mg/m</w:t>
      </w:r>
      <w:r>
        <w:rPr>
          <w:sz w:val="22"/>
          <w:vertAlign w:val="superscript"/>
        </w:rPr>
        <w:t>2</w:t>
      </w:r>
      <w:r>
        <w:rPr>
          <w:sz w:val="22"/>
        </w:rPr>
        <w:t xml:space="preserve"> chaque semaine au cours du cycle 1 (jours 1, 8, 15 et 22) puis le jour 1 d’un cycle sur deux de 28 jours (cycles 3, 5, 7, 9 et 11) pendant 12 cycles de traitement au maximum. Toutes les doses de rituximab étaient calculées en fonction de la surface corporelle (SC) du patient, déterminée à partir du poids réel du patient.</w:t>
      </w:r>
    </w:p>
    <w:p w14:paraId="23BCDD8C" w14:textId="77777777" w:rsidR="0097251D" w:rsidRPr="00D2126A" w:rsidRDefault="0097251D" w:rsidP="00C93C76"/>
    <w:p w14:paraId="1F8BF936" w14:textId="5D97B701" w:rsidR="00931CD5" w:rsidRPr="00D2126A" w:rsidRDefault="000E5A86" w:rsidP="00C93C76">
      <w:pPr>
        <w:rPr>
          <w:rFonts w:eastAsia="Yu Gothic"/>
        </w:rPr>
      </w:pPr>
      <w:r>
        <w:t>Les données présentées résultent d’une analyse intermédiaire portant sur la période de traitement d’induction en un seul bras. Les mesures de l’efficacité reposaient sur le taux de réponse globale (RG) par meilleure réponse utilisé comme critère principal d’évaluation, déterminé à l’aide des critères de réponse de l’International Working Group (CR</w:t>
      </w:r>
      <w:r>
        <w:noBreakHyphen/>
        <w:t>IWG) 1999. L’objectif secondaire de l’étude était d’évaluer les autres critères d’efficacité, tels que la durée de la réponse (DR).</w:t>
      </w:r>
    </w:p>
    <w:p w14:paraId="57E44CAE" w14:textId="77777777" w:rsidR="00DB67B1" w:rsidRPr="00D2126A" w:rsidRDefault="00DB67B1" w:rsidP="00C93C76">
      <w:pPr>
        <w:pStyle w:val="Date"/>
        <w:rPr>
          <w:rFonts w:eastAsia="Yu Gothic"/>
          <w:lang w:eastAsia="en-GB"/>
        </w:rPr>
      </w:pPr>
    </w:p>
    <w:p w14:paraId="6C5E94A9" w14:textId="7A248CFA" w:rsidR="00047B7F" w:rsidRPr="00D2126A" w:rsidRDefault="000E5A86" w:rsidP="00C93C76">
      <w:pPr>
        <w:pStyle w:val="C-TableHeader"/>
        <w:spacing w:before="0" w:after="0"/>
        <w:rPr>
          <w:szCs w:val="22"/>
        </w:rPr>
      </w:pPr>
      <w:r>
        <w:t>Tableau 15 : Synthèse des résultats d’efficacité (période de traitement d’induction) – Étude CC</w:t>
      </w:r>
      <w:r>
        <w:noBreakHyphen/>
        <w:t>5013</w:t>
      </w:r>
      <w:r>
        <w:noBreakHyphen/>
        <w:t>NHL</w:t>
      </w:r>
      <w:r>
        <w:noBreakHyphen/>
        <w:t>008</w:t>
      </w:r>
    </w:p>
    <w:tbl>
      <w:tblPr>
        <w:tblW w:w="510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503"/>
        <w:gridCol w:w="1203"/>
        <w:gridCol w:w="1114"/>
        <w:gridCol w:w="1200"/>
        <w:gridCol w:w="1162"/>
        <w:gridCol w:w="1103"/>
        <w:gridCol w:w="1190"/>
      </w:tblGrid>
      <w:tr w:rsidR="00D5485C" w:rsidRPr="00D2126A" w14:paraId="746F3D65" w14:textId="77777777" w:rsidTr="00332130">
        <w:trPr>
          <w:cantSplit/>
          <w:trHeight w:val="57"/>
          <w:tblHeader/>
        </w:trPr>
        <w:tc>
          <w:tcPr>
            <w:tcW w:w="1321" w:type="pct"/>
            <w:tcBorders>
              <w:bottom w:val="nil"/>
            </w:tcBorders>
            <w:shd w:val="clear" w:color="auto" w:fill="auto"/>
            <w:tcMar>
              <w:top w:w="0" w:type="dxa"/>
              <w:left w:w="108" w:type="dxa"/>
              <w:bottom w:w="0" w:type="dxa"/>
              <w:right w:w="108" w:type="dxa"/>
            </w:tcMar>
            <w:vAlign w:val="bottom"/>
          </w:tcPr>
          <w:p w14:paraId="037A155A" w14:textId="77777777" w:rsidR="00556342" w:rsidRPr="00AB0414" w:rsidRDefault="00556342" w:rsidP="00EA2362">
            <w:pPr>
              <w:pStyle w:val="C-TableHeader"/>
              <w:tabs>
                <w:tab w:val="center" w:pos="4153"/>
                <w:tab w:val="right" w:pos="8306"/>
              </w:tabs>
              <w:spacing w:before="120" w:after="120"/>
              <w:rPr>
                <w:b w:val="0"/>
                <w:sz w:val="20"/>
              </w:rPr>
            </w:pPr>
          </w:p>
        </w:tc>
        <w:tc>
          <w:tcPr>
            <w:tcW w:w="1856" w:type="pct"/>
            <w:gridSpan w:val="3"/>
            <w:shd w:val="clear" w:color="auto" w:fill="auto"/>
            <w:tcMar>
              <w:top w:w="0" w:type="dxa"/>
              <w:left w:w="108" w:type="dxa"/>
              <w:bottom w:w="0" w:type="dxa"/>
              <w:right w:w="108" w:type="dxa"/>
            </w:tcMar>
            <w:vAlign w:val="bottom"/>
          </w:tcPr>
          <w:p w14:paraId="7D91DE35" w14:textId="77777777" w:rsidR="00556342" w:rsidRPr="00D2126A" w:rsidRDefault="000E5A86" w:rsidP="00EA2362">
            <w:pPr>
              <w:pStyle w:val="C-TableText"/>
              <w:keepNext/>
              <w:spacing w:before="120" w:after="120"/>
              <w:jc w:val="center"/>
              <w:rPr>
                <w:sz w:val="20"/>
              </w:rPr>
            </w:pPr>
            <w:r>
              <w:rPr>
                <w:sz w:val="20"/>
              </w:rPr>
              <w:t>Tous les patients</w:t>
            </w:r>
          </w:p>
        </w:tc>
        <w:tc>
          <w:tcPr>
            <w:tcW w:w="1823" w:type="pct"/>
            <w:gridSpan w:val="3"/>
            <w:shd w:val="clear" w:color="auto" w:fill="auto"/>
            <w:vAlign w:val="bottom"/>
          </w:tcPr>
          <w:p w14:paraId="60068027" w14:textId="77777777" w:rsidR="00556342" w:rsidRPr="00D2126A" w:rsidRDefault="000E5A86" w:rsidP="00EA2362">
            <w:pPr>
              <w:pStyle w:val="C-TableText"/>
              <w:keepNext/>
              <w:spacing w:before="120" w:after="120"/>
              <w:jc w:val="center"/>
              <w:rPr>
                <w:sz w:val="20"/>
              </w:rPr>
            </w:pPr>
            <w:r>
              <w:rPr>
                <w:sz w:val="20"/>
              </w:rPr>
              <w:t>Patients atteints de LF</w:t>
            </w:r>
          </w:p>
        </w:tc>
      </w:tr>
      <w:tr w:rsidR="00D5485C" w:rsidRPr="00D2126A" w14:paraId="20BA4CDB" w14:textId="77777777" w:rsidTr="00332130">
        <w:trPr>
          <w:cantSplit/>
          <w:trHeight w:val="57"/>
          <w:tblHeader/>
        </w:trPr>
        <w:tc>
          <w:tcPr>
            <w:tcW w:w="1321" w:type="pct"/>
            <w:tcBorders>
              <w:top w:val="nil"/>
            </w:tcBorders>
            <w:shd w:val="clear" w:color="auto" w:fill="auto"/>
            <w:tcMar>
              <w:top w:w="0" w:type="dxa"/>
              <w:left w:w="108" w:type="dxa"/>
              <w:bottom w:w="0" w:type="dxa"/>
              <w:right w:w="108" w:type="dxa"/>
            </w:tcMar>
            <w:vAlign w:val="bottom"/>
          </w:tcPr>
          <w:p w14:paraId="6A9334BD" w14:textId="77777777" w:rsidR="0028353B" w:rsidRPr="00D2126A" w:rsidRDefault="0028353B" w:rsidP="00EA2362">
            <w:pPr>
              <w:pStyle w:val="C-TableHeader"/>
              <w:tabs>
                <w:tab w:val="center" w:pos="4153"/>
                <w:tab w:val="right" w:pos="8306"/>
              </w:tabs>
              <w:spacing w:before="120" w:after="120"/>
              <w:rPr>
                <w:b w:val="0"/>
                <w:sz w:val="20"/>
                <w:lang w:val="en-GB"/>
              </w:rPr>
            </w:pPr>
          </w:p>
        </w:tc>
        <w:tc>
          <w:tcPr>
            <w:tcW w:w="635" w:type="pct"/>
            <w:shd w:val="clear" w:color="auto" w:fill="auto"/>
            <w:tcMar>
              <w:top w:w="0" w:type="dxa"/>
              <w:left w:w="108" w:type="dxa"/>
              <w:bottom w:w="0" w:type="dxa"/>
              <w:right w:w="108" w:type="dxa"/>
            </w:tcMar>
            <w:vAlign w:val="bottom"/>
          </w:tcPr>
          <w:p w14:paraId="2C5B29FA" w14:textId="77777777" w:rsidR="0028353B" w:rsidRPr="00D2126A" w:rsidRDefault="000E5A86" w:rsidP="00EA2362">
            <w:pPr>
              <w:pStyle w:val="C-TableText"/>
              <w:keepNext/>
              <w:spacing w:before="120" w:after="120"/>
              <w:ind w:left="-149" w:right="-30"/>
              <w:jc w:val="center"/>
              <w:rPr>
                <w:sz w:val="20"/>
              </w:rPr>
            </w:pPr>
            <w:r>
              <w:rPr>
                <w:sz w:val="20"/>
              </w:rPr>
              <w:t>Total</w:t>
            </w:r>
          </w:p>
          <w:p w14:paraId="40662434" w14:textId="77D88A3A" w:rsidR="0028353B" w:rsidRPr="00D2126A" w:rsidRDefault="000E5A86" w:rsidP="00EA2362">
            <w:pPr>
              <w:pStyle w:val="C-TableText"/>
              <w:keepNext/>
              <w:spacing w:before="120" w:after="120"/>
              <w:jc w:val="center"/>
              <w:rPr>
                <w:sz w:val="20"/>
              </w:rPr>
            </w:pPr>
            <w:r>
              <w:rPr>
                <w:sz w:val="20"/>
              </w:rPr>
              <w:t xml:space="preserve">N = 187 </w:t>
            </w:r>
            <w:r>
              <w:rPr>
                <w:sz w:val="20"/>
                <w:vertAlign w:val="superscript"/>
              </w:rPr>
              <w:t>a</w:t>
            </w:r>
          </w:p>
        </w:tc>
        <w:tc>
          <w:tcPr>
            <w:tcW w:w="588" w:type="pct"/>
            <w:shd w:val="clear" w:color="auto" w:fill="auto"/>
            <w:vAlign w:val="bottom"/>
          </w:tcPr>
          <w:p w14:paraId="2AF6F631" w14:textId="77777777" w:rsidR="00FA6925" w:rsidRPr="00D2126A" w:rsidRDefault="000E5A86" w:rsidP="00EA2362">
            <w:pPr>
              <w:pStyle w:val="C-TableText"/>
              <w:keepNext/>
              <w:spacing w:before="120" w:after="120"/>
              <w:jc w:val="center"/>
              <w:rPr>
                <w:sz w:val="20"/>
              </w:rPr>
            </w:pPr>
            <w:r>
              <w:rPr>
                <w:sz w:val="20"/>
              </w:rPr>
              <w:t>Réfractaires au rituximab :</w:t>
            </w:r>
          </w:p>
          <w:p w14:paraId="2987A433" w14:textId="79ED9841" w:rsidR="0028353B" w:rsidRPr="00D2126A" w:rsidRDefault="000E5A86" w:rsidP="00EA2362">
            <w:pPr>
              <w:pStyle w:val="C-TableText"/>
              <w:keepNext/>
              <w:spacing w:before="120" w:after="120"/>
              <w:jc w:val="center"/>
              <w:rPr>
                <w:sz w:val="20"/>
              </w:rPr>
            </w:pPr>
            <w:r>
              <w:rPr>
                <w:sz w:val="20"/>
              </w:rPr>
              <w:t>oui</w:t>
            </w:r>
          </w:p>
          <w:p w14:paraId="53B3130A" w14:textId="1408BA14" w:rsidR="0028353B" w:rsidRPr="00D2126A" w:rsidRDefault="000E5A86" w:rsidP="00EA2362">
            <w:pPr>
              <w:pStyle w:val="C-TableText"/>
              <w:keepNext/>
              <w:spacing w:before="120" w:after="120"/>
              <w:jc w:val="center"/>
              <w:rPr>
                <w:sz w:val="20"/>
              </w:rPr>
            </w:pPr>
            <w:r>
              <w:rPr>
                <w:sz w:val="20"/>
              </w:rPr>
              <w:t>N = 77</w:t>
            </w:r>
          </w:p>
        </w:tc>
        <w:tc>
          <w:tcPr>
            <w:tcW w:w="633" w:type="pct"/>
            <w:shd w:val="clear" w:color="auto" w:fill="auto"/>
            <w:vAlign w:val="bottom"/>
          </w:tcPr>
          <w:p w14:paraId="0885EC6E" w14:textId="77777777" w:rsidR="00FA6925" w:rsidRPr="00D2126A" w:rsidRDefault="000E5A86" w:rsidP="00EA2362">
            <w:pPr>
              <w:pStyle w:val="C-TableText"/>
              <w:keepNext/>
              <w:spacing w:before="120" w:after="120"/>
              <w:jc w:val="center"/>
              <w:rPr>
                <w:sz w:val="20"/>
              </w:rPr>
            </w:pPr>
            <w:r>
              <w:rPr>
                <w:sz w:val="20"/>
              </w:rPr>
              <w:t>Réfractaires au rituximab :</w:t>
            </w:r>
          </w:p>
          <w:p w14:paraId="17EE50A9" w14:textId="5F4F83F3" w:rsidR="0028353B" w:rsidRPr="00D2126A" w:rsidRDefault="000E5A86" w:rsidP="00EA2362">
            <w:pPr>
              <w:pStyle w:val="C-TableText"/>
              <w:keepNext/>
              <w:spacing w:before="120" w:after="120"/>
              <w:jc w:val="center"/>
              <w:rPr>
                <w:sz w:val="20"/>
              </w:rPr>
            </w:pPr>
            <w:r>
              <w:rPr>
                <w:sz w:val="20"/>
              </w:rPr>
              <w:t>non</w:t>
            </w:r>
          </w:p>
          <w:p w14:paraId="2C9917B2" w14:textId="37131795" w:rsidR="0028353B" w:rsidRPr="00D2126A" w:rsidRDefault="000E5A86" w:rsidP="00EA2362">
            <w:pPr>
              <w:pStyle w:val="C-TableText"/>
              <w:keepNext/>
              <w:spacing w:before="120" w:after="120"/>
              <w:jc w:val="center"/>
              <w:rPr>
                <w:sz w:val="20"/>
              </w:rPr>
            </w:pPr>
            <w:r>
              <w:rPr>
                <w:sz w:val="20"/>
              </w:rPr>
              <w:t>N = 110</w:t>
            </w:r>
          </w:p>
        </w:tc>
        <w:tc>
          <w:tcPr>
            <w:tcW w:w="613" w:type="pct"/>
            <w:shd w:val="clear" w:color="auto" w:fill="auto"/>
            <w:vAlign w:val="bottom"/>
          </w:tcPr>
          <w:p w14:paraId="082ED944" w14:textId="77777777" w:rsidR="0028353B" w:rsidRPr="00D2126A" w:rsidRDefault="000E5A86" w:rsidP="00EA2362">
            <w:pPr>
              <w:pStyle w:val="C-TableText"/>
              <w:keepNext/>
              <w:spacing w:before="120" w:after="120"/>
              <w:jc w:val="center"/>
              <w:rPr>
                <w:sz w:val="20"/>
              </w:rPr>
            </w:pPr>
            <w:r>
              <w:rPr>
                <w:sz w:val="20"/>
              </w:rPr>
              <w:t>Total</w:t>
            </w:r>
          </w:p>
          <w:p w14:paraId="0851B1C4" w14:textId="2F153E77" w:rsidR="0028353B" w:rsidRPr="00D2126A" w:rsidRDefault="000E5A86" w:rsidP="00EA2362">
            <w:pPr>
              <w:pStyle w:val="C-TableText"/>
              <w:keepNext/>
              <w:spacing w:before="120" w:after="120"/>
              <w:jc w:val="center"/>
              <w:rPr>
                <w:sz w:val="20"/>
              </w:rPr>
            </w:pPr>
            <w:r>
              <w:rPr>
                <w:sz w:val="20"/>
              </w:rPr>
              <w:t>N = 148</w:t>
            </w:r>
          </w:p>
        </w:tc>
        <w:tc>
          <w:tcPr>
            <w:tcW w:w="582" w:type="pct"/>
            <w:shd w:val="clear" w:color="auto" w:fill="auto"/>
            <w:vAlign w:val="bottom"/>
          </w:tcPr>
          <w:p w14:paraId="6C9E4A2B" w14:textId="77777777" w:rsidR="00FA6925" w:rsidRPr="00D2126A" w:rsidRDefault="000E5A86" w:rsidP="00EA2362">
            <w:pPr>
              <w:pStyle w:val="C-TableText"/>
              <w:keepNext/>
              <w:spacing w:before="120" w:after="120"/>
              <w:jc w:val="center"/>
              <w:rPr>
                <w:sz w:val="20"/>
              </w:rPr>
            </w:pPr>
            <w:r>
              <w:rPr>
                <w:sz w:val="20"/>
              </w:rPr>
              <w:t>Réfractaires au rituximab :</w:t>
            </w:r>
          </w:p>
          <w:p w14:paraId="411D5830" w14:textId="14CBE1B3" w:rsidR="0028353B" w:rsidRPr="00D2126A" w:rsidRDefault="000E5A86" w:rsidP="00EA2362">
            <w:pPr>
              <w:pStyle w:val="C-TableText"/>
              <w:keepNext/>
              <w:spacing w:before="120" w:after="120"/>
              <w:jc w:val="center"/>
              <w:rPr>
                <w:sz w:val="20"/>
              </w:rPr>
            </w:pPr>
            <w:r>
              <w:rPr>
                <w:sz w:val="20"/>
              </w:rPr>
              <w:t>oui</w:t>
            </w:r>
          </w:p>
          <w:p w14:paraId="1DCCF4D1" w14:textId="694160A0" w:rsidR="0028353B" w:rsidRPr="00D2126A" w:rsidRDefault="000E5A86" w:rsidP="00EA2362">
            <w:pPr>
              <w:pStyle w:val="C-TableText"/>
              <w:keepNext/>
              <w:spacing w:before="120" w:after="120"/>
              <w:jc w:val="center"/>
              <w:rPr>
                <w:sz w:val="20"/>
              </w:rPr>
            </w:pPr>
            <w:r>
              <w:rPr>
                <w:sz w:val="20"/>
              </w:rPr>
              <w:t>N = 60</w:t>
            </w:r>
          </w:p>
        </w:tc>
        <w:tc>
          <w:tcPr>
            <w:tcW w:w="628" w:type="pct"/>
            <w:shd w:val="clear" w:color="auto" w:fill="auto"/>
            <w:vAlign w:val="bottom"/>
          </w:tcPr>
          <w:p w14:paraId="2EA79A81" w14:textId="77777777" w:rsidR="00FA6925" w:rsidRPr="00D2126A" w:rsidRDefault="000E5A86" w:rsidP="00EA2362">
            <w:pPr>
              <w:pStyle w:val="C-TableText"/>
              <w:keepNext/>
              <w:spacing w:before="120" w:after="120"/>
              <w:jc w:val="center"/>
              <w:rPr>
                <w:sz w:val="20"/>
              </w:rPr>
            </w:pPr>
            <w:r>
              <w:rPr>
                <w:sz w:val="20"/>
              </w:rPr>
              <w:t>Réfractaires au rituximab :</w:t>
            </w:r>
          </w:p>
          <w:p w14:paraId="5AD8C56C" w14:textId="0F905207" w:rsidR="0028353B" w:rsidRPr="00D2126A" w:rsidRDefault="000E5A86" w:rsidP="00EA2362">
            <w:pPr>
              <w:pStyle w:val="C-TableText"/>
              <w:keepNext/>
              <w:spacing w:before="120" w:after="120"/>
              <w:jc w:val="center"/>
              <w:rPr>
                <w:sz w:val="20"/>
              </w:rPr>
            </w:pPr>
            <w:r>
              <w:rPr>
                <w:sz w:val="20"/>
              </w:rPr>
              <w:t>non</w:t>
            </w:r>
          </w:p>
          <w:p w14:paraId="491AB5B9" w14:textId="7B79E9F6" w:rsidR="0028353B" w:rsidRPr="00D2126A" w:rsidRDefault="000E5A86" w:rsidP="00EA2362">
            <w:pPr>
              <w:pStyle w:val="C-TableText"/>
              <w:keepNext/>
              <w:spacing w:before="120" w:after="120"/>
              <w:jc w:val="center"/>
              <w:rPr>
                <w:sz w:val="20"/>
              </w:rPr>
            </w:pPr>
            <w:r>
              <w:rPr>
                <w:sz w:val="20"/>
              </w:rPr>
              <w:t>N = 88</w:t>
            </w:r>
          </w:p>
        </w:tc>
      </w:tr>
      <w:tr w:rsidR="00D5485C" w:rsidRPr="00D2126A" w14:paraId="2006672A" w14:textId="77777777" w:rsidTr="00332130">
        <w:trPr>
          <w:cantSplit/>
          <w:trHeight w:val="57"/>
        </w:trPr>
        <w:tc>
          <w:tcPr>
            <w:tcW w:w="1321" w:type="pct"/>
            <w:shd w:val="clear" w:color="auto" w:fill="auto"/>
            <w:tcMar>
              <w:top w:w="0" w:type="dxa"/>
              <w:left w:w="108" w:type="dxa"/>
              <w:bottom w:w="0" w:type="dxa"/>
              <w:right w:w="108" w:type="dxa"/>
            </w:tcMar>
            <w:hideMark/>
          </w:tcPr>
          <w:p w14:paraId="26232E73" w14:textId="77777777" w:rsidR="00556342" w:rsidRPr="00156723" w:rsidRDefault="000E5A86" w:rsidP="00EA2362">
            <w:pPr>
              <w:pStyle w:val="C-TableText"/>
              <w:spacing w:before="120" w:after="120"/>
              <w:rPr>
                <w:sz w:val="20"/>
              </w:rPr>
            </w:pPr>
            <w:r>
              <w:rPr>
                <w:sz w:val="20"/>
              </w:rPr>
              <w:t>Taux de réponse globale (RC+RCnc+RP), n (%)</w:t>
            </w:r>
          </w:p>
        </w:tc>
        <w:tc>
          <w:tcPr>
            <w:tcW w:w="635" w:type="pct"/>
            <w:shd w:val="clear" w:color="auto" w:fill="auto"/>
            <w:tcMar>
              <w:top w:w="0" w:type="dxa"/>
              <w:left w:w="108" w:type="dxa"/>
              <w:bottom w:w="0" w:type="dxa"/>
              <w:right w:w="108" w:type="dxa"/>
            </w:tcMar>
          </w:tcPr>
          <w:p w14:paraId="2EB9B0CB" w14:textId="77777777" w:rsidR="00556342" w:rsidRPr="00D2126A" w:rsidRDefault="000E5A86" w:rsidP="00EA2362">
            <w:pPr>
              <w:pStyle w:val="Default"/>
              <w:spacing w:before="120" w:after="120"/>
              <w:jc w:val="center"/>
              <w:rPr>
                <w:color w:val="auto"/>
                <w:sz w:val="20"/>
                <w:szCs w:val="20"/>
              </w:rPr>
            </w:pPr>
            <w:r>
              <w:rPr>
                <w:color w:val="auto"/>
                <w:sz w:val="20"/>
              </w:rPr>
              <w:t>127 (67,9)</w:t>
            </w:r>
          </w:p>
        </w:tc>
        <w:tc>
          <w:tcPr>
            <w:tcW w:w="588" w:type="pct"/>
            <w:shd w:val="clear" w:color="auto" w:fill="auto"/>
          </w:tcPr>
          <w:p w14:paraId="24C02C5F" w14:textId="77777777" w:rsidR="00556342" w:rsidRPr="00D2126A" w:rsidRDefault="000E5A86" w:rsidP="00EA2362">
            <w:pPr>
              <w:pStyle w:val="Default"/>
              <w:spacing w:before="120" w:after="120"/>
              <w:jc w:val="center"/>
              <w:rPr>
                <w:color w:val="auto"/>
                <w:sz w:val="20"/>
                <w:szCs w:val="20"/>
              </w:rPr>
            </w:pPr>
            <w:r>
              <w:rPr>
                <w:color w:val="auto"/>
                <w:sz w:val="20"/>
              </w:rPr>
              <w:t>45 (58,4)</w:t>
            </w:r>
          </w:p>
        </w:tc>
        <w:tc>
          <w:tcPr>
            <w:tcW w:w="633" w:type="pct"/>
            <w:shd w:val="clear" w:color="auto" w:fill="auto"/>
          </w:tcPr>
          <w:p w14:paraId="7B72FD11" w14:textId="77777777" w:rsidR="00556342" w:rsidRPr="00D2126A" w:rsidRDefault="000E5A86" w:rsidP="00EA2362">
            <w:pPr>
              <w:pStyle w:val="Default"/>
              <w:spacing w:before="120" w:after="120"/>
              <w:jc w:val="center"/>
              <w:rPr>
                <w:color w:val="auto"/>
                <w:sz w:val="20"/>
                <w:szCs w:val="20"/>
              </w:rPr>
            </w:pPr>
            <w:r>
              <w:rPr>
                <w:color w:val="auto"/>
                <w:sz w:val="20"/>
              </w:rPr>
              <w:t>82 (75,2)</w:t>
            </w:r>
          </w:p>
        </w:tc>
        <w:tc>
          <w:tcPr>
            <w:tcW w:w="613" w:type="pct"/>
            <w:shd w:val="clear" w:color="auto" w:fill="auto"/>
          </w:tcPr>
          <w:p w14:paraId="05637D1A" w14:textId="77777777" w:rsidR="00556342" w:rsidRPr="00D2126A" w:rsidRDefault="000E5A86" w:rsidP="00EA2362">
            <w:pPr>
              <w:pStyle w:val="Default"/>
              <w:spacing w:before="120" w:after="120"/>
              <w:jc w:val="center"/>
              <w:rPr>
                <w:color w:val="auto"/>
                <w:sz w:val="20"/>
                <w:szCs w:val="20"/>
              </w:rPr>
            </w:pPr>
            <w:r>
              <w:rPr>
                <w:color w:val="auto"/>
                <w:sz w:val="20"/>
              </w:rPr>
              <w:t>104 (70,3)</w:t>
            </w:r>
          </w:p>
        </w:tc>
        <w:tc>
          <w:tcPr>
            <w:tcW w:w="582" w:type="pct"/>
            <w:shd w:val="clear" w:color="auto" w:fill="auto"/>
          </w:tcPr>
          <w:p w14:paraId="54C2EEBD" w14:textId="77777777" w:rsidR="00556342" w:rsidRPr="00D2126A" w:rsidRDefault="000E5A86" w:rsidP="00EA2362">
            <w:pPr>
              <w:pStyle w:val="Default"/>
              <w:spacing w:before="120" w:after="120"/>
              <w:jc w:val="center"/>
              <w:rPr>
                <w:color w:val="auto"/>
                <w:sz w:val="20"/>
                <w:szCs w:val="20"/>
              </w:rPr>
            </w:pPr>
            <w:r>
              <w:rPr>
                <w:color w:val="auto"/>
                <w:sz w:val="20"/>
              </w:rPr>
              <w:t>35 (58,3)</w:t>
            </w:r>
          </w:p>
        </w:tc>
        <w:tc>
          <w:tcPr>
            <w:tcW w:w="628" w:type="pct"/>
            <w:shd w:val="clear" w:color="auto" w:fill="auto"/>
          </w:tcPr>
          <w:p w14:paraId="554DAD83" w14:textId="77777777" w:rsidR="00556342" w:rsidRPr="00D2126A" w:rsidRDefault="000E5A86" w:rsidP="00EA2362">
            <w:pPr>
              <w:pStyle w:val="Default"/>
              <w:spacing w:before="120" w:after="120"/>
              <w:jc w:val="center"/>
              <w:rPr>
                <w:color w:val="auto"/>
                <w:sz w:val="20"/>
                <w:szCs w:val="20"/>
              </w:rPr>
            </w:pPr>
            <w:r>
              <w:rPr>
                <w:color w:val="auto"/>
                <w:sz w:val="20"/>
              </w:rPr>
              <w:t>69 (79,3)</w:t>
            </w:r>
          </w:p>
        </w:tc>
      </w:tr>
      <w:tr w:rsidR="00D5485C" w:rsidRPr="00D2126A" w14:paraId="6D7AC5CC" w14:textId="77777777" w:rsidTr="00332130">
        <w:trPr>
          <w:cantSplit/>
          <w:trHeight w:val="57"/>
        </w:trPr>
        <w:tc>
          <w:tcPr>
            <w:tcW w:w="1321" w:type="pct"/>
            <w:shd w:val="clear" w:color="auto" w:fill="auto"/>
            <w:tcMar>
              <w:top w:w="0" w:type="dxa"/>
              <w:left w:w="108" w:type="dxa"/>
              <w:bottom w:w="0" w:type="dxa"/>
              <w:right w:w="108" w:type="dxa"/>
            </w:tcMar>
          </w:tcPr>
          <w:p w14:paraId="30B0714D" w14:textId="77777777" w:rsidR="00556342" w:rsidRPr="00D2126A" w:rsidRDefault="000E5A86" w:rsidP="00EA2362">
            <w:pPr>
              <w:pStyle w:val="C-TableText"/>
              <w:spacing w:before="120" w:after="120"/>
              <w:rPr>
                <w:sz w:val="20"/>
              </w:rPr>
            </w:pPr>
            <w:r>
              <w:rPr>
                <w:sz w:val="20"/>
              </w:rPr>
              <w:t>Taux de réponse complète</w:t>
            </w:r>
            <w:r>
              <w:rPr>
                <w:sz w:val="20"/>
              </w:rPr>
              <w:br/>
              <w:t>(RC+ RCnc), n (%)</w:t>
            </w:r>
          </w:p>
        </w:tc>
        <w:tc>
          <w:tcPr>
            <w:tcW w:w="635" w:type="pct"/>
            <w:shd w:val="clear" w:color="auto" w:fill="auto"/>
            <w:tcMar>
              <w:top w:w="0" w:type="dxa"/>
              <w:left w:w="108" w:type="dxa"/>
              <w:bottom w:w="0" w:type="dxa"/>
              <w:right w:w="108" w:type="dxa"/>
            </w:tcMar>
          </w:tcPr>
          <w:p w14:paraId="7BF775E7" w14:textId="77777777" w:rsidR="00556342" w:rsidRPr="00D2126A" w:rsidRDefault="000E5A86" w:rsidP="00EA2362">
            <w:pPr>
              <w:pStyle w:val="Default"/>
              <w:spacing w:before="120" w:after="120"/>
              <w:jc w:val="center"/>
              <w:rPr>
                <w:color w:val="auto"/>
                <w:sz w:val="20"/>
                <w:szCs w:val="20"/>
              </w:rPr>
            </w:pPr>
            <w:r>
              <w:rPr>
                <w:color w:val="auto"/>
                <w:sz w:val="20"/>
              </w:rPr>
              <w:t>79 (42,2)</w:t>
            </w:r>
          </w:p>
        </w:tc>
        <w:tc>
          <w:tcPr>
            <w:tcW w:w="588" w:type="pct"/>
            <w:shd w:val="clear" w:color="auto" w:fill="auto"/>
          </w:tcPr>
          <w:p w14:paraId="5F732470" w14:textId="77777777" w:rsidR="00556342" w:rsidRPr="00D2126A" w:rsidRDefault="000E5A86" w:rsidP="00EA2362">
            <w:pPr>
              <w:pStyle w:val="Default"/>
              <w:spacing w:before="120" w:after="120"/>
              <w:jc w:val="center"/>
              <w:rPr>
                <w:color w:val="auto"/>
                <w:sz w:val="20"/>
                <w:szCs w:val="20"/>
              </w:rPr>
            </w:pPr>
            <w:r>
              <w:rPr>
                <w:color w:val="auto"/>
                <w:sz w:val="20"/>
              </w:rPr>
              <w:t>27 (35,1)</w:t>
            </w:r>
          </w:p>
        </w:tc>
        <w:tc>
          <w:tcPr>
            <w:tcW w:w="633" w:type="pct"/>
            <w:shd w:val="clear" w:color="auto" w:fill="auto"/>
          </w:tcPr>
          <w:p w14:paraId="5F49D0E6" w14:textId="77777777" w:rsidR="00556342" w:rsidRPr="00D2126A" w:rsidRDefault="000E5A86" w:rsidP="00EA2362">
            <w:pPr>
              <w:pStyle w:val="Default"/>
              <w:spacing w:before="120" w:after="120"/>
              <w:jc w:val="center"/>
              <w:rPr>
                <w:color w:val="auto"/>
                <w:sz w:val="20"/>
                <w:szCs w:val="20"/>
              </w:rPr>
            </w:pPr>
            <w:r>
              <w:rPr>
                <w:color w:val="auto"/>
                <w:sz w:val="20"/>
              </w:rPr>
              <w:t>52 (47,7)</w:t>
            </w:r>
          </w:p>
        </w:tc>
        <w:tc>
          <w:tcPr>
            <w:tcW w:w="613" w:type="pct"/>
            <w:shd w:val="clear" w:color="auto" w:fill="auto"/>
          </w:tcPr>
          <w:p w14:paraId="2DDFFD32" w14:textId="77777777" w:rsidR="00556342" w:rsidRPr="00D2126A" w:rsidRDefault="000E5A86" w:rsidP="00EA2362">
            <w:pPr>
              <w:pStyle w:val="Default"/>
              <w:spacing w:before="120" w:after="120"/>
              <w:jc w:val="center"/>
              <w:rPr>
                <w:color w:val="auto"/>
                <w:sz w:val="20"/>
                <w:szCs w:val="20"/>
              </w:rPr>
            </w:pPr>
            <w:r>
              <w:rPr>
                <w:color w:val="auto"/>
                <w:sz w:val="20"/>
              </w:rPr>
              <w:t>62 (41,9)</w:t>
            </w:r>
          </w:p>
        </w:tc>
        <w:tc>
          <w:tcPr>
            <w:tcW w:w="582" w:type="pct"/>
            <w:shd w:val="clear" w:color="auto" w:fill="auto"/>
          </w:tcPr>
          <w:p w14:paraId="05012163" w14:textId="77777777" w:rsidR="00556342" w:rsidRPr="00D2126A" w:rsidRDefault="000E5A86" w:rsidP="00EA2362">
            <w:pPr>
              <w:pStyle w:val="Default"/>
              <w:spacing w:before="120" w:after="120"/>
              <w:jc w:val="center"/>
              <w:rPr>
                <w:color w:val="auto"/>
                <w:sz w:val="20"/>
                <w:szCs w:val="20"/>
              </w:rPr>
            </w:pPr>
            <w:r>
              <w:rPr>
                <w:color w:val="auto"/>
                <w:sz w:val="20"/>
              </w:rPr>
              <w:t>20 (33,3)</w:t>
            </w:r>
          </w:p>
        </w:tc>
        <w:tc>
          <w:tcPr>
            <w:tcW w:w="628" w:type="pct"/>
            <w:shd w:val="clear" w:color="auto" w:fill="auto"/>
          </w:tcPr>
          <w:p w14:paraId="176A8B9D" w14:textId="77777777" w:rsidR="00556342" w:rsidRPr="00D2126A" w:rsidRDefault="000E5A86" w:rsidP="00EA2362">
            <w:pPr>
              <w:pStyle w:val="Default"/>
              <w:spacing w:before="120" w:after="120"/>
              <w:jc w:val="center"/>
              <w:rPr>
                <w:color w:val="auto"/>
                <w:sz w:val="20"/>
                <w:szCs w:val="20"/>
              </w:rPr>
            </w:pPr>
            <w:r>
              <w:rPr>
                <w:color w:val="auto"/>
                <w:sz w:val="20"/>
              </w:rPr>
              <w:t>42 (48,3)</w:t>
            </w:r>
          </w:p>
        </w:tc>
      </w:tr>
      <w:tr w:rsidR="00D5485C" w:rsidRPr="00D2126A" w14:paraId="3999E459" w14:textId="77777777" w:rsidTr="00332130">
        <w:trPr>
          <w:cantSplit/>
          <w:trHeight w:val="57"/>
        </w:trPr>
        <w:tc>
          <w:tcPr>
            <w:tcW w:w="1321" w:type="pct"/>
            <w:shd w:val="clear" w:color="auto" w:fill="auto"/>
            <w:tcMar>
              <w:top w:w="0" w:type="dxa"/>
              <w:left w:w="108" w:type="dxa"/>
              <w:bottom w:w="0" w:type="dxa"/>
              <w:right w:w="108" w:type="dxa"/>
            </w:tcMar>
          </w:tcPr>
          <w:p w14:paraId="1A03130E" w14:textId="77777777" w:rsidR="00556342" w:rsidRPr="00D2126A" w:rsidRDefault="000E5A86" w:rsidP="00EA2362">
            <w:pPr>
              <w:pStyle w:val="C-TableText"/>
              <w:keepNext/>
              <w:spacing w:before="120" w:after="120"/>
              <w:rPr>
                <w:b/>
                <w:sz w:val="20"/>
              </w:rPr>
            </w:pPr>
            <w:r>
              <w:rPr>
                <w:b/>
                <w:sz w:val="20"/>
              </w:rPr>
              <w:t>Nombre de répondeurs</w:t>
            </w:r>
          </w:p>
        </w:tc>
        <w:tc>
          <w:tcPr>
            <w:tcW w:w="635" w:type="pct"/>
            <w:shd w:val="clear" w:color="auto" w:fill="auto"/>
            <w:tcMar>
              <w:top w:w="0" w:type="dxa"/>
              <w:left w:w="108" w:type="dxa"/>
              <w:bottom w:w="0" w:type="dxa"/>
              <w:right w:w="108" w:type="dxa"/>
            </w:tcMar>
          </w:tcPr>
          <w:p w14:paraId="02FEC1F4" w14:textId="4C8B0295" w:rsidR="00556342" w:rsidRPr="00D2126A" w:rsidRDefault="00AE2ECF" w:rsidP="00EA2362">
            <w:pPr>
              <w:pStyle w:val="Default"/>
              <w:keepNext/>
              <w:spacing w:before="120" w:after="120"/>
              <w:jc w:val="center"/>
              <w:rPr>
                <w:b/>
                <w:color w:val="auto"/>
                <w:sz w:val="20"/>
                <w:szCs w:val="20"/>
              </w:rPr>
            </w:pPr>
            <w:r>
              <w:rPr>
                <w:b/>
                <w:color w:val="auto"/>
                <w:sz w:val="20"/>
              </w:rPr>
              <w:t>N = 127</w:t>
            </w:r>
          </w:p>
        </w:tc>
        <w:tc>
          <w:tcPr>
            <w:tcW w:w="588" w:type="pct"/>
            <w:shd w:val="clear" w:color="auto" w:fill="auto"/>
          </w:tcPr>
          <w:p w14:paraId="02635428" w14:textId="67CD00AF" w:rsidR="00556342" w:rsidRPr="00D2126A" w:rsidRDefault="00AE2ECF" w:rsidP="00EA2362">
            <w:pPr>
              <w:pStyle w:val="Default"/>
              <w:keepNext/>
              <w:spacing w:before="120" w:after="120"/>
              <w:jc w:val="center"/>
              <w:rPr>
                <w:b/>
                <w:color w:val="auto"/>
                <w:sz w:val="20"/>
                <w:szCs w:val="20"/>
              </w:rPr>
            </w:pPr>
            <w:r>
              <w:rPr>
                <w:b/>
                <w:color w:val="auto"/>
                <w:sz w:val="20"/>
              </w:rPr>
              <w:t>N = 45</w:t>
            </w:r>
          </w:p>
        </w:tc>
        <w:tc>
          <w:tcPr>
            <w:tcW w:w="633" w:type="pct"/>
            <w:shd w:val="clear" w:color="auto" w:fill="auto"/>
          </w:tcPr>
          <w:p w14:paraId="37A043F2" w14:textId="237C3CFA" w:rsidR="00556342" w:rsidRPr="00D2126A" w:rsidRDefault="00AE2ECF" w:rsidP="00EA2362">
            <w:pPr>
              <w:pStyle w:val="Default"/>
              <w:keepNext/>
              <w:spacing w:before="120" w:after="120"/>
              <w:jc w:val="center"/>
              <w:rPr>
                <w:b/>
                <w:color w:val="auto"/>
                <w:sz w:val="20"/>
                <w:szCs w:val="20"/>
              </w:rPr>
            </w:pPr>
            <w:r>
              <w:rPr>
                <w:b/>
                <w:color w:val="auto"/>
                <w:sz w:val="20"/>
              </w:rPr>
              <w:t>N = 82</w:t>
            </w:r>
          </w:p>
        </w:tc>
        <w:tc>
          <w:tcPr>
            <w:tcW w:w="613" w:type="pct"/>
            <w:shd w:val="clear" w:color="auto" w:fill="auto"/>
          </w:tcPr>
          <w:p w14:paraId="1A5B7B58" w14:textId="49391E33" w:rsidR="00556342" w:rsidRPr="00D2126A" w:rsidRDefault="00AE2ECF" w:rsidP="00EA2362">
            <w:pPr>
              <w:pStyle w:val="Default"/>
              <w:keepNext/>
              <w:spacing w:before="120" w:after="120"/>
              <w:jc w:val="center"/>
              <w:rPr>
                <w:b/>
                <w:color w:val="auto"/>
                <w:sz w:val="20"/>
                <w:szCs w:val="20"/>
              </w:rPr>
            </w:pPr>
            <w:r>
              <w:rPr>
                <w:b/>
                <w:color w:val="auto"/>
                <w:sz w:val="20"/>
              </w:rPr>
              <w:t>N = 104</w:t>
            </w:r>
          </w:p>
        </w:tc>
        <w:tc>
          <w:tcPr>
            <w:tcW w:w="582" w:type="pct"/>
            <w:shd w:val="clear" w:color="auto" w:fill="auto"/>
          </w:tcPr>
          <w:p w14:paraId="4297A866" w14:textId="0A025C02" w:rsidR="00556342" w:rsidRPr="00D2126A" w:rsidRDefault="00AE2ECF" w:rsidP="00EA2362">
            <w:pPr>
              <w:pStyle w:val="Default"/>
              <w:keepNext/>
              <w:spacing w:before="120" w:after="120"/>
              <w:jc w:val="center"/>
              <w:rPr>
                <w:b/>
                <w:color w:val="auto"/>
                <w:sz w:val="20"/>
                <w:szCs w:val="20"/>
              </w:rPr>
            </w:pPr>
            <w:r>
              <w:rPr>
                <w:b/>
                <w:color w:val="auto"/>
                <w:sz w:val="20"/>
              </w:rPr>
              <w:t>N = 35</w:t>
            </w:r>
          </w:p>
        </w:tc>
        <w:tc>
          <w:tcPr>
            <w:tcW w:w="628" w:type="pct"/>
            <w:shd w:val="clear" w:color="auto" w:fill="auto"/>
          </w:tcPr>
          <w:p w14:paraId="4F242B31" w14:textId="1DCFB352" w:rsidR="00556342" w:rsidRPr="00D2126A" w:rsidRDefault="00AE2ECF" w:rsidP="00EA2362">
            <w:pPr>
              <w:pStyle w:val="Default"/>
              <w:keepNext/>
              <w:spacing w:before="120" w:after="120"/>
              <w:jc w:val="center"/>
              <w:rPr>
                <w:b/>
                <w:color w:val="auto"/>
                <w:sz w:val="20"/>
                <w:szCs w:val="20"/>
              </w:rPr>
            </w:pPr>
            <w:r>
              <w:rPr>
                <w:b/>
                <w:color w:val="auto"/>
                <w:sz w:val="20"/>
              </w:rPr>
              <w:t>N = 69</w:t>
            </w:r>
          </w:p>
        </w:tc>
      </w:tr>
      <w:tr w:rsidR="00D5485C" w:rsidRPr="00D2126A" w14:paraId="5C457064" w14:textId="77777777" w:rsidTr="00332130">
        <w:trPr>
          <w:cantSplit/>
          <w:trHeight w:val="57"/>
        </w:trPr>
        <w:tc>
          <w:tcPr>
            <w:tcW w:w="1321" w:type="pct"/>
            <w:shd w:val="clear" w:color="auto" w:fill="auto"/>
            <w:tcMar>
              <w:top w:w="0" w:type="dxa"/>
              <w:left w:w="108" w:type="dxa"/>
              <w:bottom w:w="0" w:type="dxa"/>
              <w:right w:w="108" w:type="dxa"/>
            </w:tcMar>
          </w:tcPr>
          <w:p w14:paraId="5FD9F33C" w14:textId="735CCE82" w:rsidR="00556342" w:rsidRPr="00D2126A" w:rsidRDefault="000E5A86" w:rsidP="00EA2362">
            <w:pPr>
              <w:pStyle w:val="Style8"/>
              <w:spacing w:line="240" w:lineRule="auto"/>
            </w:pPr>
            <w:r>
              <w:t>% de patients avec DR</w:t>
            </w:r>
            <w:r>
              <w:rPr>
                <w:vertAlign w:val="superscript"/>
              </w:rPr>
              <w:t>b</w:t>
            </w:r>
            <w:r>
              <w:rPr>
                <w:vertAlign w:val="superscript"/>
              </w:rPr>
              <w:br/>
            </w:r>
            <w:r>
              <w:t>≥ 6 mois (IC à 95 %)</w:t>
            </w:r>
            <w:r>
              <w:rPr>
                <w:vertAlign w:val="superscript"/>
              </w:rPr>
              <w:t>c</w:t>
            </w:r>
          </w:p>
        </w:tc>
        <w:tc>
          <w:tcPr>
            <w:tcW w:w="635" w:type="pct"/>
            <w:shd w:val="clear" w:color="auto" w:fill="auto"/>
            <w:tcMar>
              <w:top w:w="0" w:type="dxa"/>
              <w:left w:w="108" w:type="dxa"/>
              <w:bottom w:w="0" w:type="dxa"/>
              <w:right w:w="108" w:type="dxa"/>
            </w:tcMar>
          </w:tcPr>
          <w:p w14:paraId="47553AE2" w14:textId="77777777" w:rsidR="00556342" w:rsidRPr="00D2126A" w:rsidRDefault="000E5A86" w:rsidP="00EA2362">
            <w:pPr>
              <w:pStyle w:val="Default"/>
              <w:keepNext/>
              <w:spacing w:before="120" w:after="120"/>
              <w:jc w:val="center"/>
              <w:rPr>
                <w:b/>
                <w:color w:val="auto"/>
                <w:sz w:val="20"/>
                <w:szCs w:val="20"/>
              </w:rPr>
            </w:pPr>
            <w:r>
              <w:rPr>
                <w:b/>
                <w:sz w:val="20"/>
              </w:rPr>
              <w:t>93,0</w:t>
            </w:r>
            <w:r>
              <w:rPr>
                <w:b/>
                <w:sz w:val="20"/>
              </w:rPr>
              <w:br/>
              <w:t>(85,1 ; 96,8)</w:t>
            </w:r>
          </w:p>
        </w:tc>
        <w:tc>
          <w:tcPr>
            <w:tcW w:w="588" w:type="pct"/>
            <w:shd w:val="clear" w:color="auto" w:fill="auto"/>
          </w:tcPr>
          <w:p w14:paraId="2BC0D422" w14:textId="77777777" w:rsidR="00556342" w:rsidRPr="00D2126A" w:rsidRDefault="000E5A86" w:rsidP="00EA2362">
            <w:pPr>
              <w:pStyle w:val="Default"/>
              <w:keepNext/>
              <w:spacing w:before="120" w:after="120"/>
              <w:jc w:val="center"/>
              <w:rPr>
                <w:b/>
                <w:color w:val="auto"/>
                <w:sz w:val="20"/>
                <w:szCs w:val="20"/>
              </w:rPr>
            </w:pPr>
            <w:r>
              <w:rPr>
                <w:b/>
                <w:sz w:val="20"/>
              </w:rPr>
              <w:t>90,4</w:t>
            </w:r>
            <w:r>
              <w:rPr>
                <w:b/>
                <w:sz w:val="20"/>
              </w:rPr>
              <w:br/>
              <w:t>(73,0 ; 96,8)</w:t>
            </w:r>
          </w:p>
        </w:tc>
        <w:tc>
          <w:tcPr>
            <w:tcW w:w="633" w:type="pct"/>
            <w:shd w:val="clear" w:color="auto" w:fill="auto"/>
          </w:tcPr>
          <w:p w14:paraId="1F96E2A3" w14:textId="77777777" w:rsidR="00556342" w:rsidRPr="00D2126A" w:rsidRDefault="000E5A86" w:rsidP="00EA2362">
            <w:pPr>
              <w:pStyle w:val="Default"/>
              <w:keepNext/>
              <w:spacing w:before="120" w:after="120"/>
              <w:jc w:val="center"/>
              <w:rPr>
                <w:b/>
                <w:color w:val="auto"/>
                <w:sz w:val="20"/>
                <w:szCs w:val="20"/>
              </w:rPr>
            </w:pPr>
            <w:r>
              <w:rPr>
                <w:b/>
                <w:color w:val="auto"/>
                <w:sz w:val="20"/>
              </w:rPr>
              <w:t>94,5</w:t>
            </w:r>
            <w:r>
              <w:rPr>
                <w:b/>
                <w:color w:val="auto"/>
                <w:sz w:val="20"/>
              </w:rPr>
              <w:br/>
              <w:t>(83,9 ; 98,2)</w:t>
            </w:r>
          </w:p>
        </w:tc>
        <w:tc>
          <w:tcPr>
            <w:tcW w:w="613" w:type="pct"/>
            <w:shd w:val="clear" w:color="auto" w:fill="auto"/>
          </w:tcPr>
          <w:p w14:paraId="7A814939" w14:textId="77777777" w:rsidR="00556342" w:rsidRPr="00D2126A" w:rsidRDefault="000E5A86" w:rsidP="00EA2362">
            <w:pPr>
              <w:pStyle w:val="Default"/>
              <w:keepNext/>
              <w:spacing w:before="120" w:after="120"/>
              <w:jc w:val="center"/>
              <w:rPr>
                <w:b/>
                <w:color w:val="auto"/>
                <w:sz w:val="20"/>
                <w:szCs w:val="20"/>
              </w:rPr>
            </w:pPr>
            <w:r>
              <w:rPr>
                <w:b/>
                <w:sz w:val="20"/>
              </w:rPr>
              <w:t>94,3</w:t>
            </w:r>
            <w:r>
              <w:rPr>
                <w:b/>
                <w:sz w:val="20"/>
              </w:rPr>
              <w:br/>
              <w:t>(85,5 ; 97,9)</w:t>
            </w:r>
          </w:p>
        </w:tc>
        <w:tc>
          <w:tcPr>
            <w:tcW w:w="582" w:type="pct"/>
            <w:shd w:val="clear" w:color="auto" w:fill="auto"/>
          </w:tcPr>
          <w:p w14:paraId="4CE310E2" w14:textId="77777777" w:rsidR="00556342" w:rsidRPr="00D2126A" w:rsidRDefault="000E5A86" w:rsidP="00EA2362">
            <w:pPr>
              <w:pStyle w:val="Default"/>
              <w:keepNext/>
              <w:spacing w:before="120" w:after="120"/>
              <w:jc w:val="center"/>
              <w:rPr>
                <w:b/>
                <w:color w:val="auto"/>
                <w:sz w:val="20"/>
                <w:szCs w:val="20"/>
              </w:rPr>
            </w:pPr>
            <w:r>
              <w:rPr>
                <w:b/>
                <w:sz w:val="20"/>
              </w:rPr>
              <w:t>96,0</w:t>
            </w:r>
            <w:r>
              <w:rPr>
                <w:b/>
                <w:sz w:val="20"/>
              </w:rPr>
              <w:br/>
              <w:t>(74,8 ; 99,4)</w:t>
            </w:r>
          </w:p>
        </w:tc>
        <w:tc>
          <w:tcPr>
            <w:tcW w:w="628" w:type="pct"/>
            <w:shd w:val="clear" w:color="auto" w:fill="auto"/>
          </w:tcPr>
          <w:p w14:paraId="3E0B8DA3" w14:textId="77777777" w:rsidR="00556342" w:rsidRPr="00D2126A" w:rsidRDefault="000E5A86" w:rsidP="00EA2362">
            <w:pPr>
              <w:pStyle w:val="Default"/>
              <w:keepNext/>
              <w:spacing w:before="120" w:after="120"/>
              <w:jc w:val="center"/>
              <w:rPr>
                <w:b/>
                <w:sz w:val="20"/>
                <w:szCs w:val="20"/>
              </w:rPr>
            </w:pPr>
            <w:r>
              <w:rPr>
                <w:b/>
                <w:sz w:val="20"/>
              </w:rPr>
              <w:t>93,5</w:t>
            </w:r>
            <w:r>
              <w:rPr>
                <w:b/>
                <w:sz w:val="20"/>
              </w:rPr>
              <w:br/>
              <w:t>(81,0 ; 97,9)</w:t>
            </w:r>
          </w:p>
        </w:tc>
      </w:tr>
      <w:tr w:rsidR="00D5485C" w:rsidRPr="00D2126A" w14:paraId="736B21E3" w14:textId="77777777" w:rsidTr="00332130">
        <w:trPr>
          <w:cantSplit/>
          <w:trHeight w:val="57"/>
        </w:trPr>
        <w:tc>
          <w:tcPr>
            <w:tcW w:w="1321" w:type="pct"/>
            <w:shd w:val="clear" w:color="auto" w:fill="auto"/>
            <w:tcMar>
              <w:top w:w="0" w:type="dxa"/>
              <w:left w:w="108" w:type="dxa"/>
              <w:bottom w:w="0" w:type="dxa"/>
              <w:right w:w="108" w:type="dxa"/>
            </w:tcMar>
          </w:tcPr>
          <w:p w14:paraId="6EF5A5C9" w14:textId="20704884" w:rsidR="00556342" w:rsidRPr="00D2126A" w:rsidRDefault="000E5A86" w:rsidP="00EA2362">
            <w:pPr>
              <w:pStyle w:val="Style8"/>
              <w:spacing w:line="240" w:lineRule="auto"/>
            </w:pPr>
            <w:r>
              <w:t>% de patients avec DR</w:t>
            </w:r>
            <w:r>
              <w:rPr>
                <w:vertAlign w:val="superscript"/>
              </w:rPr>
              <w:t>b</w:t>
            </w:r>
            <w:r>
              <w:rPr>
                <w:vertAlign w:val="superscript"/>
              </w:rPr>
              <w:br/>
            </w:r>
            <w:r>
              <w:t>≥ 12 mois (IC à 95 %)</w:t>
            </w:r>
            <w:r>
              <w:rPr>
                <w:vertAlign w:val="superscript"/>
              </w:rPr>
              <w:t>c</w:t>
            </w:r>
          </w:p>
        </w:tc>
        <w:tc>
          <w:tcPr>
            <w:tcW w:w="635" w:type="pct"/>
            <w:shd w:val="clear" w:color="auto" w:fill="auto"/>
            <w:tcMar>
              <w:top w:w="0" w:type="dxa"/>
              <w:left w:w="108" w:type="dxa"/>
              <w:bottom w:w="0" w:type="dxa"/>
              <w:right w:w="108" w:type="dxa"/>
            </w:tcMar>
          </w:tcPr>
          <w:p w14:paraId="60E5FAB7" w14:textId="77777777" w:rsidR="00556342" w:rsidRPr="00D2126A" w:rsidRDefault="000E5A86" w:rsidP="00EA2362">
            <w:pPr>
              <w:pStyle w:val="Default"/>
              <w:keepNext/>
              <w:spacing w:before="120" w:after="120"/>
              <w:jc w:val="center"/>
              <w:rPr>
                <w:b/>
                <w:color w:val="auto"/>
                <w:sz w:val="20"/>
                <w:szCs w:val="20"/>
              </w:rPr>
            </w:pPr>
            <w:r>
              <w:rPr>
                <w:b/>
                <w:sz w:val="20"/>
              </w:rPr>
              <w:t>79,1</w:t>
            </w:r>
            <w:r>
              <w:rPr>
                <w:b/>
                <w:sz w:val="20"/>
              </w:rPr>
              <w:br/>
              <w:t>(67,4 ; 87,0)</w:t>
            </w:r>
          </w:p>
        </w:tc>
        <w:tc>
          <w:tcPr>
            <w:tcW w:w="588" w:type="pct"/>
            <w:shd w:val="clear" w:color="auto" w:fill="auto"/>
          </w:tcPr>
          <w:p w14:paraId="71D0317E" w14:textId="77777777" w:rsidR="00556342" w:rsidRPr="00D2126A" w:rsidRDefault="000E5A86" w:rsidP="00EA2362">
            <w:pPr>
              <w:pStyle w:val="Default"/>
              <w:keepNext/>
              <w:spacing w:before="120" w:after="120"/>
              <w:jc w:val="center"/>
              <w:rPr>
                <w:b/>
                <w:color w:val="auto"/>
                <w:sz w:val="20"/>
                <w:szCs w:val="20"/>
              </w:rPr>
            </w:pPr>
            <w:r>
              <w:rPr>
                <w:b/>
                <w:sz w:val="20"/>
              </w:rPr>
              <w:t>73,3</w:t>
            </w:r>
            <w:r>
              <w:rPr>
                <w:b/>
                <w:sz w:val="20"/>
              </w:rPr>
              <w:br/>
              <w:t>(51,2 ; 86,6)</w:t>
            </w:r>
          </w:p>
        </w:tc>
        <w:tc>
          <w:tcPr>
            <w:tcW w:w="633" w:type="pct"/>
            <w:shd w:val="clear" w:color="auto" w:fill="auto"/>
          </w:tcPr>
          <w:p w14:paraId="5B07A802" w14:textId="77777777" w:rsidR="00556342" w:rsidRPr="00D2126A" w:rsidRDefault="000E5A86" w:rsidP="00EA2362">
            <w:pPr>
              <w:pStyle w:val="Default"/>
              <w:keepNext/>
              <w:spacing w:before="120" w:after="120"/>
              <w:jc w:val="center"/>
              <w:rPr>
                <w:b/>
                <w:color w:val="auto"/>
                <w:sz w:val="20"/>
                <w:szCs w:val="20"/>
              </w:rPr>
            </w:pPr>
            <w:r>
              <w:rPr>
                <w:b/>
                <w:color w:val="auto"/>
                <w:sz w:val="20"/>
              </w:rPr>
              <w:t>82,4</w:t>
            </w:r>
            <w:r>
              <w:rPr>
                <w:b/>
                <w:color w:val="auto"/>
                <w:sz w:val="20"/>
              </w:rPr>
              <w:br/>
              <w:t>(67,5 ; 90,9)</w:t>
            </w:r>
          </w:p>
        </w:tc>
        <w:tc>
          <w:tcPr>
            <w:tcW w:w="613" w:type="pct"/>
            <w:shd w:val="clear" w:color="auto" w:fill="auto"/>
          </w:tcPr>
          <w:p w14:paraId="4FC52AAB" w14:textId="77777777" w:rsidR="00556342" w:rsidRPr="00D2126A" w:rsidRDefault="000E5A86" w:rsidP="00EA2362">
            <w:pPr>
              <w:pStyle w:val="Default"/>
              <w:keepNext/>
              <w:spacing w:before="120" w:after="120"/>
              <w:jc w:val="center"/>
              <w:rPr>
                <w:b/>
                <w:color w:val="auto"/>
                <w:sz w:val="20"/>
                <w:szCs w:val="20"/>
              </w:rPr>
            </w:pPr>
            <w:r>
              <w:rPr>
                <w:b/>
                <w:sz w:val="20"/>
              </w:rPr>
              <w:t>79,5</w:t>
            </w:r>
            <w:r>
              <w:rPr>
                <w:b/>
                <w:sz w:val="20"/>
              </w:rPr>
              <w:br/>
              <w:t>(65,5 ; 88,3)</w:t>
            </w:r>
          </w:p>
        </w:tc>
        <w:tc>
          <w:tcPr>
            <w:tcW w:w="582" w:type="pct"/>
            <w:shd w:val="clear" w:color="auto" w:fill="auto"/>
          </w:tcPr>
          <w:p w14:paraId="5A02C912" w14:textId="77777777" w:rsidR="00556342" w:rsidRPr="00D2126A" w:rsidRDefault="000E5A86" w:rsidP="00EA2362">
            <w:pPr>
              <w:pStyle w:val="Default"/>
              <w:keepNext/>
              <w:spacing w:before="120" w:after="120"/>
              <w:jc w:val="center"/>
              <w:rPr>
                <w:b/>
                <w:color w:val="auto"/>
                <w:sz w:val="20"/>
                <w:szCs w:val="20"/>
              </w:rPr>
            </w:pPr>
            <w:r>
              <w:rPr>
                <w:b/>
                <w:sz w:val="20"/>
              </w:rPr>
              <w:t>73,9</w:t>
            </w:r>
            <w:r>
              <w:rPr>
                <w:b/>
                <w:sz w:val="20"/>
              </w:rPr>
              <w:br/>
              <w:t>(43,0 ; 89,8)</w:t>
            </w:r>
          </w:p>
        </w:tc>
        <w:tc>
          <w:tcPr>
            <w:tcW w:w="628" w:type="pct"/>
            <w:shd w:val="clear" w:color="auto" w:fill="auto"/>
          </w:tcPr>
          <w:p w14:paraId="37E8A768" w14:textId="77777777" w:rsidR="00556342" w:rsidRPr="00D2126A" w:rsidRDefault="000E5A86" w:rsidP="00EA2362">
            <w:pPr>
              <w:pStyle w:val="Default"/>
              <w:keepNext/>
              <w:spacing w:before="120" w:after="120"/>
              <w:jc w:val="center"/>
              <w:rPr>
                <w:b/>
                <w:sz w:val="20"/>
                <w:szCs w:val="20"/>
              </w:rPr>
            </w:pPr>
            <w:r>
              <w:rPr>
                <w:b/>
                <w:sz w:val="20"/>
              </w:rPr>
              <w:t>81,7</w:t>
            </w:r>
            <w:r>
              <w:rPr>
                <w:b/>
                <w:sz w:val="20"/>
              </w:rPr>
              <w:br/>
              <w:t>(64,8 ; 91,0)</w:t>
            </w:r>
          </w:p>
        </w:tc>
      </w:tr>
    </w:tbl>
    <w:p w14:paraId="6FFFEAE3" w14:textId="177E710D" w:rsidR="006F6DEB" w:rsidRPr="00D2126A" w:rsidRDefault="000E5A86" w:rsidP="00C93C76">
      <w:pPr>
        <w:rPr>
          <w:sz w:val="16"/>
          <w:szCs w:val="16"/>
        </w:rPr>
      </w:pPr>
      <w:r>
        <w:rPr>
          <w:sz w:val="16"/>
        </w:rPr>
        <w:t>IC = intervalle de confiance ; DR = durée de la réponse ; LF = lymphome folliculaire</w:t>
      </w:r>
    </w:p>
    <w:p w14:paraId="47E2F62F" w14:textId="77777777" w:rsidR="006F6DEB" w:rsidRPr="00D2126A" w:rsidRDefault="000E5A86" w:rsidP="00C93C76">
      <w:pPr>
        <w:rPr>
          <w:sz w:val="16"/>
          <w:szCs w:val="16"/>
        </w:rPr>
      </w:pPr>
      <w:r>
        <w:rPr>
          <w:sz w:val="16"/>
          <w:vertAlign w:val="superscript"/>
        </w:rPr>
        <w:t>a</w:t>
      </w:r>
      <w:r>
        <w:rPr>
          <w:sz w:val="16"/>
        </w:rPr>
        <w:t xml:space="preserve"> La population principale d’analyse est la population évaluable pour l’efficacité de l’induction (EEI).</w:t>
      </w:r>
    </w:p>
    <w:p w14:paraId="690B3C51" w14:textId="77777777" w:rsidR="006F6DEB" w:rsidRPr="00D2126A" w:rsidRDefault="000E5A86" w:rsidP="00C93C76">
      <w:pPr>
        <w:pStyle w:val="C-TableFootnote"/>
        <w:tabs>
          <w:tab w:val="clear" w:pos="432"/>
          <w:tab w:val="left" w:pos="0"/>
        </w:tabs>
        <w:ind w:left="0" w:firstLine="0"/>
        <w:rPr>
          <w:sz w:val="16"/>
          <w:szCs w:val="16"/>
        </w:rPr>
      </w:pPr>
      <w:r>
        <w:rPr>
          <w:sz w:val="16"/>
          <w:vertAlign w:val="superscript"/>
        </w:rPr>
        <w:t xml:space="preserve">b </w:t>
      </w:r>
      <w:r>
        <w:rPr>
          <w:sz w:val="16"/>
        </w:rPr>
        <w:t>La durée de réponse est définie comme le temps (mois) écoulé entre la réponse initiale (au moins un RP) et la progression documentée de la maladie ou le décès, selon l’événement survenant en premier.</w:t>
      </w:r>
    </w:p>
    <w:p w14:paraId="6F15E80F" w14:textId="322CF251" w:rsidR="006F6DEB" w:rsidRPr="00D2126A" w:rsidRDefault="000E5A86" w:rsidP="009B144A">
      <w:pPr>
        <w:pStyle w:val="C-TableFootnote"/>
        <w:keepNext/>
        <w:tabs>
          <w:tab w:val="clear" w:pos="432"/>
          <w:tab w:val="left" w:pos="0"/>
        </w:tabs>
        <w:ind w:left="0" w:firstLine="0"/>
        <w:rPr>
          <w:sz w:val="16"/>
          <w:szCs w:val="16"/>
        </w:rPr>
      </w:pPr>
      <w:r>
        <w:rPr>
          <w:sz w:val="16"/>
          <w:vertAlign w:val="superscript"/>
        </w:rPr>
        <w:t>c</w:t>
      </w:r>
      <w:r>
        <w:rPr>
          <w:sz w:val="16"/>
        </w:rPr>
        <w:t xml:space="preserve"> Les données statistiques ont été obtenues selon la méthode de Kaplan</w:t>
      </w:r>
      <w:r>
        <w:rPr>
          <w:sz w:val="16"/>
        </w:rPr>
        <w:noBreakHyphen/>
        <w:t>Meier, l’IC à 95 % a été déterminé selon la méthode de Greenwood.</w:t>
      </w:r>
    </w:p>
    <w:p w14:paraId="36747239" w14:textId="77777777" w:rsidR="006F6DEB" w:rsidRPr="00D2126A" w:rsidRDefault="000E5A86" w:rsidP="009B144A">
      <w:pPr>
        <w:pStyle w:val="C-TableFootnote"/>
        <w:keepNext/>
        <w:tabs>
          <w:tab w:val="clear" w:pos="432"/>
          <w:tab w:val="left" w:pos="0"/>
        </w:tabs>
        <w:ind w:left="0" w:firstLine="0"/>
        <w:rPr>
          <w:sz w:val="16"/>
          <w:szCs w:val="16"/>
        </w:rPr>
      </w:pPr>
      <w:r>
        <w:rPr>
          <w:sz w:val="16"/>
        </w:rPr>
        <w:t>Remarques : l’analyse a été effectuée uniquement chez les patients ayant obtenu au moins une RP après la date de première administration du traitement d’induction et avant tout traitement de la période d’entretien et tout traitement ultérieur du lymphome pendant la période d’induction. Le pourcentage a été calculé en fonction du nombre total de répondeurs.</w:t>
      </w:r>
    </w:p>
    <w:p w14:paraId="2C4EC867" w14:textId="77777777" w:rsidR="00047B7F" w:rsidRPr="00D2126A" w:rsidRDefault="00047B7F" w:rsidP="00C93C76">
      <w:pPr>
        <w:pStyle w:val="Date"/>
      </w:pPr>
    </w:p>
    <w:p w14:paraId="656AED22" w14:textId="77777777" w:rsidR="004E0D60" w:rsidRPr="00D2126A" w:rsidRDefault="000E5A86" w:rsidP="009B144A">
      <w:pPr>
        <w:pStyle w:val="Date"/>
        <w:keepNext/>
        <w:rPr>
          <w:u w:val="single"/>
        </w:rPr>
      </w:pPr>
      <w:r>
        <w:rPr>
          <w:u w:val="single"/>
        </w:rPr>
        <w:t>Population pédiatrique</w:t>
      </w:r>
    </w:p>
    <w:p w14:paraId="521829C3" w14:textId="15A361A5" w:rsidR="00375EAB" w:rsidRPr="00D2126A" w:rsidRDefault="000E5A86" w:rsidP="00C93C76">
      <w:pPr>
        <w:rPr>
          <w:color w:val="000000"/>
        </w:rPr>
      </w:pPr>
      <w:r>
        <w:rPr>
          <w:color w:val="000000"/>
        </w:rPr>
        <w:t>L’Agence européenne des médicaments (EMA) a accordé une dérogation spécifique à Revlimid qui s’applique à tous les sous</w:t>
      </w:r>
      <w:r>
        <w:rPr>
          <w:color w:val="000000"/>
        </w:rPr>
        <w:noBreakHyphen/>
        <w:t>groupes de la population pédiatrique dans les indications de tumeurs à cellules B matures (voir rubrique 4.2 pour les informations concernant l’usage pédiatrique).</w:t>
      </w:r>
    </w:p>
    <w:p w14:paraId="0406F3B6" w14:textId="77777777" w:rsidR="00375EAB" w:rsidRPr="00D2126A" w:rsidRDefault="00375EAB" w:rsidP="00C93C76">
      <w:pPr>
        <w:rPr>
          <w:color w:val="000000"/>
        </w:rPr>
      </w:pPr>
    </w:p>
    <w:p w14:paraId="19C046BD" w14:textId="77777777" w:rsidR="00375EAB" w:rsidRPr="00D2126A" w:rsidRDefault="000E5A86" w:rsidP="00C93C76">
      <w:pPr>
        <w:keepNext/>
        <w:ind w:left="567" w:hanging="567"/>
        <w:rPr>
          <w:color w:val="000000"/>
        </w:rPr>
      </w:pPr>
      <w:r>
        <w:rPr>
          <w:b/>
          <w:color w:val="000000"/>
        </w:rPr>
        <w:t>5.2</w:t>
      </w:r>
      <w:r>
        <w:rPr>
          <w:b/>
          <w:color w:val="000000"/>
        </w:rPr>
        <w:tab/>
        <w:t>Propriétés pharmacocinétiques</w:t>
      </w:r>
    </w:p>
    <w:p w14:paraId="00668E4A" w14:textId="77777777" w:rsidR="00375EAB" w:rsidRPr="00D2126A" w:rsidRDefault="00375EAB" w:rsidP="00C93C76">
      <w:pPr>
        <w:keepNext/>
        <w:rPr>
          <w:color w:val="000000"/>
        </w:rPr>
      </w:pPr>
    </w:p>
    <w:p w14:paraId="796D6740" w14:textId="3C10686E" w:rsidR="00375EAB" w:rsidRPr="00D2126A" w:rsidRDefault="000E5A86" w:rsidP="00C93C76">
      <w:pPr>
        <w:autoSpaceDE w:val="0"/>
        <w:autoSpaceDN w:val="0"/>
        <w:adjustRightInd w:val="0"/>
        <w:rPr>
          <w:color w:val="000000"/>
        </w:rPr>
      </w:pPr>
      <w:r>
        <w:rPr>
          <w:color w:val="000000"/>
        </w:rPr>
        <w:t>Le lénalidomide présente un atome de carbone asymétrique et peut donc exister sous les formes optiquement actives S(-) et R(+). Le lénalidomide est produit sous la forme d’un mélange racémique. De façon générale, le lénalidomide est plus soluble dans les solvants organiques mais la solubilité maximale est observée avec une solution tampon de HCl 0,1 N.</w:t>
      </w:r>
    </w:p>
    <w:p w14:paraId="751EEF32" w14:textId="77777777" w:rsidR="00375EAB" w:rsidRPr="00D2126A" w:rsidRDefault="00375EAB" w:rsidP="00C93C76">
      <w:pPr>
        <w:autoSpaceDE w:val="0"/>
        <w:autoSpaceDN w:val="0"/>
        <w:adjustRightInd w:val="0"/>
        <w:rPr>
          <w:color w:val="000000"/>
        </w:rPr>
      </w:pPr>
    </w:p>
    <w:p w14:paraId="3ECB3D70" w14:textId="77777777" w:rsidR="00375EAB" w:rsidRPr="00D2126A" w:rsidRDefault="000E5A86" w:rsidP="009B144A">
      <w:pPr>
        <w:keepNext/>
        <w:ind w:left="1701" w:hanging="1701"/>
        <w:rPr>
          <w:color w:val="000000"/>
          <w:u w:val="single"/>
        </w:rPr>
      </w:pPr>
      <w:r>
        <w:rPr>
          <w:color w:val="000000"/>
          <w:u w:val="single"/>
        </w:rPr>
        <w:t>Absorption</w:t>
      </w:r>
    </w:p>
    <w:p w14:paraId="1600B74C" w14:textId="77777777" w:rsidR="00375EAB" w:rsidRPr="00D2126A" w:rsidRDefault="000E5A86" w:rsidP="00C93C76">
      <w:pPr>
        <w:autoSpaceDE w:val="0"/>
        <w:autoSpaceDN w:val="0"/>
        <w:adjustRightInd w:val="0"/>
        <w:rPr>
          <w:color w:val="000000"/>
        </w:rPr>
      </w:pPr>
      <w:r>
        <w:rPr>
          <w:color w:val="000000"/>
        </w:rPr>
        <w:t>Le lénalidomide est rapidement absorbé après administration orale chez les volontaires sains à jeun ; les concentrations plasmatiques maximales sont atteintes entre 0,5 et 2 heures après la prise. Chez les patients, ainsi que chez les volontaires sains, la concentration maximale (C</w:t>
      </w:r>
      <w:r>
        <w:rPr>
          <w:color w:val="000000"/>
          <w:vertAlign w:val="subscript"/>
        </w:rPr>
        <w:t>max</w:t>
      </w:r>
      <w:r>
        <w:rPr>
          <w:color w:val="000000"/>
        </w:rPr>
        <w:t>) et l’aire sous la courbe de concentration en fonction du temps (ASC) augmentent proportionnellement à l’augmentation de la dose. Aucune accumulation notable du médicament n’est notée en cas de prises multiples. Dans le plasma, la disponibilité systémique relative approximative des énantiomères R et S est respectivement de 56 % et 44 %.</w:t>
      </w:r>
    </w:p>
    <w:p w14:paraId="3484AEA2" w14:textId="77777777" w:rsidR="00375EAB" w:rsidRPr="00D2126A" w:rsidRDefault="00375EAB" w:rsidP="00C93C76">
      <w:pPr>
        <w:rPr>
          <w:color w:val="000000"/>
        </w:rPr>
      </w:pPr>
    </w:p>
    <w:p w14:paraId="612C5664" w14:textId="77777777" w:rsidR="00375EAB" w:rsidRPr="00D2126A" w:rsidRDefault="000E5A86" w:rsidP="00C93C76">
      <w:pPr>
        <w:rPr>
          <w:color w:val="000000"/>
        </w:rPr>
      </w:pPr>
      <w:r>
        <w:rPr>
          <w:color w:val="000000"/>
        </w:rPr>
        <w:t>Chez les volontaires sains, l’administration au cours d’un repas hyperlipidique et hypercalorique diminue la quantité absorbée, ce qui entraîne une diminution d’environ 20 % de l’aire sous la courbe de concentration en fonction du temps (ASC) et une réduction de 50 % de la C</w:t>
      </w:r>
      <w:r>
        <w:rPr>
          <w:color w:val="000000"/>
          <w:vertAlign w:val="subscript"/>
        </w:rPr>
        <w:t>max</w:t>
      </w:r>
      <w:r>
        <w:rPr>
          <w:color w:val="000000"/>
        </w:rPr>
        <w:t xml:space="preserve"> plasmatique. Cependant, dans les principales études d’enregistrement menées dans le myélome multiple et les syndromes myélodysplasiques ayant permis d’établir l’efficacité et la sécurité du lénalidomide, le médicament a été administré indépendamment de la prise d’aliments. Le lénalidomide peut donc être administré pendant ou en dehors des repas.</w:t>
      </w:r>
    </w:p>
    <w:p w14:paraId="7CFB167D" w14:textId="77777777" w:rsidR="00375EAB" w:rsidRPr="00D2126A" w:rsidRDefault="00375EAB" w:rsidP="00C93C76">
      <w:pPr>
        <w:rPr>
          <w:color w:val="000000"/>
        </w:rPr>
      </w:pPr>
    </w:p>
    <w:p w14:paraId="479AA349" w14:textId="77777777" w:rsidR="008B232E" w:rsidRPr="00D2126A" w:rsidRDefault="000E5A86" w:rsidP="00C93C76">
      <w:pPr>
        <w:pStyle w:val="Date"/>
      </w:pPr>
      <w:r>
        <w:t>Les analyses pharmacocinétiques de population indiquent que le taux d’absorption du lénalidomide administré par voie orale est comparable chez les patients présentant un myélome multiple, un syndrome myélodysplasique ou un lymphome à cellules du manteau.</w:t>
      </w:r>
    </w:p>
    <w:p w14:paraId="1276F453" w14:textId="77777777" w:rsidR="00A57CA4" w:rsidRPr="00D2126A" w:rsidRDefault="00A57CA4" w:rsidP="00C93C76">
      <w:pPr>
        <w:pStyle w:val="Date"/>
      </w:pPr>
    </w:p>
    <w:p w14:paraId="7887CE98" w14:textId="77777777" w:rsidR="00375EAB" w:rsidRPr="00D2126A" w:rsidRDefault="000E5A86" w:rsidP="009B144A">
      <w:pPr>
        <w:keepNext/>
        <w:rPr>
          <w:color w:val="000000"/>
          <w:u w:val="single"/>
        </w:rPr>
      </w:pPr>
      <w:r>
        <w:rPr>
          <w:color w:val="000000"/>
          <w:u w:val="single"/>
        </w:rPr>
        <w:t>Distribution</w:t>
      </w:r>
    </w:p>
    <w:p w14:paraId="0D0D9123" w14:textId="77777777" w:rsidR="00375EAB" w:rsidRPr="00D2126A" w:rsidRDefault="000E5A86" w:rsidP="00C93C76">
      <w:pPr>
        <w:rPr>
          <w:color w:val="000000"/>
        </w:rPr>
      </w:pPr>
      <w:r>
        <w:rPr>
          <w:i/>
          <w:color w:val="000000"/>
        </w:rPr>
        <w:t>In vitro</w:t>
      </w:r>
      <w:r>
        <w:rPr>
          <w:color w:val="000000"/>
        </w:rPr>
        <w:t>, le lénalidomide marqué (</w:t>
      </w:r>
      <w:r>
        <w:rPr>
          <w:color w:val="000000"/>
          <w:vertAlign w:val="superscript"/>
        </w:rPr>
        <w:t>14</w:t>
      </w:r>
      <w:r>
        <w:rPr>
          <w:color w:val="000000"/>
        </w:rPr>
        <w:t>C) s’est faiblement lié aux protéines plasmatiques, le taux de liaison moyen avec les protéines plasmatiques ayant été respectivement de 23 % et 29 % chez les patients atteints de myélomes multiples et chez les volontaires sains.</w:t>
      </w:r>
    </w:p>
    <w:p w14:paraId="5C859F30" w14:textId="77777777" w:rsidR="00375EAB" w:rsidRPr="00D2126A" w:rsidRDefault="00375EAB" w:rsidP="00C93C76">
      <w:pPr>
        <w:pStyle w:val="Date"/>
        <w:rPr>
          <w:color w:val="000000"/>
        </w:rPr>
      </w:pPr>
    </w:p>
    <w:p w14:paraId="0D38EC7A" w14:textId="2EA7C14D" w:rsidR="00375EAB" w:rsidRPr="00D2126A" w:rsidRDefault="000E5A86" w:rsidP="00C93C76">
      <w:pPr>
        <w:tabs>
          <w:tab w:val="left" w:pos="567"/>
        </w:tabs>
        <w:jc w:val="both"/>
        <w:rPr>
          <w:color w:val="000000"/>
        </w:rPr>
      </w:pPr>
      <w:r>
        <w:rPr>
          <w:color w:val="000000"/>
        </w:rPr>
        <w:t>Après administration de 25 mg/jour, le lénalidomide est présent dans le sperme humain (&lt; 0,01 % de la dose) et il est indétectable dans le sperme d’un sujet sain trois jours après l’arrêt du médicament (voir rubrique 4.4).</w:t>
      </w:r>
    </w:p>
    <w:p w14:paraId="5BD4B758" w14:textId="77777777" w:rsidR="00375EAB" w:rsidRPr="00D2126A" w:rsidRDefault="00375EAB" w:rsidP="00C93C76">
      <w:pPr>
        <w:rPr>
          <w:color w:val="000000"/>
        </w:rPr>
      </w:pPr>
    </w:p>
    <w:p w14:paraId="0A8A9F90" w14:textId="77777777" w:rsidR="00375EAB" w:rsidRPr="00D2126A" w:rsidRDefault="000E5A86" w:rsidP="009B144A">
      <w:pPr>
        <w:keepNext/>
        <w:numPr>
          <w:ilvl w:val="12"/>
          <w:numId w:val="0"/>
        </w:numPr>
        <w:rPr>
          <w:iCs/>
          <w:noProof/>
          <w:color w:val="000000"/>
          <w:u w:val="single"/>
        </w:rPr>
      </w:pPr>
      <w:r>
        <w:rPr>
          <w:color w:val="000000"/>
          <w:u w:val="single"/>
        </w:rPr>
        <w:t>Biotransformation et élimination</w:t>
      </w:r>
    </w:p>
    <w:p w14:paraId="0317FCB5" w14:textId="77777777" w:rsidR="00A57CA4" w:rsidRPr="00D2126A" w:rsidRDefault="000E5A86" w:rsidP="00C93C76">
      <w:pPr>
        <w:rPr>
          <w:color w:val="000000"/>
        </w:rPr>
      </w:pPr>
      <w:r>
        <w:rPr>
          <w:color w:val="000000"/>
        </w:rPr>
        <w:t xml:space="preserve">D’après les résultats des études </w:t>
      </w:r>
      <w:r>
        <w:rPr>
          <w:i/>
          <w:color w:val="000000"/>
        </w:rPr>
        <w:t>in vitro</w:t>
      </w:r>
      <w:r>
        <w:rPr>
          <w:color w:val="000000"/>
        </w:rPr>
        <w:t xml:space="preserve"> du métabolisme humain, le lénalidomide n’est pas métabolisé par les enzymes du cytochrome P450, ce qui permet de penser que l’administration de lénalidomide avec des médicaments inhibant les enzymes du cytochrome P450 ne devrait pas entraîner d’interactions médicamenteuses métaboliques chez l’homme. Les études </w:t>
      </w:r>
      <w:r>
        <w:rPr>
          <w:i/>
          <w:color w:val="000000"/>
        </w:rPr>
        <w:t>in vitro</w:t>
      </w:r>
      <w:r>
        <w:rPr>
          <w:color w:val="000000"/>
        </w:rPr>
        <w:t xml:space="preserve"> ne mettent en évidence aucun effet inhibiteur du lénalidomide sur les enzymes CYP1A2, CYP2C9, CYP2C19, CYP2D6, CYP2E1, CYP3A ou UGT1A1. Par conséquent, il est peu probable que le lénalidomide provoque des interactions cliniquement significatives en cas d’administration concomitante avec des substrats de ces enzymes.</w:t>
      </w:r>
    </w:p>
    <w:p w14:paraId="4A46515E" w14:textId="77777777" w:rsidR="00A57CA4" w:rsidRPr="00D2126A" w:rsidRDefault="00A57CA4" w:rsidP="00C93C76">
      <w:pPr>
        <w:pStyle w:val="Date"/>
        <w:rPr>
          <w:color w:val="000000"/>
        </w:rPr>
      </w:pPr>
    </w:p>
    <w:p w14:paraId="06AC6409" w14:textId="071F3497" w:rsidR="00A57CA4" w:rsidRPr="00D2126A" w:rsidRDefault="000E5A86" w:rsidP="00C93C76">
      <w:pPr>
        <w:pStyle w:val="C-BodyText"/>
        <w:spacing w:before="0" w:after="0" w:line="240" w:lineRule="auto"/>
        <w:rPr>
          <w:sz w:val="22"/>
          <w:szCs w:val="22"/>
        </w:rPr>
      </w:pPr>
      <w:r>
        <w:rPr>
          <w:sz w:val="22"/>
        </w:rPr>
        <w:t xml:space="preserve">Les études </w:t>
      </w:r>
      <w:r>
        <w:rPr>
          <w:i/>
          <w:sz w:val="22"/>
        </w:rPr>
        <w:t>in vitro</w:t>
      </w:r>
      <w:r>
        <w:rPr>
          <w:sz w:val="22"/>
        </w:rPr>
        <w:t xml:space="preserve"> indiquent que le lénalidomide n’est pas un susbtrat de la protéine BCRP (</w:t>
      </w:r>
      <w:r>
        <w:rPr>
          <w:i/>
          <w:sz w:val="22"/>
        </w:rPr>
        <w:t>Breast cancer resistance protein</w:t>
      </w:r>
      <w:r>
        <w:rPr>
          <w:sz w:val="22"/>
        </w:rPr>
        <w:t>) humaine, des transporteurs de la famille MRP (</w:t>
      </w:r>
      <w:r>
        <w:rPr>
          <w:i/>
          <w:sz w:val="22"/>
        </w:rPr>
        <w:t>multidrug resistance protein</w:t>
      </w:r>
      <w:r>
        <w:rPr>
          <w:sz w:val="22"/>
        </w:rPr>
        <w:t xml:space="preserve">) MRP1, MRP2 ou MRP3, des transporteurs d’anions organiques (OAT) OAT1 et OAT3, du polypeptide 1B1 de transport des anions organiques (OATP1B1), des transporteurs de cations organiques (OCT) OCT1 et OCT2, de la protéine MATE1 de la famille </w:t>
      </w:r>
      <w:r>
        <w:rPr>
          <w:i/>
          <w:sz w:val="22"/>
        </w:rPr>
        <w:t>multidrug and toxin extrusion protein</w:t>
      </w:r>
      <w:r>
        <w:rPr>
          <w:sz w:val="22"/>
        </w:rPr>
        <w:t xml:space="preserve"> (MATE) et des nouveaux types de transporteurs de cations organiques (OCTN – </w:t>
      </w:r>
      <w:r>
        <w:rPr>
          <w:i/>
          <w:sz w:val="22"/>
        </w:rPr>
        <w:t>organic cation transporters novel</w:t>
      </w:r>
      <w:r>
        <w:rPr>
          <w:sz w:val="22"/>
        </w:rPr>
        <w:t>) OCTN1 et OCTN2.</w:t>
      </w:r>
    </w:p>
    <w:p w14:paraId="1E86726E" w14:textId="77777777" w:rsidR="00A57CA4" w:rsidRPr="00AB0414" w:rsidRDefault="00A57CA4" w:rsidP="00C93C76">
      <w:pPr>
        <w:pStyle w:val="C-BodyText"/>
        <w:spacing w:before="0" w:after="0" w:line="240" w:lineRule="auto"/>
        <w:rPr>
          <w:sz w:val="22"/>
          <w:szCs w:val="22"/>
        </w:rPr>
      </w:pPr>
    </w:p>
    <w:p w14:paraId="26E0B28A" w14:textId="77777777" w:rsidR="00EE6F01" w:rsidRPr="00D2126A" w:rsidRDefault="000E5A86" w:rsidP="00C93C76">
      <w:r>
        <w:t xml:space="preserve">Les études </w:t>
      </w:r>
      <w:r>
        <w:rPr>
          <w:i/>
        </w:rPr>
        <w:t>in vitro</w:t>
      </w:r>
      <w:r>
        <w:t xml:space="preserve"> indiquent que le lénalidomide n’a pas d’effet inhibiteur sur les protéines humaines BSEP (</w:t>
      </w:r>
      <w:r>
        <w:rPr>
          <w:i/>
        </w:rPr>
        <w:t>bile salt export pump</w:t>
      </w:r>
      <w:r>
        <w:t xml:space="preserve"> – pompe d’exportation des sels biliaires), BCRP, MRP2, OAT1, OAT3, OATP1B1, OATP1B3 et OCT2.</w:t>
      </w:r>
    </w:p>
    <w:p w14:paraId="152E240A" w14:textId="77777777" w:rsidR="00AE38C3" w:rsidRPr="00D2126A" w:rsidRDefault="00AE38C3" w:rsidP="00C93C76"/>
    <w:p w14:paraId="2629472F" w14:textId="77777777" w:rsidR="00375EAB" w:rsidRPr="00D2126A" w:rsidRDefault="000E5A86" w:rsidP="00C93C76">
      <w:pPr>
        <w:rPr>
          <w:i/>
          <w:color w:val="000000"/>
        </w:rPr>
      </w:pPr>
      <w:r>
        <w:rPr>
          <w:color w:val="000000"/>
        </w:rPr>
        <w:t>La majorité du lénalidomide est éliminée par excrétion rénale. La contribution de l’excrétion rénale à la clairance totale chez un sujet à la fonction rénale normale était de 90 %, 4 % du lénalidomide étant éliminés dans les fèces.</w:t>
      </w:r>
    </w:p>
    <w:p w14:paraId="189CAEB8" w14:textId="77777777" w:rsidR="00375EAB" w:rsidRPr="00D2126A" w:rsidRDefault="00375EAB" w:rsidP="00C93C76">
      <w:pPr>
        <w:rPr>
          <w:color w:val="000000"/>
        </w:rPr>
      </w:pPr>
    </w:p>
    <w:p w14:paraId="4DE777C0" w14:textId="77777777" w:rsidR="00375EAB" w:rsidRPr="00D2126A" w:rsidRDefault="000E5A86" w:rsidP="00C93C76">
      <w:pPr>
        <w:rPr>
          <w:color w:val="000000"/>
        </w:rPr>
      </w:pPr>
      <w:r>
        <w:rPr>
          <w:color w:val="000000"/>
        </w:rPr>
        <w:t>Le lénalidomide est peu métabolisé car 82 % de la dose sont excrétés dans l’urine sous forme inchangée. L’hydroxy</w:t>
      </w:r>
      <w:r>
        <w:rPr>
          <w:color w:val="000000"/>
        </w:rPr>
        <w:noBreakHyphen/>
        <w:t>lénalidomide et le N</w:t>
      </w:r>
      <w:r>
        <w:rPr>
          <w:color w:val="000000"/>
        </w:rPr>
        <w:noBreakHyphen/>
        <w:t>acétyl</w:t>
      </w:r>
      <w:r>
        <w:rPr>
          <w:color w:val="000000"/>
        </w:rPr>
        <w:noBreakHyphen/>
        <w:t>lénalidomide représentent respectivement 4,59 % et 1,83 % de la dose excrétée. La clairance rénale du lénalidomide est supérieure au taux de filtration glomérulaire, le lénalidomide est donc, au moins, secrété activement dans une certaine mesure.</w:t>
      </w:r>
    </w:p>
    <w:p w14:paraId="43E9CF5A" w14:textId="77777777" w:rsidR="00FE4872" w:rsidRPr="00D2126A" w:rsidRDefault="00FE4872" w:rsidP="00C93C76">
      <w:pPr>
        <w:pStyle w:val="Date"/>
      </w:pPr>
    </w:p>
    <w:p w14:paraId="7BC477EC" w14:textId="51FB944E" w:rsidR="00375EAB" w:rsidRPr="00D2126A" w:rsidRDefault="000E5A86" w:rsidP="00C93C76">
      <w:pPr>
        <w:rPr>
          <w:color w:val="000000"/>
        </w:rPr>
      </w:pPr>
      <w:r>
        <w:rPr>
          <w:color w:val="000000"/>
        </w:rPr>
        <w:t>Aux doses de 5 à 25 mg/jour, la demi</w:t>
      </w:r>
      <w:r>
        <w:rPr>
          <w:color w:val="000000"/>
        </w:rPr>
        <w:noBreakHyphen/>
        <w:t>vie plasmatique est d’environ 3 heures chez les volontaires sains et de 3 à 5 heures chez les patients atteints de myélome multiple, de syndromes myélodysplasiques ou de lymphome à cellules du manteau.</w:t>
      </w:r>
    </w:p>
    <w:p w14:paraId="3B399CD5" w14:textId="77777777" w:rsidR="00FE4872" w:rsidRPr="00D2126A" w:rsidRDefault="00FE4872" w:rsidP="00C93C76">
      <w:pPr>
        <w:pStyle w:val="Date"/>
      </w:pPr>
    </w:p>
    <w:p w14:paraId="2C427A36" w14:textId="77777777" w:rsidR="00A57CA4" w:rsidRPr="00D2126A" w:rsidRDefault="000E5A86" w:rsidP="002869C3">
      <w:pPr>
        <w:pStyle w:val="Date"/>
        <w:keepNext/>
        <w:rPr>
          <w:u w:val="single"/>
        </w:rPr>
      </w:pPr>
      <w:r>
        <w:rPr>
          <w:u w:val="single"/>
        </w:rPr>
        <w:t>Sujets âgés</w:t>
      </w:r>
    </w:p>
    <w:p w14:paraId="0D573380" w14:textId="5208B4FC" w:rsidR="00F46CC9" w:rsidRPr="00D2126A" w:rsidRDefault="000E5A86" w:rsidP="00C93C76">
      <w:pPr>
        <w:rPr>
          <w:color w:val="000000"/>
        </w:rPr>
      </w:pPr>
      <w:r>
        <w:t xml:space="preserve">Il n’a pas été mené d’études cliniques spécifiques pour évaluer la pharmacocinétique du lénalidomide chez les sujets âgés. Les analyses pharmacocinétiques de population incluaient des patients âgés de 39 à 85 ans et indiquent que l'âge n’a pas d’effet sur l’élimination du lénalidomide (exposition plasmatique). </w:t>
      </w:r>
      <w:r>
        <w:rPr>
          <w:color w:val="000000"/>
        </w:rPr>
        <w:t>Une diminution de la fonction rénale étant plus fréquente chez les patients âgés, le choix de la posologie devra être fait avec précaution chez ces patients et il est recommandé de surveiller leur fonction rénale.</w:t>
      </w:r>
    </w:p>
    <w:p w14:paraId="655F6CB8" w14:textId="77777777" w:rsidR="00375EAB" w:rsidRPr="00D2126A" w:rsidRDefault="00375EAB" w:rsidP="00C93C76">
      <w:pPr>
        <w:rPr>
          <w:color w:val="000000"/>
        </w:rPr>
      </w:pPr>
    </w:p>
    <w:p w14:paraId="18DACA07" w14:textId="77777777" w:rsidR="00A57CA4" w:rsidRPr="00D2126A" w:rsidRDefault="000E5A86" w:rsidP="00C93C76">
      <w:pPr>
        <w:pStyle w:val="Date"/>
        <w:keepNext/>
        <w:rPr>
          <w:color w:val="000000"/>
        </w:rPr>
      </w:pPr>
      <w:r>
        <w:rPr>
          <w:color w:val="000000"/>
          <w:u w:val="single"/>
        </w:rPr>
        <w:t>Insuffisance rénale</w:t>
      </w:r>
    </w:p>
    <w:p w14:paraId="1C8539B3" w14:textId="4CE57B39" w:rsidR="00375EAB" w:rsidRPr="00D2126A" w:rsidRDefault="000E5A86" w:rsidP="00C93C76">
      <w:pPr>
        <w:rPr>
          <w:color w:val="000000"/>
        </w:rPr>
      </w:pPr>
      <w:r>
        <w:rPr>
          <w:color w:val="000000"/>
        </w:rPr>
        <w:t>La pharmacocinétique du lénalidomide a été étudiée chez des sujets présentant une insuffisance rénale due à des pathologies non malignes. Deux méthodes ont été utilisées dans cette étude pour classifier la fonction rénale : la clairance de la créatinine urinaire mesurée sur 24 heures et la clairance de la créatinine estimée selon la formule de Cockcroft</w:t>
      </w:r>
      <w:r>
        <w:rPr>
          <w:color w:val="000000"/>
        </w:rPr>
        <w:noBreakHyphen/>
        <w:t>Gault. Les résultats indiquent que la clairance totale du lénalidomide décroît proportionnellement quand la fonction rénale s'affaiblit (&lt; 50 ml/min), ce qui entraîne une augmentation de l’ASC. Par rapport au groupe combinant les sujets ayant une fonction rénale normale et une insuffisance rénale légère, l’ASC a été multipliée par environ 2,5, 4 et 5 chez les sujets présentant une insuffisance rénale modérée, une insuffisance rénale sévère et une insuffisance rénale terminale, respectivement. La demi</w:t>
      </w:r>
      <w:r>
        <w:rPr>
          <w:color w:val="000000"/>
        </w:rPr>
        <w:noBreakHyphen/>
        <w:t>vie du lénalidomide a augmenté de 3,5 heures environ pour une clairance de la créatinine &gt; 50 ml/min à plus de 9 heures en cas d’insuffisance rénale avec une clairance &lt; 50 ml/min. Cependant, l’insuffisance rénale n’a pas eu d’incidence sur l’absorption orale du lénalidomide. La C</w:t>
      </w:r>
      <w:r>
        <w:rPr>
          <w:color w:val="000000"/>
          <w:vertAlign w:val="subscript"/>
        </w:rPr>
        <w:t>max</w:t>
      </w:r>
      <w:r>
        <w:rPr>
          <w:color w:val="000000"/>
        </w:rPr>
        <w:t xml:space="preserve"> a été similaire chez les sujets sains et chez les patients présentant une insuffisance rénale. Environ 30 % du médicament absorbé ont été éliminés au cours d’une séance de dialyse unique de 4 heures. Les ajustements posologiques recommandés en cas d’insuffisance rénale sont décrits dans la rubrique 4.2.</w:t>
      </w:r>
    </w:p>
    <w:p w14:paraId="3E03429F" w14:textId="77777777" w:rsidR="00375EAB" w:rsidRPr="00D2126A" w:rsidRDefault="00375EAB" w:rsidP="00C93C76">
      <w:pPr>
        <w:rPr>
          <w:color w:val="000000"/>
        </w:rPr>
      </w:pPr>
    </w:p>
    <w:p w14:paraId="4CF4ECDD" w14:textId="77777777" w:rsidR="00036363" w:rsidRPr="00D2126A" w:rsidRDefault="000E5A86" w:rsidP="002869C3">
      <w:pPr>
        <w:keepNext/>
        <w:rPr>
          <w:u w:val="single"/>
        </w:rPr>
      </w:pPr>
      <w:r>
        <w:rPr>
          <w:u w:val="single"/>
        </w:rPr>
        <w:t>Insuffisance hépatique</w:t>
      </w:r>
    </w:p>
    <w:p w14:paraId="23627BAA" w14:textId="3F299D37" w:rsidR="00036363" w:rsidRPr="00D2126A" w:rsidRDefault="000E5A86" w:rsidP="00C93C76">
      <w:pPr>
        <w:pStyle w:val="Date"/>
      </w:pPr>
      <w:r>
        <w:t>Les analyses pharmacocinétiques de population incluaient des patients présentant une insuffisance hépatique légère (N = 16, bilirubine totale &gt; 1 et ≤ 1,5 x LSN ou ASAT &gt; LSN) ; elles indiquent que l’insuffisance hépatique légère n’a pas d’effet sur l’élimination du lénalidomide (exposition plasmatique). Il n’existe pas de données chez les patients atteints d’insuffisance hépatique modérée à sévère.</w:t>
      </w:r>
    </w:p>
    <w:p w14:paraId="635EF061" w14:textId="6B2FC9ED" w:rsidR="008B232E" w:rsidRPr="00D2126A" w:rsidRDefault="008B232E" w:rsidP="00C93C76"/>
    <w:p w14:paraId="68F6CB19" w14:textId="77777777" w:rsidR="00036363" w:rsidRPr="00D2126A" w:rsidRDefault="000E5A86" w:rsidP="00C93C76">
      <w:pPr>
        <w:pStyle w:val="Date"/>
        <w:keepNext/>
        <w:rPr>
          <w:u w:val="single"/>
        </w:rPr>
      </w:pPr>
      <w:r>
        <w:rPr>
          <w:u w:val="single"/>
        </w:rPr>
        <w:t>Autres facteurs intrinsèques</w:t>
      </w:r>
    </w:p>
    <w:p w14:paraId="7E17949A" w14:textId="71B2F1A3" w:rsidR="00036363" w:rsidRPr="00D2126A" w:rsidRDefault="000E5A86" w:rsidP="002869C3">
      <w:r>
        <w:t>Les analyses pharmacocinétiques de population indiquent que le poids (33 à 135 kg), le sexe, la race et le type d’hémopathie maligne (myélome multiple, syndrome myélodysplasique ou lymphome à cellules du manteau) n’ont pas d’effet cliniquement pertinent sur l’élimination du lénalidomide chez les patients adultes.</w:t>
      </w:r>
    </w:p>
    <w:p w14:paraId="3D34F684" w14:textId="5EDA7717" w:rsidR="00FE4872" w:rsidRPr="00D2126A" w:rsidRDefault="00FE4872" w:rsidP="00C93C76">
      <w:pPr>
        <w:pStyle w:val="Date"/>
      </w:pPr>
    </w:p>
    <w:p w14:paraId="33E209AF" w14:textId="77777777" w:rsidR="00375EAB" w:rsidRPr="00D2126A" w:rsidRDefault="000E5A86" w:rsidP="002869C3">
      <w:pPr>
        <w:keepNext/>
        <w:ind w:left="567" w:hanging="567"/>
        <w:rPr>
          <w:color w:val="000000"/>
        </w:rPr>
      </w:pPr>
      <w:r>
        <w:rPr>
          <w:b/>
          <w:color w:val="000000"/>
        </w:rPr>
        <w:t>5.3</w:t>
      </w:r>
      <w:r>
        <w:rPr>
          <w:b/>
          <w:color w:val="000000"/>
        </w:rPr>
        <w:tab/>
        <w:t>Données de sécurité préclinique</w:t>
      </w:r>
    </w:p>
    <w:p w14:paraId="019A4F5A" w14:textId="77777777" w:rsidR="00375EAB" w:rsidRPr="00D2126A" w:rsidRDefault="00375EAB" w:rsidP="002869C3">
      <w:pPr>
        <w:keepNext/>
        <w:rPr>
          <w:color w:val="000000"/>
        </w:rPr>
      </w:pPr>
    </w:p>
    <w:p w14:paraId="28A7A7A3" w14:textId="6C56DFCD" w:rsidR="00036363" w:rsidRPr="00D2126A" w:rsidRDefault="000E5A86" w:rsidP="00C93C76">
      <w:pPr>
        <w:rPr>
          <w:color w:val="000000"/>
        </w:rPr>
      </w:pPr>
      <w:r>
        <w:rPr>
          <w:color w:val="000000"/>
        </w:rPr>
        <w:t>Une étude sur le développement embryo</w:t>
      </w:r>
      <w:r>
        <w:rPr>
          <w:color w:val="000000"/>
        </w:rPr>
        <w:noBreakHyphen/>
        <w:t>fœtal a été menée chez des singes traités par lénalidomide à des doses allant de 0,5 à 4 mg/kg/jour. Les résultats de cette étude indiquent que le lénalidomide a provoqué des malformations externes incluant des imperforations anales et des malformations des membres supérieurs et inférieurs (torsion, raccourcissement, malformation, défaut de rotation et/ou parties absentes des extrémités de membres, oligodactylie et/ou polydactylie) chez la progéniture de singes femelles ayant reçu la substance active pendant la grossesse.</w:t>
      </w:r>
    </w:p>
    <w:p w14:paraId="75182D54" w14:textId="69ACE3AF" w:rsidR="00375EAB" w:rsidRPr="00D2126A" w:rsidRDefault="00375EAB" w:rsidP="00C93C76">
      <w:pPr>
        <w:pStyle w:val="Date"/>
        <w:rPr>
          <w:color w:val="000000"/>
        </w:rPr>
      </w:pPr>
    </w:p>
    <w:p w14:paraId="3B8FE8A3" w14:textId="77777777" w:rsidR="00375EAB" w:rsidRPr="00D2126A" w:rsidRDefault="000E5A86" w:rsidP="00C93C76">
      <w:pPr>
        <w:rPr>
          <w:color w:val="000000"/>
        </w:rPr>
      </w:pPr>
      <w:r>
        <w:rPr>
          <w:color w:val="000000"/>
        </w:rPr>
        <w:t>Plusieurs effets viscéraux (décoloration, foyers rouges sur différents organes, petite masse incolore au</w:t>
      </w:r>
      <w:r>
        <w:rPr>
          <w:color w:val="000000"/>
        </w:rPr>
        <w:noBreakHyphen/>
        <w:t>dessus de la valvule auriculo</w:t>
      </w:r>
      <w:r>
        <w:rPr>
          <w:color w:val="000000"/>
        </w:rPr>
        <w:noBreakHyphen/>
        <w:t>ventriculaire, hypotrophie de la vésicule biliaire, malformations du diaphragme) ont également été observés chez des fœtus isolés.</w:t>
      </w:r>
    </w:p>
    <w:p w14:paraId="1ADC93DA" w14:textId="77777777" w:rsidR="00375EAB" w:rsidRPr="00D2126A" w:rsidRDefault="00375EAB" w:rsidP="00C93C76">
      <w:pPr>
        <w:pStyle w:val="Date"/>
        <w:rPr>
          <w:color w:val="000000"/>
        </w:rPr>
      </w:pPr>
    </w:p>
    <w:p w14:paraId="1B20D57C" w14:textId="1B592A03" w:rsidR="00375EAB" w:rsidRPr="00D2126A" w:rsidRDefault="000E5A86" w:rsidP="00C93C76">
      <w:pPr>
        <w:rPr>
          <w:color w:val="000000"/>
        </w:rPr>
      </w:pPr>
      <w:r>
        <w:rPr>
          <w:color w:val="000000"/>
        </w:rPr>
        <w:t>Le lénalidomide peut potentiellement présenter un risque de toxicité aiguë, la dose létale minimale par voie orale a été de &gt; 2 000 mg/kg/jour chez les rongeurs. Chez le rat, l’administration orale répétée de 75, 150 et 300 mg/kg/jour pendant une durée allant jusqu’à 26 semaines a engendré une amplification réversible, liée au traitement, de la calcification du calice rénal aux 3 doses, plus particulièrement chez les femelles. La dose maximale sans effet indésirable observé (</w:t>
      </w:r>
      <w:r>
        <w:rPr>
          <w:i/>
          <w:color w:val="000000"/>
        </w:rPr>
        <w:t>no observed adverse effect level, NOAEL</w:t>
      </w:r>
      <w:r>
        <w:rPr>
          <w:color w:val="000000"/>
        </w:rPr>
        <w:t>) a été estimée à moins de 75 mg/kg/jour et est environ 25 fois supérieure à l’exposition quotidienne telle que définie par l’ASC, chez l’être humain. Chez le singe l’administration orale répétée de 4 et 6 mg/kg/jour pendant une durée allant jusqu’à 20 semaines a engendré une mortalité et une toxicité significative (perte de poids marquée, diminution du nombre des érythrocytes, des leucocytes et de la numération plaquettaire, hémorragie organique multiple, inflammation du tractus gastro</w:t>
      </w:r>
      <w:r>
        <w:rPr>
          <w:color w:val="000000"/>
        </w:rPr>
        <w:noBreakHyphen/>
        <w:t>intestinal, atrophie lymphoïde et de la moelle osseuse). Chez le singe, l’administration orale répétée de 1 et 2 mg/kg/jour pendant une durée allant jusqu’à 1 an a engendré des modifications réversibles de la cellularité de la moelle osseuse, une légère réduction du rapport cellules myéloïdes/érythroïdes et une atrophie thymique. Une légère réduction de la numération leucocytaire a été notée à la dose de 1 mg/kg/jour correspondant approximativement à la même dose chez l’être humain, en se basant sur les comparaisons des ASC.</w:t>
      </w:r>
    </w:p>
    <w:p w14:paraId="55AAADDE" w14:textId="77777777" w:rsidR="00375EAB" w:rsidRPr="00D2126A" w:rsidRDefault="00375EAB" w:rsidP="00C93C76">
      <w:pPr>
        <w:rPr>
          <w:color w:val="000000"/>
          <w:szCs w:val="24"/>
        </w:rPr>
      </w:pPr>
    </w:p>
    <w:p w14:paraId="0FDD03DB" w14:textId="77777777" w:rsidR="00375EAB" w:rsidRPr="00D2126A" w:rsidRDefault="000E5A86" w:rsidP="00C93C76">
      <w:pPr>
        <w:rPr>
          <w:color w:val="000000"/>
        </w:rPr>
      </w:pPr>
      <w:r>
        <w:rPr>
          <w:color w:val="000000"/>
        </w:rPr>
        <w:t xml:space="preserve">Les études de la mutagénicité </w:t>
      </w:r>
      <w:r>
        <w:rPr>
          <w:i/>
          <w:color w:val="000000"/>
        </w:rPr>
        <w:t xml:space="preserve">in vitro </w:t>
      </w:r>
      <w:r>
        <w:rPr>
          <w:color w:val="000000"/>
        </w:rPr>
        <w:t xml:space="preserve">(mutation bactérienne, lymphocytes humains, lymphomes de souris, transformation de cellules embryonnaires de hamster syrien) et </w:t>
      </w:r>
      <w:r>
        <w:rPr>
          <w:i/>
          <w:color w:val="000000"/>
        </w:rPr>
        <w:t xml:space="preserve">in vivo </w:t>
      </w:r>
      <w:r>
        <w:rPr>
          <w:color w:val="000000"/>
        </w:rPr>
        <w:t>(test des micronoyaux chez le rat) n’ont mis en évidence aucun effet lié au médicament, que ce soit au niveau génétique ou chromosomique. Aucune étude n’a été réalisée concernant la cancérogénicité du lénalidomide.</w:t>
      </w:r>
    </w:p>
    <w:p w14:paraId="2CE992BF" w14:textId="77777777" w:rsidR="00375EAB" w:rsidRPr="00D2126A" w:rsidRDefault="00375EAB" w:rsidP="00C93C76">
      <w:pPr>
        <w:rPr>
          <w:color w:val="000000"/>
        </w:rPr>
      </w:pPr>
    </w:p>
    <w:p w14:paraId="48EBCD75" w14:textId="77777777" w:rsidR="00036363" w:rsidRPr="00D2126A" w:rsidRDefault="000E5A86" w:rsidP="00C93C76">
      <w:pPr>
        <w:rPr>
          <w:color w:val="000000"/>
        </w:rPr>
      </w:pPr>
      <w:r>
        <w:rPr>
          <w:color w:val="000000"/>
        </w:rPr>
        <w:t>Des études de la toxicité sur le développement ont été précédemment menées chez le lapin. Dans ces études, les lapins ont reçu des doses orales de 3, 10 et 20 mg/kg/jour. Une absence du lobe intermédiaire du poumon a été observée à 10 et 20 mg/kg/jour, en rapport avec la dose, et une ectopie rénale a été observée à 20 mg/kg/jour. Bien que ces effets aient été notés à des doses toxiques pour la mère, ils pourraient être le résultat d’un effet direct. Des altérations des tissus mous et du squelette chez le fœtus ont également été observées aux doses de 10 et 20 mg/kg/jour.</w:t>
      </w:r>
    </w:p>
    <w:p w14:paraId="3F0E6A80" w14:textId="42D6E3BE" w:rsidR="00375EAB" w:rsidRPr="00D2126A" w:rsidRDefault="00375EAB" w:rsidP="00C93C76">
      <w:pPr>
        <w:rPr>
          <w:color w:val="000000"/>
        </w:rPr>
      </w:pPr>
    </w:p>
    <w:p w14:paraId="271876A2" w14:textId="77777777" w:rsidR="00375EAB" w:rsidRPr="00D2126A" w:rsidRDefault="00375EAB" w:rsidP="00C93C76">
      <w:pPr>
        <w:pStyle w:val="Date"/>
        <w:rPr>
          <w:color w:val="000000"/>
        </w:rPr>
      </w:pPr>
    </w:p>
    <w:p w14:paraId="708BFF4A" w14:textId="77777777" w:rsidR="00375EAB" w:rsidRPr="00D2126A" w:rsidRDefault="000E5A86" w:rsidP="00C93C76">
      <w:pPr>
        <w:keepNext/>
        <w:ind w:left="567" w:hanging="567"/>
        <w:rPr>
          <w:b/>
          <w:color w:val="000000"/>
        </w:rPr>
      </w:pPr>
      <w:r>
        <w:rPr>
          <w:b/>
          <w:color w:val="000000"/>
        </w:rPr>
        <w:t>6.</w:t>
      </w:r>
      <w:r>
        <w:rPr>
          <w:b/>
          <w:color w:val="000000"/>
        </w:rPr>
        <w:tab/>
        <w:t>DONNÉES PHARMACEUTIQUES</w:t>
      </w:r>
    </w:p>
    <w:p w14:paraId="45CD9CF0" w14:textId="77777777" w:rsidR="00375EAB" w:rsidRPr="00D2126A" w:rsidRDefault="00375EAB" w:rsidP="00C93C76">
      <w:pPr>
        <w:keepNext/>
        <w:rPr>
          <w:color w:val="000000"/>
        </w:rPr>
      </w:pPr>
    </w:p>
    <w:p w14:paraId="7C0A821E" w14:textId="77777777" w:rsidR="00375EAB" w:rsidRPr="00D2126A" w:rsidRDefault="000E5A86" w:rsidP="00C93C76">
      <w:pPr>
        <w:keepNext/>
        <w:ind w:left="567" w:hanging="567"/>
        <w:rPr>
          <w:color w:val="000000"/>
        </w:rPr>
      </w:pPr>
      <w:r>
        <w:rPr>
          <w:b/>
          <w:color w:val="000000"/>
        </w:rPr>
        <w:t>6.1</w:t>
      </w:r>
      <w:r>
        <w:rPr>
          <w:b/>
          <w:color w:val="000000"/>
        </w:rPr>
        <w:tab/>
        <w:t>Liste des excipients</w:t>
      </w:r>
    </w:p>
    <w:p w14:paraId="3A2EBE6C" w14:textId="77777777" w:rsidR="00375EAB" w:rsidRPr="00D2126A" w:rsidRDefault="00375EAB" w:rsidP="00C93C76">
      <w:pPr>
        <w:keepNext/>
        <w:rPr>
          <w:color w:val="000000"/>
        </w:rPr>
      </w:pPr>
    </w:p>
    <w:p w14:paraId="2E4C0316" w14:textId="77777777" w:rsidR="00DE172D" w:rsidRPr="00D2126A" w:rsidRDefault="000E5A86" w:rsidP="00C93C76">
      <w:pPr>
        <w:keepNext/>
        <w:tabs>
          <w:tab w:val="left" w:pos="1843"/>
        </w:tabs>
        <w:rPr>
          <w:color w:val="000000"/>
        </w:rPr>
      </w:pPr>
      <w:r>
        <w:rPr>
          <w:color w:val="000000"/>
          <w:u w:val="single"/>
        </w:rPr>
        <w:t>Contenu des gélules</w:t>
      </w:r>
    </w:p>
    <w:p w14:paraId="45150F25" w14:textId="77777777" w:rsidR="00036363" w:rsidRPr="00D2126A" w:rsidRDefault="000E5A86" w:rsidP="00C93C76">
      <w:pPr>
        <w:keepNext/>
        <w:tabs>
          <w:tab w:val="left" w:pos="1843"/>
        </w:tabs>
        <w:rPr>
          <w:color w:val="000000"/>
        </w:rPr>
      </w:pPr>
      <w:r>
        <w:rPr>
          <w:color w:val="000000"/>
        </w:rPr>
        <w:t>Lactose anhydre</w:t>
      </w:r>
    </w:p>
    <w:p w14:paraId="275468D6" w14:textId="77777777" w:rsidR="00036363" w:rsidRPr="00D2126A" w:rsidRDefault="000E5A86" w:rsidP="00C93C76">
      <w:pPr>
        <w:keepNext/>
        <w:tabs>
          <w:tab w:val="left" w:pos="1843"/>
        </w:tabs>
        <w:rPr>
          <w:color w:val="000000"/>
        </w:rPr>
      </w:pPr>
      <w:r>
        <w:rPr>
          <w:color w:val="000000"/>
        </w:rPr>
        <w:t>Cellulose microcristalline</w:t>
      </w:r>
    </w:p>
    <w:p w14:paraId="6A673E87" w14:textId="53F2DEA6" w:rsidR="00375EAB" w:rsidRPr="00D2126A" w:rsidRDefault="000E5A86" w:rsidP="00C93C76">
      <w:pPr>
        <w:keepNext/>
        <w:tabs>
          <w:tab w:val="left" w:pos="1843"/>
        </w:tabs>
        <w:rPr>
          <w:color w:val="000000"/>
        </w:rPr>
      </w:pPr>
      <w:r>
        <w:rPr>
          <w:color w:val="000000"/>
        </w:rPr>
        <w:t>Croscarmellose sodique</w:t>
      </w:r>
    </w:p>
    <w:p w14:paraId="15D6A72C" w14:textId="77777777" w:rsidR="00375EAB" w:rsidRPr="00D2126A" w:rsidRDefault="000E5A86" w:rsidP="00C93C76">
      <w:pPr>
        <w:keepNext/>
        <w:tabs>
          <w:tab w:val="left" w:pos="1843"/>
        </w:tabs>
        <w:rPr>
          <w:color w:val="000000"/>
        </w:rPr>
      </w:pPr>
      <w:r>
        <w:rPr>
          <w:color w:val="000000"/>
        </w:rPr>
        <w:t>Stéarate de magnésium</w:t>
      </w:r>
    </w:p>
    <w:p w14:paraId="66D80C90" w14:textId="77777777" w:rsidR="00643E31" w:rsidRPr="00D2126A" w:rsidRDefault="00643E31" w:rsidP="00C93C76">
      <w:pPr>
        <w:pStyle w:val="Date"/>
      </w:pPr>
    </w:p>
    <w:p w14:paraId="0966D864" w14:textId="77777777" w:rsidR="00DE172D" w:rsidRPr="00D2126A" w:rsidRDefault="000E5A86" w:rsidP="002869C3">
      <w:pPr>
        <w:keepNext/>
        <w:tabs>
          <w:tab w:val="left" w:pos="1843"/>
        </w:tabs>
        <w:rPr>
          <w:color w:val="000000"/>
        </w:rPr>
      </w:pPr>
      <w:r>
        <w:rPr>
          <w:color w:val="000000"/>
          <w:u w:val="single"/>
        </w:rPr>
        <w:t>Enveloppe des gélules</w:t>
      </w:r>
    </w:p>
    <w:p w14:paraId="49883345" w14:textId="69E95CD6" w:rsidR="00643E31" w:rsidRPr="00D2126A" w:rsidRDefault="000E5A86" w:rsidP="002869C3">
      <w:pPr>
        <w:keepNext/>
        <w:rPr>
          <w:color w:val="000000"/>
          <w:u w:val="single"/>
        </w:rPr>
      </w:pPr>
      <w:r>
        <w:rPr>
          <w:color w:val="000000"/>
          <w:u w:val="single"/>
        </w:rPr>
        <w:t>Revlimid 2,5 mg / 10 mg / 20 mg gélules</w:t>
      </w:r>
    </w:p>
    <w:p w14:paraId="0923A7B9" w14:textId="77777777" w:rsidR="00375EAB" w:rsidRPr="00D2126A" w:rsidRDefault="000E5A86" w:rsidP="00C93C76">
      <w:pPr>
        <w:tabs>
          <w:tab w:val="left" w:pos="1843"/>
        </w:tabs>
        <w:rPr>
          <w:color w:val="000000"/>
        </w:rPr>
      </w:pPr>
      <w:r>
        <w:rPr>
          <w:color w:val="000000"/>
        </w:rPr>
        <w:t>Gélatine</w:t>
      </w:r>
    </w:p>
    <w:p w14:paraId="37E62CE3" w14:textId="77777777" w:rsidR="00375EAB" w:rsidRPr="00D2126A" w:rsidRDefault="000E5A86" w:rsidP="00C93C76">
      <w:pPr>
        <w:tabs>
          <w:tab w:val="left" w:pos="1843"/>
        </w:tabs>
        <w:rPr>
          <w:color w:val="000000"/>
        </w:rPr>
      </w:pPr>
      <w:r>
        <w:rPr>
          <w:color w:val="000000"/>
        </w:rPr>
        <w:t>Dioxyde de titane (E171)</w:t>
      </w:r>
    </w:p>
    <w:p w14:paraId="1454E1A6" w14:textId="77777777" w:rsidR="00E87AED" w:rsidRPr="00D2126A" w:rsidRDefault="000E5A86" w:rsidP="00C93C76">
      <w:pPr>
        <w:tabs>
          <w:tab w:val="left" w:pos="1843"/>
        </w:tabs>
        <w:rPr>
          <w:color w:val="000000"/>
        </w:rPr>
      </w:pPr>
      <w:r>
        <w:rPr>
          <w:color w:val="000000"/>
        </w:rPr>
        <w:t>Carmin indigo (E132)</w:t>
      </w:r>
    </w:p>
    <w:p w14:paraId="17616756" w14:textId="77777777" w:rsidR="00375EAB" w:rsidRPr="00D2126A" w:rsidRDefault="000E5A86" w:rsidP="00C93C76">
      <w:pPr>
        <w:tabs>
          <w:tab w:val="left" w:pos="1843"/>
        </w:tabs>
        <w:rPr>
          <w:color w:val="000000"/>
        </w:rPr>
      </w:pPr>
      <w:r>
        <w:rPr>
          <w:color w:val="000000"/>
        </w:rPr>
        <w:t>Oxyde de fer jaune (E172)</w:t>
      </w:r>
    </w:p>
    <w:p w14:paraId="0EC61368" w14:textId="77777777" w:rsidR="00E87AED" w:rsidRPr="00D2126A" w:rsidRDefault="00E87AED" w:rsidP="00C93C76">
      <w:pPr>
        <w:pStyle w:val="Date"/>
        <w:rPr>
          <w:color w:val="000000"/>
        </w:rPr>
      </w:pPr>
    </w:p>
    <w:p w14:paraId="5FE322FE" w14:textId="389B6033" w:rsidR="00643E31" w:rsidRPr="00D2126A" w:rsidRDefault="000E5A86" w:rsidP="00C93C76">
      <w:pPr>
        <w:keepNext/>
        <w:rPr>
          <w:color w:val="000000"/>
          <w:u w:val="single"/>
        </w:rPr>
      </w:pPr>
      <w:r>
        <w:rPr>
          <w:color w:val="000000"/>
          <w:u w:val="single"/>
        </w:rPr>
        <w:t>Revlimid 5 mg / 25 mg gélules</w:t>
      </w:r>
    </w:p>
    <w:p w14:paraId="27C25C8A" w14:textId="77777777" w:rsidR="00643E31" w:rsidRPr="00D2126A" w:rsidRDefault="000E5A86" w:rsidP="002869C3">
      <w:pPr>
        <w:tabs>
          <w:tab w:val="left" w:pos="1843"/>
        </w:tabs>
        <w:rPr>
          <w:color w:val="000000"/>
        </w:rPr>
      </w:pPr>
      <w:r>
        <w:rPr>
          <w:color w:val="000000"/>
        </w:rPr>
        <w:t>Gélatine</w:t>
      </w:r>
    </w:p>
    <w:p w14:paraId="6664F40B" w14:textId="77777777" w:rsidR="00643E31" w:rsidRPr="00156723" w:rsidRDefault="000E5A86" w:rsidP="002869C3">
      <w:pPr>
        <w:tabs>
          <w:tab w:val="left" w:pos="1843"/>
        </w:tabs>
        <w:rPr>
          <w:color w:val="000000"/>
        </w:rPr>
      </w:pPr>
      <w:r>
        <w:rPr>
          <w:color w:val="000000"/>
        </w:rPr>
        <w:t>Dioxyde de titane (E171)</w:t>
      </w:r>
    </w:p>
    <w:p w14:paraId="49F34900" w14:textId="77777777" w:rsidR="00643E31" w:rsidRPr="00156723" w:rsidRDefault="00643E31" w:rsidP="00C93C76">
      <w:pPr>
        <w:rPr>
          <w:lang w:val="nl-NL"/>
        </w:rPr>
      </w:pPr>
    </w:p>
    <w:p w14:paraId="15445A45" w14:textId="77777777" w:rsidR="008F3112" w:rsidRPr="00156723" w:rsidRDefault="000E5A86" w:rsidP="002869C3">
      <w:pPr>
        <w:pStyle w:val="Date"/>
        <w:keepNext/>
        <w:rPr>
          <w:color w:val="000000"/>
          <w:u w:val="single"/>
        </w:rPr>
      </w:pPr>
      <w:r>
        <w:rPr>
          <w:color w:val="000000"/>
          <w:u w:val="single"/>
        </w:rPr>
        <w:t>Revlimid 7,5 mg gélules</w:t>
      </w:r>
    </w:p>
    <w:p w14:paraId="7A47D7AA" w14:textId="77777777" w:rsidR="008F3112" w:rsidRPr="00156723" w:rsidRDefault="000E5A86" w:rsidP="00C93C76">
      <w:pPr>
        <w:tabs>
          <w:tab w:val="left" w:pos="1843"/>
        </w:tabs>
        <w:rPr>
          <w:color w:val="000000"/>
        </w:rPr>
      </w:pPr>
      <w:r>
        <w:rPr>
          <w:color w:val="000000"/>
        </w:rPr>
        <w:t>Gélatine</w:t>
      </w:r>
    </w:p>
    <w:p w14:paraId="3129835A" w14:textId="77777777" w:rsidR="008F3112" w:rsidRPr="00156723" w:rsidRDefault="000E5A86" w:rsidP="00C93C76">
      <w:pPr>
        <w:tabs>
          <w:tab w:val="left" w:pos="1843"/>
        </w:tabs>
        <w:rPr>
          <w:color w:val="000000"/>
        </w:rPr>
      </w:pPr>
      <w:r>
        <w:rPr>
          <w:color w:val="000000"/>
        </w:rPr>
        <w:t>Dioxyde de titane (E171)</w:t>
      </w:r>
    </w:p>
    <w:p w14:paraId="20A0F16F" w14:textId="77777777" w:rsidR="008F3112" w:rsidRPr="00156723" w:rsidRDefault="000E5A86" w:rsidP="00C93C76">
      <w:pPr>
        <w:pStyle w:val="Date"/>
        <w:rPr>
          <w:color w:val="000000"/>
        </w:rPr>
      </w:pPr>
      <w:r>
        <w:rPr>
          <w:color w:val="000000"/>
        </w:rPr>
        <w:t>Oxyde de fer jaune (E172)</w:t>
      </w:r>
    </w:p>
    <w:p w14:paraId="595AEBB7" w14:textId="77777777" w:rsidR="00A27498" w:rsidRPr="00156723" w:rsidRDefault="00A27498" w:rsidP="00C93C76">
      <w:pPr>
        <w:rPr>
          <w:lang w:val="nl-NL"/>
        </w:rPr>
      </w:pPr>
    </w:p>
    <w:p w14:paraId="1011B4C2" w14:textId="77777777" w:rsidR="00A27498" w:rsidRPr="00156723" w:rsidRDefault="000E5A86" w:rsidP="002869C3">
      <w:pPr>
        <w:keepNext/>
        <w:rPr>
          <w:color w:val="000000"/>
          <w:u w:val="single"/>
        </w:rPr>
      </w:pPr>
      <w:r>
        <w:rPr>
          <w:color w:val="000000"/>
          <w:u w:val="single"/>
        </w:rPr>
        <w:t>Revlimid 15 mg gélules</w:t>
      </w:r>
    </w:p>
    <w:p w14:paraId="125031D3" w14:textId="77777777" w:rsidR="00A27498" w:rsidRPr="00156723" w:rsidRDefault="000E5A86" w:rsidP="00C93C76">
      <w:pPr>
        <w:tabs>
          <w:tab w:val="left" w:pos="1843"/>
        </w:tabs>
        <w:rPr>
          <w:color w:val="000000"/>
        </w:rPr>
      </w:pPr>
      <w:r>
        <w:rPr>
          <w:color w:val="000000"/>
        </w:rPr>
        <w:t>Gélatine</w:t>
      </w:r>
    </w:p>
    <w:p w14:paraId="299419BC" w14:textId="77777777" w:rsidR="00A27498" w:rsidRPr="00156723" w:rsidRDefault="000E5A86" w:rsidP="00C93C76">
      <w:pPr>
        <w:tabs>
          <w:tab w:val="left" w:pos="1843"/>
        </w:tabs>
        <w:rPr>
          <w:color w:val="000000"/>
        </w:rPr>
      </w:pPr>
      <w:r>
        <w:rPr>
          <w:color w:val="000000"/>
        </w:rPr>
        <w:t>Dioxyde de titane (E171)</w:t>
      </w:r>
    </w:p>
    <w:p w14:paraId="31AC0FF9" w14:textId="77777777" w:rsidR="00A27498" w:rsidRPr="00156723" w:rsidRDefault="000E5A86" w:rsidP="00C93C76">
      <w:pPr>
        <w:tabs>
          <w:tab w:val="left" w:pos="1843"/>
        </w:tabs>
        <w:rPr>
          <w:color w:val="000000"/>
        </w:rPr>
      </w:pPr>
      <w:r>
        <w:rPr>
          <w:color w:val="000000"/>
        </w:rPr>
        <w:t>Carmin indigo (E132)</w:t>
      </w:r>
    </w:p>
    <w:p w14:paraId="30ED92A8" w14:textId="77777777" w:rsidR="008F3112" w:rsidRPr="00156723" w:rsidRDefault="008F3112" w:rsidP="00C93C76">
      <w:pPr>
        <w:rPr>
          <w:lang w:val="es-ES"/>
        </w:rPr>
      </w:pPr>
    </w:p>
    <w:p w14:paraId="252010A6" w14:textId="77777777" w:rsidR="00DE172D" w:rsidRPr="00156723" w:rsidRDefault="000E5A86" w:rsidP="002869C3">
      <w:pPr>
        <w:keepNext/>
        <w:ind w:left="1843" w:hanging="1843"/>
        <w:rPr>
          <w:color w:val="000000"/>
        </w:rPr>
      </w:pPr>
      <w:r>
        <w:rPr>
          <w:color w:val="000000"/>
          <w:u w:val="single"/>
        </w:rPr>
        <w:t>Encre d’impression</w:t>
      </w:r>
    </w:p>
    <w:p w14:paraId="5A2B6D12" w14:textId="77777777" w:rsidR="00375EAB" w:rsidRPr="00156723" w:rsidRDefault="000E5A86" w:rsidP="00C93C76">
      <w:pPr>
        <w:ind w:left="1843" w:hanging="1843"/>
        <w:rPr>
          <w:color w:val="000000"/>
        </w:rPr>
      </w:pPr>
      <w:r>
        <w:rPr>
          <w:color w:val="000000"/>
        </w:rPr>
        <w:t>Gomme laque</w:t>
      </w:r>
    </w:p>
    <w:p w14:paraId="4F04314B" w14:textId="77777777" w:rsidR="00375EAB" w:rsidRPr="00156723" w:rsidRDefault="000E5A86" w:rsidP="00C93C76">
      <w:pPr>
        <w:tabs>
          <w:tab w:val="left" w:pos="1843"/>
        </w:tabs>
        <w:rPr>
          <w:color w:val="000000"/>
        </w:rPr>
      </w:pPr>
      <w:r>
        <w:rPr>
          <w:color w:val="000000"/>
        </w:rPr>
        <w:t>Propylèneglycol (E1520)</w:t>
      </w:r>
    </w:p>
    <w:p w14:paraId="6EE3D758" w14:textId="77777777" w:rsidR="00375EAB" w:rsidRPr="00D2126A" w:rsidRDefault="000E5A86" w:rsidP="00C93C76">
      <w:pPr>
        <w:tabs>
          <w:tab w:val="left" w:pos="1843"/>
        </w:tabs>
        <w:rPr>
          <w:color w:val="000000"/>
        </w:rPr>
      </w:pPr>
      <w:r>
        <w:rPr>
          <w:color w:val="000000"/>
        </w:rPr>
        <w:t>Oxyde de fer noir (E172)</w:t>
      </w:r>
    </w:p>
    <w:p w14:paraId="35C947A6" w14:textId="77777777" w:rsidR="00375EAB" w:rsidRPr="00D2126A" w:rsidRDefault="000E5A86" w:rsidP="00C93C76">
      <w:pPr>
        <w:tabs>
          <w:tab w:val="left" w:pos="1843"/>
        </w:tabs>
        <w:rPr>
          <w:color w:val="000000"/>
        </w:rPr>
      </w:pPr>
      <w:r>
        <w:rPr>
          <w:color w:val="000000"/>
        </w:rPr>
        <w:t>Hydroxyde de potassium</w:t>
      </w:r>
    </w:p>
    <w:p w14:paraId="05CE8EBD" w14:textId="77777777" w:rsidR="00643E31" w:rsidRPr="00D2126A" w:rsidRDefault="00643E31" w:rsidP="00C93C76"/>
    <w:p w14:paraId="60469D8F" w14:textId="77777777" w:rsidR="00375EAB" w:rsidRPr="00D2126A" w:rsidRDefault="000E5A86" w:rsidP="002869C3">
      <w:pPr>
        <w:keepNext/>
        <w:ind w:left="567" w:hanging="567"/>
        <w:rPr>
          <w:color w:val="000000"/>
        </w:rPr>
      </w:pPr>
      <w:r>
        <w:rPr>
          <w:b/>
          <w:color w:val="000000"/>
        </w:rPr>
        <w:t>6.2</w:t>
      </w:r>
      <w:r>
        <w:rPr>
          <w:b/>
          <w:color w:val="000000"/>
        </w:rPr>
        <w:tab/>
        <w:t>Incompatibilités</w:t>
      </w:r>
    </w:p>
    <w:p w14:paraId="101759EF" w14:textId="77777777" w:rsidR="00375EAB" w:rsidRPr="00D2126A" w:rsidRDefault="00375EAB" w:rsidP="002869C3">
      <w:pPr>
        <w:keepNext/>
        <w:rPr>
          <w:color w:val="000000"/>
        </w:rPr>
      </w:pPr>
    </w:p>
    <w:p w14:paraId="6AE1D746" w14:textId="77777777" w:rsidR="00375EAB" w:rsidRPr="00D2126A" w:rsidRDefault="000E5A86" w:rsidP="00C93C76">
      <w:pPr>
        <w:rPr>
          <w:color w:val="000000"/>
        </w:rPr>
      </w:pPr>
      <w:r>
        <w:rPr>
          <w:color w:val="000000"/>
        </w:rPr>
        <w:t>Sans objet.</w:t>
      </w:r>
    </w:p>
    <w:p w14:paraId="750C9422" w14:textId="77777777" w:rsidR="00375EAB" w:rsidRPr="00D2126A" w:rsidRDefault="00375EAB" w:rsidP="00C93C76">
      <w:pPr>
        <w:rPr>
          <w:color w:val="000000"/>
        </w:rPr>
      </w:pPr>
    </w:p>
    <w:p w14:paraId="7E9BD85B" w14:textId="77777777" w:rsidR="00375EAB" w:rsidRPr="00D2126A" w:rsidRDefault="000E5A86" w:rsidP="002869C3">
      <w:pPr>
        <w:keepNext/>
        <w:tabs>
          <w:tab w:val="left" w:pos="567"/>
        </w:tabs>
        <w:rPr>
          <w:b/>
          <w:color w:val="000000"/>
        </w:rPr>
      </w:pPr>
      <w:r>
        <w:rPr>
          <w:b/>
          <w:color w:val="000000"/>
        </w:rPr>
        <w:t>6.3</w:t>
      </w:r>
      <w:r>
        <w:rPr>
          <w:b/>
          <w:color w:val="000000"/>
        </w:rPr>
        <w:tab/>
        <w:t>Durée de conservation</w:t>
      </w:r>
    </w:p>
    <w:p w14:paraId="3BC80C93" w14:textId="77777777" w:rsidR="00375EAB" w:rsidRPr="00D2126A" w:rsidRDefault="00375EAB" w:rsidP="002869C3">
      <w:pPr>
        <w:keepNext/>
        <w:rPr>
          <w:color w:val="000000"/>
        </w:rPr>
      </w:pPr>
    </w:p>
    <w:p w14:paraId="04974470" w14:textId="77777777" w:rsidR="00375EAB" w:rsidRPr="00D2126A" w:rsidRDefault="000E5A86" w:rsidP="00C93C76">
      <w:pPr>
        <w:rPr>
          <w:color w:val="000000"/>
        </w:rPr>
      </w:pPr>
      <w:r>
        <w:rPr>
          <w:color w:val="000000"/>
        </w:rPr>
        <w:t>3 ans.</w:t>
      </w:r>
    </w:p>
    <w:p w14:paraId="3A2938C8" w14:textId="77777777" w:rsidR="00375EAB" w:rsidRPr="00D2126A" w:rsidRDefault="00375EAB" w:rsidP="00C93C76">
      <w:pPr>
        <w:rPr>
          <w:color w:val="000000"/>
        </w:rPr>
      </w:pPr>
    </w:p>
    <w:p w14:paraId="5A741E0E" w14:textId="77777777" w:rsidR="00375EAB" w:rsidRPr="00D2126A" w:rsidRDefault="000E5A86" w:rsidP="002869C3">
      <w:pPr>
        <w:keepNext/>
        <w:ind w:left="567" w:hanging="567"/>
        <w:rPr>
          <w:color w:val="000000"/>
        </w:rPr>
      </w:pPr>
      <w:r>
        <w:rPr>
          <w:b/>
          <w:color w:val="000000"/>
        </w:rPr>
        <w:t>6.4</w:t>
      </w:r>
      <w:r>
        <w:rPr>
          <w:b/>
          <w:color w:val="000000"/>
        </w:rPr>
        <w:tab/>
        <w:t>Précautions particulières de conservation</w:t>
      </w:r>
    </w:p>
    <w:p w14:paraId="33B1F147" w14:textId="77777777" w:rsidR="00375EAB" w:rsidRPr="00D2126A" w:rsidRDefault="00375EAB" w:rsidP="002869C3">
      <w:pPr>
        <w:keepNext/>
        <w:rPr>
          <w:i/>
          <w:color w:val="000000"/>
        </w:rPr>
      </w:pPr>
    </w:p>
    <w:p w14:paraId="4C8203BD" w14:textId="77777777" w:rsidR="00375EAB" w:rsidRPr="00D2126A" w:rsidRDefault="000E5A86" w:rsidP="00C93C76">
      <w:pPr>
        <w:rPr>
          <w:iCs/>
          <w:color w:val="000000"/>
        </w:rPr>
      </w:pPr>
      <w:r>
        <w:rPr>
          <w:color w:val="000000"/>
        </w:rPr>
        <w:t>Ce médicament ne nécessite pas de précautions particulières de conservation.</w:t>
      </w:r>
    </w:p>
    <w:p w14:paraId="32D6466C" w14:textId="77777777" w:rsidR="00375EAB" w:rsidRPr="00D2126A" w:rsidRDefault="00375EAB" w:rsidP="00C93C76">
      <w:pPr>
        <w:ind w:left="567" w:hanging="567"/>
        <w:rPr>
          <w:color w:val="000000"/>
        </w:rPr>
      </w:pPr>
    </w:p>
    <w:p w14:paraId="61587220" w14:textId="77777777" w:rsidR="00375EAB" w:rsidRPr="00D2126A" w:rsidRDefault="000E5A86" w:rsidP="002869C3">
      <w:pPr>
        <w:keepNext/>
        <w:ind w:left="567" w:hanging="567"/>
        <w:rPr>
          <w:color w:val="000000"/>
        </w:rPr>
      </w:pPr>
      <w:r>
        <w:rPr>
          <w:b/>
          <w:color w:val="000000"/>
        </w:rPr>
        <w:t>6.5</w:t>
      </w:r>
      <w:r>
        <w:rPr>
          <w:b/>
          <w:color w:val="000000"/>
        </w:rPr>
        <w:tab/>
        <w:t>Nature et contenu de l’emballage extérieur</w:t>
      </w:r>
    </w:p>
    <w:p w14:paraId="191F2E1D" w14:textId="77777777" w:rsidR="00375EAB" w:rsidRPr="00D2126A" w:rsidRDefault="00375EAB" w:rsidP="002869C3">
      <w:pPr>
        <w:keepNext/>
        <w:rPr>
          <w:color w:val="000000"/>
        </w:rPr>
      </w:pPr>
    </w:p>
    <w:p w14:paraId="6E92563D" w14:textId="50E947D9" w:rsidR="00036363" w:rsidRPr="00D2126A" w:rsidRDefault="000E5A86" w:rsidP="00C93C76">
      <w:pPr>
        <w:numPr>
          <w:ilvl w:val="12"/>
          <w:numId w:val="0"/>
        </w:numPr>
        <w:rPr>
          <w:color w:val="000000"/>
        </w:rPr>
      </w:pPr>
      <w:r>
        <w:rPr>
          <w:color w:val="000000"/>
        </w:rPr>
        <w:t>Plaquettes en polychlorure de vinyle (PVC) / polychlorotrifluoréthylène (PCTFE) / feuille d’aluminium contenant 7 gélules.</w:t>
      </w:r>
    </w:p>
    <w:p w14:paraId="08EAB998" w14:textId="6C46AE1C" w:rsidR="00375EAB" w:rsidRPr="00D2126A" w:rsidRDefault="00375EAB" w:rsidP="00C93C76">
      <w:pPr>
        <w:numPr>
          <w:ilvl w:val="12"/>
          <w:numId w:val="0"/>
        </w:numPr>
        <w:ind w:right="-2"/>
        <w:rPr>
          <w:color w:val="000000"/>
        </w:rPr>
      </w:pPr>
    </w:p>
    <w:p w14:paraId="2FDEA3DB" w14:textId="70E8B74C" w:rsidR="00643E31" w:rsidRPr="00D2126A" w:rsidRDefault="000E5A86" w:rsidP="002869C3">
      <w:pPr>
        <w:keepNext/>
        <w:rPr>
          <w:color w:val="000000"/>
          <w:u w:val="single"/>
        </w:rPr>
      </w:pPr>
      <w:r>
        <w:rPr>
          <w:color w:val="000000"/>
          <w:u w:val="single"/>
        </w:rPr>
        <w:t>Revlimid 2,5 mg / 5 mg / 7,5 mg / 10 mg / 15 mg / 20 mg / 25 mg gélules</w:t>
      </w:r>
    </w:p>
    <w:p w14:paraId="0B40E5C6" w14:textId="77777777" w:rsidR="00375EAB" w:rsidRPr="00D2126A" w:rsidRDefault="000E5A86" w:rsidP="00C93C76">
      <w:pPr>
        <w:numPr>
          <w:ilvl w:val="12"/>
          <w:numId w:val="0"/>
        </w:numPr>
        <w:ind w:right="-2"/>
        <w:rPr>
          <w:color w:val="000000"/>
        </w:rPr>
      </w:pPr>
      <w:r>
        <w:rPr>
          <w:color w:val="000000"/>
        </w:rPr>
        <w:t>Boîte de 7 ou 21 gélules. Toutes les présentations peuvent ne pas être disponibles.</w:t>
      </w:r>
    </w:p>
    <w:p w14:paraId="53BB8EE8" w14:textId="77777777" w:rsidR="00375EAB" w:rsidRPr="00D2126A" w:rsidRDefault="00375EAB" w:rsidP="00C93C76">
      <w:pPr>
        <w:rPr>
          <w:color w:val="000000"/>
        </w:rPr>
      </w:pPr>
    </w:p>
    <w:p w14:paraId="5D663A0A" w14:textId="77777777" w:rsidR="00375EAB" w:rsidRPr="00D2126A" w:rsidRDefault="000E5A86" w:rsidP="00C93C76">
      <w:pPr>
        <w:keepNext/>
        <w:ind w:left="567" w:hanging="567"/>
        <w:rPr>
          <w:color w:val="000000"/>
        </w:rPr>
      </w:pPr>
      <w:r>
        <w:rPr>
          <w:b/>
          <w:color w:val="000000"/>
        </w:rPr>
        <w:t>6.6</w:t>
      </w:r>
      <w:r>
        <w:rPr>
          <w:b/>
          <w:color w:val="000000"/>
        </w:rPr>
        <w:tab/>
        <w:t>Précautions particulières d’élimination et manipulation</w:t>
      </w:r>
    </w:p>
    <w:p w14:paraId="35CD70B8" w14:textId="77777777" w:rsidR="00375EAB" w:rsidRPr="00D2126A" w:rsidRDefault="00375EAB" w:rsidP="00C93C76">
      <w:pPr>
        <w:keepNext/>
        <w:rPr>
          <w:color w:val="000000"/>
        </w:rPr>
      </w:pPr>
    </w:p>
    <w:p w14:paraId="256A0994" w14:textId="77777777" w:rsidR="00BB2E76" w:rsidRPr="00D2126A" w:rsidRDefault="000E5A86" w:rsidP="002869C3">
      <w:r>
        <w:t>Les gélules ne doivent pas être ouvertes ou écrasées. Si la poudre de lénalidomide entre en contact avec la peau, laver immédiatement et abondamment la peau au savon et à l’eau. En cas de contact du lénalidomide avec les muqueuses, rincer abondamment à l’eau.</w:t>
      </w:r>
    </w:p>
    <w:p w14:paraId="6FFE3839" w14:textId="77777777" w:rsidR="00BB2E76" w:rsidRPr="00D2126A" w:rsidRDefault="00BB2E76" w:rsidP="00C93C76">
      <w:pPr>
        <w:rPr>
          <w:color w:val="000000"/>
        </w:rPr>
      </w:pPr>
    </w:p>
    <w:p w14:paraId="06BFCB29" w14:textId="77777777" w:rsidR="00802054" w:rsidRPr="00D2126A" w:rsidRDefault="000E5A86" w:rsidP="00C93C76">
      <w:r>
        <w:t>Les professionnels de santé et les aidants doivent porter des gants jetables pour manipuler la plaquette ou la gélule.</w:t>
      </w:r>
    </w:p>
    <w:p w14:paraId="06E19F77" w14:textId="221CE89F" w:rsidR="00802054" w:rsidRPr="00D2126A" w:rsidRDefault="000E5A86" w:rsidP="00C93C76">
      <w:pPr>
        <w:pStyle w:val="Date"/>
      </w:pPr>
      <w:r>
        <w:t>Les gants doivent ensuite être retirés avec précaution afin d’éviter une exposition cutanée, placés dans un sac plastique en polyéthylène à fermeture hermétique et éliminés conformément à la réglementation en vigueur. Les mains doivent ensuite être soigneusement lavées au savon et à l’eau. Les femmes enceintes ou qui pensent l’être ne doivent pas manipuler la plaquette ou la gélule (voir rubrique 4.4).</w:t>
      </w:r>
    </w:p>
    <w:p w14:paraId="18AF5B38" w14:textId="77777777" w:rsidR="00802054" w:rsidRPr="00D2126A" w:rsidRDefault="00802054" w:rsidP="00C93C76">
      <w:pPr>
        <w:pStyle w:val="Date"/>
      </w:pPr>
    </w:p>
    <w:p w14:paraId="1A4B35A8" w14:textId="77777777" w:rsidR="00375EAB" w:rsidRPr="00D2126A" w:rsidRDefault="000E5A86" w:rsidP="00C93C76">
      <w:pPr>
        <w:rPr>
          <w:color w:val="000000"/>
        </w:rPr>
      </w:pPr>
      <w:r>
        <w:rPr>
          <w:color w:val="000000"/>
        </w:rPr>
        <w:t>Tout médicament non utilisé ou déchet doit être rapporté à un pharmacien pour une élimination en toute sécurité conformément à la réglementation en vigueur.</w:t>
      </w:r>
    </w:p>
    <w:p w14:paraId="52563E5B" w14:textId="77777777" w:rsidR="00375EAB" w:rsidRPr="00D2126A" w:rsidRDefault="00375EAB" w:rsidP="00C93C76">
      <w:pPr>
        <w:rPr>
          <w:color w:val="000000"/>
        </w:rPr>
      </w:pPr>
    </w:p>
    <w:p w14:paraId="51A2F81B" w14:textId="77777777" w:rsidR="00375EAB" w:rsidRPr="00D2126A" w:rsidRDefault="00375EAB" w:rsidP="00C93C76">
      <w:pPr>
        <w:rPr>
          <w:color w:val="000000"/>
        </w:rPr>
      </w:pPr>
    </w:p>
    <w:p w14:paraId="741515D9" w14:textId="77777777" w:rsidR="00375EAB" w:rsidRPr="00D2126A" w:rsidRDefault="000E5A86" w:rsidP="00C93C76">
      <w:pPr>
        <w:keepNext/>
        <w:ind w:left="567" w:hanging="567"/>
        <w:rPr>
          <w:color w:val="000000"/>
        </w:rPr>
      </w:pPr>
      <w:r>
        <w:rPr>
          <w:b/>
          <w:color w:val="000000"/>
        </w:rPr>
        <w:t>7.</w:t>
      </w:r>
      <w:r>
        <w:rPr>
          <w:b/>
          <w:color w:val="000000"/>
        </w:rPr>
        <w:tab/>
        <w:t>TITULAIRE DE L’AUTORISATION DE MISE SUR LE MARCHÉ</w:t>
      </w:r>
    </w:p>
    <w:p w14:paraId="67F41134" w14:textId="77777777" w:rsidR="00375EAB" w:rsidRPr="00D2126A" w:rsidRDefault="00375EAB" w:rsidP="00C93C76">
      <w:pPr>
        <w:keepNext/>
        <w:rPr>
          <w:color w:val="000000"/>
        </w:rPr>
      </w:pPr>
    </w:p>
    <w:p w14:paraId="1944DCF9" w14:textId="77777777" w:rsidR="00CB3D9F" w:rsidRPr="00AB0414" w:rsidRDefault="000E5A86" w:rsidP="002869C3">
      <w:pPr>
        <w:pStyle w:val="EMEAAddress"/>
        <w:keepNext/>
        <w:rPr>
          <w:lang w:val="en-US"/>
        </w:rPr>
      </w:pPr>
      <w:r w:rsidRPr="00AB0414">
        <w:rPr>
          <w:lang w:val="en-US"/>
        </w:rPr>
        <w:t>Bristol</w:t>
      </w:r>
      <w:r w:rsidRPr="00AB0414">
        <w:rPr>
          <w:lang w:val="en-US"/>
        </w:rPr>
        <w:noBreakHyphen/>
        <w:t>Myers Squibb Pharma EEIG</w:t>
      </w:r>
    </w:p>
    <w:p w14:paraId="01DDF136" w14:textId="77777777" w:rsidR="00CB3D9F" w:rsidRPr="00AB0414" w:rsidRDefault="000E5A86" w:rsidP="002869C3">
      <w:pPr>
        <w:pStyle w:val="EMEAAddress"/>
        <w:keepNext/>
        <w:rPr>
          <w:lang w:val="en-US"/>
        </w:rPr>
      </w:pPr>
      <w:r w:rsidRPr="00AB0414">
        <w:rPr>
          <w:lang w:val="en-US"/>
        </w:rPr>
        <w:t>Plaza 254</w:t>
      </w:r>
    </w:p>
    <w:p w14:paraId="3A7B534C" w14:textId="77777777" w:rsidR="00CB3D9F" w:rsidRPr="00AB0414" w:rsidRDefault="000E5A86" w:rsidP="002869C3">
      <w:pPr>
        <w:pStyle w:val="EMEAAddress"/>
        <w:keepNext/>
        <w:rPr>
          <w:lang w:val="en-US"/>
        </w:rPr>
      </w:pPr>
      <w:r w:rsidRPr="00AB0414">
        <w:rPr>
          <w:lang w:val="en-US"/>
        </w:rPr>
        <w:t>Blanchardstown Corporate Park 2</w:t>
      </w:r>
    </w:p>
    <w:p w14:paraId="28376AAC" w14:textId="77777777" w:rsidR="00CB3D9F" w:rsidRPr="00AB0414" w:rsidRDefault="000E5A86" w:rsidP="002869C3">
      <w:pPr>
        <w:pStyle w:val="EMEAAddress"/>
        <w:keepNext/>
        <w:rPr>
          <w:lang w:val="en-US"/>
        </w:rPr>
      </w:pPr>
      <w:r w:rsidRPr="00AB0414">
        <w:rPr>
          <w:lang w:val="en-US"/>
        </w:rPr>
        <w:t>Dublin 15, D15 T867</w:t>
      </w:r>
    </w:p>
    <w:p w14:paraId="71040DB7" w14:textId="77777777" w:rsidR="0073192A" w:rsidRPr="00D2126A" w:rsidRDefault="000E5A86" w:rsidP="00C93C76">
      <w:pPr>
        <w:keepNext/>
      </w:pPr>
      <w:r>
        <w:t>Irlande</w:t>
      </w:r>
    </w:p>
    <w:p w14:paraId="438F1F64" w14:textId="77777777" w:rsidR="00375EAB" w:rsidRPr="00D2126A" w:rsidRDefault="00375EAB" w:rsidP="00C93C76">
      <w:pPr>
        <w:keepNext/>
        <w:ind w:left="567" w:hanging="567"/>
        <w:rPr>
          <w:color w:val="000000"/>
        </w:rPr>
      </w:pPr>
    </w:p>
    <w:p w14:paraId="64B4072F" w14:textId="77777777" w:rsidR="00375EAB" w:rsidRPr="00D2126A" w:rsidRDefault="00375EAB" w:rsidP="00C93C76">
      <w:pPr>
        <w:rPr>
          <w:color w:val="000000"/>
        </w:rPr>
      </w:pPr>
    </w:p>
    <w:p w14:paraId="3EEA26A8" w14:textId="77777777" w:rsidR="00036363" w:rsidRPr="00D2126A" w:rsidRDefault="000E5A86" w:rsidP="002869C3">
      <w:pPr>
        <w:keepNext/>
        <w:ind w:left="567" w:hanging="567"/>
        <w:rPr>
          <w:b/>
          <w:color w:val="000000"/>
        </w:rPr>
      </w:pPr>
      <w:r>
        <w:rPr>
          <w:b/>
          <w:color w:val="000000"/>
        </w:rPr>
        <w:t>8.</w:t>
      </w:r>
      <w:r>
        <w:rPr>
          <w:b/>
          <w:color w:val="000000"/>
        </w:rPr>
        <w:tab/>
        <w:t>NUMÉRO(S) D’AUTORISATION DE MISE SUR LE MARCHÉ</w:t>
      </w:r>
    </w:p>
    <w:p w14:paraId="19E2C8E1" w14:textId="7F035BEA" w:rsidR="00375EAB" w:rsidRPr="00D2126A" w:rsidRDefault="00375EAB" w:rsidP="002869C3">
      <w:pPr>
        <w:keepNext/>
        <w:rPr>
          <w:color w:val="000000"/>
        </w:rPr>
      </w:pPr>
    </w:p>
    <w:p w14:paraId="2C4120C7" w14:textId="77777777" w:rsidR="00643E31" w:rsidRPr="00156723" w:rsidRDefault="000E5A86" w:rsidP="002869C3">
      <w:pPr>
        <w:keepNext/>
        <w:rPr>
          <w:color w:val="000000"/>
          <w:u w:val="single"/>
        </w:rPr>
      </w:pPr>
      <w:r>
        <w:rPr>
          <w:color w:val="000000"/>
          <w:u w:val="single"/>
        </w:rPr>
        <w:t>Revlimid 2,5 mg gélules</w:t>
      </w:r>
    </w:p>
    <w:p w14:paraId="59933F3E" w14:textId="77777777" w:rsidR="003E53BE" w:rsidRPr="00156723" w:rsidRDefault="000E5A86" w:rsidP="002869C3">
      <w:pPr>
        <w:keepNext/>
        <w:rPr>
          <w:color w:val="000000"/>
        </w:rPr>
      </w:pPr>
      <w:r>
        <w:rPr>
          <w:color w:val="000000"/>
        </w:rPr>
        <w:t>EU/1/07/391/005</w:t>
      </w:r>
    </w:p>
    <w:p w14:paraId="00EE1C46" w14:textId="77777777" w:rsidR="00FD42BC" w:rsidRPr="00156723" w:rsidRDefault="000E5A86" w:rsidP="00C93C76">
      <w:pPr>
        <w:rPr>
          <w:color w:val="000000"/>
        </w:rPr>
      </w:pPr>
      <w:r>
        <w:rPr>
          <w:color w:val="000000"/>
        </w:rPr>
        <w:t>EU/1/07/391/007</w:t>
      </w:r>
    </w:p>
    <w:p w14:paraId="49BF4860" w14:textId="77777777" w:rsidR="00375EAB" w:rsidRPr="00156723" w:rsidRDefault="00375EAB" w:rsidP="00C93C76">
      <w:pPr>
        <w:rPr>
          <w:color w:val="000000"/>
        </w:rPr>
      </w:pPr>
    </w:p>
    <w:p w14:paraId="4A486564" w14:textId="77777777" w:rsidR="00643E31" w:rsidRPr="00156723" w:rsidRDefault="000E5A86" w:rsidP="002869C3">
      <w:pPr>
        <w:keepNext/>
        <w:rPr>
          <w:color w:val="000000"/>
          <w:u w:val="single"/>
        </w:rPr>
      </w:pPr>
      <w:r>
        <w:rPr>
          <w:color w:val="000000"/>
          <w:u w:val="single"/>
        </w:rPr>
        <w:t>Revlimid 5 mg gélules</w:t>
      </w:r>
    </w:p>
    <w:p w14:paraId="56667C74" w14:textId="77777777" w:rsidR="00643E31" w:rsidRPr="00156723" w:rsidRDefault="000E5A86" w:rsidP="002869C3">
      <w:pPr>
        <w:keepNext/>
        <w:rPr>
          <w:color w:val="000000"/>
        </w:rPr>
      </w:pPr>
      <w:r>
        <w:rPr>
          <w:color w:val="000000"/>
        </w:rPr>
        <w:t>EU/1/07/391/001</w:t>
      </w:r>
    </w:p>
    <w:p w14:paraId="34C140CA" w14:textId="77777777" w:rsidR="00643E31" w:rsidRPr="00156723" w:rsidRDefault="000E5A86" w:rsidP="00C93C76">
      <w:pPr>
        <w:pStyle w:val="Date"/>
      </w:pPr>
      <w:r>
        <w:t>EU/1/07/391/008</w:t>
      </w:r>
    </w:p>
    <w:p w14:paraId="74DF4645" w14:textId="77777777" w:rsidR="00643E31" w:rsidRPr="00156723" w:rsidRDefault="00643E31" w:rsidP="00C93C76">
      <w:pPr>
        <w:pStyle w:val="Date"/>
      </w:pPr>
    </w:p>
    <w:p w14:paraId="3497AA72" w14:textId="77777777" w:rsidR="00AC6DBD" w:rsidRPr="00156723" w:rsidRDefault="000E5A86" w:rsidP="002869C3">
      <w:pPr>
        <w:pStyle w:val="Date"/>
        <w:keepNext/>
        <w:rPr>
          <w:color w:val="000000"/>
          <w:u w:val="single"/>
        </w:rPr>
      </w:pPr>
      <w:r>
        <w:rPr>
          <w:color w:val="000000"/>
          <w:u w:val="single"/>
        </w:rPr>
        <w:t>Revlimid 7,5 mg gélules</w:t>
      </w:r>
    </w:p>
    <w:p w14:paraId="3972A81D" w14:textId="77777777" w:rsidR="00AC6DBD" w:rsidRPr="00156723" w:rsidRDefault="000E5A86" w:rsidP="002869C3">
      <w:pPr>
        <w:keepNext/>
        <w:rPr>
          <w:color w:val="000000"/>
        </w:rPr>
      </w:pPr>
      <w:r>
        <w:rPr>
          <w:color w:val="000000"/>
        </w:rPr>
        <w:t>EU/1/07/391/006</w:t>
      </w:r>
    </w:p>
    <w:p w14:paraId="7EA82C0F" w14:textId="77777777" w:rsidR="00AA7763" w:rsidRPr="00156723" w:rsidRDefault="000E5A86" w:rsidP="00C93C76">
      <w:pPr>
        <w:pStyle w:val="Date"/>
      </w:pPr>
      <w:r>
        <w:t>EU/1/07/391/012</w:t>
      </w:r>
    </w:p>
    <w:p w14:paraId="14AF3F40" w14:textId="77777777" w:rsidR="00997C70" w:rsidRPr="00156723" w:rsidRDefault="00997C70" w:rsidP="00C93C76">
      <w:pPr>
        <w:pStyle w:val="Date"/>
      </w:pPr>
    </w:p>
    <w:p w14:paraId="221A4136" w14:textId="77777777" w:rsidR="00997C70" w:rsidRPr="00156723" w:rsidRDefault="000E5A86" w:rsidP="002869C3">
      <w:pPr>
        <w:keepNext/>
        <w:rPr>
          <w:color w:val="000000"/>
          <w:u w:val="single"/>
        </w:rPr>
      </w:pPr>
      <w:r>
        <w:rPr>
          <w:color w:val="000000"/>
          <w:u w:val="single"/>
        </w:rPr>
        <w:t>Revlimid 10 mg gélules</w:t>
      </w:r>
    </w:p>
    <w:p w14:paraId="6444689E" w14:textId="77777777" w:rsidR="00997C70" w:rsidRPr="00156723" w:rsidRDefault="000E5A86" w:rsidP="002869C3">
      <w:pPr>
        <w:keepNext/>
        <w:rPr>
          <w:color w:val="000000"/>
        </w:rPr>
      </w:pPr>
      <w:r>
        <w:rPr>
          <w:color w:val="000000"/>
        </w:rPr>
        <w:t>EU/1/07/391/002</w:t>
      </w:r>
    </w:p>
    <w:p w14:paraId="2F6E517D" w14:textId="77777777" w:rsidR="00351FCD" w:rsidRPr="00156723" w:rsidRDefault="000E5A86" w:rsidP="00C93C76">
      <w:pPr>
        <w:rPr>
          <w:color w:val="000000"/>
        </w:rPr>
      </w:pPr>
      <w:r>
        <w:rPr>
          <w:color w:val="000000"/>
        </w:rPr>
        <w:t>EU/1/07/391/010</w:t>
      </w:r>
    </w:p>
    <w:p w14:paraId="3638E4F4" w14:textId="77777777" w:rsidR="00AC6DBD" w:rsidRPr="00156723" w:rsidRDefault="00AC6DBD" w:rsidP="00C93C76"/>
    <w:p w14:paraId="3FB4357D" w14:textId="77777777" w:rsidR="00A27498" w:rsidRPr="00156723" w:rsidRDefault="000E5A86" w:rsidP="002869C3">
      <w:pPr>
        <w:keepNext/>
        <w:rPr>
          <w:color w:val="000000"/>
          <w:u w:val="single"/>
        </w:rPr>
      </w:pPr>
      <w:r>
        <w:rPr>
          <w:color w:val="000000"/>
          <w:u w:val="single"/>
        </w:rPr>
        <w:t>Revlimid 15 mg gélules</w:t>
      </w:r>
    </w:p>
    <w:p w14:paraId="7F74D5DF" w14:textId="77777777" w:rsidR="00A27498" w:rsidRPr="00156723" w:rsidRDefault="000E5A86" w:rsidP="002869C3">
      <w:pPr>
        <w:keepNext/>
        <w:rPr>
          <w:color w:val="000000"/>
        </w:rPr>
      </w:pPr>
      <w:r>
        <w:rPr>
          <w:color w:val="000000"/>
        </w:rPr>
        <w:t>EU/1/07/391/003</w:t>
      </w:r>
    </w:p>
    <w:p w14:paraId="403DC792" w14:textId="77777777" w:rsidR="00351FCD" w:rsidRPr="00156723" w:rsidRDefault="000E5A86" w:rsidP="00C93C76">
      <w:pPr>
        <w:rPr>
          <w:color w:val="000000"/>
        </w:rPr>
      </w:pPr>
      <w:r>
        <w:rPr>
          <w:color w:val="000000"/>
        </w:rPr>
        <w:t>EU/1/07/391/011</w:t>
      </w:r>
    </w:p>
    <w:p w14:paraId="1D1DF3BF" w14:textId="77777777" w:rsidR="00A27498" w:rsidRPr="00156723" w:rsidRDefault="00A27498" w:rsidP="00C93C76">
      <w:pPr>
        <w:pStyle w:val="Date"/>
      </w:pPr>
    </w:p>
    <w:p w14:paraId="211CB9B6" w14:textId="77777777" w:rsidR="0043719B" w:rsidRPr="00156723" w:rsidRDefault="000E5A86" w:rsidP="00C93C76">
      <w:pPr>
        <w:keepNext/>
        <w:rPr>
          <w:color w:val="000000"/>
          <w:u w:val="single"/>
        </w:rPr>
      </w:pPr>
      <w:r>
        <w:rPr>
          <w:color w:val="000000"/>
          <w:u w:val="single"/>
        </w:rPr>
        <w:t>Revlimid 20 mg gélules</w:t>
      </w:r>
    </w:p>
    <w:p w14:paraId="660D2DFE" w14:textId="77777777" w:rsidR="0043719B" w:rsidRPr="00156723" w:rsidRDefault="000E5A86" w:rsidP="002869C3">
      <w:pPr>
        <w:keepNext/>
        <w:rPr>
          <w:color w:val="000000"/>
        </w:rPr>
      </w:pPr>
      <w:r>
        <w:rPr>
          <w:color w:val="000000"/>
        </w:rPr>
        <w:t>EU/1/07/391/009</w:t>
      </w:r>
    </w:p>
    <w:p w14:paraId="22AA4FED" w14:textId="77777777" w:rsidR="00AA7763" w:rsidRPr="00156723" w:rsidRDefault="000E5A86" w:rsidP="00C93C76">
      <w:pPr>
        <w:pStyle w:val="Date"/>
      </w:pPr>
      <w:r>
        <w:rPr>
          <w:color w:val="000000"/>
        </w:rPr>
        <w:t>EU/1/07/391/013</w:t>
      </w:r>
    </w:p>
    <w:p w14:paraId="7AC90B17" w14:textId="77777777" w:rsidR="00375EAB" w:rsidRPr="00156723" w:rsidRDefault="00375EAB" w:rsidP="00C93C76">
      <w:pPr>
        <w:rPr>
          <w:color w:val="000000"/>
        </w:rPr>
      </w:pPr>
    </w:p>
    <w:p w14:paraId="0DBB62F3" w14:textId="77777777" w:rsidR="00DC1102" w:rsidRPr="00156723" w:rsidRDefault="000E5A86" w:rsidP="00C93C76">
      <w:pPr>
        <w:keepNext/>
        <w:rPr>
          <w:color w:val="000000"/>
          <w:u w:val="single"/>
        </w:rPr>
      </w:pPr>
      <w:r>
        <w:rPr>
          <w:color w:val="000000"/>
          <w:u w:val="single"/>
        </w:rPr>
        <w:t>Revlimid 25 mg gélules</w:t>
      </w:r>
    </w:p>
    <w:p w14:paraId="68CFC5D6" w14:textId="77777777" w:rsidR="00DC1102" w:rsidRPr="00156723" w:rsidRDefault="000E5A86" w:rsidP="00C93C76">
      <w:pPr>
        <w:keepNext/>
        <w:rPr>
          <w:color w:val="000000"/>
        </w:rPr>
      </w:pPr>
      <w:r>
        <w:rPr>
          <w:color w:val="000000"/>
        </w:rPr>
        <w:t>EU/1/07/391/004</w:t>
      </w:r>
    </w:p>
    <w:p w14:paraId="05E5A07A" w14:textId="77777777" w:rsidR="00AA7763" w:rsidRPr="00D2126A" w:rsidRDefault="000E5A86" w:rsidP="00C93C76">
      <w:pPr>
        <w:keepNext/>
        <w:rPr>
          <w:color w:val="000000"/>
        </w:rPr>
      </w:pPr>
      <w:r>
        <w:rPr>
          <w:color w:val="000000"/>
        </w:rPr>
        <w:t>EU/1/07/391/014</w:t>
      </w:r>
    </w:p>
    <w:p w14:paraId="554A13DA" w14:textId="77777777" w:rsidR="00DC1102" w:rsidRPr="00D2126A" w:rsidRDefault="00DC1102" w:rsidP="00C93C76">
      <w:pPr>
        <w:pStyle w:val="Date"/>
      </w:pPr>
    </w:p>
    <w:p w14:paraId="15E8807E" w14:textId="77777777" w:rsidR="00DC1102" w:rsidRPr="00D2126A" w:rsidRDefault="00DC1102" w:rsidP="002869C3"/>
    <w:p w14:paraId="139623A3" w14:textId="77777777" w:rsidR="00375EAB" w:rsidRPr="00D2126A" w:rsidRDefault="000E5A86" w:rsidP="00C93C76">
      <w:pPr>
        <w:keepNext/>
        <w:ind w:left="567" w:hanging="567"/>
        <w:rPr>
          <w:color w:val="000000"/>
        </w:rPr>
      </w:pPr>
      <w:r>
        <w:rPr>
          <w:b/>
          <w:color w:val="000000"/>
        </w:rPr>
        <w:t>9.</w:t>
      </w:r>
      <w:r>
        <w:rPr>
          <w:b/>
          <w:color w:val="000000"/>
        </w:rPr>
        <w:tab/>
        <w:t>DATE DE PREMIÈRE AUTORISATION/DE RENOUVELLEMENT DE L’AUTORISATION</w:t>
      </w:r>
    </w:p>
    <w:p w14:paraId="01E1F118" w14:textId="77777777" w:rsidR="00375EAB" w:rsidRPr="00D2126A" w:rsidRDefault="00375EAB" w:rsidP="00C93C76">
      <w:pPr>
        <w:keepNext/>
        <w:rPr>
          <w:color w:val="000000"/>
        </w:rPr>
      </w:pPr>
    </w:p>
    <w:p w14:paraId="53EAE721" w14:textId="26F1053D" w:rsidR="00375EAB" w:rsidRPr="00D2126A" w:rsidRDefault="000E5A86" w:rsidP="00C93C76">
      <w:pPr>
        <w:keepNext/>
        <w:rPr>
          <w:color w:val="000000"/>
        </w:rPr>
      </w:pPr>
      <w:r>
        <w:rPr>
          <w:color w:val="000000"/>
        </w:rPr>
        <w:t>Date de première autorisation : 14 juin 2007</w:t>
      </w:r>
    </w:p>
    <w:p w14:paraId="75B1CCC8" w14:textId="3F7956D3" w:rsidR="00375EAB" w:rsidRPr="00D2126A" w:rsidRDefault="000E5A86" w:rsidP="00C93C76">
      <w:pPr>
        <w:keepNext/>
        <w:rPr>
          <w:color w:val="000000"/>
        </w:rPr>
      </w:pPr>
      <w:r>
        <w:rPr>
          <w:color w:val="000000"/>
        </w:rPr>
        <w:t>Date de dernier renouvellement : 16 février 2017</w:t>
      </w:r>
    </w:p>
    <w:p w14:paraId="410A05CC" w14:textId="77777777" w:rsidR="00375EAB" w:rsidRPr="00D2126A" w:rsidRDefault="00375EAB" w:rsidP="00C93C76">
      <w:pPr>
        <w:rPr>
          <w:color w:val="000000"/>
        </w:rPr>
      </w:pPr>
    </w:p>
    <w:p w14:paraId="388D47BD" w14:textId="77777777" w:rsidR="00375EAB" w:rsidRPr="00D2126A" w:rsidRDefault="00375EAB" w:rsidP="00C93C76">
      <w:pPr>
        <w:rPr>
          <w:color w:val="000000"/>
        </w:rPr>
      </w:pPr>
    </w:p>
    <w:p w14:paraId="1F05F554" w14:textId="77777777" w:rsidR="00375EAB" w:rsidRPr="00D2126A" w:rsidRDefault="000E5A86" w:rsidP="002869C3">
      <w:pPr>
        <w:keepNext/>
        <w:ind w:left="567" w:hanging="567"/>
        <w:rPr>
          <w:b/>
          <w:color w:val="000000"/>
        </w:rPr>
      </w:pPr>
      <w:r>
        <w:rPr>
          <w:b/>
          <w:color w:val="000000"/>
        </w:rPr>
        <w:t>10.</w:t>
      </w:r>
      <w:r>
        <w:rPr>
          <w:b/>
          <w:color w:val="000000"/>
        </w:rPr>
        <w:tab/>
        <w:t>DATE DE MISE À JOUR DU TEXTE</w:t>
      </w:r>
    </w:p>
    <w:p w14:paraId="42A15EEC" w14:textId="77777777" w:rsidR="00375EAB" w:rsidRPr="00D2126A" w:rsidRDefault="00375EAB" w:rsidP="002869C3">
      <w:pPr>
        <w:keepNext/>
        <w:ind w:left="567" w:hanging="567"/>
        <w:rPr>
          <w:color w:val="000000"/>
        </w:rPr>
      </w:pPr>
    </w:p>
    <w:p w14:paraId="43C3618B" w14:textId="77777777" w:rsidR="00375EAB" w:rsidRPr="00D2126A" w:rsidRDefault="00375EAB" w:rsidP="002869C3">
      <w:pPr>
        <w:pStyle w:val="Date"/>
        <w:keepNext/>
        <w:rPr>
          <w:color w:val="000000"/>
        </w:rPr>
      </w:pPr>
    </w:p>
    <w:p w14:paraId="3981FB38" w14:textId="7B6969F3" w:rsidR="00486E95" w:rsidRPr="00D2126A" w:rsidRDefault="000E5A86" w:rsidP="00C240F2">
      <w:r>
        <w:t xml:space="preserve">Des informations détaillées sur ce médicament sont disponibles sur le site internet de l’Agence européenne des médicaments </w:t>
      </w:r>
      <w:hyperlink r:id="rId14" w:history="1">
        <w:r>
          <w:rPr>
            <w:rStyle w:val="Hyperlink"/>
          </w:rPr>
          <w:t>http://www.ema.europa.eu</w:t>
        </w:r>
      </w:hyperlink>
      <w:r>
        <w:t>.</w:t>
      </w:r>
    </w:p>
    <w:p w14:paraId="4A8F787F" w14:textId="77777777" w:rsidR="00AC09FD" w:rsidRPr="00D2126A" w:rsidRDefault="00AC09FD" w:rsidP="00C93C76">
      <w:pPr>
        <w:rPr>
          <w:noProof/>
          <w:color w:val="000000"/>
        </w:rPr>
      </w:pPr>
    </w:p>
    <w:p w14:paraId="7D0E8237" w14:textId="77777777" w:rsidR="00F36412" w:rsidRPr="00D2126A" w:rsidRDefault="000E5A86" w:rsidP="00C93C76">
      <w:pPr>
        <w:ind w:left="567" w:hanging="567"/>
        <w:rPr>
          <w:noProof/>
          <w:color w:val="000000"/>
        </w:rPr>
      </w:pPr>
      <w:r>
        <w:br w:type="page"/>
      </w:r>
    </w:p>
    <w:p w14:paraId="30A66F44" w14:textId="77777777" w:rsidR="00F36412" w:rsidRPr="00D2126A" w:rsidRDefault="00F36412" w:rsidP="00C93C76">
      <w:pPr>
        <w:jc w:val="center"/>
        <w:rPr>
          <w:noProof/>
          <w:color w:val="000000"/>
        </w:rPr>
      </w:pPr>
    </w:p>
    <w:p w14:paraId="7C076422" w14:textId="77777777" w:rsidR="00F36412" w:rsidRPr="00D2126A" w:rsidRDefault="00F36412" w:rsidP="00C93C76">
      <w:pPr>
        <w:jc w:val="center"/>
        <w:rPr>
          <w:noProof/>
          <w:color w:val="000000"/>
        </w:rPr>
      </w:pPr>
    </w:p>
    <w:p w14:paraId="429963CA" w14:textId="77777777" w:rsidR="00F36412" w:rsidRPr="00D2126A" w:rsidRDefault="00F36412" w:rsidP="00C93C76">
      <w:pPr>
        <w:jc w:val="center"/>
        <w:rPr>
          <w:noProof/>
          <w:color w:val="000000"/>
        </w:rPr>
      </w:pPr>
    </w:p>
    <w:p w14:paraId="1196048B" w14:textId="77777777" w:rsidR="00F36412" w:rsidRPr="00D2126A" w:rsidRDefault="00F36412" w:rsidP="00C93C76">
      <w:pPr>
        <w:jc w:val="center"/>
        <w:rPr>
          <w:noProof/>
          <w:color w:val="000000"/>
        </w:rPr>
      </w:pPr>
    </w:p>
    <w:p w14:paraId="4338F8E6" w14:textId="77777777" w:rsidR="00F36412" w:rsidRPr="00D2126A" w:rsidRDefault="00F36412" w:rsidP="00C93C76">
      <w:pPr>
        <w:jc w:val="center"/>
        <w:rPr>
          <w:noProof/>
          <w:color w:val="000000"/>
        </w:rPr>
      </w:pPr>
    </w:p>
    <w:p w14:paraId="7BB1766E" w14:textId="77777777" w:rsidR="00F36412" w:rsidRPr="00D2126A" w:rsidRDefault="00F36412" w:rsidP="00C93C76">
      <w:pPr>
        <w:jc w:val="center"/>
        <w:rPr>
          <w:noProof/>
          <w:color w:val="000000"/>
        </w:rPr>
      </w:pPr>
    </w:p>
    <w:p w14:paraId="621942DC" w14:textId="77777777" w:rsidR="00F36412" w:rsidRPr="00D2126A" w:rsidRDefault="00F36412" w:rsidP="00C93C76">
      <w:pPr>
        <w:jc w:val="center"/>
        <w:rPr>
          <w:noProof/>
          <w:color w:val="000000"/>
        </w:rPr>
      </w:pPr>
    </w:p>
    <w:p w14:paraId="7E26D726" w14:textId="77777777" w:rsidR="00F36412" w:rsidRPr="00D2126A" w:rsidRDefault="00F36412" w:rsidP="00C93C76">
      <w:pPr>
        <w:jc w:val="center"/>
        <w:rPr>
          <w:noProof/>
          <w:color w:val="000000"/>
        </w:rPr>
      </w:pPr>
    </w:p>
    <w:p w14:paraId="3318B5DB" w14:textId="77777777" w:rsidR="00F36412" w:rsidRPr="00D2126A" w:rsidRDefault="00F36412" w:rsidP="00C93C76">
      <w:pPr>
        <w:jc w:val="center"/>
        <w:rPr>
          <w:noProof/>
          <w:color w:val="000000"/>
        </w:rPr>
      </w:pPr>
    </w:p>
    <w:p w14:paraId="56055F82" w14:textId="77777777" w:rsidR="00F36412" w:rsidRPr="00D2126A" w:rsidRDefault="00F36412" w:rsidP="00C93C76">
      <w:pPr>
        <w:jc w:val="center"/>
        <w:rPr>
          <w:noProof/>
          <w:color w:val="000000"/>
        </w:rPr>
      </w:pPr>
    </w:p>
    <w:p w14:paraId="272DECF9" w14:textId="77777777" w:rsidR="00F36412" w:rsidRPr="00D2126A" w:rsidRDefault="00F36412" w:rsidP="00C93C76">
      <w:pPr>
        <w:jc w:val="center"/>
        <w:rPr>
          <w:noProof/>
          <w:color w:val="000000"/>
        </w:rPr>
      </w:pPr>
    </w:p>
    <w:p w14:paraId="27E8D1C4" w14:textId="77777777" w:rsidR="00F36412" w:rsidRPr="00D2126A" w:rsidRDefault="00F36412" w:rsidP="00C93C76">
      <w:pPr>
        <w:jc w:val="center"/>
        <w:rPr>
          <w:noProof/>
          <w:color w:val="000000"/>
        </w:rPr>
      </w:pPr>
    </w:p>
    <w:p w14:paraId="29C426B8" w14:textId="77777777" w:rsidR="00F36412" w:rsidRPr="00D2126A" w:rsidRDefault="00F36412" w:rsidP="00C93C76">
      <w:pPr>
        <w:jc w:val="center"/>
        <w:rPr>
          <w:noProof/>
          <w:color w:val="000000"/>
        </w:rPr>
      </w:pPr>
    </w:p>
    <w:p w14:paraId="650E2481" w14:textId="77777777" w:rsidR="00F36412" w:rsidRPr="00D2126A" w:rsidRDefault="00F36412" w:rsidP="00C93C76">
      <w:pPr>
        <w:jc w:val="center"/>
        <w:rPr>
          <w:noProof/>
          <w:color w:val="000000"/>
        </w:rPr>
      </w:pPr>
    </w:p>
    <w:p w14:paraId="6A9B4386" w14:textId="77777777" w:rsidR="00F36412" w:rsidRPr="00D2126A" w:rsidRDefault="00F36412" w:rsidP="00C93C76">
      <w:pPr>
        <w:jc w:val="center"/>
        <w:rPr>
          <w:noProof/>
          <w:color w:val="000000"/>
        </w:rPr>
      </w:pPr>
    </w:p>
    <w:p w14:paraId="617A63A3" w14:textId="77777777" w:rsidR="00F36412" w:rsidRPr="00D2126A" w:rsidRDefault="00F36412" w:rsidP="00C93C76">
      <w:pPr>
        <w:jc w:val="center"/>
        <w:rPr>
          <w:noProof/>
          <w:color w:val="000000"/>
        </w:rPr>
      </w:pPr>
    </w:p>
    <w:p w14:paraId="2F4D5D00" w14:textId="77777777" w:rsidR="00F36412" w:rsidRPr="00D2126A" w:rsidRDefault="00F36412" w:rsidP="00C93C76">
      <w:pPr>
        <w:jc w:val="center"/>
        <w:rPr>
          <w:noProof/>
          <w:color w:val="000000"/>
        </w:rPr>
      </w:pPr>
    </w:p>
    <w:p w14:paraId="45F59B59" w14:textId="77777777" w:rsidR="00F36412" w:rsidRPr="00D2126A" w:rsidRDefault="00F36412" w:rsidP="00C93C76">
      <w:pPr>
        <w:jc w:val="center"/>
        <w:rPr>
          <w:noProof/>
          <w:color w:val="000000"/>
        </w:rPr>
      </w:pPr>
    </w:p>
    <w:p w14:paraId="7A5570B5" w14:textId="77777777" w:rsidR="00F36412" w:rsidRPr="00D2126A" w:rsidRDefault="00F36412" w:rsidP="00C93C76">
      <w:pPr>
        <w:jc w:val="center"/>
        <w:rPr>
          <w:noProof/>
          <w:color w:val="000000"/>
        </w:rPr>
      </w:pPr>
    </w:p>
    <w:p w14:paraId="2682F9E1" w14:textId="77777777" w:rsidR="002F77BE" w:rsidRPr="00D2126A" w:rsidRDefault="002F77BE" w:rsidP="002F77BE">
      <w:pPr>
        <w:pStyle w:val="Date"/>
        <w:jc w:val="center"/>
      </w:pPr>
    </w:p>
    <w:p w14:paraId="19D6B219" w14:textId="77777777" w:rsidR="002F77BE" w:rsidRPr="00D2126A" w:rsidRDefault="002F77BE" w:rsidP="002F77BE">
      <w:pPr>
        <w:jc w:val="center"/>
      </w:pPr>
    </w:p>
    <w:p w14:paraId="3AD1C59E" w14:textId="77777777" w:rsidR="00F36412" w:rsidRPr="00D2126A" w:rsidRDefault="00F36412" w:rsidP="00C93C76">
      <w:pPr>
        <w:jc w:val="center"/>
        <w:rPr>
          <w:noProof/>
          <w:color w:val="000000"/>
        </w:rPr>
      </w:pPr>
    </w:p>
    <w:p w14:paraId="1C970D9A" w14:textId="77777777" w:rsidR="00B52266" w:rsidRPr="00D2126A" w:rsidRDefault="000E5A86" w:rsidP="006E24B6">
      <w:pPr>
        <w:keepNext/>
        <w:jc w:val="center"/>
        <w:rPr>
          <w:noProof/>
          <w:color w:val="000000"/>
        </w:rPr>
      </w:pPr>
      <w:r>
        <w:rPr>
          <w:b/>
          <w:color w:val="000000"/>
        </w:rPr>
        <w:t>ANNEXE II</w:t>
      </w:r>
    </w:p>
    <w:p w14:paraId="69F18032" w14:textId="77777777" w:rsidR="00B52266" w:rsidRPr="00D2126A" w:rsidRDefault="00B52266" w:rsidP="006E24B6">
      <w:pPr>
        <w:keepNext/>
        <w:ind w:right="-2"/>
        <w:jc w:val="center"/>
        <w:rPr>
          <w:noProof/>
          <w:color w:val="000000"/>
        </w:rPr>
      </w:pPr>
    </w:p>
    <w:p w14:paraId="70CFE14B" w14:textId="77777777" w:rsidR="00B52266" w:rsidRPr="00D2126A" w:rsidRDefault="000E5A86" w:rsidP="006E24B6">
      <w:pPr>
        <w:keepNext/>
        <w:ind w:left="1701" w:hanging="567"/>
        <w:rPr>
          <w:b/>
          <w:noProof/>
          <w:color w:val="000000"/>
        </w:rPr>
      </w:pPr>
      <w:r>
        <w:rPr>
          <w:b/>
          <w:color w:val="000000"/>
        </w:rPr>
        <w:t>A.</w:t>
      </w:r>
      <w:r>
        <w:rPr>
          <w:b/>
          <w:color w:val="000000"/>
        </w:rPr>
        <w:tab/>
        <w:t>FABRICANT(S) RESPONSABLE(S) DE LA LIBÉRATION DES LOTS</w:t>
      </w:r>
    </w:p>
    <w:p w14:paraId="7202DFFF" w14:textId="77777777" w:rsidR="00B52266" w:rsidRPr="00D2126A" w:rsidRDefault="00B52266" w:rsidP="006E24B6">
      <w:pPr>
        <w:keepNext/>
        <w:jc w:val="center"/>
        <w:rPr>
          <w:bCs/>
          <w:noProof/>
          <w:color w:val="000000"/>
        </w:rPr>
      </w:pPr>
    </w:p>
    <w:p w14:paraId="73582D40" w14:textId="77777777" w:rsidR="00B52266" w:rsidRPr="00D2126A" w:rsidRDefault="000E5A86" w:rsidP="006E24B6">
      <w:pPr>
        <w:keepNext/>
        <w:ind w:left="1701" w:hanging="567"/>
        <w:rPr>
          <w:b/>
          <w:color w:val="000000"/>
        </w:rPr>
      </w:pPr>
      <w:r>
        <w:rPr>
          <w:b/>
          <w:color w:val="000000"/>
        </w:rPr>
        <w:t>B.</w:t>
      </w:r>
      <w:r>
        <w:rPr>
          <w:b/>
          <w:color w:val="000000"/>
        </w:rPr>
        <w:tab/>
        <w:t>CONDITIONS OU RESTRICTIONS DE DÉLIVRANCE ET D’UTILISATION</w:t>
      </w:r>
    </w:p>
    <w:p w14:paraId="18CCD495" w14:textId="77777777" w:rsidR="004B2D79" w:rsidRPr="00D2126A" w:rsidRDefault="004B2D79" w:rsidP="006E24B6">
      <w:pPr>
        <w:pStyle w:val="Date"/>
        <w:keepNext/>
        <w:jc w:val="center"/>
        <w:rPr>
          <w:color w:val="000000"/>
        </w:rPr>
      </w:pPr>
    </w:p>
    <w:p w14:paraId="05041400" w14:textId="77777777" w:rsidR="004B2D79" w:rsidRPr="00D2126A" w:rsidRDefault="000E5A86" w:rsidP="006E24B6">
      <w:pPr>
        <w:keepNext/>
        <w:ind w:left="1701" w:hanging="567"/>
        <w:rPr>
          <w:b/>
          <w:color w:val="000000"/>
        </w:rPr>
      </w:pPr>
      <w:r>
        <w:rPr>
          <w:b/>
          <w:color w:val="000000"/>
        </w:rPr>
        <w:t>C.</w:t>
      </w:r>
      <w:r>
        <w:rPr>
          <w:b/>
          <w:color w:val="000000"/>
        </w:rPr>
        <w:tab/>
        <w:t>AUTRES CONDITIONS ET OBLIGATIONS DE L’AUTORISATION DE MISE SUR LE MARCHÉ</w:t>
      </w:r>
    </w:p>
    <w:p w14:paraId="087FFC80" w14:textId="77777777" w:rsidR="000A0D65" w:rsidRPr="00D2126A" w:rsidRDefault="000A0D65" w:rsidP="006E24B6">
      <w:pPr>
        <w:pStyle w:val="Date"/>
        <w:keepNext/>
        <w:jc w:val="center"/>
        <w:rPr>
          <w:color w:val="000000"/>
        </w:rPr>
      </w:pPr>
    </w:p>
    <w:p w14:paraId="31066C54" w14:textId="77777777" w:rsidR="000A0D65" w:rsidRPr="00D2126A" w:rsidRDefault="000E5A86" w:rsidP="006E24B6">
      <w:pPr>
        <w:keepNext/>
        <w:ind w:left="1701" w:hanging="567"/>
        <w:rPr>
          <w:b/>
          <w:color w:val="000000"/>
        </w:rPr>
      </w:pPr>
      <w:r>
        <w:rPr>
          <w:b/>
          <w:color w:val="000000"/>
        </w:rPr>
        <w:t>D.</w:t>
      </w:r>
      <w:r>
        <w:rPr>
          <w:b/>
          <w:color w:val="000000"/>
        </w:rPr>
        <w:tab/>
        <w:t>CONDITIONS OU RESTRICTIONS EN VUE D’UNE UTILISATION SÛRE ET EFFICACE DU MÉDICAMENT</w:t>
      </w:r>
    </w:p>
    <w:p w14:paraId="5224B6E9" w14:textId="77777777" w:rsidR="00AD39C6" w:rsidRPr="00D2126A" w:rsidRDefault="00AD39C6" w:rsidP="00AD39C6">
      <w:pPr>
        <w:pStyle w:val="Date"/>
      </w:pPr>
    </w:p>
    <w:p w14:paraId="5E76A456" w14:textId="66E1BDB3" w:rsidR="00B52266" w:rsidRPr="00D2126A" w:rsidRDefault="00332130" w:rsidP="00332130">
      <w:pPr>
        <w:pStyle w:val="TitleB"/>
        <w:keepNext/>
        <w:outlineLvl w:val="0"/>
        <w:rPr>
          <w:color w:val="000000"/>
        </w:rPr>
      </w:pPr>
      <w:r>
        <w:br w:type="page"/>
      </w:r>
      <w:r>
        <w:rPr>
          <w:color w:val="000000"/>
        </w:rPr>
        <w:t>A.</w:t>
      </w:r>
      <w:r>
        <w:rPr>
          <w:color w:val="000000"/>
        </w:rPr>
        <w:tab/>
        <w:t>FABRICANT(S) RESPONSABLE(S) DE LA LIBÉRATION DES LOTS</w:t>
      </w:r>
    </w:p>
    <w:p w14:paraId="088B5E92" w14:textId="77777777" w:rsidR="00B52266" w:rsidRPr="00D2126A" w:rsidRDefault="00B52266" w:rsidP="006E24B6">
      <w:pPr>
        <w:keepNext/>
        <w:ind w:right="1416"/>
        <w:jc w:val="both"/>
        <w:rPr>
          <w:noProof/>
          <w:color w:val="000000"/>
        </w:rPr>
      </w:pPr>
    </w:p>
    <w:p w14:paraId="65B7CD05" w14:textId="77777777" w:rsidR="00B52266" w:rsidRPr="00D2126A" w:rsidRDefault="000E5A86" w:rsidP="00DF154F">
      <w:pPr>
        <w:keepNext/>
        <w:rPr>
          <w:noProof/>
          <w:color w:val="000000"/>
        </w:rPr>
      </w:pPr>
      <w:r>
        <w:rPr>
          <w:color w:val="000000"/>
          <w:u w:val="single"/>
        </w:rPr>
        <w:t>Nom et adresse des fabricants responsables de la libération des lots</w:t>
      </w:r>
    </w:p>
    <w:p w14:paraId="57412BAE" w14:textId="77777777" w:rsidR="00B52266" w:rsidRPr="00D2126A" w:rsidRDefault="00B52266" w:rsidP="006E24B6">
      <w:pPr>
        <w:keepNext/>
        <w:jc w:val="both"/>
        <w:rPr>
          <w:noProof/>
          <w:color w:val="000000"/>
        </w:rPr>
      </w:pPr>
    </w:p>
    <w:p w14:paraId="7A359D81" w14:textId="77777777" w:rsidR="003C60F0" w:rsidRPr="00156723" w:rsidRDefault="000E5A86" w:rsidP="006E24B6">
      <w:pPr>
        <w:keepNext/>
      </w:pPr>
      <w:r>
        <w:t>Celgene Distribution B.V.</w:t>
      </w:r>
    </w:p>
    <w:p w14:paraId="376427BE" w14:textId="77777777" w:rsidR="00036363" w:rsidRPr="00156723" w:rsidRDefault="000E5A86" w:rsidP="006E24B6">
      <w:pPr>
        <w:keepNext/>
      </w:pPr>
      <w:r>
        <w:t>Orteliuslaan 1000</w:t>
      </w:r>
    </w:p>
    <w:p w14:paraId="1F82FEB9" w14:textId="77777777" w:rsidR="00036363" w:rsidRPr="00D2126A" w:rsidRDefault="000E5A86" w:rsidP="006E24B6">
      <w:pPr>
        <w:keepNext/>
      </w:pPr>
      <w:r>
        <w:t>3528 BD Utrecht</w:t>
      </w:r>
    </w:p>
    <w:p w14:paraId="19D1FF0C" w14:textId="185567FC" w:rsidR="003C60F0" w:rsidRPr="00D2126A" w:rsidRDefault="000E5A86" w:rsidP="006E24B6">
      <w:pPr>
        <w:pStyle w:val="Date"/>
        <w:keepNext/>
      </w:pPr>
      <w:r>
        <w:t>Pays</w:t>
      </w:r>
      <w:r>
        <w:noBreakHyphen/>
        <w:t>Bas</w:t>
      </w:r>
    </w:p>
    <w:p w14:paraId="28322F20" w14:textId="77777777" w:rsidR="00B52266" w:rsidRPr="00D2126A" w:rsidRDefault="00B52266" w:rsidP="00C93C76">
      <w:pPr>
        <w:jc w:val="both"/>
        <w:rPr>
          <w:color w:val="000000"/>
        </w:rPr>
      </w:pPr>
    </w:p>
    <w:p w14:paraId="2846A835" w14:textId="77777777" w:rsidR="0011510C" w:rsidRPr="00D2126A" w:rsidRDefault="0011510C" w:rsidP="00C93C76">
      <w:pPr>
        <w:pStyle w:val="Date"/>
        <w:rPr>
          <w:color w:val="000000"/>
        </w:rPr>
      </w:pPr>
    </w:p>
    <w:p w14:paraId="39AFBAF7" w14:textId="77777777" w:rsidR="00B52266" w:rsidRPr="00D2126A" w:rsidRDefault="000E5A86" w:rsidP="006E24B6">
      <w:pPr>
        <w:pStyle w:val="TitleB"/>
        <w:keepNext/>
        <w:outlineLvl w:val="0"/>
        <w:rPr>
          <w:color w:val="000000"/>
        </w:rPr>
      </w:pPr>
      <w:r>
        <w:rPr>
          <w:color w:val="000000"/>
        </w:rPr>
        <w:t>B.</w:t>
      </w:r>
      <w:r>
        <w:rPr>
          <w:color w:val="000000"/>
        </w:rPr>
        <w:tab/>
        <w:t>CONDITIONS OU RESTRICTIONS DE DÉLIVRANCE ET D’UTILISATION</w:t>
      </w:r>
    </w:p>
    <w:p w14:paraId="25A47B09" w14:textId="77777777" w:rsidR="00B52266" w:rsidRPr="00D2126A" w:rsidRDefault="00B52266" w:rsidP="006E24B6">
      <w:pPr>
        <w:keepNext/>
        <w:rPr>
          <w:noProof/>
          <w:color w:val="000000"/>
          <w:szCs w:val="24"/>
        </w:rPr>
      </w:pPr>
    </w:p>
    <w:p w14:paraId="3210D1ED" w14:textId="5F0367BC" w:rsidR="00B52266" w:rsidRPr="00D2126A" w:rsidRDefault="000E5A86" w:rsidP="00C93C76">
      <w:pPr>
        <w:numPr>
          <w:ilvl w:val="12"/>
          <w:numId w:val="0"/>
        </w:numPr>
        <w:rPr>
          <w:noProof/>
          <w:color w:val="000000"/>
        </w:rPr>
      </w:pPr>
      <w:r>
        <w:rPr>
          <w:color w:val="000000"/>
        </w:rPr>
        <w:t>Médicament soumis à prescription médicale restreinte (voir Annexe I : Résumé des Caractéristiques du Produit, rubrique 4.2).</w:t>
      </w:r>
    </w:p>
    <w:p w14:paraId="4A5239C7" w14:textId="77777777" w:rsidR="00B52266" w:rsidRPr="00D2126A" w:rsidRDefault="00B52266" w:rsidP="00C93C76">
      <w:pPr>
        <w:rPr>
          <w:color w:val="000000"/>
        </w:rPr>
      </w:pPr>
    </w:p>
    <w:p w14:paraId="4F7F6879" w14:textId="77777777" w:rsidR="00B52266" w:rsidRPr="00D2126A" w:rsidRDefault="00B52266" w:rsidP="00DF154F">
      <w:pPr>
        <w:rPr>
          <w:noProof/>
          <w:color w:val="000000"/>
        </w:rPr>
      </w:pPr>
    </w:p>
    <w:p w14:paraId="65D7DA59" w14:textId="16127E06" w:rsidR="00B52266" w:rsidRPr="00D2126A" w:rsidRDefault="000E5A86" w:rsidP="006E24B6">
      <w:pPr>
        <w:pStyle w:val="TitleB"/>
        <w:keepNext/>
        <w:outlineLvl w:val="0"/>
        <w:rPr>
          <w:bCs/>
          <w:color w:val="000000"/>
        </w:rPr>
      </w:pPr>
      <w:r>
        <w:rPr>
          <w:color w:val="000000"/>
        </w:rPr>
        <w:t>C.</w:t>
      </w:r>
      <w:r>
        <w:rPr>
          <w:color w:val="000000"/>
        </w:rPr>
        <w:tab/>
        <w:t>AUTRES CONDITIONS ET OBLIGATIONS DE L’AUTORISATION DE MISE SUR LE MARCHÉ</w:t>
      </w:r>
    </w:p>
    <w:p w14:paraId="24E073DB" w14:textId="77777777" w:rsidR="00B52266" w:rsidRPr="00D2126A" w:rsidRDefault="00B52266" w:rsidP="006E24B6">
      <w:pPr>
        <w:keepNext/>
        <w:jc w:val="both"/>
        <w:rPr>
          <w:color w:val="000000"/>
        </w:rPr>
      </w:pPr>
    </w:p>
    <w:p w14:paraId="51C96522" w14:textId="77777777" w:rsidR="000A0D65" w:rsidRPr="00D2126A" w:rsidRDefault="000E5A86" w:rsidP="0095440E">
      <w:pPr>
        <w:keepNext/>
        <w:numPr>
          <w:ilvl w:val="0"/>
          <w:numId w:val="31"/>
        </w:numPr>
        <w:tabs>
          <w:tab w:val="clear" w:pos="720"/>
        </w:tabs>
        <w:ind w:left="567" w:hanging="567"/>
        <w:rPr>
          <w:b/>
          <w:color w:val="000000"/>
        </w:rPr>
      </w:pPr>
      <w:r>
        <w:rPr>
          <w:b/>
          <w:color w:val="000000"/>
        </w:rPr>
        <w:t>Rapports périodiques actualisés de sécurité (PSUR)</w:t>
      </w:r>
    </w:p>
    <w:p w14:paraId="587B7CD7" w14:textId="77777777" w:rsidR="00283149" w:rsidRPr="00D2126A" w:rsidRDefault="00283149" w:rsidP="00283149">
      <w:pPr>
        <w:pStyle w:val="Date"/>
        <w:keepNext/>
      </w:pPr>
    </w:p>
    <w:p w14:paraId="3639BB9E" w14:textId="5FAD5931" w:rsidR="000A0D65" w:rsidRPr="00D2126A" w:rsidRDefault="000E5A86" w:rsidP="00C93C76">
      <w:pPr>
        <w:rPr>
          <w:iCs/>
          <w:color w:val="000000"/>
        </w:rPr>
      </w:pPr>
      <w:r>
        <w:rPr>
          <w:color w:val="000000"/>
        </w:rPr>
        <w:t>Les exigences relatives à la soumission des rapports périodiques actualisés de sécurité pour ce médicament sont définies dans la liste des dates de référence pour l’Union (liste EURD) prévue à l’article 107 quater, paragraphe 7, de la directive 2001/83/CE et ses actualisations publiées sur le portail web européen des médicaments.</w:t>
      </w:r>
    </w:p>
    <w:p w14:paraId="5FDF7650" w14:textId="77777777" w:rsidR="000A0D65" w:rsidRPr="00D2126A" w:rsidRDefault="000A0D65" w:rsidP="00C93C76">
      <w:pPr>
        <w:pStyle w:val="Date"/>
        <w:rPr>
          <w:color w:val="000000"/>
        </w:rPr>
      </w:pPr>
    </w:p>
    <w:p w14:paraId="1ACAB3B5" w14:textId="77777777" w:rsidR="003A4728" w:rsidRPr="00D2126A" w:rsidRDefault="003A4728" w:rsidP="00C93C76">
      <w:pPr>
        <w:rPr>
          <w:color w:val="000000"/>
        </w:rPr>
      </w:pPr>
    </w:p>
    <w:p w14:paraId="7048DDB5" w14:textId="77777777" w:rsidR="00036363" w:rsidRPr="00D2126A" w:rsidRDefault="000E5A86" w:rsidP="006E24B6">
      <w:pPr>
        <w:pStyle w:val="TitleB"/>
        <w:keepNext/>
        <w:outlineLvl w:val="0"/>
        <w:rPr>
          <w:bCs/>
          <w:color w:val="000000"/>
        </w:rPr>
      </w:pPr>
      <w:r>
        <w:rPr>
          <w:color w:val="000000"/>
        </w:rPr>
        <w:t>D.</w:t>
      </w:r>
      <w:r>
        <w:rPr>
          <w:color w:val="000000"/>
        </w:rPr>
        <w:tab/>
        <w:t>CONDITIONS OU RESTRICTIONS EN VUE D’UNE UTILISATION SÛRE ET EFFICACE DU MÉDICAMENT</w:t>
      </w:r>
    </w:p>
    <w:p w14:paraId="1D7D82FF" w14:textId="7F72C051" w:rsidR="000A0D65" w:rsidRPr="00D2126A" w:rsidRDefault="000A0D65" w:rsidP="006E24B6">
      <w:pPr>
        <w:keepNext/>
        <w:rPr>
          <w:color w:val="000000"/>
        </w:rPr>
      </w:pPr>
    </w:p>
    <w:p w14:paraId="731738F1" w14:textId="77777777" w:rsidR="00B52266" w:rsidRPr="00D2126A" w:rsidRDefault="000E5A86" w:rsidP="0095440E">
      <w:pPr>
        <w:keepNext/>
        <w:numPr>
          <w:ilvl w:val="0"/>
          <w:numId w:val="31"/>
        </w:numPr>
        <w:tabs>
          <w:tab w:val="clear" w:pos="720"/>
        </w:tabs>
        <w:ind w:left="567" w:hanging="567"/>
        <w:rPr>
          <w:b/>
          <w:color w:val="000000"/>
        </w:rPr>
      </w:pPr>
      <w:r>
        <w:rPr>
          <w:b/>
          <w:color w:val="000000"/>
        </w:rPr>
        <w:t>Plan de gestion des risques (PGR)</w:t>
      </w:r>
    </w:p>
    <w:p w14:paraId="13D1096C" w14:textId="77777777" w:rsidR="00283149" w:rsidRPr="00D2126A" w:rsidRDefault="00283149" w:rsidP="00283149">
      <w:pPr>
        <w:pStyle w:val="Date"/>
        <w:keepNext/>
      </w:pPr>
    </w:p>
    <w:p w14:paraId="5CF05A41" w14:textId="0E6F3383" w:rsidR="00B52266" w:rsidRPr="00D2126A" w:rsidRDefault="000E5A86" w:rsidP="00C93C76">
      <w:pPr>
        <w:rPr>
          <w:color w:val="000000"/>
        </w:rPr>
      </w:pPr>
      <w:r>
        <w:rPr>
          <w:color w:val="000000"/>
        </w:rP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0BC34E40" w14:textId="77777777" w:rsidR="00B52266" w:rsidRPr="00D2126A" w:rsidRDefault="00B52266" w:rsidP="00C93C76">
      <w:pPr>
        <w:rPr>
          <w:iCs/>
          <w:color w:val="000000"/>
        </w:rPr>
      </w:pPr>
    </w:p>
    <w:p w14:paraId="5E9DB089" w14:textId="77777777" w:rsidR="000A0D65" w:rsidRPr="00D2126A" w:rsidRDefault="000E5A86" w:rsidP="006E24B6">
      <w:pPr>
        <w:keepNext/>
        <w:ind w:right="-1"/>
        <w:rPr>
          <w:iCs/>
          <w:color w:val="000000"/>
        </w:rPr>
      </w:pPr>
      <w:r>
        <w:rPr>
          <w:color w:val="000000"/>
        </w:rPr>
        <w:t>De plus, un PGR actualisé doit être soumis :</w:t>
      </w:r>
    </w:p>
    <w:p w14:paraId="628A55F4" w14:textId="02703C51" w:rsidR="000A0D65" w:rsidRPr="00D2126A" w:rsidRDefault="000E5A86" w:rsidP="006E24B6">
      <w:pPr>
        <w:keepNext/>
        <w:numPr>
          <w:ilvl w:val="0"/>
          <w:numId w:val="25"/>
        </w:numPr>
        <w:tabs>
          <w:tab w:val="clear" w:pos="720"/>
          <w:tab w:val="num" w:pos="567"/>
        </w:tabs>
        <w:ind w:left="567" w:hanging="567"/>
        <w:rPr>
          <w:color w:val="000000"/>
        </w:rPr>
      </w:pPr>
      <w:r>
        <w:rPr>
          <w:color w:val="000000"/>
        </w:rPr>
        <w:t>à la demande de l’Agence européenne des médicaments ;</w:t>
      </w:r>
    </w:p>
    <w:p w14:paraId="701057D7" w14:textId="77777777" w:rsidR="00B52266" w:rsidRPr="00D2126A" w:rsidRDefault="000E5A86" w:rsidP="00C93C76">
      <w:pPr>
        <w:numPr>
          <w:ilvl w:val="0"/>
          <w:numId w:val="25"/>
        </w:numPr>
        <w:tabs>
          <w:tab w:val="clear" w:pos="720"/>
          <w:tab w:val="num" w:pos="567"/>
        </w:tabs>
        <w:ind w:left="567" w:hanging="567"/>
        <w:rPr>
          <w:color w:val="000000"/>
        </w:rPr>
      </w:pPr>
      <w:r>
        <w:rPr>
          <w:color w:val="000000"/>
        </w:rPr>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3E06CA04" w14:textId="77777777" w:rsidR="004B2D79" w:rsidRPr="00D2126A" w:rsidRDefault="004B2D79" w:rsidP="00C93C76">
      <w:pPr>
        <w:rPr>
          <w:color w:val="000000"/>
        </w:rPr>
      </w:pPr>
    </w:p>
    <w:p w14:paraId="14D1A4E5" w14:textId="77777777" w:rsidR="000A0D65" w:rsidRPr="00D2126A" w:rsidRDefault="000E5A86" w:rsidP="006E24B6">
      <w:pPr>
        <w:keepNext/>
        <w:numPr>
          <w:ilvl w:val="0"/>
          <w:numId w:val="27"/>
        </w:numPr>
        <w:ind w:left="567" w:right="567" w:hanging="567"/>
        <w:rPr>
          <w:b/>
          <w:noProof/>
          <w:color w:val="000000"/>
        </w:rPr>
      </w:pPr>
      <w:r>
        <w:rPr>
          <w:b/>
          <w:color w:val="000000"/>
        </w:rPr>
        <w:t>Mesures additionnelles de réduction du risque</w:t>
      </w:r>
    </w:p>
    <w:p w14:paraId="686F1388" w14:textId="77777777" w:rsidR="00283149" w:rsidRPr="00D2126A" w:rsidRDefault="00283149" w:rsidP="00283149">
      <w:pPr>
        <w:pStyle w:val="Date"/>
        <w:keepNext/>
      </w:pPr>
    </w:p>
    <w:p w14:paraId="49AF99A4" w14:textId="1181F5EA" w:rsidR="004B2D79" w:rsidRPr="00D2126A" w:rsidRDefault="000E5A86" w:rsidP="006E24B6">
      <w:pPr>
        <w:keepNext/>
        <w:numPr>
          <w:ilvl w:val="0"/>
          <w:numId w:val="11"/>
        </w:numPr>
        <w:tabs>
          <w:tab w:val="clear" w:pos="360"/>
          <w:tab w:val="num" w:pos="567"/>
        </w:tabs>
        <w:ind w:left="567" w:hanging="567"/>
        <w:rPr>
          <w:color w:val="000000"/>
        </w:rPr>
      </w:pPr>
      <w:r>
        <w:rPr>
          <w:color w:val="000000"/>
        </w:rPr>
        <w:t>Le titulaire de l’autorisation de mise sur le marché doit, en accord avec les autorités compétentes nationales, définir et mettre en place au niveau national un programme d’accès contrôlé afin de garantir que :</w:t>
      </w:r>
    </w:p>
    <w:p w14:paraId="70A6081C" w14:textId="2048DDF6" w:rsidR="004B2D79" w:rsidRPr="00D2126A" w:rsidRDefault="000E5A86" w:rsidP="00C93C76">
      <w:pPr>
        <w:numPr>
          <w:ilvl w:val="0"/>
          <w:numId w:val="10"/>
        </w:numPr>
        <w:tabs>
          <w:tab w:val="clear" w:pos="720"/>
          <w:tab w:val="num" w:pos="1134"/>
        </w:tabs>
        <w:ind w:left="1134" w:hanging="567"/>
        <w:rPr>
          <w:color w:val="000000"/>
        </w:rPr>
      </w:pPr>
      <w:r>
        <w:rPr>
          <w:color w:val="000000"/>
        </w:rPr>
        <w:t>Avant la mise sur le marché du médicament, tous les médecins susceptibles de prescrire Revlimid et tous les pharmaciens susceptibles de délivrer Revlimid reçoivent une « lettre d’information destinée aux professionnels de santé » dont le contenu est décrit ci</w:t>
      </w:r>
      <w:r>
        <w:rPr>
          <w:color w:val="000000"/>
        </w:rPr>
        <w:noBreakHyphen/>
        <w:t>dessous.</w:t>
      </w:r>
    </w:p>
    <w:p w14:paraId="2C920AB7" w14:textId="09E5933B" w:rsidR="004B2D79" w:rsidRPr="00D2126A" w:rsidRDefault="000E5A86" w:rsidP="00C240F2">
      <w:pPr>
        <w:pStyle w:val="Style9"/>
      </w:pPr>
      <w:r>
        <w:t>Avant la prescription (le cas échéant et en accord avec l’autorité compétente nationale, avant la délivrance), tous les professionnels de santé pouvant prescrire (et délivrer) Revlimid reçoivent un kit d’information destiné aux professionnels de santé contenant les éléments suivants :</w:t>
      </w:r>
    </w:p>
    <w:p w14:paraId="79B1E1B9" w14:textId="7348BD2B" w:rsidR="004B2D79" w:rsidRPr="00D2126A" w:rsidRDefault="000E5A86" w:rsidP="00C93C76">
      <w:pPr>
        <w:numPr>
          <w:ilvl w:val="1"/>
          <w:numId w:val="5"/>
        </w:numPr>
        <w:tabs>
          <w:tab w:val="clear" w:pos="1500"/>
          <w:tab w:val="num" w:pos="1701"/>
        </w:tabs>
        <w:ind w:left="1701" w:hanging="567"/>
        <w:rPr>
          <w:color w:val="000000"/>
        </w:rPr>
      </w:pPr>
      <w:r>
        <w:rPr>
          <w:color w:val="000000"/>
        </w:rPr>
        <w:t>Brochure d’information pour les professionnels de santé</w:t>
      </w:r>
    </w:p>
    <w:p w14:paraId="382D6ED8" w14:textId="77777777" w:rsidR="004B2D79" w:rsidRPr="00D2126A" w:rsidRDefault="000E5A86" w:rsidP="00C93C76">
      <w:pPr>
        <w:numPr>
          <w:ilvl w:val="1"/>
          <w:numId w:val="5"/>
        </w:numPr>
        <w:tabs>
          <w:tab w:val="clear" w:pos="1500"/>
          <w:tab w:val="num" w:pos="1701"/>
        </w:tabs>
        <w:ind w:left="1701" w:hanging="567"/>
        <w:rPr>
          <w:color w:val="000000"/>
        </w:rPr>
      </w:pPr>
      <w:r>
        <w:rPr>
          <w:color w:val="000000"/>
        </w:rPr>
        <w:t>Brochures d’information pour les patients</w:t>
      </w:r>
    </w:p>
    <w:p w14:paraId="42021907" w14:textId="69C5918F" w:rsidR="004B2D79" w:rsidRPr="00D2126A" w:rsidRDefault="000E5A86" w:rsidP="00C93C76">
      <w:pPr>
        <w:numPr>
          <w:ilvl w:val="1"/>
          <w:numId w:val="5"/>
        </w:numPr>
        <w:tabs>
          <w:tab w:val="clear" w:pos="1500"/>
          <w:tab w:val="num" w:pos="1701"/>
        </w:tabs>
        <w:ind w:left="1701" w:hanging="567"/>
        <w:rPr>
          <w:color w:val="000000"/>
        </w:rPr>
      </w:pPr>
      <w:r>
        <w:rPr>
          <w:color w:val="000000"/>
        </w:rPr>
        <w:t>Carte patient</w:t>
      </w:r>
    </w:p>
    <w:p w14:paraId="65870319" w14:textId="77777777" w:rsidR="00AC75CE" w:rsidRPr="00D2126A" w:rsidRDefault="000E5A86" w:rsidP="006E24B6">
      <w:pPr>
        <w:keepNext/>
        <w:numPr>
          <w:ilvl w:val="1"/>
          <w:numId w:val="5"/>
        </w:numPr>
        <w:tabs>
          <w:tab w:val="clear" w:pos="1500"/>
          <w:tab w:val="num" w:pos="1701"/>
        </w:tabs>
        <w:ind w:left="1701" w:hanging="567"/>
        <w:rPr>
          <w:color w:val="000000"/>
        </w:rPr>
      </w:pPr>
      <w:r>
        <w:rPr>
          <w:color w:val="000000"/>
        </w:rPr>
        <w:t>Formulaires d'accords de soins</w:t>
      </w:r>
    </w:p>
    <w:p w14:paraId="078EC2F5" w14:textId="17C3D32A" w:rsidR="004B2D79" w:rsidRPr="00D2126A" w:rsidRDefault="000E5A86" w:rsidP="00C93C76">
      <w:pPr>
        <w:numPr>
          <w:ilvl w:val="1"/>
          <w:numId w:val="5"/>
        </w:numPr>
        <w:tabs>
          <w:tab w:val="clear" w:pos="1500"/>
          <w:tab w:val="num" w:pos="1701"/>
        </w:tabs>
        <w:ind w:left="1701" w:hanging="567"/>
        <w:rPr>
          <w:color w:val="000000"/>
        </w:rPr>
      </w:pPr>
      <w:r>
        <w:rPr>
          <w:color w:val="000000"/>
        </w:rPr>
        <w:t>Informations sur le moyen d’obtenir la version la plus récente du Résumé des Caractéristiques du Produit (RCP)</w:t>
      </w:r>
    </w:p>
    <w:p w14:paraId="63AEF966" w14:textId="77777777" w:rsidR="004B2D79" w:rsidRPr="00D2126A" w:rsidRDefault="000E5A86" w:rsidP="00C93C76">
      <w:pPr>
        <w:numPr>
          <w:ilvl w:val="0"/>
          <w:numId w:val="11"/>
        </w:numPr>
        <w:tabs>
          <w:tab w:val="clear" w:pos="360"/>
          <w:tab w:val="num" w:pos="567"/>
        </w:tabs>
        <w:ind w:left="567" w:hanging="567"/>
        <w:rPr>
          <w:color w:val="000000"/>
        </w:rPr>
      </w:pPr>
      <w:r>
        <w:rPr>
          <w:color w:val="000000"/>
        </w:rPr>
        <w:t>Le titulaire de l’autorisation de mise sur le marché doit mettre en œuvre le programme de prévention de la grossesse (PPG) dans chaque État membre. Les détails du PPG doivent être définis et mis en place en accord avec l’autorité compétente nationale de chaque État membre avant la mise sur le marché du médicament.</w:t>
      </w:r>
    </w:p>
    <w:p w14:paraId="5BAF9218" w14:textId="4E889DDE" w:rsidR="004B2D79" w:rsidRPr="00D2126A" w:rsidRDefault="000E5A86" w:rsidP="00C93C76">
      <w:pPr>
        <w:numPr>
          <w:ilvl w:val="0"/>
          <w:numId w:val="11"/>
        </w:numPr>
        <w:tabs>
          <w:tab w:val="clear" w:pos="360"/>
          <w:tab w:val="num" w:pos="567"/>
        </w:tabs>
        <w:ind w:left="567" w:hanging="567"/>
        <w:rPr>
          <w:color w:val="000000"/>
        </w:rPr>
      </w:pPr>
      <w:r>
        <w:rPr>
          <w:color w:val="000000"/>
        </w:rPr>
        <w:t>Le titulaire de l’autorisation de mise sur le marché doit établir en accord avec l’autorité compétente nationale de chaque État membre le texte définitif de la « lettre d’information destinée aux professionnels de santé » et le contenu du kit destiné aux professionnels de santé avant la mise sur le marché du médicament, et s’assurer que les documents comprennent les éléments clés décrits ci</w:t>
      </w:r>
      <w:r>
        <w:rPr>
          <w:color w:val="000000"/>
        </w:rPr>
        <w:noBreakHyphen/>
        <w:t>après.</w:t>
      </w:r>
    </w:p>
    <w:p w14:paraId="6BE49D86" w14:textId="6A1D1C8C" w:rsidR="004B2D79" w:rsidRPr="00D2126A" w:rsidRDefault="000E5A86" w:rsidP="006E24B6">
      <w:pPr>
        <w:keepNext/>
        <w:numPr>
          <w:ilvl w:val="0"/>
          <w:numId w:val="11"/>
        </w:numPr>
        <w:tabs>
          <w:tab w:val="clear" w:pos="360"/>
          <w:tab w:val="num" w:pos="567"/>
        </w:tabs>
        <w:ind w:left="567" w:hanging="567"/>
        <w:rPr>
          <w:color w:val="000000"/>
        </w:rPr>
      </w:pPr>
      <w:r>
        <w:rPr>
          <w:color w:val="000000"/>
        </w:rPr>
        <w:t>Le titulaire de l’autorisation de mise sur le marché doit mettre en œuvre le programme d’accès contrôlé dans chaque État membre.</w:t>
      </w:r>
    </w:p>
    <w:p w14:paraId="7C716870" w14:textId="3590301D" w:rsidR="004B2D79" w:rsidRPr="00D2126A" w:rsidDel="00CC15E7" w:rsidRDefault="000E5A86" w:rsidP="006E24B6">
      <w:pPr>
        <w:keepNext/>
        <w:numPr>
          <w:ilvl w:val="0"/>
          <w:numId w:val="11"/>
        </w:numPr>
        <w:tabs>
          <w:tab w:val="clear" w:pos="360"/>
          <w:tab w:val="num" w:pos="567"/>
        </w:tabs>
        <w:ind w:left="567" w:hanging="567"/>
        <w:rPr>
          <w:del w:id="0" w:author="BMS"/>
          <w:color w:val="000000"/>
        </w:rPr>
      </w:pPr>
      <w:del w:id="1" w:author="BMS">
        <w:r w:rsidDel="00CC15E7">
          <w:rPr>
            <w:color w:val="000000"/>
          </w:rPr>
          <w:delText>Le titulaire de l’autorisation de mise sur le marché, en accord avec chaque État membre, doit également définir :</w:delText>
        </w:r>
      </w:del>
    </w:p>
    <w:p w14:paraId="25C0856D" w14:textId="40897976" w:rsidR="004B2D79" w:rsidRPr="00D2126A" w:rsidDel="00CC15E7" w:rsidRDefault="000E5A86" w:rsidP="00C93C76">
      <w:pPr>
        <w:numPr>
          <w:ilvl w:val="0"/>
          <w:numId w:val="9"/>
        </w:numPr>
        <w:tabs>
          <w:tab w:val="clear" w:pos="720"/>
          <w:tab w:val="num" w:pos="1134"/>
        </w:tabs>
        <w:ind w:left="1134" w:hanging="567"/>
        <w:rPr>
          <w:del w:id="2" w:author="BMS"/>
          <w:color w:val="000000"/>
        </w:rPr>
      </w:pPr>
      <w:del w:id="3" w:author="BMS">
        <w:r w:rsidDel="00CC15E7">
          <w:rPr>
            <w:color w:val="000000"/>
          </w:rPr>
          <w:delText>Les détails de la réalisation de l’étude de sécurité post</w:delText>
        </w:r>
        <w:r w:rsidDel="00CC15E7">
          <w:rPr>
            <w:color w:val="000000"/>
          </w:rPr>
          <w:noBreakHyphen/>
          <w:delText>autorisation non interventionnelle dans l’indication de SMD (étude PASS dans l’indication de SMD)</w:delText>
        </w:r>
      </w:del>
    </w:p>
    <w:p w14:paraId="65CB806F" w14:textId="77777777" w:rsidR="001D2547" w:rsidRPr="00D2126A" w:rsidRDefault="001D2547" w:rsidP="00C93C76">
      <w:pPr>
        <w:rPr>
          <w:color w:val="000000"/>
        </w:rPr>
      </w:pPr>
    </w:p>
    <w:p w14:paraId="4B0B1A5C" w14:textId="77777777" w:rsidR="004B2D79" w:rsidRPr="00D2126A" w:rsidRDefault="000E5A86" w:rsidP="006E24B6">
      <w:pPr>
        <w:keepNext/>
        <w:rPr>
          <w:b/>
          <w:color w:val="000000"/>
          <w:u w:val="single"/>
        </w:rPr>
      </w:pPr>
      <w:r>
        <w:rPr>
          <w:b/>
          <w:color w:val="000000"/>
          <w:u w:val="single"/>
        </w:rPr>
        <w:t>Éléments principaux devant être inclus</w:t>
      </w:r>
    </w:p>
    <w:p w14:paraId="03FF14D1" w14:textId="77777777" w:rsidR="00D648B1" w:rsidRPr="00D2126A" w:rsidRDefault="00D648B1" w:rsidP="006E24B6">
      <w:pPr>
        <w:pStyle w:val="Date"/>
        <w:keepNext/>
      </w:pPr>
    </w:p>
    <w:p w14:paraId="6BCE3DC9" w14:textId="79DD0AF6" w:rsidR="004B2D79" w:rsidRPr="00D2126A" w:rsidRDefault="000E5A86" w:rsidP="006E24B6">
      <w:pPr>
        <w:keepNext/>
        <w:rPr>
          <w:b/>
          <w:i/>
          <w:color w:val="000000"/>
          <w:u w:val="single"/>
        </w:rPr>
      </w:pPr>
      <w:r>
        <w:rPr>
          <w:b/>
          <w:i/>
          <w:color w:val="000000"/>
          <w:u w:val="single"/>
        </w:rPr>
        <w:t>Communication directe aux professionnels de santé (avant la mise sur le marché)</w:t>
      </w:r>
    </w:p>
    <w:p w14:paraId="49341CC4" w14:textId="3619EB83" w:rsidR="001B548D" w:rsidRPr="00D2126A" w:rsidRDefault="000E5A86" w:rsidP="006E24B6">
      <w:pPr>
        <w:keepNext/>
        <w:rPr>
          <w:color w:val="000000"/>
        </w:rPr>
      </w:pPr>
      <w:r>
        <w:rPr>
          <w:color w:val="000000"/>
        </w:rPr>
        <w:t>La « lettre d’information aux professionnels de santé » se compose de deux parties :</w:t>
      </w:r>
    </w:p>
    <w:p w14:paraId="6F40730D" w14:textId="77777777" w:rsidR="004B2D79" w:rsidRPr="00D2126A" w:rsidRDefault="000E5A86" w:rsidP="00C93C76">
      <w:pPr>
        <w:numPr>
          <w:ilvl w:val="0"/>
          <w:numId w:val="6"/>
        </w:numPr>
        <w:tabs>
          <w:tab w:val="clear" w:pos="720"/>
          <w:tab w:val="num" w:pos="567"/>
        </w:tabs>
        <w:ind w:left="567" w:hanging="567"/>
        <w:rPr>
          <w:color w:val="000000"/>
        </w:rPr>
      </w:pPr>
      <w:r>
        <w:rPr>
          <w:color w:val="000000"/>
        </w:rPr>
        <w:t>Un texte principal commun, approuvé par le Comité des médicaments à usage humain (CHMP)</w:t>
      </w:r>
    </w:p>
    <w:p w14:paraId="168AB07D" w14:textId="77777777" w:rsidR="004B2D79" w:rsidRPr="00D2126A" w:rsidRDefault="000E5A86" w:rsidP="006E24B6">
      <w:pPr>
        <w:keepNext/>
        <w:numPr>
          <w:ilvl w:val="0"/>
          <w:numId w:val="6"/>
        </w:numPr>
        <w:tabs>
          <w:tab w:val="clear" w:pos="720"/>
          <w:tab w:val="num" w:pos="567"/>
        </w:tabs>
        <w:ind w:left="567" w:hanging="567"/>
        <w:rPr>
          <w:color w:val="000000"/>
        </w:rPr>
      </w:pPr>
      <w:r>
        <w:rPr>
          <w:color w:val="000000"/>
        </w:rPr>
        <w:t>Les exigences nationales spécifiques définies avec l’autorité compétente nationale, relatives :</w:t>
      </w:r>
    </w:p>
    <w:p w14:paraId="61A15B23" w14:textId="77777777" w:rsidR="004B2D79" w:rsidRPr="00D2126A" w:rsidRDefault="000E5A86" w:rsidP="006E24B6">
      <w:pPr>
        <w:keepNext/>
        <w:numPr>
          <w:ilvl w:val="1"/>
          <w:numId w:val="6"/>
        </w:numPr>
        <w:tabs>
          <w:tab w:val="clear" w:pos="1440"/>
          <w:tab w:val="num" w:pos="1134"/>
        </w:tabs>
        <w:ind w:left="1134" w:hanging="567"/>
        <w:rPr>
          <w:color w:val="000000"/>
        </w:rPr>
      </w:pPr>
      <w:r>
        <w:rPr>
          <w:color w:val="000000"/>
        </w:rPr>
        <w:t>Au système de distribution du médicament</w:t>
      </w:r>
    </w:p>
    <w:p w14:paraId="0632429B" w14:textId="1B6CE2C0" w:rsidR="004B2D79" w:rsidRPr="00D2126A" w:rsidRDefault="000E5A86" w:rsidP="00C93C76">
      <w:pPr>
        <w:numPr>
          <w:ilvl w:val="1"/>
          <w:numId w:val="6"/>
        </w:numPr>
        <w:tabs>
          <w:tab w:val="clear" w:pos="1440"/>
          <w:tab w:val="num" w:pos="1134"/>
        </w:tabs>
        <w:ind w:left="1134" w:hanging="567"/>
        <w:rPr>
          <w:color w:val="000000"/>
        </w:rPr>
      </w:pPr>
      <w:r>
        <w:rPr>
          <w:color w:val="000000"/>
        </w:rPr>
        <w:t>Aux procédures destinées à garantir que toutes les mesures appropriées ont été prises avant la délivrance de Revlimid</w:t>
      </w:r>
    </w:p>
    <w:p w14:paraId="5131F592" w14:textId="77777777" w:rsidR="0068431C" w:rsidRPr="00D2126A" w:rsidRDefault="0068431C" w:rsidP="00C93C76">
      <w:pPr>
        <w:rPr>
          <w:color w:val="000000"/>
        </w:rPr>
      </w:pPr>
    </w:p>
    <w:p w14:paraId="04A6C3E6" w14:textId="3B439147" w:rsidR="004B2D79" w:rsidRPr="00D2126A" w:rsidRDefault="000E5A86" w:rsidP="006E24B6">
      <w:pPr>
        <w:keepNext/>
        <w:rPr>
          <w:b/>
          <w:i/>
          <w:color w:val="000000"/>
          <w:u w:val="single"/>
        </w:rPr>
      </w:pPr>
      <w:r>
        <w:rPr>
          <w:b/>
          <w:i/>
          <w:color w:val="000000"/>
          <w:u w:val="single"/>
        </w:rPr>
        <w:t>Kit d’information pour les professionnels de santé</w:t>
      </w:r>
    </w:p>
    <w:p w14:paraId="3EC06FD6" w14:textId="08B43642" w:rsidR="004B2D79" w:rsidRPr="00D2126A" w:rsidRDefault="000E5A86" w:rsidP="00C93C76">
      <w:pPr>
        <w:rPr>
          <w:color w:val="000000"/>
        </w:rPr>
      </w:pPr>
      <w:r>
        <w:rPr>
          <w:color w:val="000000"/>
        </w:rPr>
        <w:t>Le kit d’information pour les professionnels de santé doit contenir les éléments suivants :</w:t>
      </w:r>
    </w:p>
    <w:p w14:paraId="1F2074A5" w14:textId="3B27A6FF" w:rsidR="00544E64" w:rsidRPr="00D2126A" w:rsidRDefault="00544E64" w:rsidP="00C93C76">
      <w:pPr>
        <w:pStyle w:val="Date"/>
      </w:pPr>
    </w:p>
    <w:p w14:paraId="7B3E624B" w14:textId="2CBCD181" w:rsidR="00544E64" w:rsidRPr="00D2126A" w:rsidRDefault="000E5A86" w:rsidP="006E24B6">
      <w:pPr>
        <w:keepNext/>
        <w:rPr>
          <w:b/>
          <w:bCs/>
          <w:u w:val="single"/>
        </w:rPr>
      </w:pPr>
      <w:r>
        <w:rPr>
          <w:b/>
          <w:u w:val="single"/>
        </w:rPr>
        <w:t>Brochure d’information pour les professionnels de santé</w:t>
      </w:r>
    </w:p>
    <w:p w14:paraId="7C99E529" w14:textId="77777777" w:rsidR="00544E64" w:rsidRPr="00D2126A" w:rsidRDefault="00544E64" w:rsidP="006E24B6">
      <w:pPr>
        <w:pStyle w:val="Date"/>
        <w:keepNext/>
      </w:pPr>
    </w:p>
    <w:p w14:paraId="778F34B0" w14:textId="04924677" w:rsidR="004B2D79" w:rsidRPr="00D2126A" w:rsidRDefault="000E5A86" w:rsidP="00C93C76">
      <w:pPr>
        <w:pStyle w:val="StyleBullets"/>
      </w:pPr>
      <w:r>
        <w:t>Brève information sur le lénalidomide</w:t>
      </w:r>
    </w:p>
    <w:p w14:paraId="345D1772" w14:textId="4C130E22" w:rsidR="00C80808" w:rsidRPr="00D2126A" w:rsidRDefault="000E5A86" w:rsidP="006E24B6">
      <w:pPr>
        <w:pStyle w:val="StyleBullets"/>
        <w:keepNext/>
      </w:pPr>
      <w:r>
        <w:t>Durée maximale du traitement prescrit</w:t>
      </w:r>
    </w:p>
    <w:p w14:paraId="7259417C" w14:textId="58529729" w:rsidR="00C80808" w:rsidRPr="00D2126A" w:rsidRDefault="000E5A86" w:rsidP="00C93C76">
      <w:pPr>
        <w:numPr>
          <w:ilvl w:val="1"/>
          <w:numId w:val="7"/>
        </w:numPr>
        <w:tabs>
          <w:tab w:val="clear" w:pos="1440"/>
          <w:tab w:val="num" w:pos="1134"/>
        </w:tabs>
        <w:ind w:left="1134" w:hanging="567"/>
      </w:pPr>
      <w:r>
        <w:t>4 semaines pour les femmes en âge de procréer</w:t>
      </w:r>
    </w:p>
    <w:p w14:paraId="6532206A" w14:textId="737DF528" w:rsidR="00C80808" w:rsidRPr="00D2126A" w:rsidRDefault="000E5A86" w:rsidP="00C93C76">
      <w:pPr>
        <w:numPr>
          <w:ilvl w:val="1"/>
          <w:numId w:val="7"/>
        </w:numPr>
        <w:tabs>
          <w:tab w:val="clear" w:pos="1440"/>
          <w:tab w:val="num" w:pos="1134"/>
        </w:tabs>
        <w:ind w:left="1134" w:hanging="567"/>
      </w:pPr>
      <w:r>
        <w:t>12 semaines pour les hommes et les femmes dans l’impossibilité de procréer</w:t>
      </w:r>
    </w:p>
    <w:p w14:paraId="4F1271C7" w14:textId="4232E3A3" w:rsidR="004B2D79" w:rsidRPr="00D2126A" w:rsidRDefault="000E5A86" w:rsidP="00C93C76">
      <w:pPr>
        <w:pStyle w:val="StyleBullets"/>
      </w:pPr>
      <w:r>
        <w:t>Nécessité de prévenir l’exposition fœtale en raison de la tératogénicité du lénalidomide chez l’animal et de l’effet tératogène du lénalidomide attendu chez l’être humain</w:t>
      </w:r>
    </w:p>
    <w:p w14:paraId="11A3AF05" w14:textId="77777777" w:rsidR="007F2E2D" w:rsidRPr="00D2126A" w:rsidRDefault="000E5A86" w:rsidP="00C93C76">
      <w:pPr>
        <w:pStyle w:val="StyleBullets"/>
      </w:pPr>
      <w:r>
        <w:t>Recommandations pour la manipulation des plaquettes ou des gélules de Revlimid destinées aux professionnels de santé et aux aidants</w:t>
      </w:r>
    </w:p>
    <w:p w14:paraId="4F7E107B" w14:textId="70C03FCE" w:rsidR="004B2D79" w:rsidRPr="00D2126A" w:rsidRDefault="000E5A86" w:rsidP="006E24B6">
      <w:pPr>
        <w:pStyle w:val="StyleBullets"/>
        <w:keepNext/>
      </w:pPr>
      <w:r>
        <w:t>Obligations des professionnels de santé susceptibles de prescrire ou de délivrer Revlimid</w:t>
      </w:r>
    </w:p>
    <w:p w14:paraId="324B2B55"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Nécessité de conseiller et d’informer les patients de manière détaillée</w:t>
      </w:r>
    </w:p>
    <w:p w14:paraId="08CA1DE5"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Les patients doivent être en mesure de respecter les exigences relatives à une utilisation sûre de Revlimid</w:t>
      </w:r>
    </w:p>
    <w:p w14:paraId="4CE98EA4" w14:textId="1A5CC424" w:rsidR="00611D89" w:rsidRPr="00D2126A" w:rsidRDefault="000E5A86" w:rsidP="00C93C76">
      <w:pPr>
        <w:pStyle w:val="Date"/>
        <w:numPr>
          <w:ilvl w:val="1"/>
          <w:numId w:val="7"/>
        </w:numPr>
        <w:tabs>
          <w:tab w:val="clear" w:pos="1440"/>
          <w:tab w:val="num" w:pos="1134"/>
        </w:tabs>
        <w:ind w:left="1134" w:hanging="567"/>
      </w:pPr>
      <w:r>
        <w:rPr>
          <w:color w:val="000000"/>
        </w:rPr>
        <w:t>Nécessité de fournir au patient une brochure d’information appropriée destinée aux patients, une carte patient et/ou un document équivalent</w:t>
      </w:r>
    </w:p>
    <w:p w14:paraId="3712091D"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Conseils de sécurité applicables à tous les patients</w:t>
      </w:r>
    </w:p>
    <w:p w14:paraId="4C0BB41A" w14:textId="77777777" w:rsidR="00885E4F" w:rsidRPr="00D2126A" w:rsidRDefault="000E5A86" w:rsidP="00C93C76">
      <w:pPr>
        <w:numPr>
          <w:ilvl w:val="1"/>
          <w:numId w:val="7"/>
        </w:numPr>
        <w:tabs>
          <w:tab w:val="clear" w:pos="1440"/>
          <w:tab w:val="num" w:pos="1134"/>
        </w:tabs>
        <w:ind w:left="1134" w:hanging="567"/>
      </w:pPr>
      <w:r>
        <w:rPr>
          <w:color w:val="000000"/>
        </w:rPr>
        <w:t>Description du risque de réaction de poussée tumorale chez les patients présentant un lymphome à cellules du manteau ou un lymphome folliculaire</w:t>
      </w:r>
    </w:p>
    <w:p w14:paraId="78091618" w14:textId="5B063FC0" w:rsidR="00567B75" w:rsidRPr="00D2126A" w:rsidDel="00AA673F" w:rsidRDefault="000E5A86" w:rsidP="00C93C76">
      <w:pPr>
        <w:numPr>
          <w:ilvl w:val="1"/>
          <w:numId w:val="7"/>
        </w:numPr>
        <w:tabs>
          <w:tab w:val="clear" w:pos="1440"/>
          <w:tab w:val="num" w:pos="1134"/>
        </w:tabs>
        <w:ind w:left="1134" w:hanging="567"/>
        <w:rPr>
          <w:del w:id="4" w:author="BMS"/>
          <w:color w:val="000000"/>
        </w:rPr>
      </w:pPr>
      <w:del w:id="5" w:author="BMS">
        <w:r w:rsidDel="00AA673F">
          <w:rPr>
            <w:color w:val="000000"/>
          </w:rPr>
          <w:delText>Description du risque de progression en LAM chez les patients atteints de SMD, en indiquant les taux d’incidence observés dans les études cliniques</w:delText>
        </w:r>
      </w:del>
    </w:p>
    <w:p w14:paraId="0FA18FF5" w14:textId="77777777" w:rsidR="00D862A3" w:rsidRPr="00D2126A" w:rsidRDefault="000E5A86" w:rsidP="00C93C76">
      <w:pPr>
        <w:numPr>
          <w:ilvl w:val="1"/>
          <w:numId w:val="7"/>
        </w:numPr>
        <w:tabs>
          <w:tab w:val="clear" w:pos="1440"/>
          <w:tab w:val="num" w:pos="1134"/>
        </w:tabs>
        <w:ind w:left="1134" w:hanging="567"/>
      </w:pPr>
      <w:r>
        <w:t>Description du risque de cancers secondaires</w:t>
      </w:r>
    </w:p>
    <w:p w14:paraId="3F7737D7" w14:textId="635F2728" w:rsidR="000C0AA0" w:rsidRPr="00D2126A" w:rsidRDefault="000E5A86" w:rsidP="00C93C76">
      <w:pPr>
        <w:numPr>
          <w:ilvl w:val="1"/>
          <w:numId w:val="7"/>
        </w:numPr>
        <w:tabs>
          <w:tab w:val="clear" w:pos="1440"/>
          <w:tab w:val="num" w:pos="1134"/>
        </w:tabs>
        <w:ind w:left="1134" w:hanging="567"/>
        <w:rPr>
          <w:color w:val="000000"/>
        </w:rPr>
      </w:pPr>
      <w:r>
        <w:rPr>
          <w:color w:val="000000"/>
        </w:rPr>
        <w:t>Accords nationaux spécifiques à la délivrance du lénalidomide faisant suite à une prescription</w:t>
      </w:r>
    </w:p>
    <w:p w14:paraId="441C5995" w14:textId="2781F3EB" w:rsidR="00D862A3" w:rsidRPr="00D2126A" w:rsidRDefault="000E5A86" w:rsidP="006E24B6">
      <w:pPr>
        <w:keepNext/>
        <w:numPr>
          <w:ilvl w:val="1"/>
          <w:numId w:val="7"/>
        </w:numPr>
        <w:tabs>
          <w:tab w:val="clear" w:pos="1440"/>
          <w:tab w:val="num" w:pos="1134"/>
        </w:tabs>
        <w:ind w:left="1134" w:hanging="567"/>
        <w:rPr>
          <w:color w:val="000000"/>
        </w:rPr>
      </w:pPr>
      <w:r>
        <w:t>Toutes les gélules non utilisées doivent être rapportées au pharmacien à la fin du traitement</w:t>
      </w:r>
    </w:p>
    <w:p w14:paraId="0EA59015" w14:textId="3E4DFF3E" w:rsidR="00BB2E76" w:rsidRPr="00D2126A" w:rsidRDefault="000E5A86" w:rsidP="00C93C76">
      <w:pPr>
        <w:numPr>
          <w:ilvl w:val="1"/>
          <w:numId w:val="7"/>
        </w:numPr>
        <w:tabs>
          <w:tab w:val="clear" w:pos="1440"/>
          <w:tab w:val="num" w:pos="1134"/>
        </w:tabs>
        <w:ind w:left="1134" w:hanging="567"/>
      </w:pPr>
      <w:r>
        <w:t>Les patients ne doivent pas faire de don de sang pendant le traitement (y compris pendant les interruptions du traitement) et pendant au moins 7 jours après l’arrêt du traitement par Revlimid</w:t>
      </w:r>
    </w:p>
    <w:p w14:paraId="00953F23"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Description du PPG et statut des patients en fonction de leur sexe et de leur susceptibilité à procréer</w:t>
      </w:r>
    </w:p>
    <w:p w14:paraId="78A3DC75" w14:textId="77777777" w:rsidR="004B2D79" w:rsidRPr="00D2126A" w:rsidRDefault="000E5A86" w:rsidP="006E24B6">
      <w:pPr>
        <w:pStyle w:val="StyleBullets2"/>
        <w:keepNext/>
      </w:pPr>
      <w:r>
        <w:t>Algorithme d’application du PPG</w:t>
      </w:r>
    </w:p>
    <w:p w14:paraId="414D5DEE" w14:textId="1EE84290" w:rsidR="004B2D79" w:rsidRPr="00D2126A" w:rsidRDefault="000E5A86" w:rsidP="00C93C76">
      <w:pPr>
        <w:pStyle w:val="StyleBullets2"/>
      </w:pPr>
      <w:r>
        <w:t>Définition d’une femme en âge de procréer et mesures à prendre par le prescripteur en cas de doute</w:t>
      </w:r>
    </w:p>
    <w:p w14:paraId="5019485B"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Conseils de sécurité pour les femmes en âge de procréer</w:t>
      </w:r>
    </w:p>
    <w:p w14:paraId="74F99D2D" w14:textId="77777777" w:rsidR="004B2D79" w:rsidRPr="00D2126A" w:rsidRDefault="000E5A86" w:rsidP="00C93C76">
      <w:pPr>
        <w:pStyle w:val="StyleBullets2"/>
      </w:pPr>
      <w:r>
        <w:t>Nécessité de prévenir l’exposition fœtale</w:t>
      </w:r>
    </w:p>
    <w:p w14:paraId="270FCA8D" w14:textId="77777777" w:rsidR="004B2D79" w:rsidRPr="00D2126A" w:rsidRDefault="000E5A86" w:rsidP="00C93C76">
      <w:pPr>
        <w:pStyle w:val="StyleBullets2"/>
      </w:pPr>
      <w:r>
        <w:t>Description du PPG</w:t>
      </w:r>
    </w:p>
    <w:p w14:paraId="1267AFE7" w14:textId="084473CD" w:rsidR="00EF4D4B" w:rsidRPr="00D2126A" w:rsidRDefault="000E5A86" w:rsidP="00C93C76">
      <w:pPr>
        <w:pStyle w:val="StyleBullets2"/>
      </w:pPr>
      <w:r>
        <w:t>Nécessité et définition d’une contraception efficace (même chez la femme présentant une aménorrhée)</w:t>
      </w:r>
    </w:p>
    <w:p w14:paraId="2ED3E059" w14:textId="77777777" w:rsidR="00EF4D4B" w:rsidRPr="00D2126A" w:rsidRDefault="000E5A86" w:rsidP="006E24B6">
      <w:pPr>
        <w:pStyle w:val="StyleBullets2"/>
        <w:keepNext/>
        <w:rPr>
          <w:noProof/>
        </w:rPr>
      </w:pPr>
      <w:r>
        <w:t>Si elle doit changer ou arrêter d’utiliser sa méthode de contraception, elle doit en informer :</w:t>
      </w:r>
    </w:p>
    <w:p w14:paraId="11528F5A" w14:textId="6CD6A953" w:rsidR="00EF4D4B" w:rsidRPr="00D2126A" w:rsidRDefault="000E5A86" w:rsidP="007C237C">
      <w:pPr>
        <w:pStyle w:val="StyleBullets3"/>
        <w:keepNext/>
      </w:pPr>
      <w:r>
        <w:t>Le médecin qui prescrit sa contraception qu’elle est sous lénalidomide</w:t>
      </w:r>
    </w:p>
    <w:p w14:paraId="022ABD15" w14:textId="2FC5D2D3" w:rsidR="00AC5923" w:rsidRPr="00D2126A" w:rsidRDefault="000E5A86" w:rsidP="00C93C76">
      <w:pPr>
        <w:pStyle w:val="ListParagraph"/>
        <w:numPr>
          <w:ilvl w:val="0"/>
          <w:numId w:val="60"/>
        </w:numPr>
        <w:tabs>
          <w:tab w:val="left" w:pos="1701"/>
        </w:tabs>
        <w:ind w:left="1701" w:hanging="567"/>
        <w:contextualSpacing/>
        <w:rPr>
          <w:rFonts w:ascii="Times New Roman" w:hAnsi="Times New Roman" w:cs="Times New Roman"/>
        </w:rPr>
      </w:pPr>
      <w:r>
        <w:rPr>
          <w:rFonts w:ascii="Times New Roman" w:hAnsi="Times New Roman"/>
        </w:rPr>
        <w:t>Le médecin prescrivant le lénalidomide, qu’elle a arrêté ou modifié sa méthode de contraception</w:t>
      </w:r>
    </w:p>
    <w:p w14:paraId="05C1BF15"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Modalités des tests de grossesse</w:t>
      </w:r>
    </w:p>
    <w:p w14:paraId="74CC3B5A" w14:textId="77777777" w:rsidR="004B2D79" w:rsidRPr="00D2126A" w:rsidRDefault="000E5A86" w:rsidP="00C93C76">
      <w:pPr>
        <w:pStyle w:val="StyleBullets3"/>
      </w:pPr>
      <w:r>
        <w:t>Conseils sur les tests jugés appropriés</w:t>
      </w:r>
    </w:p>
    <w:p w14:paraId="5A0DEAC6" w14:textId="77777777" w:rsidR="004B2D79" w:rsidRPr="00D2126A" w:rsidRDefault="000E5A86" w:rsidP="00C93C76">
      <w:pPr>
        <w:pStyle w:val="StyleBullets3"/>
      </w:pPr>
      <w:r>
        <w:t>Avant le début du traitement</w:t>
      </w:r>
    </w:p>
    <w:p w14:paraId="62F48A2A" w14:textId="77777777" w:rsidR="004B2D79" w:rsidRPr="00D2126A" w:rsidRDefault="000E5A86" w:rsidP="006E24B6">
      <w:pPr>
        <w:pStyle w:val="StyleBullets3"/>
        <w:keepNext/>
      </w:pPr>
      <w:r>
        <w:t>Pendant le traitement en fonction de la méthode de contraception</w:t>
      </w:r>
    </w:p>
    <w:p w14:paraId="5A655E19" w14:textId="77777777" w:rsidR="004B2D79" w:rsidRPr="00D2126A" w:rsidRDefault="000E5A86" w:rsidP="00C93C76">
      <w:pPr>
        <w:pStyle w:val="StyleBullets3"/>
      </w:pPr>
      <w:r>
        <w:t>Après l’arrêt du traitement</w:t>
      </w:r>
    </w:p>
    <w:p w14:paraId="7DD7D40C" w14:textId="77777777" w:rsidR="004B2D79" w:rsidRPr="00D2126A" w:rsidRDefault="000E5A86" w:rsidP="006E24B6">
      <w:pPr>
        <w:pStyle w:val="StyleBullets2"/>
        <w:keepNext/>
      </w:pPr>
      <w:r>
        <w:t>Nécessité d’arrêter immédiatement le traitement par Revlimid en cas de suspicion de grossesse</w:t>
      </w:r>
    </w:p>
    <w:p w14:paraId="5BEED0EF" w14:textId="77777777" w:rsidR="004B2D79" w:rsidRPr="00D2126A" w:rsidRDefault="000E5A86" w:rsidP="00C93C76">
      <w:pPr>
        <w:pStyle w:val="StyleBullets2"/>
      </w:pPr>
      <w:r>
        <w:t>Nécessité d’informer immédiatement le médecin traitant en cas de suspicion de grossesse</w:t>
      </w:r>
    </w:p>
    <w:p w14:paraId="73D25556"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Conseils de sécurité pour les hommes</w:t>
      </w:r>
    </w:p>
    <w:p w14:paraId="6720AF63"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Nécessité de prévenir l’exposition fœtale</w:t>
      </w:r>
    </w:p>
    <w:p w14:paraId="6BF55F93" w14:textId="7731F959" w:rsidR="004B2D79" w:rsidRPr="00D2126A" w:rsidRDefault="000E5A86" w:rsidP="006E24B6">
      <w:pPr>
        <w:keepNext/>
        <w:numPr>
          <w:ilvl w:val="1"/>
          <w:numId w:val="7"/>
        </w:numPr>
        <w:tabs>
          <w:tab w:val="clear" w:pos="1440"/>
          <w:tab w:val="num" w:pos="1134"/>
        </w:tabs>
        <w:ind w:left="1134" w:hanging="567"/>
        <w:rPr>
          <w:color w:val="000000"/>
        </w:rPr>
      </w:pPr>
      <w:r>
        <w:rPr>
          <w:color w:val="000000"/>
        </w:rPr>
        <w:t>Nécessité d’utiliser des préservatifs si leur partenaire est enceinte ou en âge de procréer et n’utilise pas de contraception efficace (même si l’homme est vasectomisé)</w:t>
      </w:r>
    </w:p>
    <w:p w14:paraId="3F6078D9" w14:textId="77777777" w:rsidR="004B2D79" w:rsidRPr="00D2126A" w:rsidRDefault="000E5A86" w:rsidP="00C93C76">
      <w:pPr>
        <w:numPr>
          <w:ilvl w:val="2"/>
          <w:numId w:val="7"/>
        </w:numPr>
        <w:tabs>
          <w:tab w:val="clear" w:pos="2160"/>
          <w:tab w:val="num" w:pos="1701"/>
        </w:tabs>
        <w:ind w:left="1701" w:hanging="567"/>
        <w:rPr>
          <w:color w:val="000000"/>
        </w:rPr>
      </w:pPr>
      <w:r>
        <w:rPr>
          <w:color w:val="000000"/>
        </w:rPr>
        <w:t>Pendant le traitement par Revlimid</w:t>
      </w:r>
    </w:p>
    <w:p w14:paraId="7308ECC7" w14:textId="7E06808E" w:rsidR="004B2D79" w:rsidRPr="00D2126A" w:rsidRDefault="000E5A86" w:rsidP="00C93C76">
      <w:pPr>
        <w:numPr>
          <w:ilvl w:val="2"/>
          <w:numId w:val="7"/>
        </w:numPr>
        <w:tabs>
          <w:tab w:val="clear" w:pos="2160"/>
          <w:tab w:val="num" w:pos="1701"/>
        </w:tabs>
        <w:ind w:left="1701" w:hanging="567"/>
        <w:rPr>
          <w:color w:val="000000"/>
        </w:rPr>
      </w:pPr>
      <w:r>
        <w:rPr>
          <w:color w:val="000000"/>
        </w:rPr>
        <w:t>Pendant au moins 7 jours après la prise de la dernière dose.</w:t>
      </w:r>
    </w:p>
    <w:p w14:paraId="3870873A" w14:textId="4D5E9B25" w:rsidR="00E7702D" w:rsidRPr="00D2126A" w:rsidRDefault="000E5A86" w:rsidP="006E24B6">
      <w:pPr>
        <w:pStyle w:val="StyleBullets2"/>
        <w:keepNext/>
      </w:pPr>
      <w:r>
        <w:t>Les patients ne doivent pas faire de don de sperme pendant le traitement (y compris pendant les interruptions du traitement) et pendant au moins 7 jours après la fin du traitement par Revlimid</w:t>
      </w:r>
    </w:p>
    <w:p w14:paraId="50009C81" w14:textId="77777777" w:rsidR="004B2D79" w:rsidRPr="00D2126A" w:rsidRDefault="000E5A86" w:rsidP="00C93C76">
      <w:pPr>
        <w:pStyle w:val="StyleBullets2"/>
      </w:pPr>
      <w:r>
        <w:t>Si la partenaire du patient découvre une grossesse alors que le patient prend Revlimid ou immédiatement après l’arrêt du traitement par Revlimid, ce dernier doit en informer immédiatement son médecin traitant</w:t>
      </w:r>
    </w:p>
    <w:p w14:paraId="4280D1F0"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Exigences en cas de grossesse</w:t>
      </w:r>
    </w:p>
    <w:p w14:paraId="6302AC31" w14:textId="77777777" w:rsidR="004B2D79" w:rsidRPr="00D2126A" w:rsidRDefault="000E5A86" w:rsidP="00C93C76">
      <w:pPr>
        <w:pStyle w:val="StyleBullets2"/>
      </w:pPr>
      <w:r>
        <w:t>Instructions d’arrêter immédiatement le traitement par Revlimid en cas de suspicion de grossesse chez une patiente</w:t>
      </w:r>
    </w:p>
    <w:p w14:paraId="7894C2FE" w14:textId="77777777" w:rsidR="004B2D79" w:rsidRPr="00D2126A" w:rsidRDefault="000E5A86" w:rsidP="006E24B6">
      <w:pPr>
        <w:pStyle w:val="StyleBullets2"/>
        <w:keepNext/>
      </w:pPr>
      <w:r>
        <w:t>Nécessité d’orienter la patiente vers un médecin spécialisé ou expérimenté en tératologie et en diagnostic prénatal pour évaluation et conseil</w:t>
      </w:r>
    </w:p>
    <w:p w14:paraId="7E097963" w14:textId="77777777" w:rsidR="004B2D79" w:rsidRPr="00D2126A" w:rsidRDefault="000E5A86" w:rsidP="00C93C76">
      <w:pPr>
        <w:pStyle w:val="StyleBullets2"/>
      </w:pPr>
      <w:r>
        <w:t>Coordonnées locales permettant de signaler immédiatement une suspicion de grossesse</w:t>
      </w:r>
    </w:p>
    <w:p w14:paraId="52E0E989" w14:textId="5BB8600F" w:rsidR="00AD1833" w:rsidRPr="00D2126A" w:rsidRDefault="000E5A86" w:rsidP="006E24B6">
      <w:pPr>
        <w:keepNext/>
        <w:numPr>
          <w:ilvl w:val="0"/>
          <w:numId w:val="7"/>
        </w:numPr>
        <w:tabs>
          <w:tab w:val="clear" w:pos="720"/>
          <w:tab w:val="num" w:pos="567"/>
        </w:tabs>
        <w:ind w:left="567" w:hanging="567"/>
      </w:pPr>
      <w:r>
        <w:rPr>
          <w:u w:val="single"/>
        </w:rPr>
        <w:t>Coordonnées locale</w:t>
      </w:r>
      <w:r>
        <w:t>s pour la déclaration des effets indésirables</w:t>
      </w:r>
    </w:p>
    <w:p w14:paraId="196C1B84" w14:textId="13DD3D84" w:rsidR="00514381" w:rsidRPr="00D2126A" w:rsidDel="00AA673F" w:rsidRDefault="000E5A86" w:rsidP="00C93C76">
      <w:pPr>
        <w:pStyle w:val="Date"/>
        <w:numPr>
          <w:ilvl w:val="0"/>
          <w:numId w:val="7"/>
        </w:numPr>
        <w:tabs>
          <w:tab w:val="clear" w:pos="720"/>
          <w:tab w:val="num" w:pos="567"/>
        </w:tabs>
        <w:ind w:left="567" w:hanging="567"/>
        <w:rPr>
          <w:del w:id="6" w:author="BMS"/>
        </w:rPr>
      </w:pPr>
      <w:del w:id="7" w:author="BMS">
        <w:r w:rsidDel="00AA673F">
          <w:rPr>
            <w:color w:val="000000"/>
            <w:u w:val="single"/>
          </w:rPr>
          <w:delText>Informations sur l’étude PASS dans l’indication de SMD</w:delText>
        </w:r>
        <w:r w:rsidDel="00AA673F">
          <w:rPr>
            <w:color w:val="000000"/>
          </w:rPr>
          <w:delText xml:space="preserve"> soulignant qu’avant de prescrire Revlimid chez des patients présentant un SMD, les professionnels de la santé doivent inclure ces patients dans l’étude PASS</w:delText>
        </w:r>
      </w:del>
    </w:p>
    <w:p w14:paraId="35A850DB" w14:textId="77777777" w:rsidR="004B2D79" w:rsidRPr="00D2126A" w:rsidRDefault="004B2D79" w:rsidP="00C93C76">
      <w:pPr>
        <w:rPr>
          <w:color w:val="000000"/>
        </w:rPr>
      </w:pPr>
    </w:p>
    <w:p w14:paraId="1532A539" w14:textId="77777777" w:rsidR="004B2D79" w:rsidRPr="00D2126A" w:rsidRDefault="000E5A86" w:rsidP="006E24B6">
      <w:pPr>
        <w:keepNext/>
        <w:rPr>
          <w:b/>
          <w:iCs/>
          <w:color w:val="000000"/>
          <w:u w:val="single"/>
        </w:rPr>
      </w:pPr>
      <w:r>
        <w:rPr>
          <w:b/>
          <w:color w:val="000000"/>
          <w:u w:val="single"/>
        </w:rPr>
        <w:t>Brochure d’information pour les patients</w:t>
      </w:r>
    </w:p>
    <w:p w14:paraId="52F93002" w14:textId="77777777" w:rsidR="004B2D79" w:rsidRPr="00D2126A" w:rsidRDefault="004B2D79" w:rsidP="006E24B6">
      <w:pPr>
        <w:keepNext/>
        <w:rPr>
          <w:color w:val="000000"/>
          <w:u w:val="single"/>
        </w:rPr>
      </w:pPr>
    </w:p>
    <w:p w14:paraId="3CB38E53" w14:textId="77777777" w:rsidR="004B2D79" w:rsidRPr="00D2126A" w:rsidRDefault="000E5A86" w:rsidP="006E24B6">
      <w:pPr>
        <w:keepNext/>
        <w:rPr>
          <w:color w:val="000000"/>
        </w:rPr>
      </w:pPr>
      <w:r>
        <w:rPr>
          <w:color w:val="000000"/>
        </w:rPr>
        <w:t>Trois types de brochures d’information pour les patients doivent être disponibles :</w:t>
      </w:r>
    </w:p>
    <w:p w14:paraId="4F67D893" w14:textId="77777777" w:rsidR="004B2D79" w:rsidRPr="00D2126A" w:rsidRDefault="000E5A86" w:rsidP="00C240F2">
      <w:pPr>
        <w:pStyle w:val="StyleBullets"/>
      </w:pPr>
      <w:r>
        <w:t>Brochure pour les patientes en âge de procréer et leurs partenaires</w:t>
      </w:r>
    </w:p>
    <w:p w14:paraId="5DEC51BF" w14:textId="77777777" w:rsidR="004B2D79" w:rsidRPr="00D2126A" w:rsidRDefault="000E5A86" w:rsidP="006E24B6">
      <w:pPr>
        <w:keepNext/>
        <w:numPr>
          <w:ilvl w:val="0"/>
          <w:numId w:val="8"/>
        </w:numPr>
        <w:tabs>
          <w:tab w:val="clear" w:pos="720"/>
          <w:tab w:val="num" w:pos="567"/>
        </w:tabs>
        <w:ind w:left="567" w:hanging="567"/>
        <w:rPr>
          <w:color w:val="000000"/>
        </w:rPr>
      </w:pPr>
      <w:r>
        <w:rPr>
          <w:color w:val="000000"/>
        </w:rPr>
        <w:t>Brochure pour les patientes dans l’impossibilité de procréer</w:t>
      </w:r>
    </w:p>
    <w:p w14:paraId="4E08FE21"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Brochure pour les hommes</w:t>
      </w:r>
    </w:p>
    <w:p w14:paraId="4A0A077D" w14:textId="77777777" w:rsidR="004B2D79" w:rsidRPr="00D2126A" w:rsidRDefault="004B2D79" w:rsidP="00C93C76">
      <w:pPr>
        <w:rPr>
          <w:color w:val="000000"/>
        </w:rPr>
      </w:pPr>
    </w:p>
    <w:p w14:paraId="7DCE1588" w14:textId="7085B6B3" w:rsidR="004B2D79" w:rsidRPr="00D2126A" w:rsidRDefault="000E5A86" w:rsidP="006E24B6">
      <w:pPr>
        <w:keepNext/>
        <w:rPr>
          <w:color w:val="000000"/>
        </w:rPr>
      </w:pPr>
      <w:r>
        <w:rPr>
          <w:color w:val="000000"/>
        </w:rPr>
        <w:t>Toutes les brochures d’information pour les patients doivent contenir les éléments suivants :</w:t>
      </w:r>
    </w:p>
    <w:p w14:paraId="661CFB6A"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Le lénalidomide est tératogène chez l’animal et un effet tératogène est attendu chez l’être humain</w:t>
      </w:r>
    </w:p>
    <w:p w14:paraId="00E5F8D7"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Description de la carte patient et de sa nécessité</w:t>
      </w:r>
    </w:p>
    <w:p w14:paraId="27047F13" w14:textId="382B84F1" w:rsidR="004B2D79" w:rsidRPr="00D2126A" w:rsidRDefault="000E5A86" w:rsidP="00C93C76">
      <w:pPr>
        <w:numPr>
          <w:ilvl w:val="0"/>
          <w:numId w:val="8"/>
        </w:numPr>
        <w:tabs>
          <w:tab w:val="clear" w:pos="720"/>
          <w:tab w:val="num" w:pos="567"/>
        </w:tabs>
        <w:ind w:left="567" w:hanging="567"/>
        <w:rPr>
          <w:color w:val="000000"/>
        </w:rPr>
      </w:pPr>
      <w:r>
        <w:rPr>
          <w:color w:val="000000"/>
        </w:rPr>
        <w:t>Instructions sur la manipulation de Revlimid destinées aux patients, aux aidants et aux membres de la famille</w:t>
      </w:r>
    </w:p>
    <w:p w14:paraId="728BCC56"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Accords nationaux ou autres accords spécifiques applicables sur la délivrance de Revlimid suite à la prescription</w:t>
      </w:r>
    </w:p>
    <w:p w14:paraId="782AEBEC" w14:textId="7897F068" w:rsidR="004B2D79" w:rsidRPr="00D2126A" w:rsidRDefault="000E5A86" w:rsidP="00C93C76">
      <w:pPr>
        <w:numPr>
          <w:ilvl w:val="0"/>
          <w:numId w:val="8"/>
        </w:numPr>
        <w:tabs>
          <w:tab w:val="clear" w:pos="720"/>
          <w:tab w:val="num" w:pos="567"/>
        </w:tabs>
        <w:ind w:left="567" w:hanging="567"/>
        <w:rPr>
          <w:color w:val="000000"/>
        </w:rPr>
      </w:pPr>
      <w:r>
        <w:rPr>
          <w:color w:val="000000"/>
        </w:rPr>
        <w:t>Le patient ne doit pas donner Revlimid à une autre personne</w:t>
      </w:r>
    </w:p>
    <w:p w14:paraId="21A9BBE4" w14:textId="6A9A4762" w:rsidR="004B2D79" w:rsidRPr="00D2126A" w:rsidRDefault="000E5A86" w:rsidP="00C93C76">
      <w:pPr>
        <w:numPr>
          <w:ilvl w:val="0"/>
          <w:numId w:val="8"/>
        </w:numPr>
        <w:tabs>
          <w:tab w:val="clear" w:pos="720"/>
          <w:tab w:val="num" w:pos="567"/>
        </w:tabs>
        <w:ind w:left="567" w:hanging="567"/>
        <w:rPr>
          <w:color w:val="000000"/>
        </w:rPr>
      </w:pPr>
      <w:r>
        <w:rPr>
          <w:color w:val="000000"/>
        </w:rPr>
        <w:t>Le patient ne doit pas faire de don de sang pendant le traitement (y compris pendant les interruptions de traitement) et pendant au moins 7 jours après l’arrêt du traitement par Revlimid</w:t>
      </w:r>
    </w:p>
    <w:p w14:paraId="0799D6C0"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Le patient doit informer son médecin de la survenue d’effets indésirables</w:t>
      </w:r>
    </w:p>
    <w:p w14:paraId="33D02AB7" w14:textId="77777777" w:rsidR="00F45B41" w:rsidRPr="00D2126A" w:rsidRDefault="000E5A86" w:rsidP="006E24B6">
      <w:pPr>
        <w:pStyle w:val="Date"/>
        <w:keepNext/>
        <w:numPr>
          <w:ilvl w:val="0"/>
          <w:numId w:val="8"/>
        </w:numPr>
        <w:tabs>
          <w:tab w:val="clear" w:pos="720"/>
          <w:tab w:val="num" w:pos="567"/>
        </w:tabs>
        <w:ind w:left="567" w:hanging="567"/>
      </w:pPr>
      <w:r>
        <w:t>Les gélules non utilisées doivent être rapportées au pharmacien à la fin du traitement</w:t>
      </w:r>
    </w:p>
    <w:p w14:paraId="54037357" w14:textId="117ECD5D" w:rsidR="00D72797" w:rsidRPr="00D2126A" w:rsidDel="007E7F09" w:rsidRDefault="000E5A86" w:rsidP="00C93C76">
      <w:pPr>
        <w:pStyle w:val="Date"/>
        <w:numPr>
          <w:ilvl w:val="0"/>
          <w:numId w:val="8"/>
        </w:numPr>
        <w:tabs>
          <w:tab w:val="clear" w:pos="720"/>
          <w:tab w:val="num" w:pos="567"/>
        </w:tabs>
        <w:ind w:left="567" w:hanging="567"/>
        <w:rPr>
          <w:del w:id="8" w:author="BMS"/>
        </w:rPr>
      </w:pPr>
      <w:del w:id="9" w:author="BMS">
        <w:r w:rsidDel="007E7F09">
          <w:delText>Une étude est menée pour recueillir des informations sur la sécurité du médicament et surveiller son utilisation appropriée ; les patients présentant un SMD doivent être inclus dans l’étude avant le début du traitement par Revlimid</w:delText>
        </w:r>
      </w:del>
    </w:p>
    <w:p w14:paraId="236CA7AD" w14:textId="77777777" w:rsidR="004B2D79" w:rsidRPr="00D2126A" w:rsidRDefault="004B2D79" w:rsidP="00C93C76">
      <w:pPr>
        <w:rPr>
          <w:color w:val="000000"/>
        </w:rPr>
      </w:pPr>
    </w:p>
    <w:p w14:paraId="1A694DE0" w14:textId="77777777" w:rsidR="004B2D79" w:rsidRPr="00D2126A" w:rsidRDefault="000E5A86" w:rsidP="006E24B6">
      <w:pPr>
        <w:keepNext/>
        <w:rPr>
          <w:color w:val="000000"/>
        </w:rPr>
      </w:pPr>
      <w:r>
        <w:rPr>
          <w:color w:val="000000"/>
        </w:rPr>
        <w:t>Les informations suivantes doivent également être contenues dans les différentes brochures :</w:t>
      </w:r>
    </w:p>
    <w:p w14:paraId="54DD3C6D" w14:textId="77777777" w:rsidR="004B2D79" w:rsidRPr="00D2126A" w:rsidRDefault="004B2D79" w:rsidP="006E24B6">
      <w:pPr>
        <w:keepNext/>
        <w:rPr>
          <w:color w:val="000000"/>
        </w:rPr>
      </w:pPr>
    </w:p>
    <w:p w14:paraId="46640853" w14:textId="77777777" w:rsidR="004B2D79" w:rsidRPr="00D2126A" w:rsidRDefault="000E5A86" w:rsidP="00C93C76">
      <w:pPr>
        <w:keepNext/>
        <w:rPr>
          <w:color w:val="000000"/>
          <w:u w:val="single"/>
        </w:rPr>
      </w:pPr>
      <w:r>
        <w:rPr>
          <w:color w:val="000000"/>
          <w:u w:val="single"/>
        </w:rPr>
        <w:t>Brochure pour les patientes en âge de procréer</w:t>
      </w:r>
    </w:p>
    <w:p w14:paraId="06A0331E" w14:textId="77777777" w:rsidR="004B2D79" w:rsidRPr="00D2126A" w:rsidRDefault="000E5A86" w:rsidP="00C93C76">
      <w:pPr>
        <w:keepNext/>
        <w:numPr>
          <w:ilvl w:val="0"/>
          <w:numId w:val="7"/>
        </w:numPr>
        <w:tabs>
          <w:tab w:val="clear" w:pos="720"/>
          <w:tab w:val="num" w:pos="567"/>
        </w:tabs>
        <w:ind w:left="567" w:hanging="567"/>
        <w:rPr>
          <w:color w:val="000000"/>
        </w:rPr>
      </w:pPr>
      <w:r>
        <w:rPr>
          <w:color w:val="000000"/>
        </w:rPr>
        <w:t>Nécessité de prévenir l’exposition fœtale</w:t>
      </w:r>
    </w:p>
    <w:p w14:paraId="4AD5CD01" w14:textId="77777777" w:rsidR="004B2D79" w:rsidRPr="00D2126A" w:rsidRDefault="000E5A86" w:rsidP="00C93C76">
      <w:pPr>
        <w:numPr>
          <w:ilvl w:val="0"/>
          <w:numId w:val="7"/>
        </w:numPr>
        <w:tabs>
          <w:tab w:val="clear" w:pos="720"/>
          <w:tab w:val="num" w:pos="567"/>
        </w:tabs>
        <w:ind w:left="567" w:hanging="567"/>
        <w:rPr>
          <w:color w:val="000000"/>
        </w:rPr>
      </w:pPr>
      <w:r>
        <w:rPr>
          <w:color w:val="000000"/>
        </w:rPr>
        <w:t>Description du PPG</w:t>
      </w:r>
    </w:p>
    <w:p w14:paraId="65C40DB5" w14:textId="5CF25ED2" w:rsidR="00E10122" w:rsidRPr="00D2126A" w:rsidRDefault="000E5A86" w:rsidP="00C93C76">
      <w:pPr>
        <w:numPr>
          <w:ilvl w:val="1"/>
          <w:numId w:val="63"/>
        </w:numPr>
        <w:tabs>
          <w:tab w:val="num" w:pos="567"/>
        </w:tabs>
        <w:ind w:left="567" w:hanging="567"/>
        <w:rPr>
          <w:color w:val="000000"/>
        </w:rPr>
      </w:pPr>
      <w:r>
        <w:rPr>
          <w:color w:val="000000"/>
        </w:rPr>
        <w:t>Nécessité d’utiliser une méthode de contraception efficace et définition des contraceptions efficaces</w:t>
      </w:r>
    </w:p>
    <w:p w14:paraId="2D4ED762" w14:textId="77777777" w:rsidR="00E10122" w:rsidRPr="00D2126A" w:rsidRDefault="000E5A86" w:rsidP="006E24B6">
      <w:pPr>
        <w:keepNext/>
        <w:numPr>
          <w:ilvl w:val="0"/>
          <w:numId w:val="62"/>
        </w:numPr>
        <w:tabs>
          <w:tab w:val="clear" w:pos="720"/>
          <w:tab w:val="num" w:pos="567"/>
        </w:tabs>
        <w:ind w:left="567" w:hanging="567"/>
        <w:rPr>
          <w:noProof/>
        </w:rPr>
      </w:pPr>
      <w:r>
        <w:t>Si elle doit changer ou arrêter d’utiliser sa méthode de contraception, elle doit en informer :</w:t>
      </w:r>
    </w:p>
    <w:p w14:paraId="44A9A364" w14:textId="6E192116" w:rsidR="00E10122" w:rsidRPr="00D2126A" w:rsidRDefault="000E5A86" w:rsidP="006E24B6">
      <w:pPr>
        <w:pStyle w:val="ListParagraph"/>
        <w:keepNext/>
        <w:numPr>
          <w:ilvl w:val="0"/>
          <w:numId w:val="61"/>
        </w:numPr>
        <w:tabs>
          <w:tab w:val="left" w:pos="1134"/>
        </w:tabs>
        <w:ind w:left="1134" w:hanging="567"/>
        <w:contextualSpacing/>
        <w:rPr>
          <w:rFonts w:ascii="Times New Roman" w:hAnsi="Times New Roman" w:cs="Times New Roman"/>
        </w:rPr>
      </w:pPr>
      <w:r>
        <w:rPr>
          <w:rFonts w:ascii="Times New Roman" w:hAnsi="Times New Roman"/>
        </w:rPr>
        <w:t>Le médecin qui prescrit sa contraception qu’elle est sous lénalidomide</w:t>
      </w:r>
    </w:p>
    <w:p w14:paraId="55172AFF" w14:textId="6EBD205D" w:rsidR="00FB2A38" w:rsidRPr="00D2126A" w:rsidRDefault="000E5A86" w:rsidP="00C93C76">
      <w:pPr>
        <w:pStyle w:val="ListParagraph"/>
        <w:numPr>
          <w:ilvl w:val="0"/>
          <w:numId w:val="61"/>
        </w:numPr>
        <w:tabs>
          <w:tab w:val="left" w:pos="1134"/>
        </w:tabs>
        <w:ind w:left="1134" w:hanging="567"/>
        <w:contextualSpacing/>
        <w:rPr>
          <w:rFonts w:ascii="Times New Roman" w:hAnsi="Times New Roman" w:cs="Times New Roman"/>
        </w:rPr>
      </w:pPr>
      <w:r>
        <w:rPr>
          <w:rFonts w:ascii="Times New Roman" w:hAnsi="Times New Roman"/>
        </w:rPr>
        <w:t>Le médecin prescrivant le lénalidomide, qu’elle a arrêté ou modifié sa méthode de contraception</w:t>
      </w:r>
    </w:p>
    <w:p w14:paraId="6C2F589A" w14:textId="77777777" w:rsidR="004B2D79" w:rsidRPr="00D2126A" w:rsidRDefault="000E5A86" w:rsidP="00C93C76">
      <w:pPr>
        <w:pStyle w:val="StyleBullets"/>
      </w:pPr>
      <w:r>
        <w:t>Calendrier des tests de grossesse</w:t>
      </w:r>
    </w:p>
    <w:p w14:paraId="6F66EF99" w14:textId="77777777" w:rsidR="004B2D79" w:rsidRPr="00D2126A" w:rsidRDefault="000E5A86" w:rsidP="00C93C76">
      <w:pPr>
        <w:pStyle w:val="StyleBullets2"/>
      </w:pPr>
      <w:r>
        <w:t>Avant le début du traitement</w:t>
      </w:r>
    </w:p>
    <w:p w14:paraId="5B02B0E6" w14:textId="0B096855" w:rsidR="004B2D79" w:rsidRPr="00D2126A" w:rsidRDefault="000E5A86" w:rsidP="006E24B6">
      <w:pPr>
        <w:pStyle w:val="StyleBullets2"/>
        <w:keepNext/>
      </w:pPr>
      <w:r>
        <w:t>Au moins toutes les 4 semaines pendant le traitement (y compris pendant les interruptions de traitement) sauf en cas de stérilisation tubaire confirmée</w:t>
      </w:r>
    </w:p>
    <w:p w14:paraId="11494C30" w14:textId="77777777" w:rsidR="004B2D79" w:rsidRPr="00D2126A" w:rsidRDefault="000E5A86" w:rsidP="00C93C76">
      <w:pPr>
        <w:pStyle w:val="StyleBullets2"/>
      </w:pPr>
      <w:r>
        <w:t>Après l’arrêt du traitement</w:t>
      </w:r>
    </w:p>
    <w:p w14:paraId="43FC7EBE" w14:textId="77777777" w:rsidR="004B2D79" w:rsidRPr="00D2126A" w:rsidRDefault="000E5A86" w:rsidP="006E24B6">
      <w:pPr>
        <w:pStyle w:val="StyleBullets"/>
        <w:keepNext/>
      </w:pPr>
      <w:r>
        <w:t>Nécessité d’arrêter immédiatement de prendre Revlimid en cas de suspicion de grossesse</w:t>
      </w:r>
    </w:p>
    <w:p w14:paraId="4897066E" w14:textId="77777777" w:rsidR="004B2D79" w:rsidRPr="00D2126A" w:rsidRDefault="000E5A86" w:rsidP="00C93C76">
      <w:pPr>
        <w:pStyle w:val="StyleBullets"/>
      </w:pPr>
      <w:r>
        <w:t>Nécessité de contacter immédiatement leur médecin en cas de suspicion de grossesse</w:t>
      </w:r>
    </w:p>
    <w:p w14:paraId="64DE87C5" w14:textId="77777777" w:rsidR="004B2D79" w:rsidRPr="00D2126A" w:rsidRDefault="004B2D79" w:rsidP="00C93C76">
      <w:pPr>
        <w:rPr>
          <w:color w:val="000000"/>
        </w:rPr>
      </w:pPr>
    </w:p>
    <w:p w14:paraId="480B7A4A" w14:textId="77777777" w:rsidR="004B2D79" w:rsidRPr="00D2126A" w:rsidRDefault="000E5A86" w:rsidP="006E24B6">
      <w:pPr>
        <w:keepNext/>
        <w:rPr>
          <w:color w:val="000000"/>
          <w:u w:val="single"/>
        </w:rPr>
      </w:pPr>
      <w:r>
        <w:rPr>
          <w:color w:val="000000"/>
          <w:u w:val="single"/>
        </w:rPr>
        <w:t>Brochure pour les hommes</w:t>
      </w:r>
    </w:p>
    <w:p w14:paraId="7B5F4E08" w14:textId="77777777" w:rsidR="004B2D79" w:rsidRPr="00D2126A" w:rsidRDefault="000E5A86" w:rsidP="00C93C76">
      <w:pPr>
        <w:pStyle w:val="StyleBullets"/>
      </w:pPr>
      <w:r>
        <w:t>Nécessité de prévenir l’exposition fœtale</w:t>
      </w:r>
    </w:p>
    <w:p w14:paraId="1241915B" w14:textId="5906956F" w:rsidR="004B2D79" w:rsidRPr="00D2126A" w:rsidRDefault="000E5A86" w:rsidP="006E24B6">
      <w:pPr>
        <w:pStyle w:val="StyleBullets"/>
        <w:keepNext/>
      </w:pPr>
      <w:r>
        <w:t>Nécessité d’utiliser des préservatifs si leur partenaire est enceinte ou en âge de procréer et n’utilise pas de contraception efficace (même si l’homme est vasectomisé)</w:t>
      </w:r>
    </w:p>
    <w:p w14:paraId="7871FAB1" w14:textId="77777777" w:rsidR="004B2D79" w:rsidRPr="00D2126A" w:rsidRDefault="000E5A86" w:rsidP="006E24B6">
      <w:pPr>
        <w:pStyle w:val="StyleBullets2"/>
        <w:keepNext/>
      </w:pPr>
      <w:r>
        <w:t>Pendant le traitement par Revlimid (y compris pendant les interruptions de traitement)</w:t>
      </w:r>
    </w:p>
    <w:p w14:paraId="47AB3FB4" w14:textId="20F23755" w:rsidR="004B2D79" w:rsidRPr="00D2126A" w:rsidRDefault="000E5A86" w:rsidP="00C93C76">
      <w:pPr>
        <w:pStyle w:val="StyleBullets2"/>
      </w:pPr>
      <w:r>
        <w:t>Pendant au moins 7 jours après la prise de la dernière dose.</w:t>
      </w:r>
    </w:p>
    <w:p w14:paraId="0FB7A958" w14:textId="14C7B441" w:rsidR="004B2D79" w:rsidRPr="00D2126A" w:rsidRDefault="000E5A86" w:rsidP="006E24B6">
      <w:pPr>
        <w:pStyle w:val="StyleBullets"/>
        <w:keepNext/>
      </w:pPr>
      <w:r>
        <w:t>Si la partenaire du patient découvre qu’elle est enceinte, le patient doit en informer immédiatement son médecin traitant</w:t>
      </w:r>
    </w:p>
    <w:p w14:paraId="13E85D5A" w14:textId="756120FA" w:rsidR="00AA7763" w:rsidRPr="00D2126A" w:rsidRDefault="000E5A86" w:rsidP="00C93C76">
      <w:pPr>
        <w:pStyle w:val="StyleBullets"/>
      </w:pPr>
      <w:r>
        <w:t>Les patients ne doivent pas faire de don de sperme pendant le traitement (y compris pendant les interruptions du traitement) et pendant au moins 7 jours après l’arrêt du traitement par Revlimid</w:t>
      </w:r>
    </w:p>
    <w:p w14:paraId="54520B01" w14:textId="77777777" w:rsidR="004B2D79" w:rsidRPr="00D2126A" w:rsidRDefault="004B2D79" w:rsidP="00C93C76"/>
    <w:p w14:paraId="6A7CFFE0" w14:textId="77777777" w:rsidR="004B2D79" w:rsidRPr="00D2126A" w:rsidRDefault="000E5A86" w:rsidP="006E24B6">
      <w:pPr>
        <w:keepNext/>
        <w:rPr>
          <w:b/>
          <w:iCs/>
          <w:color w:val="000000"/>
          <w:u w:val="single"/>
        </w:rPr>
      </w:pPr>
      <w:r>
        <w:rPr>
          <w:b/>
          <w:color w:val="000000"/>
          <w:u w:val="single"/>
        </w:rPr>
        <w:t>Carte patient ou document équivalent</w:t>
      </w:r>
    </w:p>
    <w:p w14:paraId="58711E66" w14:textId="77777777" w:rsidR="004B2D79" w:rsidRPr="00D2126A" w:rsidRDefault="004B2D79" w:rsidP="006E24B6">
      <w:pPr>
        <w:keepNext/>
        <w:rPr>
          <w:color w:val="000000"/>
          <w:u w:val="single"/>
        </w:rPr>
      </w:pPr>
    </w:p>
    <w:p w14:paraId="06A809B9" w14:textId="77777777" w:rsidR="004B2D79" w:rsidRPr="00D2126A" w:rsidRDefault="000E5A86" w:rsidP="006E24B6">
      <w:pPr>
        <w:keepNext/>
        <w:rPr>
          <w:color w:val="000000"/>
        </w:rPr>
      </w:pPr>
      <w:r>
        <w:rPr>
          <w:color w:val="000000"/>
        </w:rPr>
        <w:t>La carte patient doit contenir les éléments suivants :</w:t>
      </w:r>
    </w:p>
    <w:p w14:paraId="7789A970" w14:textId="53D2F5EF" w:rsidR="004B2D79" w:rsidRPr="00D2126A" w:rsidRDefault="000E5A86" w:rsidP="00C93C76">
      <w:pPr>
        <w:pStyle w:val="StyleBullets"/>
      </w:pPr>
      <w:r>
        <w:t>Vérification que les informations pertinentes ont été données au patient</w:t>
      </w:r>
    </w:p>
    <w:p w14:paraId="77362678" w14:textId="51E8F7A2" w:rsidR="004B2D79" w:rsidRPr="00D2126A" w:rsidRDefault="000E5A86" w:rsidP="00C93C76">
      <w:pPr>
        <w:pStyle w:val="StyleBullets"/>
      </w:pPr>
      <w:r>
        <w:t>Information sur le statut de la femme par rapport à sa possibilité de procréer</w:t>
      </w:r>
    </w:p>
    <w:p w14:paraId="5B1E12B0" w14:textId="45FE9E39" w:rsidR="00ED05EA" w:rsidRPr="00D2126A" w:rsidRDefault="000E5A86" w:rsidP="006E24B6">
      <w:pPr>
        <w:pStyle w:val="StyleBullets"/>
        <w:keepNext/>
      </w:pPr>
      <w:r>
        <w:t>Case à cocher (ou une case similaire) que le médecin coche pour confirmer que la patiente utilise une contraception efficace (si elle est en âge de procréer)</w:t>
      </w:r>
    </w:p>
    <w:p w14:paraId="736EC24D" w14:textId="77777777" w:rsidR="004B2D79" w:rsidRPr="00D2126A" w:rsidRDefault="000E5A86" w:rsidP="00C93C76">
      <w:pPr>
        <w:pStyle w:val="StyleBullets"/>
      </w:pPr>
      <w:r>
        <w:t>Dates et résultats des tests de grossesse</w:t>
      </w:r>
    </w:p>
    <w:p w14:paraId="7B20F5C9" w14:textId="77777777" w:rsidR="005F5DAE" w:rsidRPr="00D2126A" w:rsidRDefault="005F5DAE" w:rsidP="00DF154F">
      <w:pPr>
        <w:rPr>
          <w:color w:val="000000"/>
        </w:rPr>
      </w:pPr>
    </w:p>
    <w:p w14:paraId="3A821CED" w14:textId="77777777" w:rsidR="00927FF9" w:rsidRPr="00D2126A" w:rsidRDefault="000E5A86" w:rsidP="006E24B6">
      <w:pPr>
        <w:pStyle w:val="BodyText"/>
        <w:keepNext/>
        <w:tabs>
          <w:tab w:val="left" w:pos="1980"/>
        </w:tabs>
        <w:rPr>
          <w:b/>
          <w:bCs/>
          <w:u w:val="single"/>
        </w:rPr>
      </w:pPr>
      <w:r>
        <w:rPr>
          <w:b/>
          <w:u w:val="single"/>
        </w:rPr>
        <w:t>Formulaires d'accords de soins</w:t>
      </w:r>
    </w:p>
    <w:p w14:paraId="2C9C8225" w14:textId="77777777" w:rsidR="00E73FDC" w:rsidRPr="00D2126A" w:rsidRDefault="00E73FDC" w:rsidP="006E24B6">
      <w:pPr>
        <w:pStyle w:val="BodyText"/>
        <w:keepNext/>
        <w:tabs>
          <w:tab w:val="left" w:pos="1980"/>
        </w:tabs>
      </w:pPr>
    </w:p>
    <w:p w14:paraId="5E49C870" w14:textId="348DD9EE" w:rsidR="007C234E" w:rsidRPr="00D2126A" w:rsidRDefault="000E5A86" w:rsidP="006E24B6">
      <w:pPr>
        <w:pStyle w:val="BodyText"/>
        <w:keepNext/>
        <w:tabs>
          <w:tab w:val="left" w:pos="1980"/>
        </w:tabs>
        <w:rPr>
          <w:iCs/>
        </w:rPr>
      </w:pPr>
      <w:r>
        <w:t>Il doit y avoir 3 types de formulaires d’accords de soins :</w:t>
      </w:r>
    </w:p>
    <w:p w14:paraId="3A7D5A08" w14:textId="08FDA68A" w:rsidR="007C234E" w:rsidRPr="00D2126A" w:rsidRDefault="000E5A86" w:rsidP="00C93C76">
      <w:pPr>
        <w:pStyle w:val="StyleBullets"/>
      </w:pPr>
      <w:r>
        <w:t>Femmes en âge de procréer</w:t>
      </w:r>
    </w:p>
    <w:p w14:paraId="75F3B1EE" w14:textId="77777777" w:rsidR="007C234E" w:rsidRPr="00D2126A" w:rsidRDefault="000E5A86" w:rsidP="006E24B6">
      <w:pPr>
        <w:pStyle w:val="StyleBullets"/>
        <w:keepNext/>
      </w:pPr>
      <w:r>
        <w:t>Femmes dans l’impossibilité de procréer</w:t>
      </w:r>
    </w:p>
    <w:p w14:paraId="20FDED2D" w14:textId="77777777" w:rsidR="007C234E" w:rsidRPr="00D2126A" w:rsidRDefault="000E5A86" w:rsidP="00C93C76">
      <w:pPr>
        <w:pStyle w:val="StyleBullets"/>
      </w:pPr>
      <w:r>
        <w:t>Hommes</w:t>
      </w:r>
    </w:p>
    <w:p w14:paraId="16444F2A" w14:textId="77777777" w:rsidR="007C234E" w:rsidRPr="00D2126A" w:rsidRDefault="007C234E" w:rsidP="00C93C76">
      <w:pPr>
        <w:pStyle w:val="BodyText"/>
        <w:tabs>
          <w:tab w:val="left" w:pos="1980"/>
        </w:tabs>
        <w:rPr>
          <w:iCs/>
        </w:rPr>
      </w:pPr>
    </w:p>
    <w:p w14:paraId="44222B82" w14:textId="77777777" w:rsidR="007D58FF" w:rsidRPr="00D2126A" w:rsidRDefault="007D58FF" w:rsidP="00C63FF5">
      <w:pPr>
        <w:pStyle w:val="BodyText"/>
        <w:keepNext/>
        <w:tabs>
          <w:tab w:val="left" w:pos="1980"/>
        </w:tabs>
      </w:pPr>
      <w:r>
        <w:t>Tous les formulaires d'accords de soins doivent contenir les éléments suivants :</w:t>
      </w:r>
    </w:p>
    <w:p w14:paraId="6DEBE155" w14:textId="62E00E75" w:rsidR="007D58FF" w:rsidRPr="00D2126A" w:rsidRDefault="007D58FF" w:rsidP="00C63FF5">
      <w:pPr>
        <w:pStyle w:val="BodyText"/>
        <w:keepNext/>
        <w:numPr>
          <w:ilvl w:val="0"/>
          <w:numId w:val="64"/>
        </w:numPr>
        <w:tabs>
          <w:tab w:val="left" w:pos="567"/>
        </w:tabs>
        <w:ind w:left="567" w:hanging="567"/>
      </w:pPr>
      <w:r>
        <w:t>Mise en garde de tératogénicité</w:t>
      </w:r>
    </w:p>
    <w:p w14:paraId="0D30622F" w14:textId="51FC7C8E" w:rsidR="007D58FF" w:rsidRPr="00D2126A" w:rsidRDefault="007D58FF" w:rsidP="00C63FF5">
      <w:pPr>
        <w:pStyle w:val="BodyText"/>
        <w:keepNext/>
        <w:numPr>
          <w:ilvl w:val="0"/>
          <w:numId w:val="64"/>
        </w:numPr>
        <w:tabs>
          <w:tab w:val="left" w:pos="567"/>
        </w:tabs>
        <w:ind w:left="567" w:hanging="567"/>
        <w:rPr>
          <w:i/>
        </w:rPr>
      </w:pPr>
      <w:r>
        <w:t>Conseils appropriés prodigués aux patients avant le début du traitement</w:t>
      </w:r>
    </w:p>
    <w:p w14:paraId="1433528F" w14:textId="5E433F08" w:rsidR="007D58FF" w:rsidRPr="00D2126A" w:rsidRDefault="007D58FF" w:rsidP="00C93C76">
      <w:pPr>
        <w:pStyle w:val="BodyText"/>
        <w:numPr>
          <w:ilvl w:val="0"/>
          <w:numId w:val="64"/>
        </w:numPr>
        <w:tabs>
          <w:tab w:val="left" w:pos="567"/>
        </w:tabs>
        <w:ind w:left="567" w:hanging="567"/>
        <w:rPr>
          <w:i/>
        </w:rPr>
      </w:pPr>
      <w:r>
        <w:t>Déclaration de compréhension du patient en ce qui concerne le risque qu’impliquent le lénalidomide et les mesures du PPG</w:t>
      </w:r>
    </w:p>
    <w:p w14:paraId="163CA881" w14:textId="54D601E1" w:rsidR="006E7AAF" w:rsidRPr="00D2126A" w:rsidRDefault="000E5A86" w:rsidP="00C93C76">
      <w:pPr>
        <w:pStyle w:val="BodyText"/>
        <w:numPr>
          <w:ilvl w:val="0"/>
          <w:numId w:val="64"/>
        </w:numPr>
        <w:tabs>
          <w:tab w:val="left" w:pos="567"/>
        </w:tabs>
        <w:ind w:left="567" w:hanging="567"/>
        <w:rPr>
          <w:iCs/>
        </w:rPr>
      </w:pPr>
      <w:r>
        <w:t>Date des conseils</w:t>
      </w:r>
    </w:p>
    <w:p w14:paraId="5349A6B8" w14:textId="3112E4C3" w:rsidR="006E7AAF" w:rsidRPr="00D2126A" w:rsidRDefault="000E5A86" w:rsidP="00C93C76">
      <w:pPr>
        <w:pStyle w:val="BodyText"/>
        <w:numPr>
          <w:ilvl w:val="0"/>
          <w:numId w:val="64"/>
        </w:numPr>
        <w:tabs>
          <w:tab w:val="left" w:pos="567"/>
        </w:tabs>
        <w:ind w:left="567" w:hanging="567"/>
        <w:rPr>
          <w:iCs/>
        </w:rPr>
      </w:pPr>
      <w:r>
        <w:t>Les détails du patient, sa signature et la date</w:t>
      </w:r>
    </w:p>
    <w:p w14:paraId="171A29CA" w14:textId="3CDEE661" w:rsidR="00941F85" w:rsidRPr="00D2126A" w:rsidRDefault="000E5A86" w:rsidP="006E24B6">
      <w:pPr>
        <w:pStyle w:val="BodyText"/>
        <w:keepNext/>
        <w:numPr>
          <w:ilvl w:val="0"/>
          <w:numId w:val="64"/>
        </w:numPr>
        <w:tabs>
          <w:tab w:val="left" w:pos="567"/>
        </w:tabs>
        <w:ind w:left="567" w:hanging="567"/>
        <w:rPr>
          <w:i/>
        </w:rPr>
      </w:pPr>
      <w:r>
        <w:t>Nom du prescripteur, sa signature et la date</w:t>
      </w:r>
    </w:p>
    <w:p w14:paraId="61C1D9BC" w14:textId="4E38F366" w:rsidR="00941F85" w:rsidRPr="00D2126A" w:rsidRDefault="00941F85" w:rsidP="00C93C76">
      <w:pPr>
        <w:pStyle w:val="BodyText"/>
        <w:numPr>
          <w:ilvl w:val="0"/>
          <w:numId w:val="64"/>
        </w:numPr>
        <w:tabs>
          <w:tab w:val="left" w:pos="567"/>
        </w:tabs>
        <w:ind w:left="567" w:hanging="567"/>
        <w:rPr>
          <w:i/>
        </w:rPr>
      </w:pPr>
      <w:r>
        <w:t>Objectif de ce document tel que précisé dans le PPG (Programme de Prévention de la Grossesse) : « L’objectif du formulaire d'accord de soins consiste à protéger les patients et tout fœtus éventuel en s’assurant que les patients sont correctement informés et qu’ils comprennent le risque de tératogénicité et d’autres réactions indésirables associées au traitement par le lénalidomide. Il ne s’agit pas d’un contrat et il ne libère personne de ses responsabilités en ce qui concerne l’utilisation sûre du produit et la prévention de l’exposition fœtale ».</w:t>
      </w:r>
    </w:p>
    <w:p w14:paraId="75207B07" w14:textId="77777777" w:rsidR="00941F85" w:rsidRPr="00D2126A" w:rsidRDefault="00941F85" w:rsidP="00C93C76">
      <w:pPr>
        <w:pStyle w:val="BodyText"/>
        <w:tabs>
          <w:tab w:val="left" w:pos="1980"/>
        </w:tabs>
        <w:rPr>
          <w:i/>
        </w:rPr>
      </w:pPr>
    </w:p>
    <w:p w14:paraId="7A1CB992" w14:textId="77777777" w:rsidR="00941F85" w:rsidRPr="00D2126A" w:rsidRDefault="00941F85" w:rsidP="00283149">
      <w:pPr>
        <w:pStyle w:val="BodyText"/>
        <w:keepNext/>
        <w:rPr>
          <w:i/>
          <w:iCs/>
        </w:rPr>
      </w:pPr>
      <w:r>
        <w:t>Les formulaires d'accords de soins pour les femmes en âge de procréer doivent aussi inclure :</w:t>
      </w:r>
    </w:p>
    <w:p w14:paraId="3B0803F6" w14:textId="27E1CB77" w:rsidR="00941F85" w:rsidRPr="00D2126A" w:rsidRDefault="00941F85" w:rsidP="00283149">
      <w:pPr>
        <w:pStyle w:val="BodyText"/>
        <w:keepNext/>
        <w:numPr>
          <w:ilvl w:val="0"/>
          <w:numId w:val="65"/>
        </w:numPr>
        <w:ind w:left="567" w:hanging="567"/>
        <w:rPr>
          <w:i/>
          <w:iCs/>
        </w:rPr>
      </w:pPr>
      <w:r>
        <w:t>La confirmation que le médecin a discuté de ce qui suit :</w:t>
      </w:r>
    </w:p>
    <w:p w14:paraId="3D8CB9D4" w14:textId="77777777" w:rsidR="00941F85" w:rsidRPr="00D2126A" w:rsidRDefault="00941F85" w:rsidP="00C93C76">
      <w:pPr>
        <w:pStyle w:val="BodyText"/>
        <w:numPr>
          <w:ilvl w:val="3"/>
          <w:numId w:val="59"/>
        </w:numPr>
        <w:tabs>
          <w:tab w:val="clear" w:pos="2880"/>
          <w:tab w:val="num" w:pos="1134"/>
        </w:tabs>
        <w:ind w:left="1134" w:hanging="567"/>
        <w:jc w:val="left"/>
        <w:rPr>
          <w:i/>
          <w:iCs/>
        </w:rPr>
      </w:pPr>
      <w:r>
        <w:t>La nécessité d’éviter l’exposition fœtale</w:t>
      </w:r>
    </w:p>
    <w:p w14:paraId="5AC1BC1A" w14:textId="1AC1B25A" w:rsidR="00941F85" w:rsidRPr="00D2126A" w:rsidRDefault="00941F85" w:rsidP="00C93C76">
      <w:pPr>
        <w:pStyle w:val="BodyText"/>
        <w:numPr>
          <w:ilvl w:val="3"/>
          <w:numId w:val="59"/>
        </w:numPr>
        <w:tabs>
          <w:tab w:val="clear" w:pos="2880"/>
          <w:tab w:val="num" w:pos="1134"/>
          <w:tab w:val="left" w:pos="1980"/>
        </w:tabs>
        <w:ind w:left="1134" w:hanging="567"/>
        <w:jc w:val="left"/>
        <w:rPr>
          <w:i/>
        </w:rPr>
      </w:pPr>
      <w:r>
        <w:t>Que si elle est enceinte ou si elle envisage de le devenir, elle ne doit pas prendre le lénalidomide</w:t>
      </w:r>
    </w:p>
    <w:p w14:paraId="555A133A" w14:textId="361C9FE3" w:rsidR="00941F85" w:rsidRPr="00D2126A" w:rsidRDefault="00941F85" w:rsidP="00C93C76">
      <w:pPr>
        <w:pStyle w:val="BodyText"/>
        <w:numPr>
          <w:ilvl w:val="3"/>
          <w:numId w:val="59"/>
        </w:numPr>
        <w:tabs>
          <w:tab w:val="clear" w:pos="2880"/>
          <w:tab w:val="num" w:pos="1134"/>
          <w:tab w:val="left" w:pos="1980"/>
        </w:tabs>
        <w:ind w:left="1134" w:hanging="567"/>
        <w:jc w:val="left"/>
        <w:rPr>
          <w:i/>
        </w:rPr>
      </w:pPr>
      <w:r>
        <w:t>Qu’elle comprend le besoin, d’éviter de prendre le lénalidomide pendant la grossesse et d’utiliser une contraception efficace sans interruption, au moins 4 semaines avant le début du traitement, pendant toute la durée du traitement et pendant au moins 4 semaines après la fin du traitement</w:t>
      </w:r>
    </w:p>
    <w:p w14:paraId="7BA0737B" w14:textId="77777777" w:rsidR="00941F85" w:rsidRPr="00D2126A" w:rsidRDefault="00941F85" w:rsidP="00283149">
      <w:pPr>
        <w:pStyle w:val="BodyText"/>
        <w:keepNext/>
        <w:numPr>
          <w:ilvl w:val="3"/>
          <w:numId w:val="59"/>
        </w:numPr>
        <w:tabs>
          <w:tab w:val="clear" w:pos="2880"/>
          <w:tab w:val="num" w:pos="1134"/>
          <w:tab w:val="left" w:pos="1980"/>
        </w:tabs>
        <w:ind w:left="1134" w:hanging="567"/>
        <w:jc w:val="left"/>
        <w:rPr>
          <w:i/>
        </w:rPr>
      </w:pPr>
      <w:r>
        <w:t>Que si elle doit changer ou arrêter d’utiliser sa méthode contraception, elle doit informer :</w:t>
      </w:r>
    </w:p>
    <w:p w14:paraId="557B2699" w14:textId="179C220E" w:rsidR="00941F85" w:rsidRPr="00D2126A" w:rsidRDefault="00941F85" w:rsidP="002F77BE">
      <w:pPr>
        <w:pStyle w:val="ListParagraph"/>
        <w:keepNext/>
        <w:numPr>
          <w:ilvl w:val="0"/>
          <w:numId w:val="60"/>
        </w:numPr>
        <w:tabs>
          <w:tab w:val="left" w:pos="1701"/>
        </w:tabs>
        <w:ind w:left="1701" w:hanging="567"/>
        <w:contextualSpacing/>
        <w:rPr>
          <w:rFonts w:ascii="Times New Roman" w:hAnsi="Times New Roman" w:cs="Times New Roman"/>
        </w:rPr>
      </w:pPr>
      <w:r>
        <w:rPr>
          <w:rFonts w:ascii="Times New Roman" w:hAnsi="Times New Roman"/>
        </w:rPr>
        <w:t>le médecin lui ayant prescrit sa contraception qu’elle prend du Revlimid</w:t>
      </w:r>
    </w:p>
    <w:p w14:paraId="7084B197" w14:textId="4DE670EC" w:rsidR="00941F85" w:rsidRPr="00D2126A" w:rsidRDefault="00941F85" w:rsidP="00C93C76">
      <w:pPr>
        <w:pStyle w:val="ListParagraph"/>
        <w:numPr>
          <w:ilvl w:val="0"/>
          <w:numId w:val="60"/>
        </w:numPr>
        <w:tabs>
          <w:tab w:val="left" w:pos="1701"/>
        </w:tabs>
        <w:ind w:left="1701" w:hanging="567"/>
        <w:contextualSpacing/>
        <w:rPr>
          <w:rFonts w:ascii="Times New Roman" w:hAnsi="Times New Roman" w:cs="Times New Roman"/>
        </w:rPr>
      </w:pPr>
      <w:r>
        <w:rPr>
          <w:rFonts w:ascii="Times New Roman" w:hAnsi="Times New Roman"/>
        </w:rPr>
        <w:t>le médecin lui ayant prescrit le Revlimid qu’elle a arrêté ou changé sa méthode de contraception</w:t>
      </w:r>
    </w:p>
    <w:p w14:paraId="2D9DF148" w14:textId="1115E578" w:rsidR="00941F85" w:rsidRPr="00D2126A" w:rsidRDefault="00941F85" w:rsidP="00C93C76">
      <w:pPr>
        <w:pStyle w:val="BodyText"/>
        <w:numPr>
          <w:ilvl w:val="3"/>
          <w:numId w:val="59"/>
        </w:numPr>
        <w:tabs>
          <w:tab w:val="clear" w:pos="2880"/>
          <w:tab w:val="left" w:pos="1134"/>
        </w:tabs>
        <w:ind w:left="1134" w:hanging="567"/>
        <w:jc w:val="left"/>
        <w:rPr>
          <w:i/>
        </w:rPr>
      </w:pPr>
      <w:r>
        <w:t>La nécessité d’effectuer des tests de grossesse, avant le traitement, au moins toutes les 4 semaines pendant le traitement et après la fin du traitement</w:t>
      </w:r>
    </w:p>
    <w:p w14:paraId="1F3E21B6" w14:textId="323C2146" w:rsidR="00941F85" w:rsidRPr="00D2126A" w:rsidRDefault="00941F85" w:rsidP="00C93C76">
      <w:pPr>
        <w:pStyle w:val="BodyText"/>
        <w:numPr>
          <w:ilvl w:val="3"/>
          <w:numId w:val="59"/>
        </w:numPr>
        <w:tabs>
          <w:tab w:val="clear" w:pos="2880"/>
          <w:tab w:val="left" w:pos="1134"/>
        </w:tabs>
        <w:ind w:left="1134" w:hanging="567"/>
        <w:jc w:val="left"/>
      </w:pPr>
      <w:r>
        <w:t>La nécessité d’arrêter immédiatement le traitement par Revlimid en cas de suspicion de grossesse</w:t>
      </w:r>
    </w:p>
    <w:p w14:paraId="2DA012B1" w14:textId="77777777" w:rsidR="00941F85" w:rsidRPr="00D2126A" w:rsidRDefault="00941F85" w:rsidP="00C93C76">
      <w:pPr>
        <w:pStyle w:val="BodyText"/>
        <w:numPr>
          <w:ilvl w:val="3"/>
          <w:numId w:val="59"/>
        </w:numPr>
        <w:tabs>
          <w:tab w:val="clear" w:pos="2880"/>
          <w:tab w:val="left" w:pos="1134"/>
        </w:tabs>
        <w:ind w:left="1134" w:hanging="567"/>
        <w:jc w:val="left"/>
      </w:pPr>
      <w:r>
        <w:t>La nécessité de contacter immédiatement son médecin en cas de suspicion de grossesse</w:t>
      </w:r>
    </w:p>
    <w:p w14:paraId="70F9E664" w14:textId="77777777" w:rsidR="00941F85" w:rsidRPr="00D2126A" w:rsidRDefault="00941F85" w:rsidP="00C93C76">
      <w:pPr>
        <w:pStyle w:val="BodyText"/>
        <w:numPr>
          <w:ilvl w:val="3"/>
          <w:numId w:val="59"/>
        </w:numPr>
        <w:tabs>
          <w:tab w:val="clear" w:pos="2880"/>
          <w:tab w:val="left" w:pos="1134"/>
        </w:tabs>
        <w:ind w:left="1134" w:hanging="567"/>
        <w:jc w:val="left"/>
      </w:pPr>
      <w:r>
        <w:t>Qu’elle ne doit pas partager le traitement avec une autre personne quelconque</w:t>
      </w:r>
    </w:p>
    <w:p w14:paraId="3E087F37" w14:textId="7411B175" w:rsidR="00941F85" w:rsidRPr="00D2126A" w:rsidRDefault="00941F85" w:rsidP="00283149">
      <w:pPr>
        <w:pStyle w:val="BodyText"/>
        <w:keepNext/>
        <w:numPr>
          <w:ilvl w:val="3"/>
          <w:numId w:val="59"/>
        </w:numPr>
        <w:tabs>
          <w:tab w:val="clear" w:pos="2880"/>
          <w:tab w:val="left" w:pos="1134"/>
        </w:tabs>
        <w:ind w:left="1134" w:hanging="567"/>
        <w:jc w:val="left"/>
      </w:pPr>
      <w:r>
        <w:t>Qu’elle ne doit pas donner de sang pendant le traitement par Revlimid (y compris pendant les interruptions du traitement) et pendant au moins 7 jours après la fin du traitement</w:t>
      </w:r>
    </w:p>
    <w:p w14:paraId="6705489B" w14:textId="77777777" w:rsidR="00941F85" w:rsidRPr="00D2126A" w:rsidRDefault="00941F85" w:rsidP="00C93C76">
      <w:pPr>
        <w:pStyle w:val="BodyText"/>
        <w:numPr>
          <w:ilvl w:val="3"/>
          <w:numId w:val="59"/>
        </w:numPr>
        <w:tabs>
          <w:tab w:val="clear" w:pos="2880"/>
          <w:tab w:val="left" w:pos="1134"/>
        </w:tabs>
        <w:ind w:left="1134" w:hanging="567"/>
        <w:jc w:val="left"/>
      </w:pPr>
      <w:r>
        <w:t>Qu’elle doit remettre les gélules non utilisées au pharmacien à la fin du traitement</w:t>
      </w:r>
    </w:p>
    <w:p w14:paraId="50BF442A" w14:textId="77777777" w:rsidR="00941F85" w:rsidRPr="00D2126A" w:rsidRDefault="00941F85" w:rsidP="00C93C76">
      <w:pPr>
        <w:pStyle w:val="BodyText"/>
        <w:tabs>
          <w:tab w:val="left" w:pos="1980"/>
        </w:tabs>
      </w:pPr>
    </w:p>
    <w:p w14:paraId="54A6E1A3" w14:textId="77777777" w:rsidR="00941F85" w:rsidRPr="00D2126A" w:rsidRDefault="00941F85" w:rsidP="00283149">
      <w:pPr>
        <w:pStyle w:val="BodyText"/>
        <w:keepNext/>
      </w:pPr>
      <w:r>
        <w:t>Les formulaires d'accords de soins pour les femmes dans l’impossibilité de procréer doivent aussi inclure :</w:t>
      </w:r>
    </w:p>
    <w:p w14:paraId="212B1703" w14:textId="36E7A969" w:rsidR="00941F85" w:rsidRPr="00D2126A" w:rsidRDefault="00941F85" w:rsidP="00283149">
      <w:pPr>
        <w:pStyle w:val="BodyText"/>
        <w:keepNext/>
        <w:numPr>
          <w:ilvl w:val="0"/>
          <w:numId w:val="66"/>
        </w:numPr>
        <w:ind w:left="567" w:hanging="567"/>
      </w:pPr>
      <w:r>
        <w:t>La confirmation que le médecin a discuté de ce qui suit :</w:t>
      </w:r>
    </w:p>
    <w:p w14:paraId="0D1E9E0B" w14:textId="77777777" w:rsidR="00941F85" w:rsidRPr="00D2126A" w:rsidRDefault="00941F85" w:rsidP="00C93C76">
      <w:pPr>
        <w:pStyle w:val="BodyText"/>
        <w:numPr>
          <w:ilvl w:val="3"/>
          <w:numId w:val="59"/>
        </w:numPr>
        <w:tabs>
          <w:tab w:val="clear" w:pos="2880"/>
          <w:tab w:val="left" w:pos="1134"/>
        </w:tabs>
        <w:ind w:left="1134" w:hanging="567"/>
        <w:jc w:val="left"/>
      </w:pPr>
      <w:r>
        <w:t>Qu’elle ne doit pas partager le traitement avec une autre personne quelconque</w:t>
      </w:r>
    </w:p>
    <w:p w14:paraId="6AA1B834" w14:textId="3A9F1981" w:rsidR="00941F85" w:rsidRPr="00D2126A" w:rsidRDefault="00941F85" w:rsidP="00283149">
      <w:pPr>
        <w:pStyle w:val="BodyText"/>
        <w:keepNext/>
        <w:numPr>
          <w:ilvl w:val="3"/>
          <w:numId w:val="59"/>
        </w:numPr>
        <w:tabs>
          <w:tab w:val="clear" w:pos="2880"/>
          <w:tab w:val="left" w:pos="1134"/>
        </w:tabs>
        <w:ind w:left="1134" w:hanging="567"/>
        <w:jc w:val="left"/>
      </w:pPr>
      <w:r>
        <w:t>Qu’elle ne doit pas donner de sang pendant le traitement par Revlimid (y compris pendant les interruptions du traitement) et pendant au moins 7 jours après la fin du traitement</w:t>
      </w:r>
    </w:p>
    <w:p w14:paraId="5924832C" w14:textId="77777777" w:rsidR="00941F85" w:rsidRPr="00D2126A" w:rsidRDefault="00941F85" w:rsidP="00C93C76">
      <w:pPr>
        <w:pStyle w:val="BodyText"/>
        <w:numPr>
          <w:ilvl w:val="3"/>
          <w:numId w:val="59"/>
        </w:numPr>
        <w:tabs>
          <w:tab w:val="clear" w:pos="2880"/>
          <w:tab w:val="left" w:pos="1134"/>
          <w:tab w:val="num" w:pos="2204"/>
        </w:tabs>
        <w:ind w:left="1134" w:hanging="567"/>
        <w:jc w:val="left"/>
      </w:pPr>
      <w:r>
        <w:t>Qu’elle doit remettre les gélules non utilisées au pharmacien à la fin du traitement</w:t>
      </w:r>
    </w:p>
    <w:p w14:paraId="68C9187B" w14:textId="77777777" w:rsidR="00941F85" w:rsidRPr="00D2126A" w:rsidRDefault="00941F85" w:rsidP="00C93C76">
      <w:pPr>
        <w:pStyle w:val="BodyText"/>
        <w:tabs>
          <w:tab w:val="left" w:pos="1980"/>
        </w:tabs>
      </w:pPr>
    </w:p>
    <w:p w14:paraId="05BD1D4D" w14:textId="77777777" w:rsidR="00941F85" w:rsidRPr="00D2126A" w:rsidRDefault="00941F85" w:rsidP="00283149">
      <w:pPr>
        <w:pStyle w:val="BodyText"/>
        <w:keepNext/>
      </w:pPr>
      <w:r>
        <w:t>Les formulaires d'accords de soins pour les patients de sexe masculin doivent aussi inclure :</w:t>
      </w:r>
    </w:p>
    <w:p w14:paraId="4319B4B1" w14:textId="0E1EF87C" w:rsidR="00941F85" w:rsidRPr="00D2126A" w:rsidRDefault="00941F85" w:rsidP="00283149">
      <w:pPr>
        <w:pStyle w:val="BodyText"/>
        <w:keepNext/>
        <w:numPr>
          <w:ilvl w:val="0"/>
          <w:numId w:val="67"/>
        </w:numPr>
        <w:tabs>
          <w:tab w:val="left" w:pos="567"/>
        </w:tabs>
        <w:ind w:left="567" w:hanging="567"/>
      </w:pPr>
      <w:r>
        <w:t>La confirmation que le médecin a discuté de ce qui suit :</w:t>
      </w:r>
    </w:p>
    <w:p w14:paraId="4C35BA19" w14:textId="77777777" w:rsidR="00941F85" w:rsidRPr="00D2126A" w:rsidRDefault="00941F85" w:rsidP="00C93C76">
      <w:pPr>
        <w:pStyle w:val="BodyText"/>
        <w:numPr>
          <w:ilvl w:val="3"/>
          <w:numId w:val="59"/>
        </w:numPr>
        <w:tabs>
          <w:tab w:val="clear" w:pos="2880"/>
          <w:tab w:val="left" w:pos="1134"/>
        </w:tabs>
        <w:ind w:left="1134" w:hanging="567"/>
        <w:jc w:val="left"/>
      </w:pPr>
      <w:r>
        <w:t>La nécessité d’éviter l’exposition fœtale</w:t>
      </w:r>
    </w:p>
    <w:p w14:paraId="44313C14" w14:textId="71082C11" w:rsidR="00941F85" w:rsidRPr="00D2126A" w:rsidRDefault="00941F85" w:rsidP="00C93C76">
      <w:pPr>
        <w:pStyle w:val="BodyText"/>
        <w:numPr>
          <w:ilvl w:val="3"/>
          <w:numId w:val="59"/>
        </w:numPr>
        <w:tabs>
          <w:tab w:val="clear" w:pos="2880"/>
          <w:tab w:val="left" w:pos="1134"/>
        </w:tabs>
        <w:ind w:left="1134" w:hanging="567"/>
        <w:jc w:val="left"/>
      </w:pPr>
      <w:r>
        <w:t>Que le lénalidomide passe dans le sperme et de la nécessité d’utiliser un préservatif en cas de rapport sexuel avec une femme enceinte ou en âge de procréer n’utilisant pas une contraception efficace (même si l’homme est vasectomisé)</w:t>
      </w:r>
    </w:p>
    <w:p w14:paraId="2FDAB3CB" w14:textId="77777777" w:rsidR="00941F85" w:rsidRPr="00D2126A" w:rsidRDefault="00941F85" w:rsidP="00C93C76">
      <w:pPr>
        <w:pStyle w:val="BodyText"/>
        <w:numPr>
          <w:ilvl w:val="3"/>
          <w:numId w:val="59"/>
        </w:numPr>
        <w:tabs>
          <w:tab w:val="clear" w:pos="2880"/>
          <w:tab w:val="left" w:pos="1134"/>
        </w:tabs>
        <w:ind w:left="1134" w:hanging="567"/>
        <w:jc w:val="left"/>
      </w:pPr>
      <w:r>
        <w:t>Qu’en cas de survenue d’une grossesse chez sa partenaire, il doit informer immédiatement son médecin traitant et toujours utiliser un préservatif</w:t>
      </w:r>
    </w:p>
    <w:p w14:paraId="74303521" w14:textId="77777777" w:rsidR="00941F85" w:rsidRPr="00D2126A" w:rsidRDefault="00941F85" w:rsidP="00C93C76">
      <w:pPr>
        <w:pStyle w:val="BodyText"/>
        <w:numPr>
          <w:ilvl w:val="3"/>
          <w:numId w:val="59"/>
        </w:numPr>
        <w:tabs>
          <w:tab w:val="clear" w:pos="2880"/>
          <w:tab w:val="left" w:pos="1134"/>
        </w:tabs>
        <w:ind w:left="1134" w:hanging="567"/>
        <w:jc w:val="left"/>
      </w:pPr>
      <w:r>
        <w:t>Qu’il ne doit pas partager le traitement avec une autre personne quelconque</w:t>
      </w:r>
    </w:p>
    <w:p w14:paraId="787330A4" w14:textId="5E3D56E2" w:rsidR="00941F85" w:rsidRPr="00D2126A" w:rsidRDefault="00941F85" w:rsidP="00283149">
      <w:pPr>
        <w:pStyle w:val="BodyText"/>
        <w:keepNext/>
        <w:numPr>
          <w:ilvl w:val="3"/>
          <w:numId w:val="59"/>
        </w:numPr>
        <w:tabs>
          <w:tab w:val="clear" w:pos="2880"/>
          <w:tab w:val="left" w:pos="1134"/>
        </w:tabs>
        <w:ind w:left="1134" w:hanging="567"/>
        <w:jc w:val="left"/>
      </w:pPr>
      <w:r>
        <w:t>Qu’il ne doit pas donner de sang ou sperme pendant le traitement (y compris pendant les interruptions de traitement) et pendant au moins 7 jours après l’arrêt du traitement par Revlimid</w:t>
      </w:r>
    </w:p>
    <w:p w14:paraId="761DF4F1" w14:textId="77777777" w:rsidR="00941F85" w:rsidRPr="00D2126A" w:rsidRDefault="00941F85" w:rsidP="00C93C76">
      <w:pPr>
        <w:pStyle w:val="BodyText"/>
        <w:numPr>
          <w:ilvl w:val="3"/>
          <w:numId w:val="59"/>
        </w:numPr>
        <w:tabs>
          <w:tab w:val="clear" w:pos="2880"/>
          <w:tab w:val="left" w:pos="1134"/>
        </w:tabs>
        <w:ind w:left="1134" w:hanging="567"/>
        <w:jc w:val="left"/>
        <w:rPr>
          <w:i/>
        </w:rPr>
      </w:pPr>
      <w:r>
        <w:t>Qu’il doit remettre les gélules non utilisées au pharmacien à la fin du traitement</w:t>
      </w:r>
    </w:p>
    <w:p w14:paraId="63D7734E" w14:textId="4E0EE983" w:rsidR="00DB12F2" w:rsidRPr="00D2126A" w:rsidRDefault="00DB12F2" w:rsidP="00C93C76"/>
    <w:p w14:paraId="61045DD9" w14:textId="77777777" w:rsidR="005F5DAE" w:rsidRPr="00D2126A" w:rsidRDefault="000E5A86" w:rsidP="0095440E">
      <w:pPr>
        <w:keepNext/>
        <w:numPr>
          <w:ilvl w:val="0"/>
          <w:numId w:val="7"/>
        </w:numPr>
        <w:tabs>
          <w:tab w:val="clear" w:pos="720"/>
          <w:tab w:val="left" w:pos="567"/>
        </w:tabs>
        <w:ind w:left="567" w:right="-1" w:hanging="567"/>
        <w:rPr>
          <w:b/>
        </w:rPr>
      </w:pPr>
      <w:r>
        <w:rPr>
          <w:b/>
        </w:rPr>
        <w:t>Obligation de mise en place de mesures post</w:t>
      </w:r>
      <w:r>
        <w:rPr>
          <w:b/>
        </w:rPr>
        <w:noBreakHyphen/>
        <w:t>autorisation</w:t>
      </w:r>
    </w:p>
    <w:p w14:paraId="7F91306F" w14:textId="77777777" w:rsidR="005F5DAE" w:rsidRPr="00D2126A" w:rsidRDefault="005F5DAE" w:rsidP="00283149">
      <w:pPr>
        <w:keepNext/>
        <w:ind w:right="-1"/>
      </w:pPr>
    </w:p>
    <w:p w14:paraId="7FFC1406" w14:textId="77777777" w:rsidR="005F5DAE" w:rsidRPr="00D2126A" w:rsidRDefault="000E5A86" w:rsidP="00283149">
      <w:pPr>
        <w:keepNext/>
        <w:ind w:right="-1"/>
        <w:rPr>
          <w:iCs/>
        </w:rPr>
      </w:pPr>
      <w:r>
        <w:t>Le titulaire de l’autorisation de mise sur le marché met en œuvre, selon le calendrier indiqué, les mesures ci</w:t>
      </w:r>
      <w:r>
        <w:noBreakHyphen/>
        <w:t>après :</w:t>
      </w:r>
    </w:p>
    <w:p w14:paraId="04991435" w14:textId="77777777" w:rsidR="005F5DAE" w:rsidRPr="00D2126A" w:rsidRDefault="005F5DAE" w:rsidP="00283149">
      <w:pPr>
        <w:keepNext/>
        <w:ind w:right="-1"/>
        <w:rPr>
          <w:iC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9"/>
        <w:gridCol w:w="871"/>
        <w:gridCol w:w="3324"/>
        <w:gridCol w:w="236"/>
      </w:tblGrid>
      <w:tr w:rsidR="00D5485C" w:rsidRPr="00D2126A" w14:paraId="3B174D89" w14:textId="77777777" w:rsidTr="00CE1A4F">
        <w:trPr>
          <w:gridAfter w:val="1"/>
          <w:wAfter w:w="176" w:type="dxa"/>
        </w:trPr>
        <w:tc>
          <w:tcPr>
            <w:tcW w:w="3131" w:type="pct"/>
            <w:gridSpan w:val="2"/>
            <w:tcBorders>
              <w:top w:val="single" w:sz="4" w:space="0" w:color="auto"/>
              <w:left w:val="single" w:sz="4" w:space="0" w:color="auto"/>
              <w:bottom w:val="single" w:sz="4" w:space="0" w:color="auto"/>
              <w:right w:val="single" w:sz="4" w:space="0" w:color="auto"/>
            </w:tcBorders>
          </w:tcPr>
          <w:p w14:paraId="7FA8E9A0" w14:textId="77777777" w:rsidR="005F5DAE" w:rsidRPr="00D2126A" w:rsidRDefault="000E5A86" w:rsidP="00283149">
            <w:pPr>
              <w:keepNext/>
              <w:ind w:right="-1"/>
              <w:rPr>
                <w:b/>
                <w:iCs/>
              </w:rPr>
            </w:pPr>
            <w:r>
              <w:rPr>
                <w:b/>
              </w:rPr>
              <w:t>Description</w:t>
            </w:r>
          </w:p>
        </w:tc>
        <w:tc>
          <w:tcPr>
            <w:tcW w:w="1869" w:type="pct"/>
            <w:tcBorders>
              <w:top w:val="single" w:sz="4" w:space="0" w:color="auto"/>
              <w:left w:val="single" w:sz="4" w:space="0" w:color="auto"/>
              <w:bottom w:val="single" w:sz="4" w:space="0" w:color="auto"/>
              <w:right w:val="single" w:sz="4" w:space="0" w:color="auto"/>
            </w:tcBorders>
          </w:tcPr>
          <w:p w14:paraId="0E179E0F" w14:textId="77777777" w:rsidR="005F5DAE" w:rsidRPr="00D2126A" w:rsidRDefault="000E5A86" w:rsidP="00283149">
            <w:pPr>
              <w:keepNext/>
              <w:ind w:right="-1"/>
              <w:rPr>
                <w:b/>
                <w:iCs/>
              </w:rPr>
            </w:pPr>
            <w:r>
              <w:rPr>
                <w:b/>
              </w:rPr>
              <w:t>Date</w:t>
            </w:r>
          </w:p>
        </w:tc>
      </w:tr>
      <w:tr w:rsidR="00D5485C" w:rsidRPr="00D2126A" w:rsidDel="007E7F09" w14:paraId="417CEF89" w14:textId="5EDE990F" w:rsidTr="00CE1A4F">
        <w:trPr>
          <w:gridBefore w:val="1"/>
          <w:del w:id="10" w:author="BMS"/>
        </w:trPr>
        <w:tc>
          <w:tcPr>
            <w:tcW w:w="3131" w:type="pct"/>
            <w:gridSpan w:val="2"/>
            <w:tcBorders>
              <w:top w:val="single" w:sz="4" w:space="0" w:color="auto"/>
              <w:left w:val="single" w:sz="4" w:space="0" w:color="auto"/>
              <w:bottom w:val="single" w:sz="4" w:space="0" w:color="auto"/>
              <w:right w:val="single" w:sz="4" w:space="0" w:color="auto"/>
            </w:tcBorders>
          </w:tcPr>
          <w:p w14:paraId="0806616E" w14:textId="4193D34A" w:rsidR="005F5DAE" w:rsidRPr="00D2126A" w:rsidDel="007E7F09" w:rsidRDefault="000E5A86" w:rsidP="00283149">
            <w:pPr>
              <w:keepNext/>
              <w:ind w:right="-1"/>
              <w:rPr>
                <w:del w:id="11" w:author="BMS"/>
                <w:iCs/>
              </w:rPr>
            </w:pPr>
            <w:del w:id="12" w:author="BMS">
              <w:r w:rsidDel="007E7F09">
                <w:delText>Étude de sécurité post</w:delText>
              </w:r>
              <w:r w:rsidDel="007E7F09">
                <w:noBreakHyphen/>
                <w:delText>autorisation non interventionnelle (PASS) menée chez des patients présentant un syndrome myélodysplasique (SMD) traités par le lénalidomide afin de recueillir des données de sécurité sur l’utilisation du lénalidomide chez les patients atteints de SMD et de surveiller l’utilisation hors AMM (CC</w:delText>
              </w:r>
              <w:r w:rsidDel="007E7F09">
                <w:noBreakHyphen/>
                <w:delText>5013</w:delText>
              </w:r>
              <w:r w:rsidDel="007E7F09">
                <w:noBreakHyphen/>
                <w:delText>SMD</w:delText>
              </w:r>
              <w:r w:rsidDel="007E7F09">
                <w:noBreakHyphen/>
                <w:delText>012).</w:delText>
              </w:r>
            </w:del>
          </w:p>
        </w:tc>
        <w:tc>
          <w:tcPr>
            <w:tcW w:w="1869" w:type="pct"/>
            <w:tcBorders>
              <w:top w:val="single" w:sz="4" w:space="0" w:color="auto"/>
              <w:left w:val="single" w:sz="4" w:space="0" w:color="auto"/>
              <w:bottom w:val="single" w:sz="4" w:space="0" w:color="auto"/>
              <w:right w:val="single" w:sz="4" w:space="0" w:color="auto"/>
            </w:tcBorders>
          </w:tcPr>
          <w:p w14:paraId="77D47892" w14:textId="4C826C01" w:rsidR="005F5DAE" w:rsidRPr="00D2126A" w:rsidDel="007E7F09" w:rsidRDefault="000E5A86" w:rsidP="00283149">
            <w:pPr>
              <w:keepNext/>
              <w:ind w:right="-1"/>
              <w:rPr>
                <w:del w:id="13" w:author="BMS"/>
                <w:iCs/>
              </w:rPr>
            </w:pPr>
            <w:del w:id="14" w:author="BMS">
              <w:r w:rsidDel="007E7F09">
                <w:delText>Rapports de sécurité actualisés avec les PSUR</w:delText>
              </w:r>
            </w:del>
          </w:p>
          <w:p w14:paraId="2D228169" w14:textId="42764592" w:rsidR="00885E4F" w:rsidRPr="00D2126A" w:rsidDel="007E7F09" w:rsidRDefault="00885E4F" w:rsidP="00283149">
            <w:pPr>
              <w:pStyle w:val="Date"/>
              <w:keepNext/>
              <w:rPr>
                <w:del w:id="15" w:author="BMS"/>
              </w:rPr>
            </w:pPr>
          </w:p>
          <w:p w14:paraId="418175FF" w14:textId="1649EA0A" w:rsidR="00036363" w:rsidRPr="00D2126A" w:rsidDel="007E7F09" w:rsidRDefault="000E5A86" w:rsidP="00283149">
            <w:pPr>
              <w:keepNext/>
              <w:rPr>
                <w:del w:id="16" w:author="BMS"/>
              </w:rPr>
            </w:pPr>
            <w:del w:id="17" w:author="BMS">
              <w:r w:rsidDel="007E7F09">
                <w:delText>Rapport final des résultats de l’étude :</w:delText>
              </w:r>
            </w:del>
          </w:p>
          <w:p w14:paraId="642A2FE9" w14:textId="0A6EFCA2" w:rsidR="00911183" w:rsidRPr="00D2126A" w:rsidDel="007E7F09" w:rsidRDefault="000E5A86" w:rsidP="008B00DD">
            <w:pPr>
              <w:pStyle w:val="Date"/>
              <w:keepNext/>
              <w:numPr>
                <w:ilvl w:val="0"/>
                <w:numId w:val="27"/>
              </w:numPr>
              <w:ind w:left="567" w:hanging="567"/>
              <w:rPr>
                <w:del w:id="18" w:author="BMS"/>
              </w:rPr>
            </w:pPr>
            <w:del w:id="19" w:author="BMS">
              <w:r w:rsidDel="007E7F09">
                <w:delText>CC</w:delText>
              </w:r>
              <w:r w:rsidDel="007E7F09">
                <w:noBreakHyphen/>
                <w:delText>5013</w:delText>
              </w:r>
              <w:r w:rsidDel="007E7F09">
                <w:noBreakHyphen/>
                <w:delText>SMD</w:delText>
              </w:r>
              <w:r w:rsidDel="007E7F09">
                <w:noBreakHyphen/>
                <w:delText>012, 2</w:delText>
              </w:r>
              <w:r w:rsidDel="007E7F09">
                <w:rPr>
                  <w:vertAlign w:val="superscript"/>
                </w:rPr>
                <w:delText>e</w:delText>
              </w:r>
              <w:r w:rsidDel="007E7F09">
                <w:delText> trimestre 2024</w:delText>
              </w:r>
            </w:del>
          </w:p>
        </w:tc>
      </w:tr>
      <w:tr w:rsidR="00D5485C" w:rsidRPr="00D2126A" w14:paraId="433D3B8D" w14:textId="77777777" w:rsidTr="00CE1A4F">
        <w:trPr>
          <w:gridAfter w:val="1"/>
          <w:wAfter w:w="176" w:type="dxa"/>
        </w:trPr>
        <w:tc>
          <w:tcPr>
            <w:tcW w:w="3131" w:type="pct"/>
            <w:gridSpan w:val="2"/>
            <w:tcBorders>
              <w:top w:val="single" w:sz="4" w:space="0" w:color="auto"/>
              <w:left w:val="single" w:sz="4" w:space="0" w:color="auto"/>
              <w:bottom w:val="single" w:sz="4" w:space="0" w:color="auto"/>
              <w:right w:val="single" w:sz="4" w:space="0" w:color="auto"/>
            </w:tcBorders>
          </w:tcPr>
          <w:p w14:paraId="70FE3834" w14:textId="77777777" w:rsidR="00CD64D0" w:rsidRPr="00D2126A" w:rsidRDefault="000E5A86" w:rsidP="00283149">
            <w:pPr>
              <w:keepNext/>
              <w:ind w:right="-1"/>
              <w:rPr>
                <w:iCs/>
              </w:rPr>
            </w:pPr>
            <w:r>
              <w:t>Étude de sécurité post</w:t>
            </w:r>
            <w:r>
              <w:noBreakHyphen/>
              <w:t>autorisation non interventionnelle (PASS) menée chez des patients présentant un myélome multiple non préalablement traité, qui sont non éligibles à une greffe et traités par le lénalidomide afin de recueillir des données de sécurité sur l’utilisation du lénalidomide chez ces patients.</w:t>
            </w:r>
          </w:p>
        </w:tc>
        <w:tc>
          <w:tcPr>
            <w:tcW w:w="1869" w:type="pct"/>
            <w:tcBorders>
              <w:top w:val="single" w:sz="4" w:space="0" w:color="auto"/>
              <w:left w:val="single" w:sz="4" w:space="0" w:color="auto"/>
              <w:bottom w:val="single" w:sz="4" w:space="0" w:color="auto"/>
              <w:right w:val="single" w:sz="4" w:space="0" w:color="auto"/>
            </w:tcBorders>
          </w:tcPr>
          <w:p w14:paraId="63BF1022" w14:textId="77777777" w:rsidR="00CD64D0" w:rsidRPr="00D2126A" w:rsidRDefault="000E5A86" w:rsidP="00283149">
            <w:pPr>
              <w:keepNext/>
              <w:ind w:right="-1"/>
              <w:rPr>
                <w:iCs/>
              </w:rPr>
            </w:pPr>
            <w:r>
              <w:t>Rapports de sécurité avec les PSUR.</w:t>
            </w:r>
          </w:p>
          <w:p w14:paraId="33DAE243" w14:textId="77777777" w:rsidR="005741BB" w:rsidRPr="00D2126A" w:rsidRDefault="005741BB" w:rsidP="00283149">
            <w:pPr>
              <w:pStyle w:val="Date"/>
              <w:keepNext/>
            </w:pPr>
          </w:p>
          <w:p w14:paraId="6F26EC1E" w14:textId="01579E95" w:rsidR="005741BB" w:rsidRPr="00D2126A" w:rsidRDefault="000E5A86" w:rsidP="00283149">
            <w:pPr>
              <w:pStyle w:val="Date"/>
              <w:keepNext/>
            </w:pPr>
            <w:r>
              <w:t>Rapport final des résultats de l’étude : 1</w:t>
            </w:r>
            <w:r>
              <w:rPr>
                <w:vertAlign w:val="superscript"/>
              </w:rPr>
              <w:t>er</w:t>
            </w:r>
            <w:r>
              <w:t> trimestre 2027.</w:t>
            </w:r>
          </w:p>
        </w:tc>
      </w:tr>
    </w:tbl>
    <w:p w14:paraId="1F22656B" w14:textId="64677E36" w:rsidR="00332130" w:rsidRPr="00D2126A" w:rsidRDefault="00332130" w:rsidP="00DF154F">
      <w:pPr>
        <w:rPr>
          <w:b/>
          <w:noProof/>
          <w:color w:val="000000"/>
        </w:rPr>
      </w:pPr>
    </w:p>
    <w:p w14:paraId="6E76F37A" w14:textId="77777777" w:rsidR="00F36412" w:rsidRPr="00D2126A" w:rsidRDefault="00332130" w:rsidP="00332130">
      <w:pPr>
        <w:pStyle w:val="Date"/>
        <w:jc w:val="center"/>
        <w:rPr>
          <w:noProof/>
        </w:rPr>
      </w:pPr>
      <w:r>
        <w:br w:type="page"/>
      </w:r>
    </w:p>
    <w:p w14:paraId="05998182" w14:textId="77777777" w:rsidR="00F36412" w:rsidRPr="00D2126A" w:rsidRDefault="00F36412" w:rsidP="00332130">
      <w:pPr>
        <w:jc w:val="center"/>
        <w:rPr>
          <w:bCs/>
          <w:noProof/>
          <w:color w:val="000000"/>
        </w:rPr>
      </w:pPr>
    </w:p>
    <w:p w14:paraId="6D09FE36" w14:textId="77777777" w:rsidR="00F36412" w:rsidRPr="00D2126A" w:rsidRDefault="00F36412" w:rsidP="00DF154F">
      <w:pPr>
        <w:jc w:val="center"/>
        <w:rPr>
          <w:bCs/>
          <w:noProof/>
          <w:color w:val="000000"/>
        </w:rPr>
      </w:pPr>
    </w:p>
    <w:p w14:paraId="336A6158" w14:textId="77777777" w:rsidR="00F36412" w:rsidRPr="00D2126A" w:rsidRDefault="00F36412" w:rsidP="00DF154F">
      <w:pPr>
        <w:jc w:val="center"/>
        <w:rPr>
          <w:bCs/>
          <w:noProof/>
          <w:color w:val="000000"/>
        </w:rPr>
      </w:pPr>
    </w:p>
    <w:p w14:paraId="13252D09" w14:textId="77777777" w:rsidR="00F36412" w:rsidRPr="00D2126A" w:rsidRDefault="00F36412" w:rsidP="00DF154F">
      <w:pPr>
        <w:jc w:val="center"/>
        <w:rPr>
          <w:bCs/>
          <w:noProof/>
          <w:color w:val="000000"/>
        </w:rPr>
      </w:pPr>
    </w:p>
    <w:p w14:paraId="143D715D" w14:textId="77777777" w:rsidR="00F36412" w:rsidRPr="00D2126A" w:rsidRDefault="00F36412" w:rsidP="00DF154F">
      <w:pPr>
        <w:jc w:val="center"/>
        <w:rPr>
          <w:bCs/>
          <w:noProof/>
          <w:color w:val="000000"/>
        </w:rPr>
      </w:pPr>
    </w:p>
    <w:p w14:paraId="1432AE04" w14:textId="77777777" w:rsidR="00F36412" w:rsidRPr="00D2126A" w:rsidRDefault="00F36412" w:rsidP="00DF154F">
      <w:pPr>
        <w:jc w:val="center"/>
        <w:rPr>
          <w:bCs/>
          <w:noProof/>
          <w:color w:val="000000"/>
        </w:rPr>
      </w:pPr>
    </w:p>
    <w:p w14:paraId="774A8FE3" w14:textId="77777777" w:rsidR="00F36412" w:rsidRPr="00D2126A" w:rsidRDefault="00F36412" w:rsidP="00DF154F">
      <w:pPr>
        <w:jc w:val="center"/>
        <w:rPr>
          <w:bCs/>
          <w:noProof/>
          <w:color w:val="000000"/>
        </w:rPr>
      </w:pPr>
    </w:p>
    <w:p w14:paraId="027EFFC3" w14:textId="77777777" w:rsidR="00F36412" w:rsidRPr="00D2126A" w:rsidRDefault="00F36412" w:rsidP="00DF154F">
      <w:pPr>
        <w:jc w:val="center"/>
        <w:rPr>
          <w:bCs/>
          <w:noProof/>
          <w:color w:val="000000"/>
        </w:rPr>
      </w:pPr>
    </w:p>
    <w:p w14:paraId="5D269EE6" w14:textId="77777777" w:rsidR="00F36412" w:rsidRPr="00D2126A" w:rsidRDefault="00F36412" w:rsidP="00DF154F">
      <w:pPr>
        <w:jc w:val="center"/>
        <w:rPr>
          <w:bCs/>
          <w:noProof/>
          <w:color w:val="000000"/>
        </w:rPr>
      </w:pPr>
    </w:p>
    <w:p w14:paraId="2DAACD34" w14:textId="77777777" w:rsidR="00F36412" w:rsidRPr="00D2126A" w:rsidRDefault="00F36412" w:rsidP="00DF154F">
      <w:pPr>
        <w:jc w:val="center"/>
        <w:rPr>
          <w:bCs/>
          <w:noProof/>
          <w:color w:val="000000"/>
        </w:rPr>
      </w:pPr>
    </w:p>
    <w:p w14:paraId="0C8F00BC" w14:textId="77777777" w:rsidR="00F36412" w:rsidRPr="00D2126A" w:rsidRDefault="00F36412" w:rsidP="00DF154F">
      <w:pPr>
        <w:jc w:val="center"/>
        <w:rPr>
          <w:bCs/>
          <w:noProof/>
          <w:color w:val="000000"/>
        </w:rPr>
      </w:pPr>
    </w:p>
    <w:p w14:paraId="651BF2A7" w14:textId="77777777" w:rsidR="00F36412" w:rsidRPr="00D2126A" w:rsidRDefault="00F36412" w:rsidP="00DF154F">
      <w:pPr>
        <w:jc w:val="center"/>
        <w:rPr>
          <w:bCs/>
          <w:noProof/>
          <w:color w:val="000000"/>
        </w:rPr>
      </w:pPr>
    </w:p>
    <w:p w14:paraId="7C38E002" w14:textId="77777777" w:rsidR="00F36412" w:rsidRPr="00D2126A" w:rsidRDefault="00F36412" w:rsidP="00DF154F">
      <w:pPr>
        <w:jc w:val="center"/>
        <w:rPr>
          <w:bCs/>
          <w:noProof/>
          <w:color w:val="000000"/>
        </w:rPr>
      </w:pPr>
    </w:p>
    <w:p w14:paraId="2CF6A9C9" w14:textId="77777777" w:rsidR="00F36412" w:rsidRPr="00D2126A" w:rsidRDefault="00F36412" w:rsidP="00DF154F">
      <w:pPr>
        <w:jc w:val="center"/>
        <w:rPr>
          <w:bCs/>
          <w:noProof/>
          <w:color w:val="000000"/>
        </w:rPr>
      </w:pPr>
    </w:p>
    <w:p w14:paraId="0DDC3DA5" w14:textId="77777777" w:rsidR="00F36412" w:rsidRPr="00D2126A" w:rsidRDefault="00F36412" w:rsidP="00DF154F">
      <w:pPr>
        <w:jc w:val="center"/>
        <w:rPr>
          <w:bCs/>
          <w:noProof/>
          <w:color w:val="000000"/>
        </w:rPr>
      </w:pPr>
    </w:p>
    <w:p w14:paraId="55358A34" w14:textId="77777777" w:rsidR="00F36412" w:rsidRPr="00D2126A" w:rsidRDefault="00F36412" w:rsidP="00DF154F">
      <w:pPr>
        <w:jc w:val="center"/>
        <w:rPr>
          <w:bCs/>
          <w:noProof/>
          <w:color w:val="000000"/>
        </w:rPr>
      </w:pPr>
    </w:p>
    <w:p w14:paraId="0203CDA1" w14:textId="77777777" w:rsidR="00F36412" w:rsidRPr="00D2126A" w:rsidRDefault="00F36412" w:rsidP="00DF154F">
      <w:pPr>
        <w:jc w:val="center"/>
        <w:rPr>
          <w:bCs/>
          <w:noProof/>
          <w:color w:val="000000"/>
        </w:rPr>
      </w:pPr>
    </w:p>
    <w:p w14:paraId="66F439B5" w14:textId="77777777" w:rsidR="00F36412" w:rsidRPr="00D2126A" w:rsidRDefault="00F36412" w:rsidP="00DF154F">
      <w:pPr>
        <w:jc w:val="center"/>
        <w:rPr>
          <w:bCs/>
          <w:noProof/>
          <w:color w:val="000000"/>
        </w:rPr>
      </w:pPr>
    </w:p>
    <w:p w14:paraId="4256B2A4" w14:textId="77777777" w:rsidR="00F36412" w:rsidRPr="00D2126A" w:rsidRDefault="00F36412" w:rsidP="00DF154F">
      <w:pPr>
        <w:jc w:val="center"/>
        <w:rPr>
          <w:bCs/>
          <w:noProof/>
          <w:color w:val="000000"/>
        </w:rPr>
      </w:pPr>
    </w:p>
    <w:p w14:paraId="13101EEA" w14:textId="77777777" w:rsidR="00F36412" w:rsidRPr="00D2126A" w:rsidRDefault="00F36412" w:rsidP="00DF154F">
      <w:pPr>
        <w:jc w:val="center"/>
        <w:rPr>
          <w:bCs/>
          <w:noProof/>
          <w:color w:val="000000"/>
        </w:rPr>
      </w:pPr>
    </w:p>
    <w:p w14:paraId="6C7EA89C" w14:textId="77777777" w:rsidR="00F36412" w:rsidRPr="00D2126A" w:rsidRDefault="00F36412" w:rsidP="00DF154F">
      <w:pPr>
        <w:jc w:val="center"/>
        <w:rPr>
          <w:bCs/>
          <w:noProof/>
          <w:color w:val="000000"/>
        </w:rPr>
      </w:pPr>
    </w:p>
    <w:p w14:paraId="52174BF3" w14:textId="77777777" w:rsidR="00F36412" w:rsidRPr="00D2126A" w:rsidRDefault="00F36412" w:rsidP="00DF154F">
      <w:pPr>
        <w:jc w:val="center"/>
        <w:rPr>
          <w:bCs/>
          <w:noProof/>
          <w:color w:val="000000"/>
        </w:rPr>
      </w:pPr>
    </w:p>
    <w:p w14:paraId="12BF61BC" w14:textId="77777777" w:rsidR="00B52266" w:rsidRPr="00D2126A" w:rsidRDefault="000E5A86" w:rsidP="00C93C76">
      <w:pPr>
        <w:jc w:val="center"/>
        <w:rPr>
          <w:b/>
          <w:color w:val="000000"/>
        </w:rPr>
      </w:pPr>
      <w:r>
        <w:rPr>
          <w:b/>
          <w:color w:val="000000"/>
        </w:rPr>
        <w:t>ANNEXE III</w:t>
      </w:r>
    </w:p>
    <w:p w14:paraId="5315374C" w14:textId="77777777" w:rsidR="00B52266" w:rsidRPr="00D2126A" w:rsidRDefault="00B52266" w:rsidP="00C93C76">
      <w:pPr>
        <w:jc w:val="center"/>
        <w:rPr>
          <w:b/>
          <w:color w:val="000000"/>
        </w:rPr>
      </w:pPr>
    </w:p>
    <w:p w14:paraId="6FF73BD1" w14:textId="77777777" w:rsidR="00B52266" w:rsidRPr="00D2126A" w:rsidRDefault="000E5A86" w:rsidP="00C93C76">
      <w:pPr>
        <w:jc w:val="center"/>
        <w:rPr>
          <w:b/>
          <w:color w:val="000000"/>
        </w:rPr>
      </w:pPr>
      <w:r>
        <w:rPr>
          <w:b/>
          <w:color w:val="000000"/>
        </w:rPr>
        <w:t>ÉTIQUETAGE ET NOTICE</w:t>
      </w:r>
    </w:p>
    <w:p w14:paraId="7ABEBFA0" w14:textId="77777777" w:rsidR="00F36412" w:rsidRPr="00D2126A" w:rsidRDefault="00F36412" w:rsidP="00C93C76">
      <w:pPr>
        <w:jc w:val="center"/>
        <w:rPr>
          <w:noProof/>
          <w:color w:val="000000"/>
        </w:rPr>
      </w:pPr>
    </w:p>
    <w:p w14:paraId="295126EB" w14:textId="78A53F7B" w:rsidR="00F36412" w:rsidRPr="00D2126A" w:rsidRDefault="00AD39C6" w:rsidP="00AD39C6">
      <w:pPr>
        <w:jc w:val="center"/>
        <w:rPr>
          <w:noProof/>
          <w:color w:val="000000"/>
        </w:rPr>
      </w:pPr>
      <w:r>
        <w:br w:type="page"/>
      </w:r>
    </w:p>
    <w:p w14:paraId="294ECEF4" w14:textId="77777777" w:rsidR="00F36412" w:rsidRPr="00D2126A" w:rsidRDefault="00F36412" w:rsidP="00C93C76">
      <w:pPr>
        <w:jc w:val="center"/>
        <w:rPr>
          <w:noProof/>
          <w:color w:val="000000"/>
        </w:rPr>
      </w:pPr>
    </w:p>
    <w:p w14:paraId="4F663F5B" w14:textId="77777777" w:rsidR="00F36412" w:rsidRPr="00D2126A" w:rsidRDefault="00F36412" w:rsidP="00C93C76">
      <w:pPr>
        <w:jc w:val="center"/>
        <w:rPr>
          <w:noProof/>
          <w:color w:val="000000"/>
        </w:rPr>
      </w:pPr>
    </w:p>
    <w:p w14:paraId="2099624C" w14:textId="77777777" w:rsidR="00F36412" w:rsidRPr="00D2126A" w:rsidRDefault="00F36412" w:rsidP="00C93C76">
      <w:pPr>
        <w:jc w:val="center"/>
        <w:rPr>
          <w:noProof/>
          <w:color w:val="000000"/>
        </w:rPr>
      </w:pPr>
    </w:p>
    <w:p w14:paraId="375CC817" w14:textId="77777777" w:rsidR="00F36412" w:rsidRPr="00D2126A" w:rsidRDefault="00F36412" w:rsidP="00C93C76">
      <w:pPr>
        <w:jc w:val="center"/>
        <w:rPr>
          <w:noProof/>
          <w:color w:val="000000"/>
        </w:rPr>
      </w:pPr>
    </w:p>
    <w:p w14:paraId="7D74E2F5" w14:textId="77777777" w:rsidR="00F36412" w:rsidRPr="00D2126A" w:rsidRDefault="00F36412" w:rsidP="00C93C76">
      <w:pPr>
        <w:jc w:val="center"/>
        <w:rPr>
          <w:noProof/>
          <w:color w:val="000000"/>
        </w:rPr>
      </w:pPr>
    </w:p>
    <w:p w14:paraId="0833D196" w14:textId="77777777" w:rsidR="00F36412" w:rsidRPr="00D2126A" w:rsidRDefault="00F36412" w:rsidP="00C93C76">
      <w:pPr>
        <w:jc w:val="center"/>
        <w:rPr>
          <w:noProof/>
          <w:color w:val="000000"/>
        </w:rPr>
      </w:pPr>
    </w:p>
    <w:p w14:paraId="46FC0F47" w14:textId="77777777" w:rsidR="00F36412" w:rsidRPr="00D2126A" w:rsidRDefault="00F36412" w:rsidP="00C93C76">
      <w:pPr>
        <w:jc w:val="center"/>
        <w:rPr>
          <w:noProof/>
          <w:color w:val="000000"/>
        </w:rPr>
      </w:pPr>
    </w:p>
    <w:p w14:paraId="4EE301F1" w14:textId="77777777" w:rsidR="00F36412" w:rsidRPr="00D2126A" w:rsidRDefault="00F36412" w:rsidP="00C93C76">
      <w:pPr>
        <w:jc w:val="center"/>
        <w:rPr>
          <w:noProof/>
          <w:color w:val="000000"/>
        </w:rPr>
      </w:pPr>
    </w:p>
    <w:p w14:paraId="75CE4AA5" w14:textId="77777777" w:rsidR="00F36412" w:rsidRPr="00D2126A" w:rsidRDefault="00F36412" w:rsidP="00C93C76">
      <w:pPr>
        <w:jc w:val="center"/>
        <w:rPr>
          <w:noProof/>
          <w:color w:val="000000"/>
        </w:rPr>
      </w:pPr>
    </w:p>
    <w:p w14:paraId="0612A2D1" w14:textId="77777777" w:rsidR="00F36412" w:rsidRPr="00D2126A" w:rsidRDefault="00F36412" w:rsidP="00C93C76">
      <w:pPr>
        <w:jc w:val="center"/>
        <w:rPr>
          <w:noProof/>
          <w:color w:val="000000"/>
        </w:rPr>
      </w:pPr>
    </w:p>
    <w:p w14:paraId="13FCDD9B" w14:textId="77777777" w:rsidR="00F36412" w:rsidRPr="00D2126A" w:rsidRDefault="00F36412" w:rsidP="00C93C76">
      <w:pPr>
        <w:jc w:val="center"/>
        <w:rPr>
          <w:noProof/>
          <w:color w:val="000000"/>
        </w:rPr>
      </w:pPr>
    </w:p>
    <w:p w14:paraId="66CE4731" w14:textId="77777777" w:rsidR="00F36412" w:rsidRPr="00D2126A" w:rsidRDefault="00F36412" w:rsidP="00C93C76">
      <w:pPr>
        <w:jc w:val="center"/>
        <w:rPr>
          <w:noProof/>
          <w:color w:val="000000"/>
        </w:rPr>
      </w:pPr>
    </w:p>
    <w:p w14:paraId="128E125F" w14:textId="77777777" w:rsidR="00F36412" w:rsidRPr="00D2126A" w:rsidRDefault="00F36412" w:rsidP="00C93C76">
      <w:pPr>
        <w:jc w:val="center"/>
        <w:rPr>
          <w:noProof/>
          <w:color w:val="000000"/>
        </w:rPr>
      </w:pPr>
    </w:p>
    <w:p w14:paraId="6F638BBE" w14:textId="77777777" w:rsidR="00F36412" w:rsidRPr="00D2126A" w:rsidRDefault="00F36412" w:rsidP="00C93C76">
      <w:pPr>
        <w:jc w:val="center"/>
        <w:rPr>
          <w:noProof/>
          <w:color w:val="000000"/>
        </w:rPr>
      </w:pPr>
    </w:p>
    <w:p w14:paraId="58F4F1EE" w14:textId="77777777" w:rsidR="00F36412" w:rsidRPr="00D2126A" w:rsidRDefault="00F36412" w:rsidP="00C93C76">
      <w:pPr>
        <w:jc w:val="center"/>
        <w:rPr>
          <w:noProof/>
          <w:color w:val="000000"/>
        </w:rPr>
      </w:pPr>
    </w:p>
    <w:p w14:paraId="47F225AE" w14:textId="77777777" w:rsidR="00F36412" w:rsidRPr="00D2126A" w:rsidRDefault="00F36412" w:rsidP="00C93C76">
      <w:pPr>
        <w:jc w:val="center"/>
        <w:rPr>
          <w:noProof/>
          <w:color w:val="000000"/>
        </w:rPr>
      </w:pPr>
    </w:p>
    <w:p w14:paraId="2F9C6578" w14:textId="77777777" w:rsidR="00F36412" w:rsidRPr="00D2126A" w:rsidRDefault="00F36412" w:rsidP="00C93C76">
      <w:pPr>
        <w:jc w:val="center"/>
        <w:rPr>
          <w:noProof/>
          <w:color w:val="000000"/>
        </w:rPr>
      </w:pPr>
    </w:p>
    <w:p w14:paraId="1DED7D98" w14:textId="77777777" w:rsidR="00F36412" w:rsidRPr="00D2126A" w:rsidRDefault="00F36412" w:rsidP="00C93C76">
      <w:pPr>
        <w:jc w:val="center"/>
        <w:rPr>
          <w:noProof/>
          <w:color w:val="000000"/>
        </w:rPr>
      </w:pPr>
    </w:p>
    <w:p w14:paraId="3AF7F142" w14:textId="77777777" w:rsidR="00F36412" w:rsidRPr="00D2126A" w:rsidRDefault="00F36412" w:rsidP="00C93C76">
      <w:pPr>
        <w:jc w:val="center"/>
        <w:rPr>
          <w:noProof/>
          <w:color w:val="000000"/>
        </w:rPr>
      </w:pPr>
    </w:p>
    <w:p w14:paraId="21A22DC1" w14:textId="77777777" w:rsidR="00904DC9" w:rsidRPr="00D2126A" w:rsidRDefault="00904DC9" w:rsidP="00C93C76">
      <w:pPr>
        <w:pStyle w:val="Date"/>
        <w:jc w:val="center"/>
      </w:pPr>
    </w:p>
    <w:p w14:paraId="60364A53" w14:textId="77777777" w:rsidR="00904DC9" w:rsidRPr="00D2126A" w:rsidRDefault="00904DC9" w:rsidP="00C93C76">
      <w:pPr>
        <w:jc w:val="center"/>
      </w:pPr>
    </w:p>
    <w:p w14:paraId="0ADC110B" w14:textId="77777777" w:rsidR="00904DC9" w:rsidRPr="00D2126A" w:rsidRDefault="00904DC9" w:rsidP="00C93C76">
      <w:pPr>
        <w:pStyle w:val="Date"/>
        <w:jc w:val="center"/>
      </w:pPr>
    </w:p>
    <w:p w14:paraId="54EF3DED" w14:textId="77777777" w:rsidR="00B52266" w:rsidRPr="00D2126A" w:rsidRDefault="000E5A86" w:rsidP="00C93C76">
      <w:pPr>
        <w:pStyle w:val="TitleA"/>
        <w:outlineLvl w:val="0"/>
        <w:rPr>
          <w:bCs/>
          <w:color w:val="000000"/>
        </w:rPr>
      </w:pPr>
      <w:r>
        <w:rPr>
          <w:color w:val="000000"/>
        </w:rPr>
        <w:t>A. ÉTIQUETAGE</w:t>
      </w:r>
    </w:p>
    <w:p w14:paraId="5EAFDFE1" w14:textId="2CDD5F04" w:rsidR="00036363" w:rsidRPr="00D2126A" w:rsidRDefault="00B17EDE" w:rsidP="00C63FF5">
      <w:pPr>
        <w:keepNext/>
        <w:pBdr>
          <w:top w:val="single" w:sz="4" w:space="1" w:color="auto"/>
          <w:left w:val="single" w:sz="4" w:space="1" w:color="auto"/>
          <w:bottom w:val="single" w:sz="4" w:space="1" w:color="auto"/>
          <w:right w:val="single" w:sz="4" w:space="1" w:color="auto"/>
        </w:pBdr>
        <w:rPr>
          <w:b/>
          <w:color w:val="000000"/>
        </w:rPr>
      </w:pPr>
      <w:r>
        <w:br w:type="page"/>
      </w:r>
      <w:r w:rsidR="000E5A86">
        <w:rPr>
          <w:b/>
          <w:color w:val="000000"/>
        </w:rPr>
        <w:t>MENTIONS DEVANT FIGURER SUR L’EMBALLAGE EXTÉRIEUR</w:t>
      </w:r>
    </w:p>
    <w:p w14:paraId="304A16E2" w14:textId="1E989599" w:rsidR="00B52266" w:rsidRPr="00D2126A" w:rsidRDefault="00B52266" w:rsidP="00B17EDE">
      <w:pPr>
        <w:keepNext/>
        <w:pBdr>
          <w:top w:val="single" w:sz="4" w:space="1" w:color="auto"/>
          <w:left w:val="single" w:sz="4" w:space="1" w:color="auto"/>
          <w:bottom w:val="single" w:sz="4" w:space="1" w:color="auto"/>
          <w:right w:val="single" w:sz="4" w:space="1" w:color="auto"/>
        </w:pBdr>
        <w:rPr>
          <w:b/>
          <w:color w:val="000000"/>
        </w:rPr>
      </w:pPr>
    </w:p>
    <w:p w14:paraId="255CA6CF" w14:textId="77777777" w:rsidR="00B52266" w:rsidRPr="00D2126A" w:rsidRDefault="000E5A86" w:rsidP="00B17EDE">
      <w:pPr>
        <w:keepNext/>
        <w:pBdr>
          <w:top w:val="single" w:sz="4" w:space="1" w:color="auto"/>
          <w:left w:val="single" w:sz="4" w:space="1" w:color="auto"/>
          <w:bottom w:val="single" w:sz="4" w:space="1" w:color="auto"/>
          <w:right w:val="single" w:sz="4" w:space="1" w:color="auto"/>
        </w:pBdr>
        <w:rPr>
          <w:b/>
          <w:color w:val="000000"/>
        </w:rPr>
      </w:pPr>
      <w:r>
        <w:rPr>
          <w:b/>
          <w:color w:val="000000"/>
        </w:rPr>
        <w:t>BOÎTE</w:t>
      </w:r>
    </w:p>
    <w:p w14:paraId="6E780A58" w14:textId="77777777" w:rsidR="00B52266" w:rsidRPr="00D2126A" w:rsidRDefault="00B52266" w:rsidP="00EB488D">
      <w:pPr>
        <w:keepNext/>
        <w:rPr>
          <w:color w:val="000000"/>
        </w:rPr>
      </w:pPr>
    </w:p>
    <w:p w14:paraId="3D971080" w14:textId="77777777" w:rsidR="00904DC9" w:rsidRPr="00D2126A" w:rsidRDefault="00904DC9" w:rsidP="00C93C76">
      <w:pPr>
        <w:pStyle w:val="Date"/>
      </w:pPr>
    </w:p>
    <w:p w14:paraId="0E31C630" w14:textId="77777777" w:rsidR="00651A9A" w:rsidRPr="00D2126A" w:rsidRDefault="000E5A86" w:rsidP="00C93C76">
      <w:pPr>
        <w:pStyle w:val="StyleHeadingLab"/>
      </w:pPr>
      <w:r>
        <w:t>1.</w:t>
      </w:r>
      <w:r>
        <w:tab/>
        <w:t>DÉNOMINATION DU MÉDICAMENT</w:t>
      </w:r>
    </w:p>
    <w:p w14:paraId="268CC86D" w14:textId="77777777" w:rsidR="00651A9A" w:rsidRPr="00D2126A" w:rsidRDefault="00651A9A" w:rsidP="00EB488D">
      <w:pPr>
        <w:keepNext/>
        <w:rPr>
          <w:color w:val="000000"/>
        </w:rPr>
      </w:pPr>
    </w:p>
    <w:p w14:paraId="01F1BECA" w14:textId="77777777" w:rsidR="00651A9A" w:rsidRPr="00D2126A" w:rsidRDefault="000E5A86" w:rsidP="00C93C76">
      <w:pPr>
        <w:rPr>
          <w:color w:val="000000"/>
        </w:rPr>
      </w:pPr>
      <w:r>
        <w:rPr>
          <w:color w:val="000000"/>
        </w:rPr>
        <w:t>Revlimid 2,5 mg gélules</w:t>
      </w:r>
    </w:p>
    <w:p w14:paraId="3230FFE9" w14:textId="77777777" w:rsidR="00651A9A" w:rsidRPr="00D2126A" w:rsidRDefault="000E5A86" w:rsidP="00C93C76">
      <w:pPr>
        <w:rPr>
          <w:color w:val="000000"/>
        </w:rPr>
      </w:pPr>
      <w:r>
        <w:rPr>
          <w:color w:val="000000"/>
        </w:rPr>
        <w:t>lénalidomide</w:t>
      </w:r>
    </w:p>
    <w:p w14:paraId="1CD64DCA" w14:textId="77777777" w:rsidR="00651A9A" w:rsidRPr="00D2126A" w:rsidRDefault="00651A9A" w:rsidP="00C93C76">
      <w:pPr>
        <w:rPr>
          <w:color w:val="000000"/>
        </w:rPr>
      </w:pPr>
    </w:p>
    <w:p w14:paraId="6472F514" w14:textId="77777777" w:rsidR="00651A9A" w:rsidRPr="00D2126A" w:rsidRDefault="00651A9A" w:rsidP="00C93C76">
      <w:pPr>
        <w:pStyle w:val="Date"/>
        <w:rPr>
          <w:color w:val="000000"/>
        </w:rPr>
      </w:pPr>
    </w:p>
    <w:p w14:paraId="2930F109"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2.</w:t>
      </w:r>
      <w:r>
        <w:rPr>
          <w:b/>
          <w:color w:val="000000"/>
        </w:rPr>
        <w:tab/>
        <w:t>COMPOSITION EN SUBSTANCE(S) ACTIVE(S)</w:t>
      </w:r>
    </w:p>
    <w:p w14:paraId="559BA7E8" w14:textId="77777777" w:rsidR="00651A9A" w:rsidRPr="00D2126A" w:rsidRDefault="00651A9A" w:rsidP="00EB488D">
      <w:pPr>
        <w:keepNext/>
        <w:rPr>
          <w:color w:val="000000"/>
        </w:rPr>
      </w:pPr>
    </w:p>
    <w:p w14:paraId="4F854D9E" w14:textId="77777777" w:rsidR="00651A9A" w:rsidRPr="00D2126A" w:rsidRDefault="000E5A86" w:rsidP="00C93C76">
      <w:pPr>
        <w:rPr>
          <w:color w:val="000000"/>
        </w:rPr>
      </w:pPr>
      <w:r>
        <w:rPr>
          <w:color w:val="000000"/>
        </w:rPr>
        <w:t>Chaque gélule contient 2,5 mg de lénalidomide.</w:t>
      </w:r>
    </w:p>
    <w:p w14:paraId="47FF742D" w14:textId="77777777" w:rsidR="00651A9A" w:rsidRPr="00D2126A" w:rsidRDefault="00651A9A" w:rsidP="00C93C76">
      <w:pPr>
        <w:rPr>
          <w:color w:val="000000"/>
        </w:rPr>
      </w:pPr>
    </w:p>
    <w:p w14:paraId="2E18AAA8" w14:textId="77777777" w:rsidR="00651A9A" w:rsidRPr="00D2126A" w:rsidRDefault="00651A9A" w:rsidP="00C93C76">
      <w:pPr>
        <w:pStyle w:val="Date"/>
        <w:rPr>
          <w:color w:val="000000"/>
        </w:rPr>
      </w:pPr>
    </w:p>
    <w:p w14:paraId="0357AD60"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3.</w:t>
      </w:r>
      <w:r>
        <w:rPr>
          <w:b/>
          <w:color w:val="000000"/>
        </w:rPr>
        <w:tab/>
        <w:t>LISTE DES EXCIPIENTS</w:t>
      </w:r>
    </w:p>
    <w:p w14:paraId="55A2F425" w14:textId="77777777" w:rsidR="00651A9A" w:rsidRPr="00D2126A" w:rsidRDefault="00651A9A" w:rsidP="00EB488D">
      <w:pPr>
        <w:keepNext/>
        <w:rPr>
          <w:i/>
          <w:iCs/>
          <w:color w:val="000000"/>
        </w:rPr>
      </w:pPr>
    </w:p>
    <w:p w14:paraId="677D1917" w14:textId="77777777" w:rsidR="00651A9A" w:rsidRPr="00D2126A" w:rsidRDefault="000E5A86" w:rsidP="00C93C76">
      <w:pPr>
        <w:rPr>
          <w:color w:val="000000"/>
        </w:rPr>
      </w:pPr>
      <w:r>
        <w:rPr>
          <w:color w:val="000000"/>
        </w:rPr>
        <w:t>Contient du lactose. Voir la notice pour plus d’informations.</w:t>
      </w:r>
    </w:p>
    <w:p w14:paraId="4538658A" w14:textId="77777777" w:rsidR="00651A9A" w:rsidRPr="00D2126A" w:rsidRDefault="00651A9A" w:rsidP="00C93C76">
      <w:pPr>
        <w:rPr>
          <w:color w:val="000000"/>
        </w:rPr>
      </w:pPr>
    </w:p>
    <w:p w14:paraId="1F9C4556" w14:textId="77777777" w:rsidR="00651A9A" w:rsidRPr="00D2126A" w:rsidRDefault="00651A9A" w:rsidP="00C93C76">
      <w:pPr>
        <w:pStyle w:val="Date"/>
        <w:rPr>
          <w:color w:val="000000"/>
        </w:rPr>
      </w:pPr>
    </w:p>
    <w:p w14:paraId="491CC4CA"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4.</w:t>
      </w:r>
      <w:r>
        <w:rPr>
          <w:b/>
          <w:color w:val="000000"/>
        </w:rPr>
        <w:tab/>
        <w:t>FORME PHARMACEUTIQUE ET CONTENU</w:t>
      </w:r>
    </w:p>
    <w:p w14:paraId="6FB65D56" w14:textId="77777777" w:rsidR="00651A9A" w:rsidRPr="00D2126A" w:rsidRDefault="00651A9A" w:rsidP="00EB488D">
      <w:pPr>
        <w:keepNext/>
        <w:rPr>
          <w:color w:val="000000"/>
        </w:rPr>
      </w:pPr>
    </w:p>
    <w:p w14:paraId="422791EC" w14:textId="4DB1C448" w:rsidR="00651A9A" w:rsidRPr="00D2126A" w:rsidRDefault="000E5A86" w:rsidP="00C93C76">
      <w:pPr>
        <w:rPr>
          <w:color w:val="000000"/>
        </w:rPr>
      </w:pPr>
      <w:r>
        <w:rPr>
          <w:color w:val="000000"/>
        </w:rPr>
        <w:t>7 gélules</w:t>
      </w:r>
    </w:p>
    <w:p w14:paraId="0315D0F2" w14:textId="6F7BA0B8" w:rsidR="00651A9A" w:rsidRPr="00D2126A" w:rsidRDefault="000E5A86" w:rsidP="00C93C76">
      <w:pPr>
        <w:rPr>
          <w:noProof/>
        </w:rPr>
      </w:pPr>
      <w:r>
        <w:rPr>
          <w:highlight w:val="lightGray"/>
        </w:rPr>
        <w:t>21 gélules</w:t>
      </w:r>
    </w:p>
    <w:p w14:paraId="76FD8EF4" w14:textId="77777777" w:rsidR="008D4EE6" w:rsidRPr="00D2126A" w:rsidRDefault="008D4EE6" w:rsidP="00C93C76">
      <w:pPr>
        <w:pStyle w:val="Date"/>
      </w:pPr>
    </w:p>
    <w:p w14:paraId="78622BF0" w14:textId="77777777" w:rsidR="00651A9A" w:rsidRPr="00D2126A" w:rsidRDefault="00651A9A" w:rsidP="00C93C76">
      <w:pPr>
        <w:pStyle w:val="Date"/>
        <w:rPr>
          <w:color w:val="000000"/>
        </w:rPr>
      </w:pPr>
    </w:p>
    <w:p w14:paraId="693C8C59"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5.</w:t>
      </w:r>
      <w:r>
        <w:rPr>
          <w:b/>
          <w:color w:val="000000"/>
        </w:rPr>
        <w:tab/>
        <w:t>MODE ET VOIE(S) D’ADMINISTRATION</w:t>
      </w:r>
    </w:p>
    <w:p w14:paraId="52E11D67" w14:textId="77777777" w:rsidR="00651A9A" w:rsidRPr="00D2126A" w:rsidRDefault="00651A9A" w:rsidP="00EB488D">
      <w:pPr>
        <w:keepNext/>
        <w:rPr>
          <w:color w:val="000000"/>
        </w:rPr>
      </w:pPr>
    </w:p>
    <w:p w14:paraId="2131E7EA" w14:textId="77777777" w:rsidR="00651A9A" w:rsidRPr="00D2126A" w:rsidRDefault="000E5A86" w:rsidP="00C93C76">
      <w:pPr>
        <w:rPr>
          <w:color w:val="000000"/>
        </w:rPr>
      </w:pPr>
      <w:r>
        <w:rPr>
          <w:color w:val="000000"/>
        </w:rPr>
        <w:t>Voie orale.</w:t>
      </w:r>
    </w:p>
    <w:p w14:paraId="129ABA47" w14:textId="77777777" w:rsidR="00651A9A" w:rsidRPr="00D2126A" w:rsidRDefault="00651A9A" w:rsidP="00C93C76">
      <w:pPr>
        <w:rPr>
          <w:color w:val="000000"/>
        </w:rPr>
      </w:pPr>
    </w:p>
    <w:p w14:paraId="54E8E718" w14:textId="77777777" w:rsidR="00651A9A" w:rsidRPr="00D2126A" w:rsidRDefault="000E5A86" w:rsidP="00C93C76">
      <w:pPr>
        <w:rPr>
          <w:color w:val="000000"/>
        </w:rPr>
      </w:pPr>
      <w:r>
        <w:rPr>
          <w:color w:val="000000"/>
        </w:rPr>
        <w:t>Lire la notice avant utilisation.</w:t>
      </w:r>
    </w:p>
    <w:p w14:paraId="05F6717E" w14:textId="77777777" w:rsidR="00651A9A" w:rsidRPr="00D2126A" w:rsidRDefault="00651A9A" w:rsidP="00C93C76">
      <w:pPr>
        <w:rPr>
          <w:color w:val="000000"/>
        </w:rPr>
      </w:pPr>
    </w:p>
    <w:p w14:paraId="5A6CA638" w14:textId="77777777" w:rsidR="00651A9A" w:rsidRPr="00D2126A" w:rsidRDefault="00651A9A" w:rsidP="00C93C76">
      <w:pPr>
        <w:pStyle w:val="Date"/>
        <w:rPr>
          <w:color w:val="000000"/>
        </w:rPr>
      </w:pPr>
    </w:p>
    <w:p w14:paraId="15319C12"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6.</w:t>
      </w:r>
      <w:r>
        <w:rPr>
          <w:b/>
          <w:color w:val="000000"/>
        </w:rPr>
        <w:tab/>
        <w:t>MISE EN GARDE SPÉCIALE INDIQUANT QUE LE MÉDICAMENT DOIT ÊTRE CONSERVÉ HORS DE VUE ET DE PORTÉE DES ENFANTS</w:t>
      </w:r>
    </w:p>
    <w:p w14:paraId="2B3D1D55" w14:textId="77777777" w:rsidR="00651A9A" w:rsidRPr="00D2126A" w:rsidRDefault="00651A9A" w:rsidP="00EB488D">
      <w:pPr>
        <w:keepNext/>
        <w:rPr>
          <w:color w:val="000000"/>
        </w:rPr>
      </w:pPr>
    </w:p>
    <w:p w14:paraId="629B0198" w14:textId="77777777" w:rsidR="00651A9A" w:rsidRPr="00D2126A" w:rsidRDefault="000E5A86" w:rsidP="00C93C76">
      <w:pPr>
        <w:rPr>
          <w:color w:val="000000"/>
        </w:rPr>
      </w:pPr>
      <w:r>
        <w:rPr>
          <w:color w:val="000000"/>
        </w:rPr>
        <w:t>Tenir hors de la vue et de la portée des enfants.</w:t>
      </w:r>
    </w:p>
    <w:p w14:paraId="6F991B81" w14:textId="77777777" w:rsidR="00651A9A" w:rsidRPr="00D2126A" w:rsidRDefault="00651A9A" w:rsidP="00C93C76">
      <w:pPr>
        <w:rPr>
          <w:color w:val="000000"/>
        </w:rPr>
      </w:pPr>
    </w:p>
    <w:p w14:paraId="5FC1044B" w14:textId="77777777" w:rsidR="00651A9A" w:rsidRPr="00D2126A" w:rsidRDefault="00651A9A" w:rsidP="00C93C76">
      <w:pPr>
        <w:pStyle w:val="Date"/>
        <w:rPr>
          <w:color w:val="000000"/>
        </w:rPr>
      </w:pPr>
    </w:p>
    <w:p w14:paraId="0ACEA8C3" w14:textId="77777777" w:rsidR="00651A9A" w:rsidRPr="00D2126A" w:rsidRDefault="000E5A86" w:rsidP="00C93C76">
      <w:pPr>
        <w:pStyle w:val="StyleHeadingLab"/>
      </w:pPr>
      <w:r>
        <w:t>7.</w:t>
      </w:r>
      <w:r>
        <w:tab/>
        <w:t>AUTRE(S) MISE(S) EN GARDE SPÉCIALE(S), SI NÉCESSAIRE</w:t>
      </w:r>
    </w:p>
    <w:p w14:paraId="352CE974" w14:textId="77777777" w:rsidR="00651A9A" w:rsidRPr="00D2126A" w:rsidRDefault="00651A9A" w:rsidP="00EB488D">
      <w:pPr>
        <w:keepNext/>
        <w:rPr>
          <w:color w:val="000000"/>
        </w:rPr>
      </w:pPr>
    </w:p>
    <w:p w14:paraId="1704CBDA" w14:textId="77777777" w:rsidR="006E28E9" w:rsidRPr="00D2126A" w:rsidRDefault="000E5A86" w:rsidP="00C93C76">
      <w:pPr>
        <w:rPr>
          <w:bCs/>
          <w:color w:val="000000"/>
        </w:rPr>
      </w:pPr>
      <w:r>
        <w:rPr>
          <w:color w:val="000000"/>
        </w:rPr>
        <w:t>MISE EN GARDE : risque d’anomalies congénitales graves. Ne pas utiliser pendant la grossesse ou l’allaitement.</w:t>
      </w:r>
    </w:p>
    <w:p w14:paraId="2E0D3354" w14:textId="77777777" w:rsidR="00651A9A" w:rsidRPr="00D2126A" w:rsidRDefault="000E5A86" w:rsidP="00C93C76">
      <w:pPr>
        <w:rPr>
          <w:color w:val="000000"/>
        </w:rPr>
      </w:pPr>
      <w:r>
        <w:rPr>
          <w:color w:val="000000"/>
        </w:rPr>
        <w:t>Vous devez suivre le programme de prévention de la grossesse de Revlimid.</w:t>
      </w:r>
    </w:p>
    <w:p w14:paraId="4B76DBC8" w14:textId="77777777" w:rsidR="00651A9A" w:rsidRPr="00D2126A" w:rsidRDefault="00651A9A" w:rsidP="00C93C76">
      <w:pPr>
        <w:rPr>
          <w:color w:val="000000"/>
        </w:rPr>
      </w:pPr>
    </w:p>
    <w:p w14:paraId="29DA5F53" w14:textId="77777777" w:rsidR="00651A9A" w:rsidRPr="00D2126A" w:rsidRDefault="00651A9A" w:rsidP="00C93C76">
      <w:pPr>
        <w:pStyle w:val="Date"/>
        <w:rPr>
          <w:color w:val="000000"/>
        </w:rPr>
      </w:pPr>
    </w:p>
    <w:p w14:paraId="3987BA8F" w14:textId="77777777" w:rsidR="00651A9A" w:rsidRPr="00D2126A" w:rsidRDefault="000E5A86" w:rsidP="00C93C76">
      <w:pPr>
        <w:pStyle w:val="StyleHeadingLab"/>
      </w:pPr>
      <w:r>
        <w:t>8.</w:t>
      </w:r>
      <w:r>
        <w:tab/>
        <w:t>DATE DE PÉREMPTION</w:t>
      </w:r>
    </w:p>
    <w:p w14:paraId="270CDDC3" w14:textId="77777777" w:rsidR="00651A9A" w:rsidRPr="00D2126A" w:rsidRDefault="00651A9A" w:rsidP="00EB488D">
      <w:pPr>
        <w:keepNext/>
      </w:pPr>
    </w:p>
    <w:p w14:paraId="33A44534" w14:textId="77777777" w:rsidR="00E454CF" w:rsidRPr="00D2126A" w:rsidRDefault="000E5A86" w:rsidP="00C93C76">
      <w:r>
        <w:t>EXP</w:t>
      </w:r>
    </w:p>
    <w:p w14:paraId="3FFF9AAE" w14:textId="77777777" w:rsidR="00E454CF" w:rsidRPr="00D2126A" w:rsidRDefault="00E454CF" w:rsidP="00C93C76"/>
    <w:p w14:paraId="4BDDE74B" w14:textId="77777777" w:rsidR="00651A9A" w:rsidRPr="00D2126A" w:rsidRDefault="00651A9A" w:rsidP="00C93C76"/>
    <w:p w14:paraId="1AFEF92C" w14:textId="77777777" w:rsidR="00651A9A" w:rsidRPr="00D2126A" w:rsidRDefault="000E5A86" w:rsidP="00C93C76">
      <w:pPr>
        <w:pStyle w:val="StyleHeadingLab"/>
      </w:pPr>
      <w:r>
        <w:t>9.</w:t>
      </w:r>
      <w:r>
        <w:tab/>
        <w:t>PRÉCAUTIONS PARTICULIÈRES DE CONSERVATION</w:t>
      </w:r>
    </w:p>
    <w:p w14:paraId="42A9C70E" w14:textId="77777777" w:rsidR="00651A9A" w:rsidRPr="00D2126A" w:rsidRDefault="00651A9A" w:rsidP="00EB488D">
      <w:pPr>
        <w:keepNext/>
        <w:rPr>
          <w:color w:val="000000"/>
        </w:rPr>
      </w:pPr>
    </w:p>
    <w:p w14:paraId="0646352A" w14:textId="77777777" w:rsidR="00651A9A" w:rsidRPr="00D2126A" w:rsidRDefault="00651A9A" w:rsidP="00C93C76">
      <w:pPr>
        <w:pStyle w:val="Date"/>
        <w:rPr>
          <w:color w:val="000000"/>
        </w:rPr>
      </w:pPr>
    </w:p>
    <w:p w14:paraId="4E722DE6" w14:textId="77777777" w:rsidR="00651A9A" w:rsidRPr="00D2126A" w:rsidRDefault="000E5A86" w:rsidP="00C93C76">
      <w:pPr>
        <w:pageBreakBefore/>
        <w:pBdr>
          <w:top w:val="single" w:sz="4" w:space="1" w:color="auto"/>
          <w:left w:val="single" w:sz="4" w:space="1" w:color="auto"/>
          <w:bottom w:val="single" w:sz="4" w:space="1" w:color="auto"/>
          <w:right w:val="single" w:sz="4" w:space="5" w:color="auto"/>
        </w:pBdr>
        <w:tabs>
          <w:tab w:val="left" w:pos="567"/>
        </w:tabs>
        <w:ind w:left="567" w:hanging="567"/>
        <w:rPr>
          <w:b/>
          <w:color w:val="000000"/>
        </w:rPr>
      </w:pPr>
      <w:r>
        <w:rPr>
          <w:b/>
          <w:color w:val="000000"/>
        </w:rPr>
        <w:t>10.</w:t>
      </w:r>
      <w:r>
        <w:rPr>
          <w:b/>
          <w:color w:val="000000"/>
        </w:rPr>
        <w:tab/>
        <w:t>PRÉCAUTIONS PARTICULIÈRES D’ÉLIMINATION DES MÉDICAMENTS NON UTILISÉS OU DES DÉCHETS PROVENANT DE CES MÉDICAMENTS S’IL Y A LIEU</w:t>
      </w:r>
    </w:p>
    <w:p w14:paraId="0D57BFC0" w14:textId="77777777" w:rsidR="00651A9A" w:rsidRPr="00D2126A" w:rsidRDefault="00651A9A" w:rsidP="00EB488D">
      <w:pPr>
        <w:keepNext/>
        <w:rPr>
          <w:color w:val="000000"/>
        </w:rPr>
      </w:pPr>
    </w:p>
    <w:p w14:paraId="7A63F181" w14:textId="77777777" w:rsidR="00651A9A" w:rsidRPr="00D2126A" w:rsidRDefault="000E5A86" w:rsidP="00C93C76">
      <w:pPr>
        <w:rPr>
          <w:color w:val="000000"/>
        </w:rPr>
      </w:pPr>
      <w:r>
        <w:rPr>
          <w:color w:val="000000"/>
        </w:rPr>
        <w:t>Rapporter les gélules non utilisées à un pharmacien.</w:t>
      </w:r>
    </w:p>
    <w:p w14:paraId="6734CA03" w14:textId="77777777" w:rsidR="00651A9A" w:rsidRPr="00D2126A" w:rsidRDefault="00651A9A" w:rsidP="00C93C76">
      <w:pPr>
        <w:rPr>
          <w:color w:val="000000"/>
        </w:rPr>
      </w:pPr>
    </w:p>
    <w:p w14:paraId="6F36C182" w14:textId="77777777" w:rsidR="00651A9A" w:rsidRPr="00D2126A" w:rsidRDefault="00651A9A" w:rsidP="00C93C76">
      <w:pPr>
        <w:pStyle w:val="Date"/>
        <w:rPr>
          <w:color w:val="000000"/>
        </w:rPr>
      </w:pPr>
    </w:p>
    <w:p w14:paraId="22AA9210" w14:textId="77777777" w:rsidR="00651A9A" w:rsidRPr="00D2126A" w:rsidRDefault="000E5A86" w:rsidP="00C93C76">
      <w:pPr>
        <w:pStyle w:val="StyleHeadingLab"/>
      </w:pPr>
      <w:r>
        <w:t>11.</w:t>
      </w:r>
      <w:r>
        <w:tab/>
        <w:t>NOM ET ADRESSE DU TITULAIRE DE L’AUTORISATION DE MISE SUR LE MARCHÉ</w:t>
      </w:r>
    </w:p>
    <w:p w14:paraId="04B230C7" w14:textId="77777777" w:rsidR="00651A9A" w:rsidRPr="00D2126A" w:rsidRDefault="00651A9A" w:rsidP="00EB488D">
      <w:pPr>
        <w:keepNext/>
        <w:rPr>
          <w:color w:val="000000"/>
        </w:rPr>
      </w:pPr>
    </w:p>
    <w:p w14:paraId="43060847" w14:textId="77777777" w:rsidR="00CB3D9F" w:rsidRPr="00AB0414" w:rsidRDefault="000E5A86" w:rsidP="00EB488D">
      <w:pPr>
        <w:pStyle w:val="EMEAAddress"/>
        <w:keepNext/>
        <w:rPr>
          <w:lang w:val="en-US"/>
        </w:rPr>
      </w:pPr>
      <w:r w:rsidRPr="00AB0414">
        <w:rPr>
          <w:lang w:val="en-US"/>
        </w:rPr>
        <w:t>Bristol</w:t>
      </w:r>
      <w:r w:rsidRPr="00AB0414">
        <w:rPr>
          <w:lang w:val="en-US"/>
        </w:rPr>
        <w:noBreakHyphen/>
        <w:t>Myers Squibb Pharma EEIG</w:t>
      </w:r>
    </w:p>
    <w:p w14:paraId="5978584B" w14:textId="77777777" w:rsidR="00CB3D9F" w:rsidRPr="00AB0414" w:rsidRDefault="000E5A86" w:rsidP="00EB488D">
      <w:pPr>
        <w:pStyle w:val="EMEAAddress"/>
        <w:keepNext/>
        <w:rPr>
          <w:lang w:val="en-US"/>
        </w:rPr>
      </w:pPr>
      <w:r w:rsidRPr="00AB0414">
        <w:rPr>
          <w:lang w:val="en-US"/>
        </w:rPr>
        <w:t>Plaza 254</w:t>
      </w:r>
    </w:p>
    <w:p w14:paraId="78E0208A" w14:textId="77777777" w:rsidR="00CB3D9F" w:rsidRPr="00AB0414" w:rsidRDefault="000E5A86" w:rsidP="00EB488D">
      <w:pPr>
        <w:pStyle w:val="EMEAAddress"/>
        <w:keepNext/>
        <w:rPr>
          <w:lang w:val="en-US"/>
        </w:rPr>
      </w:pPr>
      <w:r w:rsidRPr="00AB0414">
        <w:rPr>
          <w:lang w:val="en-US"/>
        </w:rPr>
        <w:t>Blanchardstown Corporate Park 2</w:t>
      </w:r>
    </w:p>
    <w:p w14:paraId="494D5288" w14:textId="77777777" w:rsidR="00CB3D9F" w:rsidRPr="00AB0414" w:rsidRDefault="000E5A86" w:rsidP="00EB488D">
      <w:pPr>
        <w:pStyle w:val="EMEAAddress"/>
        <w:keepNext/>
        <w:rPr>
          <w:lang w:val="en-US"/>
        </w:rPr>
      </w:pPr>
      <w:r w:rsidRPr="00AB0414">
        <w:rPr>
          <w:lang w:val="en-US"/>
        </w:rPr>
        <w:t>Dublin 15, D15 T867</w:t>
      </w:r>
    </w:p>
    <w:p w14:paraId="366403BF" w14:textId="77777777" w:rsidR="0073192A" w:rsidRPr="00D2126A" w:rsidRDefault="000E5A86" w:rsidP="00EB488D">
      <w:pPr>
        <w:keepNext/>
        <w:rPr>
          <w:bCs/>
          <w:color w:val="000000"/>
        </w:rPr>
      </w:pPr>
      <w:r>
        <w:t>Irlande</w:t>
      </w:r>
    </w:p>
    <w:p w14:paraId="35F09625" w14:textId="77777777" w:rsidR="00651A9A" w:rsidRPr="00D2126A" w:rsidRDefault="00651A9A" w:rsidP="00C93C76">
      <w:pPr>
        <w:rPr>
          <w:color w:val="000000"/>
        </w:rPr>
      </w:pPr>
    </w:p>
    <w:p w14:paraId="69BCE886" w14:textId="77777777" w:rsidR="00651A9A" w:rsidRPr="00D2126A" w:rsidRDefault="00651A9A" w:rsidP="00C93C76">
      <w:pPr>
        <w:pStyle w:val="Date"/>
        <w:rPr>
          <w:color w:val="000000"/>
        </w:rPr>
      </w:pPr>
    </w:p>
    <w:p w14:paraId="0F3149C7" w14:textId="77777777" w:rsidR="00651A9A" w:rsidRPr="00D2126A" w:rsidRDefault="000E5A86" w:rsidP="00C93C76">
      <w:pPr>
        <w:pStyle w:val="StyleHeadingLab"/>
      </w:pPr>
      <w:r>
        <w:t>12.</w:t>
      </w:r>
      <w:r>
        <w:tab/>
        <w:t>NUMÉRO(S) D’AUTORISATION DE MISE SUR LE MARCHÉ</w:t>
      </w:r>
    </w:p>
    <w:p w14:paraId="70E81CC0" w14:textId="77777777" w:rsidR="00651A9A" w:rsidRPr="00D2126A" w:rsidRDefault="00651A9A" w:rsidP="00EB488D">
      <w:pPr>
        <w:keepNext/>
        <w:rPr>
          <w:color w:val="000000"/>
        </w:rPr>
      </w:pPr>
    </w:p>
    <w:p w14:paraId="13A3DA34" w14:textId="2AE2EFB6" w:rsidR="003A5F8F" w:rsidRPr="00156723" w:rsidRDefault="000E5A86" w:rsidP="00C96725">
      <w:pPr>
        <w:pStyle w:val="Style10"/>
      </w:pPr>
      <w:r>
        <w:t xml:space="preserve">EU/1/07/391/007 </w:t>
      </w:r>
      <w:r>
        <w:rPr>
          <w:highlight w:val="lightGray"/>
        </w:rPr>
        <w:t>7 gélules</w:t>
      </w:r>
    </w:p>
    <w:p w14:paraId="0FF6B876" w14:textId="74E2B3F7" w:rsidR="00601714" w:rsidRPr="00156723" w:rsidRDefault="000E5A86" w:rsidP="00C96725">
      <w:pPr>
        <w:pStyle w:val="Style10"/>
      </w:pPr>
      <w:r>
        <w:rPr>
          <w:highlight w:val="lightGray"/>
        </w:rPr>
        <w:t>EU/1/07/391/005 21 gélules</w:t>
      </w:r>
    </w:p>
    <w:p w14:paraId="070F49DB" w14:textId="77777777" w:rsidR="00651A9A" w:rsidRPr="00156723" w:rsidRDefault="00651A9A" w:rsidP="00C93C76">
      <w:pPr>
        <w:rPr>
          <w:color w:val="000000"/>
        </w:rPr>
      </w:pPr>
    </w:p>
    <w:p w14:paraId="709118DE" w14:textId="77777777" w:rsidR="00651A9A" w:rsidRPr="00156723" w:rsidRDefault="00651A9A" w:rsidP="00C93C76">
      <w:pPr>
        <w:pStyle w:val="Date"/>
        <w:rPr>
          <w:color w:val="000000"/>
        </w:rPr>
      </w:pPr>
    </w:p>
    <w:p w14:paraId="0973F357" w14:textId="77777777" w:rsidR="00651A9A" w:rsidRPr="00D2126A" w:rsidRDefault="000E5A86" w:rsidP="00C93C76">
      <w:pPr>
        <w:pStyle w:val="StyleHeadingLab"/>
      </w:pPr>
      <w:r>
        <w:t>13.</w:t>
      </w:r>
      <w:r>
        <w:tab/>
        <w:t>NUMÉRO DU LOT</w:t>
      </w:r>
    </w:p>
    <w:p w14:paraId="404AF94B" w14:textId="77777777" w:rsidR="00651A9A" w:rsidRPr="00D2126A" w:rsidRDefault="00651A9A" w:rsidP="00EB488D">
      <w:pPr>
        <w:keepNext/>
        <w:rPr>
          <w:iCs/>
          <w:color w:val="000000"/>
        </w:rPr>
      </w:pPr>
    </w:p>
    <w:p w14:paraId="174A7DED" w14:textId="77777777" w:rsidR="00651A9A" w:rsidRPr="00D2126A" w:rsidRDefault="000E5A86" w:rsidP="00C93C76">
      <w:pPr>
        <w:rPr>
          <w:color w:val="000000"/>
        </w:rPr>
      </w:pPr>
      <w:r>
        <w:rPr>
          <w:color w:val="000000"/>
        </w:rPr>
        <w:t>Lot</w:t>
      </w:r>
    </w:p>
    <w:p w14:paraId="1FCDB21C" w14:textId="77777777" w:rsidR="00651A9A" w:rsidRPr="00D2126A" w:rsidRDefault="00651A9A" w:rsidP="00C93C76">
      <w:pPr>
        <w:rPr>
          <w:color w:val="000000"/>
        </w:rPr>
      </w:pPr>
    </w:p>
    <w:p w14:paraId="31369AD0" w14:textId="77777777" w:rsidR="00651A9A" w:rsidRPr="00D2126A" w:rsidRDefault="00651A9A" w:rsidP="00C93C76">
      <w:pPr>
        <w:pStyle w:val="Date"/>
        <w:rPr>
          <w:color w:val="000000"/>
        </w:rPr>
      </w:pPr>
    </w:p>
    <w:p w14:paraId="16DDF1B6" w14:textId="77777777" w:rsidR="00651A9A" w:rsidRPr="00D2126A" w:rsidRDefault="000E5A86" w:rsidP="00C93C76">
      <w:pPr>
        <w:pStyle w:val="StyleHeadingLab"/>
      </w:pPr>
      <w:r>
        <w:t>14.</w:t>
      </w:r>
      <w:r>
        <w:tab/>
        <w:t>CONDITIONS DE PRESCRIPTION ET DE DÉLIVRANCE</w:t>
      </w:r>
    </w:p>
    <w:p w14:paraId="5B8E85EB" w14:textId="77777777" w:rsidR="00651A9A" w:rsidRPr="00D2126A" w:rsidRDefault="00651A9A" w:rsidP="00EB488D">
      <w:pPr>
        <w:keepNext/>
        <w:rPr>
          <w:color w:val="000000"/>
        </w:rPr>
      </w:pPr>
    </w:p>
    <w:p w14:paraId="05B4680F" w14:textId="77777777" w:rsidR="00651A9A" w:rsidRPr="00D2126A" w:rsidRDefault="00651A9A" w:rsidP="00C93C76">
      <w:pPr>
        <w:pStyle w:val="Date"/>
        <w:rPr>
          <w:color w:val="000000"/>
        </w:rPr>
      </w:pPr>
    </w:p>
    <w:p w14:paraId="7508B933" w14:textId="77777777" w:rsidR="00651A9A" w:rsidRPr="00D2126A" w:rsidRDefault="000E5A86" w:rsidP="00C93C76">
      <w:pPr>
        <w:pStyle w:val="StyleHeadingLab"/>
      </w:pPr>
      <w:r>
        <w:t>15.</w:t>
      </w:r>
      <w:r>
        <w:tab/>
        <w:t>INDICATIONS D’UTILISATION</w:t>
      </w:r>
    </w:p>
    <w:p w14:paraId="6AB5CABE" w14:textId="77777777" w:rsidR="00651A9A" w:rsidRPr="00D2126A" w:rsidRDefault="00651A9A" w:rsidP="00EB488D">
      <w:pPr>
        <w:keepNext/>
        <w:rPr>
          <w:bCs/>
          <w:color w:val="000000"/>
        </w:rPr>
      </w:pPr>
    </w:p>
    <w:p w14:paraId="5B2FC68B" w14:textId="77777777" w:rsidR="00651A9A" w:rsidRPr="00D2126A" w:rsidRDefault="00651A9A" w:rsidP="00C93C76">
      <w:pPr>
        <w:rPr>
          <w:color w:val="000000"/>
        </w:rPr>
      </w:pPr>
    </w:p>
    <w:p w14:paraId="52E0B56F" w14:textId="77777777" w:rsidR="00651A9A" w:rsidRPr="00D2126A" w:rsidRDefault="000E5A86" w:rsidP="00C93C76">
      <w:pPr>
        <w:pStyle w:val="StyleHeadingLab"/>
      </w:pPr>
      <w:r>
        <w:t>16.</w:t>
      </w:r>
      <w:r>
        <w:tab/>
        <w:t>INFORMATIONS EN BRAILLE</w:t>
      </w:r>
    </w:p>
    <w:p w14:paraId="119D5598" w14:textId="77777777" w:rsidR="00651A9A" w:rsidRPr="00D2126A" w:rsidRDefault="00651A9A" w:rsidP="00EB488D">
      <w:pPr>
        <w:keepNext/>
        <w:rPr>
          <w:color w:val="000000"/>
        </w:rPr>
      </w:pPr>
    </w:p>
    <w:p w14:paraId="5BE95BC5" w14:textId="77777777" w:rsidR="00AE7BC4" w:rsidRPr="00D2126A" w:rsidRDefault="000E5A86" w:rsidP="00EB488D">
      <w:pPr>
        <w:keepNext/>
      </w:pPr>
      <w:r>
        <w:rPr>
          <w:color w:val="000000"/>
        </w:rPr>
        <w:t>Revlimid 2,5 mg</w:t>
      </w:r>
    </w:p>
    <w:p w14:paraId="22726D35" w14:textId="77777777" w:rsidR="008D4EE6" w:rsidRPr="00D2126A" w:rsidRDefault="008D4EE6" w:rsidP="00EB488D">
      <w:pPr>
        <w:pStyle w:val="Date"/>
        <w:keepNext/>
      </w:pPr>
    </w:p>
    <w:p w14:paraId="1AD45F86" w14:textId="77777777" w:rsidR="008D4EE6" w:rsidRPr="00D2126A" w:rsidRDefault="008D4EE6" w:rsidP="00C93C76">
      <w:pPr>
        <w:rPr>
          <w:noProof/>
          <w:shd w:val="clear" w:color="auto" w:fill="CCCCCC"/>
        </w:rPr>
      </w:pPr>
    </w:p>
    <w:p w14:paraId="60616647" w14:textId="77777777" w:rsidR="008D4EE6" w:rsidRPr="00D2126A" w:rsidRDefault="000E5A86" w:rsidP="00C93C76">
      <w:pPr>
        <w:pStyle w:val="StyleHeadingLab"/>
        <w:rPr>
          <w:i/>
          <w:noProof/>
        </w:rPr>
      </w:pPr>
      <w:r>
        <w:t>17.</w:t>
      </w:r>
      <w:r>
        <w:tab/>
        <w:t>IDENTIFIANT UNIQUE - CODE</w:t>
      </w:r>
      <w:r>
        <w:noBreakHyphen/>
        <w:t>BARRES 2D</w:t>
      </w:r>
    </w:p>
    <w:p w14:paraId="139DA064" w14:textId="77777777" w:rsidR="008D4EE6" w:rsidRPr="00D2126A" w:rsidRDefault="008D4EE6" w:rsidP="00EB488D">
      <w:pPr>
        <w:keepNext/>
        <w:rPr>
          <w:noProof/>
        </w:rPr>
      </w:pPr>
    </w:p>
    <w:p w14:paraId="211ED3B4" w14:textId="1A4F406F" w:rsidR="00756B2A" w:rsidRPr="00D2126A" w:rsidRDefault="000E5A86" w:rsidP="00EB488D">
      <w:pPr>
        <w:pStyle w:val="Date"/>
        <w:keepNext/>
        <w:rPr>
          <w:noProof/>
        </w:rPr>
      </w:pPr>
      <w:r>
        <w:rPr>
          <w:highlight w:val="lightGray"/>
        </w:rPr>
        <w:t>Code</w:t>
      </w:r>
      <w:r>
        <w:rPr>
          <w:highlight w:val="lightGray"/>
        </w:rPr>
        <w:noBreakHyphen/>
        <w:t>barres 2D portant l'identifiant unique inclus.</w:t>
      </w:r>
    </w:p>
    <w:p w14:paraId="36AC5CC9" w14:textId="77777777" w:rsidR="00C853A4" w:rsidRPr="00D2126A" w:rsidRDefault="00C853A4" w:rsidP="00EB488D">
      <w:pPr>
        <w:keepNext/>
      </w:pPr>
    </w:p>
    <w:p w14:paraId="0D704DEF" w14:textId="77777777" w:rsidR="00756B2A" w:rsidRPr="00D2126A" w:rsidRDefault="00756B2A" w:rsidP="00C93C76"/>
    <w:p w14:paraId="286A852B" w14:textId="77777777" w:rsidR="008D4EE6" w:rsidRPr="00D2126A" w:rsidRDefault="000E5A86" w:rsidP="00C93C76">
      <w:pPr>
        <w:pStyle w:val="StyleHeadingLab"/>
        <w:rPr>
          <w:i/>
          <w:noProof/>
        </w:rPr>
      </w:pPr>
      <w:r>
        <w:t>18.</w:t>
      </w:r>
      <w:r>
        <w:tab/>
        <w:t>IDENTIFIANT UNIQUE - DONNÉES LISIBLES PAR LES HUMAINS</w:t>
      </w:r>
    </w:p>
    <w:p w14:paraId="19839711" w14:textId="77777777" w:rsidR="00E03650" w:rsidRPr="00D2126A" w:rsidRDefault="00E03650" w:rsidP="00EB488D">
      <w:pPr>
        <w:pStyle w:val="Date"/>
        <w:keepNext/>
      </w:pPr>
    </w:p>
    <w:p w14:paraId="684735D9" w14:textId="2DA68D24" w:rsidR="00C853A4" w:rsidRPr="00D2126A" w:rsidRDefault="000E5A86" w:rsidP="00EB488D">
      <w:pPr>
        <w:keepNext/>
      </w:pPr>
      <w:r>
        <w:t>PC</w:t>
      </w:r>
    </w:p>
    <w:p w14:paraId="0EE9BB66" w14:textId="698177EA" w:rsidR="00C853A4" w:rsidRPr="00D2126A" w:rsidRDefault="000E5A86" w:rsidP="00EB488D">
      <w:pPr>
        <w:keepNext/>
      </w:pPr>
      <w:r>
        <w:t>SN</w:t>
      </w:r>
    </w:p>
    <w:p w14:paraId="37C6EB4E" w14:textId="26E2440B" w:rsidR="00C853A4" w:rsidRPr="00D2126A" w:rsidRDefault="000E5A86" w:rsidP="00EB488D">
      <w:pPr>
        <w:keepNext/>
      </w:pPr>
      <w:r>
        <w:t>NN</w:t>
      </w:r>
    </w:p>
    <w:p w14:paraId="148BA4FC" w14:textId="77777777" w:rsidR="00A84B34" w:rsidRPr="00D2126A" w:rsidRDefault="00A84B34" w:rsidP="00C93C76"/>
    <w:p w14:paraId="139BCAA0" w14:textId="04434D57" w:rsidR="00651A9A"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t>MENTIONS MINIMALES DEVANT FIGURER SUR LES PLAQUETTES OU LES FILMS THERMOSOUDÉS</w:t>
      </w:r>
    </w:p>
    <w:p w14:paraId="5AB91931" w14:textId="77777777" w:rsidR="00651A9A" w:rsidRPr="00D2126A" w:rsidRDefault="00651A9A" w:rsidP="00EB488D">
      <w:pPr>
        <w:pStyle w:val="Date"/>
        <w:keepNext/>
        <w:pBdr>
          <w:left w:val="single" w:sz="4" w:space="1" w:color="auto"/>
          <w:bottom w:val="single" w:sz="4" w:space="1" w:color="auto"/>
          <w:right w:val="single" w:sz="4" w:space="1" w:color="auto"/>
        </w:pBdr>
        <w:rPr>
          <w:color w:val="000000"/>
        </w:rPr>
      </w:pPr>
    </w:p>
    <w:p w14:paraId="0A084811" w14:textId="77777777" w:rsidR="00651A9A"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PLAQUETTES</w:t>
      </w:r>
    </w:p>
    <w:p w14:paraId="7AC170CA" w14:textId="77777777" w:rsidR="00651A9A" w:rsidRPr="00D2126A" w:rsidRDefault="00651A9A" w:rsidP="00EB488D">
      <w:pPr>
        <w:keepNext/>
        <w:rPr>
          <w:bCs/>
          <w:color w:val="000000"/>
        </w:rPr>
      </w:pPr>
    </w:p>
    <w:p w14:paraId="6A10F38F" w14:textId="77777777" w:rsidR="00651A9A" w:rsidRPr="00D2126A" w:rsidRDefault="00651A9A" w:rsidP="00C93C76">
      <w:pPr>
        <w:rPr>
          <w:color w:val="000000"/>
        </w:rPr>
      </w:pPr>
    </w:p>
    <w:p w14:paraId="275CB0A8" w14:textId="77777777" w:rsidR="00651A9A" w:rsidRPr="00D2126A" w:rsidRDefault="000E5A86" w:rsidP="00EB488D">
      <w:pPr>
        <w:pStyle w:val="StyleHeadingLab"/>
      </w:pPr>
      <w:r>
        <w:t>1.</w:t>
      </w:r>
      <w:r>
        <w:tab/>
        <w:t>DÉNOMINATION DU MÉDICAMENT</w:t>
      </w:r>
    </w:p>
    <w:p w14:paraId="29F1F29A" w14:textId="77777777" w:rsidR="00651A9A" w:rsidRPr="00D2126A" w:rsidRDefault="00651A9A" w:rsidP="00EB488D">
      <w:pPr>
        <w:keepNext/>
        <w:ind w:left="567" w:hanging="567"/>
        <w:rPr>
          <w:color w:val="000000"/>
        </w:rPr>
      </w:pPr>
    </w:p>
    <w:p w14:paraId="41F4C20E" w14:textId="77777777" w:rsidR="00651A9A" w:rsidRPr="00D2126A" w:rsidRDefault="000E5A86" w:rsidP="00C93C76">
      <w:pPr>
        <w:rPr>
          <w:color w:val="000000"/>
        </w:rPr>
      </w:pPr>
      <w:r>
        <w:rPr>
          <w:color w:val="000000"/>
        </w:rPr>
        <w:t>Revlimid 2,5 mg gélules</w:t>
      </w:r>
    </w:p>
    <w:p w14:paraId="65C57132" w14:textId="77777777" w:rsidR="00651A9A" w:rsidRPr="00D2126A" w:rsidRDefault="000E5A86" w:rsidP="00C93C76">
      <w:pPr>
        <w:rPr>
          <w:color w:val="000000"/>
        </w:rPr>
      </w:pPr>
      <w:r>
        <w:rPr>
          <w:color w:val="000000"/>
        </w:rPr>
        <w:t>lénalidomide</w:t>
      </w:r>
    </w:p>
    <w:p w14:paraId="62946A65" w14:textId="77777777" w:rsidR="00651A9A" w:rsidRPr="00D2126A" w:rsidRDefault="00651A9A" w:rsidP="00C93C76">
      <w:pPr>
        <w:rPr>
          <w:color w:val="000000"/>
        </w:rPr>
      </w:pPr>
    </w:p>
    <w:p w14:paraId="72C29FB9" w14:textId="77777777" w:rsidR="00651A9A" w:rsidRPr="00D2126A" w:rsidRDefault="00651A9A" w:rsidP="00C93C76">
      <w:pPr>
        <w:pStyle w:val="Date"/>
        <w:rPr>
          <w:color w:val="000000"/>
        </w:rPr>
      </w:pPr>
    </w:p>
    <w:p w14:paraId="2F765FCA" w14:textId="77777777" w:rsidR="00651A9A" w:rsidRPr="00D2126A" w:rsidRDefault="000E5A86" w:rsidP="00C93C76">
      <w:pPr>
        <w:pStyle w:val="StyleHeadingLab"/>
      </w:pPr>
      <w:r>
        <w:t>2.</w:t>
      </w:r>
      <w:r>
        <w:tab/>
        <w:t>NOM DU TITULAIRE DE L’AUTORISATION DE MISE SUR LE MARCHÉ</w:t>
      </w:r>
    </w:p>
    <w:p w14:paraId="6B458B4B" w14:textId="77777777" w:rsidR="00651A9A" w:rsidRPr="00D2126A" w:rsidRDefault="00651A9A" w:rsidP="00EB488D">
      <w:pPr>
        <w:keepNext/>
        <w:rPr>
          <w:color w:val="000000"/>
        </w:rPr>
      </w:pPr>
    </w:p>
    <w:p w14:paraId="65FD9DF3" w14:textId="77777777" w:rsidR="00CB3D9F" w:rsidRPr="00D2126A" w:rsidRDefault="000E5A86" w:rsidP="00C93C76">
      <w:pPr>
        <w:pStyle w:val="EMEAAddress"/>
      </w:pPr>
      <w:r>
        <w:t>Bristol</w:t>
      </w:r>
      <w:r>
        <w:noBreakHyphen/>
        <w:t>Myers Squibb Pharma EEIG</w:t>
      </w:r>
    </w:p>
    <w:p w14:paraId="4DA16E16" w14:textId="77777777" w:rsidR="00651A9A" w:rsidRPr="00D2126A" w:rsidRDefault="00651A9A" w:rsidP="00C93C76">
      <w:pPr>
        <w:rPr>
          <w:color w:val="000000"/>
        </w:rPr>
      </w:pPr>
    </w:p>
    <w:p w14:paraId="450910AB" w14:textId="77777777" w:rsidR="00651A9A" w:rsidRPr="00D2126A" w:rsidRDefault="00651A9A" w:rsidP="00C93C76">
      <w:pPr>
        <w:pStyle w:val="Date"/>
        <w:rPr>
          <w:color w:val="000000"/>
        </w:rPr>
      </w:pPr>
    </w:p>
    <w:p w14:paraId="07D13F53" w14:textId="77777777" w:rsidR="00651A9A" w:rsidRPr="00D2126A" w:rsidRDefault="000E5A86" w:rsidP="00C93C76">
      <w:pPr>
        <w:pStyle w:val="StyleHeadingLab"/>
      </w:pPr>
      <w:r>
        <w:t>3.</w:t>
      </w:r>
      <w:r>
        <w:tab/>
        <w:t>DATE DE PÉREMPTION</w:t>
      </w:r>
    </w:p>
    <w:p w14:paraId="01770668" w14:textId="77777777" w:rsidR="00651A9A" w:rsidRPr="00D2126A" w:rsidRDefault="00651A9A" w:rsidP="00EB488D">
      <w:pPr>
        <w:keepNext/>
        <w:rPr>
          <w:iCs/>
          <w:color w:val="000000"/>
        </w:rPr>
      </w:pPr>
    </w:p>
    <w:p w14:paraId="4E3D808C" w14:textId="77777777" w:rsidR="00651A9A" w:rsidRPr="00D2126A" w:rsidRDefault="000E5A86" w:rsidP="00C93C76">
      <w:pPr>
        <w:rPr>
          <w:color w:val="000000"/>
        </w:rPr>
      </w:pPr>
      <w:r>
        <w:rPr>
          <w:color w:val="000000"/>
        </w:rPr>
        <w:t>EXP</w:t>
      </w:r>
    </w:p>
    <w:p w14:paraId="2879609D" w14:textId="77777777" w:rsidR="00651A9A" w:rsidRPr="00D2126A" w:rsidRDefault="00651A9A" w:rsidP="00C93C76">
      <w:pPr>
        <w:rPr>
          <w:color w:val="000000"/>
        </w:rPr>
      </w:pPr>
    </w:p>
    <w:p w14:paraId="537C3F99" w14:textId="77777777" w:rsidR="00651A9A" w:rsidRPr="00D2126A" w:rsidRDefault="00651A9A" w:rsidP="00C93C76">
      <w:pPr>
        <w:pStyle w:val="Date"/>
        <w:rPr>
          <w:color w:val="000000"/>
        </w:rPr>
      </w:pPr>
    </w:p>
    <w:p w14:paraId="60A0C53E" w14:textId="77777777" w:rsidR="00651A9A" w:rsidRPr="00D2126A" w:rsidRDefault="000E5A86" w:rsidP="00C93C76">
      <w:pPr>
        <w:pStyle w:val="StyleHeadingLab"/>
      </w:pPr>
      <w:r>
        <w:t>4.</w:t>
      </w:r>
      <w:r>
        <w:tab/>
        <w:t>NUMÉRO DU LOT</w:t>
      </w:r>
    </w:p>
    <w:p w14:paraId="12BBD49C" w14:textId="77777777" w:rsidR="00651A9A" w:rsidRPr="00D2126A" w:rsidRDefault="00651A9A" w:rsidP="00EB488D">
      <w:pPr>
        <w:keepNext/>
        <w:rPr>
          <w:iCs/>
          <w:color w:val="000000"/>
        </w:rPr>
      </w:pPr>
    </w:p>
    <w:p w14:paraId="4AD82C87" w14:textId="77777777" w:rsidR="00651A9A" w:rsidRPr="00D2126A" w:rsidRDefault="000E5A86" w:rsidP="00C93C76">
      <w:pPr>
        <w:rPr>
          <w:color w:val="000000"/>
        </w:rPr>
      </w:pPr>
      <w:r>
        <w:rPr>
          <w:color w:val="000000"/>
        </w:rPr>
        <w:t>Lot</w:t>
      </w:r>
    </w:p>
    <w:p w14:paraId="6231184C" w14:textId="77777777" w:rsidR="00651A9A" w:rsidRPr="00D2126A" w:rsidRDefault="00651A9A" w:rsidP="00C93C76">
      <w:pPr>
        <w:rPr>
          <w:bCs/>
          <w:color w:val="000000"/>
        </w:rPr>
      </w:pPr>
    </w:p>
    <w:p w14:paraId="107E12F9" w14:textId="77777777" w:rsidR="00651A9A" w:rsidRPr="00D2126A" w:rsidRDefault="00651A9A" w:rsidP="00C93C76">
      <w:pPr>
        <w:pStyle w:val="Date"/>
        <w:rPr>
          <w:color w:val="000000"/>
        </w:rPr>
      </w:pPr>
    </w:p>
    <w:p w14:paraId="4FAA9B7F" w14:textId="3048E363" w:rsidR="00651A9A" w:rsidRPr="00D2126A" w:rsidRDefault="000E5A86" w:rsidP="00C93C76">
      <w:pPr>
        <w:pStyle w:val="StyleHeadingLab"/>
      </w:pPr>
      <w:r>
        <w:t>5.</w:t>
      </w:r>
      <w:r>
        <w:tab/>
        <w:t>AUTRE</w:t>
      </w:r>
    </w:p>
    <w:p w14:paraId="5F1C2416" w14:textId="77777777" w:rsidR="007F6DFD" w:rsidRPr="00D2126A" w:rsidRDefault="007F6DFD" w:rsidP="00EB488D">
      <w:pPr>
        <w:keepNext/>
        <w:rPr>
          <w:color w:val="000000"/>
        </w:rPr>
      </w:pPr>
    </w:p>
    <w:p w14:paraId="199DC370" w14:textId="77777777" w:rsidR="00B17EDE" w:rsidRPr="00D2126A" w:rsidRDefault="00B17EDE" w:rsidP="00B17EDE">
      <w:pPr>
        <w:pStyle w:val="Date"/>
      </w:pPr>
    </w:p>
    <w:p w14:paraId="75C29E22" w14:textId="38D1A31D" w:rsidR="00036363"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t>MENTIONS DEVANT FIGURER SUR L’EMBALLAGE EXTÉRIEUR</w:t>
      </w:r>
    </w:p>
    <w:p w14:paraId="16C59D9C" w14:textId="1C2C97A7" w:rsidR="007F6DFD" w:rsidRPr="00D2126A" w:rsidRDefault="007F6DFD" w:rsidP="00B17EDE">
      <w:pPr>
        <w:keepNext/>
        <w:pBdr>
          <w:left w:val="single" w:sz="4" w:space="1" w:color="auto"/>
          <w:bottom w:val="single" w:sz="4" w:space="1" w:color="auto"/>
          <w:right w:val="single" w:sz="4" w:space="1" w:color="auto"/>
        </w:pBdr>
        <w:rPr>
          <w:b/>
          <w:color w:val="000000"/>
        </w:rPr>
      </w:pPr>
    </w:p>
    <w:p w14:paraId="363C2D55"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BOÎTE</w:t>
      </w:r>
    </w:p>
    <w:p w14:paraId="3DA3F08B" w14:textId="77777777" w:rsidR="007F6DFD" w:rsidRPr="00D2126A" w:rsidRDefault="007F6DFD" w:rsidP="00EB488D">
      <w:pPr>
        <w:keepNext/>
        <w:rPr>
          <w:color w:val="000000"/>
        </w:rPr>
      </w:pPr>
    </w:p>
    <w:p w14:paraId="4CE3CB65" w14:textId="77777777" w:rsidR="00EB488D" w:rsidRPr="00D2126A" w:rsidRDefault="00EB488D" w:rsidP="00EB488D">
      <w:pPr>
        <w:pStyle w:val="Date"/>
      </w:pPr>
    </w:p>
    <w:p w14:paraId="554FD618" w14:textId="77777777" w:rsidR="007F6DFD" w:rsidRPr="00D2126A" w:rsidRDefault="000E5A86" w:rsidP="00C93C76">
      <w:pPr>
        <w:pStyle w:val="StyleHeadingLab"/>
      </w:pPr>
      <w:r>
        <w:t>1.</w:t>
      </w:r>
      <w:r>
        <w:tab/>
        <w:t>DÉNOMINATION DU MÉDICAMENT</w:t>
      </w:r>
    </w:p>
    <w:p w14:paraId="72D52923" w14:textId="77777777" w:rsidR="007F6DFD" w:rsidRPr="00D2126A" w:rsidRDefault="007F6DFD" w:rsidP="00EB488D">
      <w:pPr>
        <w:keepNext/>
        <w:rPr>
          <w:color w:val="000000"/>
        </w:rPr>
      </w:pPr>
    </w:p>
    <w:p w14:paraId="76981C6C" w14:textId="77777777" w:rsidR="007F6DFD" w:rsidRPr="00D2126A" w:rsidRDefault="000E5A86" w:rsidP="00C93C76">
      <w:pPr>
        <w:rPr>
          <w:color w:val="000000"/>
        </w:rPr>
      </w:pPr>
      <w:r>
        <w:rPr>
          <w:color w:val="000000"/>
        </w:rPr>
        <w:t>Revlimid 5 mg gélules</w:t>
      </w:r>
    </w:p>
    <w:p w14:paraId="44874D0D" w14:textId="77777777" w:rsidR="007F6DFD" w:rsidRPr="00D2126A" w:rsidRDefault="000E5A86" w:rsidP="00C93C76">
      <w:pPr>
        <w:rPr>
          <w:color w:val="000000"/>
        </w:rPr>
      </w:pPr>
      <w:r>
        <w:rPr>
          <w:color w:val="000000"/>
        </w:rPr>
        <w:t>lénalidomide</w:t>
      </w:r>
    </w:p>
    <w:p w14:paraId="15A3C245" w14:textId="77777777" w:rsidR="007F6DFD" w:rsidRPr="00D2126A" w:rsidRDefault="007F6DFD" w:rsidP="00C93C76">
      <w:pPr>
        <w:rPr>
          <w:color w:val="000000"/>
        </w:rPr>
      </w:pPr>
    </w:p>
    <w:p w14:paraId="46607CAD" w14:textId="77777777" w:rsidR="007F6DFD" w:rsidRPr="00D2126A" w:rsidRDefault="007F6DFD" w:rsidP="00C93C76">
      <w:pPr>
        <w:pStyle w:val="Date"/>
        <w:rPr>
          <w:color w:val="000000"/>
        </w:rPr>
      </w:pPr>
    </w:p>
    <w:p w14:paraId="7E9BC7BE" w14:textId="77777777" w:rsidR="007F6DFD" w:rsidRPr="00D2126A" w:rsidRDefault="000E5A86" w:rsidP="00C93C76">
      <w:pPr>
        <w:pStyle w:val="StyleHeadingLab"/>
      </w:pPr>
      <w:r>
        <w:t>2.</w:t>
      </w:r>
      <w:r>
        <w:tab/>
        <w:t>COMPOSITION EN SUBSTANCE(S) ACTIVE(S)</w:t>
      </w:r>
    </w:p>
    <w:p w14:paraId="394ACE7E" w14:textId="77777777" w:rsidR="007F6DFD" w:rsidRPr="00D2126A" w:rsidRDefault="007F6DFD" w:rsidP="00EB488D">
      <w:pPr>
        <w:keepNext/>
        <w:rPr>
          <w:color w:val="000000"/>
        </w:rPr>
      </w:pPr>
    </w:p>
    <w:p w14:paraId="05E08507" w14:textId="77777777" w:rsidR="007F6DFD" w:rsidRPr="00D2126A" w:rsidRDefault="000E5A86" w:rsidP="00C93C76">
      <w:pPr>
        <w:rPr>
          <w:color w:val="000000"/>
        </w:rPr>
      </w:pPr>
      <w:r>
        <w:rPr>
          <w:color w:val="000000"/>
        </w:rPr>
        <w:t>Chaque gélule contient 5 mg de lénalidomide.</w:t>
      </w:r>
    </w:p>
    <w:p w14:paraId="115C1B70" w14:textId="77777777" w:rsidR="007F6DFD" w:rsidRPr="00D2126A" w:rsidRDefault="007F6DFD" w:rsidP="00C93C76">
      <w:pPr>
        <w:rPr>
          <w:color w:val="000000"/>
        </w:rPr>
      </w:pPr>
    </w:p>
    <w:p w14:paraId="15954C84" w14:textId="77777777" w:rsidR="007F6DFD" w:rsidRPr="00D2126A" w:rsidRDefault="007F6DFD" w:rsidP="00C93C76">
      <w:pPr>
        <w:pStyle w:val="Date"/>
        <w:rPr>
          <w:color w:val="000000"/>
        </w:rPr>
      </w:pPr>
    </w:p>
    <w:p w14:paraId="1BA5199B" w14:textId="77777777" w:rsidR="007F6DFD" w:rsidRPr="00D2126A" w:rsidRDefault="000E5A86" w:rsidP="00C93C76">
      <w:pPr>
        <w:pStyle w:val="StyleHeadingLab"/>
      </w:pPr>
      <w:r>
        <w:t>3.</w:t>
      </w:r>
      <w:r>
        <w:tab/>
        <w:t>LISTE DES EXCIPIENTS</w:t>
      </w:r>
    </w:p>
    <w:p w14:paraId="27D404E2" w14:textId="77777777" w:rsidR="007F6DFD" w:rsidRPr="00D2126A" w:rsidRDefault="007F6DFD" w:rsidP="00EB488D">
      <w:pPr>
        <w:keepNext/>
        <w:rPr>
          <w:color w:val="000000"/>
        </w:rPr>
      </w:pPr>
    </w:p>
    <w:p w14:paraId="0BCC2713" w14:textId="77777777" w:rsidR="007F6DFD" w:rsidRPr="00D2126A" w:rsidRDefault="000E5A86" w:rsidP="00C93C76">
      <w:pPr>
        <w:rPr>
          <w:color w:val="000000"/>
        </w:rPr>
      </w:pPr>
      <w:r>
        <w:rPr>
          <w:color w:val="000000"/>
        </w:rPr>
        <w:t>Contient du lactose. Voir la notice pour plus d’informations.</w:t>
      </w:r>
    </w:p>
    <w:p w14:paraId="3203B6A1" w14:textId="77777777" w:rsidR="007F6DFD" w:rsidRPr="00D2126A" w:rsidRDefault="007F6DFD" w:rsidP="00C93C76">
      <w:pPr>
        <w:rPr>
          <w:color w:val="000000"/>
        </w:rPr>
      </w:pPr>
    </w:p>
    <w:p w14:paraId="53821734" w14:textId="77777777" w:rsidR="007F6DFD" w:rsidRPr="00D2126A" w:rsidRDefault="007F6DFD" w:rsidP="00C93C76">
      <w:pPr>
        <w:pStyle w:val="Date"/>
        <w:rPr>
          <w:color w:val="000000"/>
        </w:rPr>
      </w:pPr>
    </w:p>
    <w:p w14:paraId="40C10221" w14:textId="77777777" w:rsidR="007F6DFD" w:rsidRPr="00D2126A" w:rsidRDefault="000E5A86" w:rsidP="00C93C76">
      <w:pPr>
        <w:pStyle w:val="StyleHeadingLab"/>
      </w:pPr>
      <w:r>
        <w:t>4.</w:t>
      </w:r>
      <w:r>
        <w:tab/>
        <w:t>FORME PHARMACEUTIQUE ET CONTENU</w:t>
      </w:r>
    </w:p>
    <w:p w14:paraId="477B7678" w14:textId="77777777" w:rsidR="007F6DFD" w:rsidRPr="00D2126A" w:rsidRDefault="007F6DFD" w:rsidP="00EB488D">
      <w:pPr>
        <w:keepNext/>
        <w:rPr>
          <w:color w:val="000000"/>
        </w:rPr>
      </w:pPr>
    </w:p>
    <w:p w14:paraId="667CA232" w14:textId="4EFEAC83" w:rsidR="007F6DFD" w:rsidRPr="00D2126A" w:rsidRDefault="000E5A86" w:rsidP="00C93C76">
      <w:pPr>
        <w:rPr>
          <w:color w:val="000000"/>
        </w:rPr>
      </w:pPr>
      <w:r>
        <w:rPr>
          <w:color w:val="000000"/>
        </w:rPr>
        <w:t>7 gélules</w:t>
      </w:r>
    </w:p>
    <w:p w14:paraId="566758BD" w14:textId="27B281E9" w:rsidR="007F6DFD" w:rsidRPr="00D2126A" w:rsidRDefault="000E5A86" w:rsidP="00C93C76">
      <w:pPr>
        <w:rPr>
          <w:noProof/>
        </w:rPr>
      </w:pPr>
      <w:r>
        <w:rPr>
          <w:highlight w:val="lightGray"/>
        </w:rPr>
        <w:t>21 gélules</w:t>
      </w:r>
    </w:p>
    <w:p w14:paraId="55C43F2C" w14:textId="77777777" w:rsidR="008D4EE6" w:rsidRPr="00D2126A" w:rsidRDefault="008D4EE6" w:rsidP="00C93C76">
      <w:pPr>
        <w:pStyle w:val="Date"/>
      </w:pPr>
    </w:p>
    <w:p w14:paraId="64B86621" w14:textId="77777777" w:rsidR="007F6DFD" w:rsidRPr="00D2126A" w:rsidRDefault="007F6DFD" w:rsidP="00C93C76">
      <w:pPr>
        <w:pStyle w:val="Date"/>
        <w:rPr>
          <w:color w:val="000000"/>
        </w:rPr>
      </w:pPr>
    </w:p>
    <w:p w14:paraId="1132F674" w14:textId="77777777" w:rsidR="007F6DFD" w:rsidRPr="00D2126A" w:rsidRDefault="000E5A86" w:rsidP="00C93C76">
      <w:pPr>
        <w:pStyle w:val="StyleHeadingLab"/>
      </w:pPr>
      <w:r>
        <w:t>5.</w:t>
      </w:r>
      <w:r>
        <w:tab/>
        <w:t>MODE ET VOIE(S) D’ADMINISTRATION</w:t>
      </w:r>
    </w:p>
    <w:p w14:paraId="6B257A48" w14:textId="77777777" w:rsidR="007F6DFD" w:rsidRPr="00D2126A" w:rsidRDefault="007F6DFD" w:rsidP="00EB488D">
      <w:pPr>
        <w:keepNext/>
        <w:rPr>
          <w:color w:val="000000"/>
        </w:rPr>
      </w:pPr>
    </w:p>
    <w:p w14:paraId="17D11A90" w14:textId="77777777" w:rsidR="007F6DFD" w:rsidRPr="00D2126A" w:rsidRDefault="000E5A86" w:rsidP="00C93C76">
      <w:pPr>
        <w:rPr>
          <w:color w:val="000000"/>
        </w:rPr>
      </w:pPr>
      <w:r>
        <w:rPr>
          <w:color w:val="000000"/>
        </w:rPr>
        <w:t>Voie orale.</w:t>
      </w:r>
    </w:p>
    <w:p w14:paraId="4BF4CA46" w14:textId="77777777" w:rsidR="007F6DFD" w:rsidRPr="00D2126A" w:rsidRDefault="007F6DFD" w:rsidP="00C93C76">
      <w:pPr>
        <w:rPr>
          <w:color w:val="000000"/>
        </w:rPr>
      </w:pPr>
    </w:p>
    <w:p w14:paraId="0900AF9B" w14:textId="77777777" w:rsidR="007F6DFD" w:rsidRPr="00D2126A" w:rsidRDefault="000E5A86" w:rsidP="00C93C76">
      <w:pPr>
        <w:rPr>
          <w:color w:val="000000"/>
        </w:rPr>
      </w:pPr>
      <w:r>
        <w:rPr>
          <w:color w:val="000000"/>
        </w:rPr>
        <w:t>Lire la notice avant utilisation.</w:t>
      </w:r>
    </w:p>
    <w:p w14:paraId="7A5D8E6B" w14:textId="77777777" w:rsidR="007F6DFD" w:rsidRPr="00D2126A" w:rsidRDefault="007F6DFD" w:rsidP="00C93C76">
      <w:pPr>
        <w:rPr>
          <w:color w:val="000000"/>
        </w:rPr>
      </w:pPr>
    </w:p>
    <w:p w14:paraId="722D9927" w14:textId="77777777" w:rsidR="007F6DFD" w:rsidRPr="00D2126A" w:rsidRDefault="007F6DFD" w:rsidP="00C93C76">
      <w:pPr>
        <w:pStyle w:val="Date"/>
        <w:rPr>
          <w:color w:val="000000"/>
        </w:rPr>
      </w:pPr>
    </w:p>
    <w:p w14:paraId="5A5957CA" w14:textId="77777777" w:rsidR="007F6DFD" w:rsidRPr="00D2126A" w:rsidRDefault="000E5A86" w:rsidP="00C93C76">
      <w:pPr>
        <w:pStyle w:val="StyleHeadingLab"/>
      </w:pPr>
      <w:r>
        <w:t>6.</w:t>
      </w:r>
      <w:r>
        <w:tab/>
        <w:t>MISE EN GARDE SPÉCIALE INDIQUANT QUE LE MÉDICAMENT DOIT ÊTRE CONSERVÉ HORS DE VUE ET DE PORTÉE DES ENFANTS</w:t>
      </w:r>
    </w:p>
    <w:p w14:paraId="3089CC81" w14:textId="77777777" w:rsidR="007F6DFD" w:rsidRPr="00D2126A" w:rsidRDefault="007F6DFD" w:rsidP="00EB488D">
      <w:pPr>
        <w:keepNext/>
        <w:rPr>
          <w:color w:val="000000"/>
        </w:rPr>
      </w:pPr>
    </w:p>
    <w:p w14:paraId="31774ED3" w14:textId="77777777" w:rsidR="007F6DFD" w:rsidRPr="00D2126A" w:rsidRDefault="000E5A86" w:rsidP="00C93C76">
      <w:pPr>
        <w:rPr>
          <w:color w:val="000000"/>
        </w:rPr>
      </w:pPr>
      <w:r>
        <w:rPr>
          <w:color w:val="000000"/>
        </w:rPr>
        <w:t>Tenir hors de la vue et de la portée des enfants.</w:t>
      </w:r>
    </w:p>
    <w:p w14:paraId="4917C5F3" w14:textId="77777777" w:rsidR="007F6DFD" w:rsidRPr="00D2126A" w:rsidRDefault="007F6DFD" w:rsidP="00C93C76">
      <w:pPr>
        <w:rPr>
          <w:color w:val="000000"/>
        </w:rPr>
      </w:pPr>
    </w:p>
    <w:p w14:paraId="3011D831" w14:textId="77777777" w:rsidR="007F6DFD" w:rsidRPr="00D2126A" w:rsidRDefault="007F6DFD" w:rsidP="00C93C76">
      <w:pPr>
        <w:pStyle w:val="Date"/>
        <w:rPr>
          <w:color w:val="000000"/>
        </w:rPr>
      </w:pPr>
    </w:p>
    <w:p w14:paraId="379F8C45" w14:textId="77777777" w:rsidR="007F6DFD" w:rsidRPr="00D2126A" w:rsidRDefault="000E5A86" w:rsidP="00C93C76">
      <w:pPr>
        <w:pStyle w:val="StyleHeadingLab"/>
      </w:pPr>
      <w:r>
        <w:t>7.</w:t>
      </w:r>
      <w:r>
        <w:tab/>
        <w:t>AUTRE(S) MISE(S) EN GARDE SPÉCIALE(S), SI NÉCESSAIRE</w:t>
      </w:r>
    </w:p>
    <w:p w14:paraId="7ED4FCF1" w14:textId="77777777" w:rsidR="007F6DFD" w:rsidRPr="00D2126A" w:rsidRDefault="007F6DFD" w:rsidP="00EB488D">
      <w:pPr>
        <w:keepNext/>
        <w:rPr>
          <w:color w:val="000000"/>
        </w:rPr>
      </w:pPr>
    </w:p>
    <w:p w14:paraId="4BF8AD80" w14:textId="77777777" w:rsidR="006E28E9" w:rsidRPr="00D2126A" w:rsidRDefault="000E5A86" w:rsidP="00C93C76">
      <w:pPr>
        <w:rPr>
          <w:bCs/>
          <w:color w:val="000000"/>
        </w:rPr>
      </w:pPr>
      <w:r>
        <w:rPr>
          <w:color w:val="000000"/>
        </w:rPr>
        <w:t>MISE EN GARDE : risque d’anomalies congénitales graves. Ne pas utiliser pendant la grossesse ou l’allaitement.</w:t>
      </w:r>
    </w:p>
    <w:p w14:paraId="1E24DC65" w14:textId="77777777" w:rsidR="007F6DFD" w:rsidRPr="00D2126A" w:rsidRDefault="000E5A86" w:rsidP="00C93C76">
      <w:pPr>
        <w:rPr>
          <w:color w:val="000000"/>
        </w:rPr>
      </w:pPr>
      <w:r>
        <w:rPr>
          <w:color w:val="000000"/>
        </w:rPr>
        <w:t>Vous devez suivre le programme de prévention de la grossesse de Revlimid.</w:t>
      </w:r>
    </w:p>
    <w:p w14:paraId="0727E0D1" w14:textId="77777777" w:rsidR="007F6DFD" w:rsidRPr="00D2126A" w:rsidRDefault="007F6DFD" w:rsidP="00C93C76">
      <w:pPr>
        <w:rPr>
          <w:color w:val="000000"/>
        </w:rPr>
      </w:pPr>
    </w:p>
    <w:p w14:paraId="1FE86867" w14:textId="77777777" w:rsidR="007F6DFD" w:rsidRPr="00D2126A" w:rsidRDefault="007F6DFD" w:rsidP="00C93C76">
      <w:pPr>
        <w:pStyle w:val="Date"/>
        <w:rPr>
          <w:color w:val="000000"/>
        </w:rPr>
      </w:pPr>
    </w:p>
    <w:p w14:paraId="31F9ECEB" w14:textId="77777777" w:rsidR="007F6DFD" w:rsidRPr="00D2126A" w:rsidRDefault="000E5A86" w:rsidP="00C93C76">
      <w:pPr>
        <w:pStyle w:val="StyleHeadingLab"/>
      </w:pPr>
      <w:r>
        <w:t>8.</w:t>
      </w:r>
      <w:r>
        <w:tab/>
        <w:t>DATE DE PÉREMPTION</w:t>
      </w:r>
    </w:p>
    <w:p w14:paraId="5C02C15F" w14:textId="77777777" w:rsidR="007F6DFD" w:rsidRPr="00D2126A" w:rsidRDefault="007F6DFD" w:rsidP="00EB488D">
      <w:pPr>
        <w:keepNext/>
        <w:rPr>
          <w:color w:val="000000"/>
        </w:rPr>
      </w:pPr>
    </w:p>
    <w:p w14:paraId="70C136B8" w14:textId="77777777" w:rsidR="008D4EE6" w:rsidRPr="00D2126A" w:rsidRDefault="000E5A86" w:rsidP="00C93C76">
      <w:pPr>
        <w:rPr>
          <w:color w:val="000000"/>
        </w:rPr>
      </w:pPr>
      <w:r>
        <w:rPr>
          <w:color w:val="000000"/>
        </w:rPr>
        <w:t>EXP</w:t>
      </w:r>
    </w:p>
    <w:p w14:paraId="3F5D2F8C" w14:textId="77777777" w:rsidR="008D4EE6" w:rsidRPr="00D2126A" w:rsidRDefault="008D4EE6" w:rsidP="00C93C76">
      <w:pPr>
        <w:rPr>
          <w:color w:val="000000"/>
        </w:rPr>
      </w:pPr>
    </w:p>
    <w:p w14:paraId="74F5EDB1" w14:textId="77777777" w:rsidR="007F6DFD" w:rsidRPr="00D2126A" w:rsidRDefault="007F6DFD" w:rsidP="00C93C76">
      <w:pPr>
        <w:rPr>
          <w:color w:val="000000"/>
        </w:rPr>
      </w:pPr>
    </w:p>
    <w:p w14:paraId="19AC855B" w14:textId="77777777" w:rsidR="007F6DFD" w:rsidRPr="00D2126A" w:rsidRDefault="000E5A86" w:rsidP="00C93C76">
      <w:pPr>
        <w:pStyle w:val="StyleHeadingLab"/>
      </w:pPr>
      <w:r>
        <w:t>9.</w:t>
      </w:r>
      <w:r>
        <w:tab/>
        <w:t>PRÉCAUTIONS PARTICULIÈRES DE CONSERVATION</w:t>
      </w:r>
    </w:p>
    <w:p w14:paraId="0A84B6D3" w14:textId="77777777" w:rsidR="007F6DFD" w:rsidRPr="00D2126A" w:rsidRDefault="007F6DFD" w:rsidP="00EB488D">
      <w:pPr>
        <w:keepNext/>
        <w:rPr>
          <w:color w:val="000000"/>
        </w:rPr>
      </w:pPr>
    </w:p>
    <w:p w14:paraId="20666A10" w14:textId="77777777" w:rsidR="007F6DFD" w:rsidRPr="00D2126A" w:rsidRDefault="007F6DFD" w:rsidP="00C93C76">
      <w:pPr>
        <w:pStyle w:val="Date"/>
        <w:rPr>
          <w:color w:val="000000"/>
        </w:rPr>
      </w:pPr>
    </w:p>
    <w:p w14:paraId="13FF9E23" w14:textId="77777777" w:rsidR="007F6DFD" w:rsidRPr="00D2126A" w:rsidRDefault="000E5A86" w:rsidP="00C93C76">
      <w:pPr>
        <w:pStyle w:val="StyleHeadingLab"/>
      </w:pPr>
      <w:r>
        <w:t>10.</w:t>
      </w:r>
      <w:r>
        <w:tab/>
        <w:t>PRÉCAUTIONS PARTICULIÈRES D’ÉLIMINATION DES MÉDICAMENTS NON UTILISÉS OU DES DÉCHETS PROVENANT DE CES MÉDICAMENTS S’IL Y A LIEU</w:t>
      </w:r>
    </w:p>
    <w:p w14:paraId="506272A4" w14:textId="77777777" w:rsidR="007F6DFD" w:rsidRPr="00D2126A" w:rsidRDefault="007F6DFD" w:rsidP="00EB488D">
      <w:pPr>
        <w:keepNext/>
        <w:rPr>
          <w:color w:val="000000"/>
        </w:rPr>
      </w:pPr>
    </w:p>
    <w:p w14:paraId="6BD4D3D1" w14:textId="77777777" w:rsidR="008D4EE6" w:rsidRPr="00D2126A" w:rsidRDefault="000E5A86" w:rsidP="00C93C76">
      <w:pPr>
        <w:rPr>
          <w:color w:val="000000"/>
        </w:rPr>
      </w:pPr>
      <w:r>
        <w:rPr>
          <w:color w:val="000000"/>
        </w:rPr>
        <w:t>Rapporter les gélules non utilisées à un pharmacien.</w:t>
      </w:r>
    </w:p>
    <w:p w14:paraId="5ECEFBC0" w14:textId="77777777" w:rsidR="007F6DFD" w:rsidRPr="00D2126A" w:rsidRDefault="007F6DFD" w:rsidP="00C93C76">
      <w:pPr>
        <w:rPr>
          <w:color w:val="000000"/>
        </w:rPr>
      </w:pPr>
    </w:p>
    <w:p w14:paraId="459CD449" w14:textId="77777777" w:rsidR="007F6DFD" w:rsidRPr="00D2126A" w:rsidRDefault="007F6DFD" w:rsidP="00C93C76">
      <w:pPr>
        <w:pStyle w:val="Date"/>
        <w:rPr>
          <w:color w:val="000000"/>
        </w:rPr>
      </w:pPr>
    </w:p>
    <w:p w14:paraId="2C88BEB3" w14:textId="77777777" w:rsidR="007F6DFD" w:rsidRPr="00D2126A" w:rsidRDefault="000E5A86" w:rsidP="00C93C76">
      <w:pPr>
        <w:pStyle w:val="StyleHeadingLab"/>
      </w:pPr>
      <w:r>
        <w:t>11.</w:t>
      </w:r>
      <w:r>
        <w:tab/>
        <w:t>NOM ET ADRESSE DU TITULAIRE DE L’AUTORISATION DE MISE SUR LE MARCHÉ</w:t>
      </w:r>
    </w:p>
    <w:p w14:paraId="1508AC20" w14:textId="77777777" w:rsidR="0073192A" w:rsidRPr="00D2126A" w:rsidRDefault="0073192A" w:rsidP="00EB488D">
      <w:pPr>
        <w:pStyle w:val="Date"/>
        <w:keepNext/>
      </w:pPr>
    </w:p>
    <w:p w14:paraId="08C00BF7" w14:textId="77777777" w:rsidR="00CB3D9F" w:rsidRPr="00AB0414" w:rsidRDefault="000E5A86" w:rsidP="00EB488D">
      <w:pPr>
        <w:pStyle w:val="EMEAAddress"/>
        <w:keepNext/>
        <w:rPr>
          <w:lang w:val="en-US"/>
        </w:rPr>
      </w:pPr>
      <w:r w:rsidRPr="00AB0414">
        <w:rPr>
          <w:lang w:val="en-US"/>
        </w:rPr>
        <w:t>Bristol</w:t>
      </w:r>
      <w:r w:rsidRPr="00AB0414">
        <w:rPr>
          <w:lang w:val="en-US"/>
        </w:rPr>
        <w:noBreakHyphen/>
        <w:t>Myers Squibb Pharma EEIG</w:t>
      </w:r>
    </w:p>
    <w:p w14:paraId="4A97A905" w14:textId="77777777" w:rsidR="00CB3D9F" w:rsidRPr="00AB0414" w:rsidRDefault="000E5A86" w:rsidP="00EB488D">
      <w:pPr>
        <w:pStyle w:val="EMEAAddress"/>
        <w:keepNext/>
        <w:rPr>
          <w:lang w:val="en-US"/>
        </w:rPr>
      </w:pPr>
      <w:r w:rsidRPr="00AB0414">
        <w:rPr>
          <w:lang w:val="en-US"/>
        </w:rPr>
        <w:t>Plaza 254</w:t>
      </w:r>
    </w:p>
    <w:p w14:paraId="373BF7B0" w14:textId="77777777" w:rsidR="00CB3D9F" w:rsidRPr="00AB0414" w:rsidRDefault="000E5A86" w:rsidP="00EB488D">
      <w:pPr>
        <w:pStyle w:val="EMEAAddress"/>
        <w:keepNext/>
        <w:rPr>
          <w:lang w:val="en-US"/>
        </w:rPr>
      </w:pPr>
      <w:r w:rsidRPr="00AB0414">
        <w:rPr>
          <w:lang w:val="en-US"/>
        </w:rPr>
        <w:t>Blanchardstown Corporate Park 2</w:t>
      </w:r>
    </w:p>
    <w:p w14:paraId="1299F0BC" w14:textId="77777777" w:rsidR="00CB3D9F" w:rsidRPr="00AB0414" w:rsidRDefault="000E5A86" w:rsidP="00EB488D">
      <w:pPr>
        <w:pStyle w:val="EMEAAddress"/>
        <w:keepNext/>
        <w:rPr>
          <w:lang w:val="en-US"/>
        </w:rPr>
      </w:pPr>
      <w:r w:rsidRPr="00AB0414">
        <w:rPr>
          <w:lang w:val="en-US"/>
        </w:rPr>
        <w:t>Dublin 15, D15 T867</w:t>
      </w:r>
    </w:p>
    <w:p w14:paraId="24549AF5" w14:textId="77777777" w:rsidR="00036363" w:rsidRPr="00D2126A" w:rsidRDefault="000E5A86" w:rsidP="00EB488D">
      <w:pPr>
        <w:pStyle w:val="Date"/>
        <w:keepNext/>
      </w:pPr>
      <w:r>
        <w:t>Irlande</w:t>
      </w:r>
    </w:p>
    <w:p w14:paraId="5B0B5206" w14:textId="46396E98" w:rsidR="007F6DFD" w:rsidRPr="00D2126A" w:rsidRDefault="007F6DFD" w:rsidP="00C93C76">
      <w:pPr>
        <w:rPr>
          <w:color w:val="000000"/>
        </w:rPr>
      </w:pPr>
    </w:p>
    <w:p w14:paraId="5C569089" w14:textId="77777777" w:rsidR="007F6DFD" w:rsidRPr="00D2126A" w:rsidRDefault="007F6DFD" w:rsidP="00C93C76">
      <w:pPr>
        <w:pStyle w:val="Date"/>
        <w:rPr>
          <w:color w:val="000000"/>
        </w:rPr>
      </w:pPr>
    </w:p>
    <w:p w14:paraId="7FF3C83C" w14:textId="77777777" w:rsidR="007F6DFD" w:rsidRPr="00D2126A" w:rsidRDefault="000E5A86" w:rsidP="00C93C76">
      <w:pPr>
        <w:pStyle w:val="StyleHeadingLab"/>
      </w:pPr>
      <w:r>
        <w:t>12.</w:t>
      </w:r>
      <w:r>
        <w:tab/>
        <w:t>NUMÉRO(S) D’AUTORISATION DE MISE SUR LE MARCHÉ</w:t>
      </w:r>
    </w:p>
    <w:p w14:paraId="4655984A" w14:textId="77777777" w:rsidR="007F6DFD" w:rsidRPr="00D2126A" w:rsidRDefault="007F6DFD" w:rsidP="00EB488D">
      <w:pPr>
        <w:keepNext/>
        <w:rPr>
          <w:color w:val="000000"/>
        </w:rPr>
      </w:pPr>
    </w:p>
    <w:p w14:paraId="5CC01756" w14:textId="42864B4B" w:rsidR="00601714" w:rsidRPr="00156723" w:rsidRDefault="000E5A86" w:rsidP="00C96725">
      <w:r>
        <w:t xml:space="preserve">EU/1/07/391/008 </w:t>
      </w:r>
      <w:r>
        <w:rPr>
          <w:highlight w:val="lightGray"/>
        </w:rPr>
        <w:t>7 gélules</w:t>
      </w:r>
    </w:p>
    <w:p w14:paraId="504C30E2" w14:textId="5B3B64F9" w:rsidR="007F6DFD" w:rsidRPr="00156723" w:rsidRDefault="000E5A86" w:rsidP="00C96725">
      <w:r>
        <w:rPr>
          <w:highlight w:val="lightGray"/>
        </w:rPr>
        <w:t>EU/1/07/391/001 21 gélules</w:t>
      </w:r>
    </w:p>
    <w:p w14:paraId="15FC247F" w14:textId="77777777" w:rsidR="007F6DFD" w:rsidRPr="00156723" w:rsidRDefault="007F6DFD" w:rsidP="00C93C76">
      <w:pPr>
        <w:rPr>
          <w:color w:val="000000"/>
        </w:rPr>
      </w:pPr>
    </w:p>
    <w:p w14:paraId="0510E02D" w14:textId="77777777" w:rsidR="007F6DFD" w:rsidRPr="00156723" w:rsidRDefault="007F6DFD" w:rsidP="00C93C76">
      <w:pPr>
        <w:pStyle w:val="Date"/>
        <w:rPr>
          <w:color w:val="000000"/>
        </w:rPr>
      </w:pPr>
    </w:p>
    <w:p w14:paraId="7374CF20" w14:textId="77777777" w:rsidR="007F6DFD" w:rsidRPr="00D2126A" w:rsidRDefault="000E5A86" w:rsidP="00C93C76">
      <w:pPr>
        <w:pStyle w:val="StyleHeadingLab"/>
      </w:pPr>
      <w:r>
        <w:t>13.</w:t>
      </w:r>
      <w:r>
        <w:tab/>
        <w:t>NUMÉRO DU LOT</w:t>
      </w:r>
    </w:p>
    <w:p w14:paraId="633AE1FA" w14:textId="77777777" w:rsidR="007F6DFD" w:rsidRPr="00D2126A" w:rsidRDefault="007F6DFD" w:rsidP="00EB488D">
      <w:pPr>
        <w:keepNext/>
        <w:rPr>
          <w:iCs/>
          <w:color w:val="000000"/>
        </w:rPr>
      </w:pPr>
    </w:p>
    <w:p w14:paraId="64FC2EA0" w14:textId="77777777" w:rsidR="007F6DFD" w:rsidRPr="00D2126A" w:rsidRDefault="000E5A86" w:rsidP="00C93C76">
      <w:pPr>
        <w:rPr>
          <w:color w:val="000000"/>
        </w:rPr>
      </w:pPr>
      <w:r>
        <w:rPr>
          <w:color w:val="000000"/>
        </w:rPr>
        <w:t>Lot</w:t>
      </w:r>
    </w:p>
    <w:p w14:paraId="3995A52A" w14:textId="77777777" w:rsidR="007F6DFD" w:rsidRPr="00D2126A" w:rsidRDefault="007F6DFD" w:rsidP="00C93C76">
      <w:pPr>
        <w:rPr>
          <w:color w:val="000000"/>
        </w:rPr>
      </w:pPr>
    </w:p>
    <w:p w14:paraId="3CEE0B75" w14:textId="77777777" w:rsidR="007F6DFD" w:rsidRPr="00D2126A" w:rsidRDefault="007F6DFD" w:rsidP="00C93C76">
      <w:pPr>
        <w:pStyle w:val="Date"/>
        <w:rPr>
          <w:color w:val="000000"/>
        </w:rPr>
      </w:pPr>
    </w:p>
    <w:p w14:paraId="133A611F" w14:textId="77777777" w:rsidR="007F6DFD" w:rsidRPr="00D2126A" w:rsidRDefault="000E5A86" w:rsidP="00C93C76">
      <w:pPr>
        <w:pStyle w:val="StyleHeadingLab"/>
      </w:pPr>
      <w:r>
        <w:t>14.</w:t>
      </w:r>
      <w:r>
        <w:tab/>
        <w:t>CONDITIONS DE PRESCRIPTION ET DE DÉLIVRANCE</w:t>
      </w:r>
    </w:p>
    <w:p w14:paraId="41AC9F07" w14:textId="77777777" w:rsidR="007F6DFD" w:rsidRPr="00D2126A" w:rsidRDefault="007F6DFD" w:rsidP="00EB488D">
      <w:pPr>
        <w:keepNext/>
        <w:rPr>
          <w:color w:val="000000"/>
        </w:rPr>
      </w:pPr>
    </w:p>
    <w:p w14:paraId="165DB54C" w14:textId="77777777" w:rsidR="007F6DFD" w:rsidRPr="00D2126A" w:rsidRDefault="007F6DFD" w:rsidP="00C93C76">
      <w:pPr>
        <w:pStyle w:val="Date"/>
        <w:rPr>
          <w:color w:val="000000"/>
        </w:rPr>
      </w:pPr>
    </w:p>
    <w:p w14:paraId="2400F1B6" w14:textId="77777777" w:rsidR="007F6DFD" w:rsidRPr="00D2126A" w:rsidRDefault="000E5A86" w:rsidP="00C93C76">
      <w:pPr>
        <w:pStyle w:val="StyleHeadingLab"/>
      </w:pPr>
      <w:r>
        <w:t>15.</w:t>
      </w:r>
      <w:r>
        <w:tab/>
        <w:t>INDICATIONS D’UTILISATION</w:t>
      </w:r>
    </w:p>
    <w:p w14:paraId="5345A96F" w14:textId="77777777" w:rsidR="007F6DFD" w:rsidRPr="00D2126A" w:rsidRDefault="007F6DFD" w:rsidP="00EB488D">
      <w:pPr>
        <w:keepNext/>
        <w:rPr>
          <w:bCs/>
          <w:color w:val="000000"/>
          <w:u w:val="single"/>
        </w:rPr>
      </w:pPr>
    </w:p>
    <w:p w14:paraId="3281EAC1" w14:textId="77777777" w:rsidR="007F6DFD" w:rsidRPr="00D2126A" w:rsidRDefault="007F6DFD" w:rsidP="00C93C76">
      <w:pPr>
        <w:rPr>
          <w:color w:val="000000"/>
        </w:rPr>
      </w:pPr>
    </w:p>
    <w:p w14:paraId="3D17C960" w14:textId="77777777" w:rsidR="007F6DFD" w:rsidRPr="00D2126A" w:rsidRDefault="000E5A86" w:rsidP="00C93C76">
      <w:pPr>
        <w:pStyle w:val="StyleHeadingLab"/>
      </w:pPr>
      <w:r>
        <w:t>16.</w:t>
      </w:r>
      <w:r>
        <w:tab/>
        <w:t>INFORMATIONS EN BRAILLE</w:t>
      </w:r>
    </w:p>
    <w:p w14:paraId="54954ADB" w14:textId="77777777" w:rsidR="007F6DFD" w:rsidRPr="00D2126A" w:rsidRDefault="007F6DFD" w:rsidP="00EB488D">
      <w:pPr>
        <w:keepNext/>
        <w:rPr>
          <w:color w:val="000000"/>
        </w:rPr>
      </w:pPr>
    </w:p>
    <w:p w14:paraId="7E658B5F" w14:textId="77777777" w:rsidR="00AE7BC4" w:rsidRPr="00D2126A" w:rsidRDefault="000E5A86" w:rsidP="00EB488D">
      <w:pPr>
        <w:pStyle w:val="Date"/>
        <w:keepNext/>
        <w:rPr>
          <w:color w:val="000000"/>
        </w:rPr>
      </w:pPr>
      <w:r>
        <w:rPr>
          <w:color w:val="000000"/>
        </w:rPr>
        <w:t>Revlimid 5 mg</w:t>
      </w:r>
    </w:p>
    <w:p w14:paraId="18A0B739" w14:textId="77777777" w:rsidR="00E03650" w:rsidRPr="00D2126A" w:rsidRDefault="00E03650" w:rsidP="00EB488D">
      <w:pPr>
        <w:keepNext/>
      </w:pPr>
    </w:p>
    <w:p w14:paraId="68A1B4FC" w14:textId="77777777" w:rsidR="00C853A4" w:rsidRPr="00D2126A" w:rsidRDefault="00C853A4" w:rsidP="00C93C76">
      <w:pPr>
        <w:rPr>
          <w:noProof/>
          <w:shd w:val="clear" w:color="auto" w:fill="CCCCCC"/>
        </w:rPr>
      </w:pPr>
    </w:p>
    <w:p w14:paraId="1EA918FE" w14:textId="77777777" w:rsidR="00C853A4" w:rsidRPr="00D2126A" w:rsidRDefault="000E5A86" w:rsidP="00C93C76">
      <w:pPr>
        <w:pStyle w:val="StyleHeadingLab"/>
        <w:rPr>
          <w:i/>
          <w:noProof/>
        </w:rPr>
      </w:pPr>
      <w:r>
        <w:t>17.</w:t>
      </w:r>
      <w:r>
        <w:tab/>
        <w:t>IDENTIFIANT UNIQUE - CODE</w:t>
      </w:r>
      <w:r>
        <w:noBreakHyphen/>
        <w:t>BARRES 2D</w:t>
      </w:r>
    </w:p>
    <w:p w14:paraId="58307BE6" w14:textId="77777777" w:rsidR="00C853A4" w:rsidRPr="00D2126A" w:rsidRDefault="00C853A4" w:rsidP="00EB488D">
      <w:pPr>
        <w:keepNext/>
        <w:rPr>
          <w:noProof/>
        </w:rPr>
      </w:pPr>
    </w:p>
    <w:p w14:paraId="570E0629" w14:textId="092A8B6F" w:rsidR="00C853A4" w:rsidRPr="00D2126A" w:rsidRDefault="000E5A86" w:rsidP="00EB488D">
      <w:pPr>
        <w:pStyle w:val="Date"/>
        <w:keepNext/>
        <w:rPr>
          <w:noProof/>
        </w:rPr>
      </w:pPr>
      <w:r>
        <w:rPr>
          <w:highlight w:val="lightGray"/>
        </w:rPr>
        <w:t>Code</w:t>
      </w:r>
      <w:r>
        <w:rPr>
          <w:highlight w:val="lightGray"/>
        </w:rPr>
        <w:noBreakHyphen/>
        <w:t>barres 2D portant l'identifiant unique inclus.</w:t>
      </w:r>
    </w:p>
    <w:p w14:paraId="500F4A68" w14:textId="77777777" w:rsidR="00C853A4" w:rsidRPr="00D2126A" w:rsidRDefault="00C853A4" w:rsidP="00EB488D">
      <w:pPr>
        <w:keepNext/>
      </w:pPr>
    </w:p>
    <w:p w14:paraId="75A646C1" w14:textId="77777777" w:rsidR="00C853A4" w:rsidRPr="00D2126A" w:rsidRDefault="00C853A4" w:rsidP="00C93C76"/>
    <w:p w14:paraId="06F54531" w14:textId="77777777" w:rsidR="00C853A4" w:rsidRPr="00D2126A" w:rsidRDefault="000E5A86" w:rsidP="00C93C76">
      <w:pPr>
        <w:pStyle w:val="StyleHeadingLab"/>
        <w:rPr>
          <w:i/>
          <w:noProof/>
        </w:rPr>
      </w:pPr>
      <w:r>
        <w:t>18.</w:t>
      </w:r>
      <w:r>
        <w:tab/>
        <w:t>IDENTIFIANT UNIQUE - DONNÉES LISIBLES PAR LES HUMAINS</w:t>
      </w:r>
    </w:p>
    <w:p w14:paraId="0A6C0BA5" w14:textId="77777777" w:rsidR="00C853A4" w:rsidRPr="00D2126A" w:rsidRDefault="00C853A4" w:rsidP="00EB488D">
      <w:pPr>
        <w:pStyle w:val="Date"/>
        <w:keepNext/>
      </w:pPr>
    </w:p>
    <w:p w14:paraId="6E077E2C" w14:textId="51593363" w:rsidR="00C853A4" w:rsidRPr="00D2126A" w:rsidRDefault="000E5A86" w:rsidP="00EB488D">
      <w:pPr>
        <w:keepNext/>
      </w:pPr>
      <w:r>
        <w:t>PC</w:t>
      </w:r>
    </w:p>
    <w:p w14:paraId="308057E5" w14:textId="66152B30" w:rsidR="00C853A4" w:rsidRPr="00D2126A" w:rsidRDefault="000E5A86" w:rsidP="00EB488D">
      <w:pPr>
        <w:keepNext/>
      </w:pPr>
      <w:r>
        <w:t>SN</w:t>
      </w:r>
    </w:p>
    <w:p w14:paraId="46B8B40C" w14:textId="5526C28D" w:rsidR="00C853A4" w:rsidRPr="00D2126A" w:rsidRDefault="000E5A86" w:rsidP="00EB488D">
      <w:pPr>
        <w:keepNext/>
      </w:pPr>
      <w:r>
        <w:t>NN</w:t>
      </w:r>
    </w:p>
    <w:p w14:paraId="36E0119E" w14:textId="77777777" w:rsidR="00C853A4" w:rsidRPr="00D2126A" w:rsidRDefault="00C853A4" w:rsidP="00C93C76">
      <w:pPr>
        <w:pStyle w:val="Date"/>
      </w:pPr>
    </w:p>
    <w:p w14:paraId="03114AAD" w14:textId="2A114FEB" w:rsidR="007F6DFD"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t>MENTIONS MINIMALES DEVANT FIGURER SUR LES PLAQUETTES OU LES FILMS THERMOSOUDÉS</w:t>
      </w:r>
    </w:p>
    <w:p w14:paraId="496A70DD" w14:textId="77777777" w:rsidR="007F6DFD" w:rsidRPr="00D2126A" w:rsidRDefault="007F6DFD" w:rsidP="00B17EDE">
      <w:pPr>
        <w:pStyle w:val="Date"/>
        <w:keepNext/>
        <w:pBdr>
          <w:left w:val="single" w:sz="4" w:space="1" w:color="auto"/>
          <w:bottom w:val="single" w:sz="4" w:space="1" w:color="auto"/>
          <w:right w:val="single" w:sz="4" w:space="1" w:color="auto"/>
        </w:pBdr>
        <w:rPr>
          <w:color w:val="000000"/>
        </w:rPr>
      </w:pPr>
    </w:p>
    <w:p w14:paraId="1378B9F6"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PLAQUETTES</w:t>
      </w:r>
    </w:p>
    <w:p w14:paraId="1982DD86" w14:textId="77777777" w:rsidR="007F6DFD" w:rsidRPr="00D2126A" w:rsidRDefault="007F6DFD" w:rsidP="00EB488D">
      <w:pPr>
        <w:keepNext/>
        <w:rPr>
          <w:bCs/>
          <w:color w:val="000000"/>
        </w:rPr>
      </w:pPr>
    </w:p>
    <w:p w14:paraId="4C791846" w14:textId="77777777" w:rsidR="007F6DFD" w:rsidRPr="00D2126A" w:rsidRDefault="007F6DFD" w:rsidP="00C93C76">
      <w:pPr>
        <w:rPr>
          <w:color w:val="000000"/>
        </w:rPr>
      </w:pPr>
    </w:p>
    <w:p w14:paraId="5CA510EA" w14:textId="77777777" w:rsidR="007F6DFD" w:rsidRPr="00D2126A" w:rsidRDefault="000E5A86" w:rsidP="00C93C76">
      <w:pPr>
        <w:pStyle w:val="StyleHeadingLab"/>
      </w:pPr>
      <w:r>
        <w:t>1.</w:t>
      </w:r>
      <w:r>
        <w:tab/>
        <w:t>DÉNOMINATION DU MÉDICAMENT</w:t>
      </w:r>
    </w:p>
    <w:p w14:paraId="4386D8E5" w14:textId="77777777" w:rsidR="007F6DFD" w:rsidRPr="00D2126A" w:rsidRDefault="007F6DFD" w:rsidP="00EB488D">
      <w:pPr>
        <w:keepNext/>
        <w:ind w:left="567" w:hanging="567"/>
        <w:rPr>
          <w:color w:val="000000"/>
        </w:rPr>
      </w:pPr>
    </w:p>
    <w:p w14:paraId="273B94A5" w14:textId="77777777" w:rsidR="007F6DFD" w:rsidRPr="00D2126A" w:rsidRDefault="000E5A86" w:rsidP="00C93C76">
      <w:pPr>
        <w:rPr>
          <w:color w:val="000000"/>
        </w:rPr>
      </w:pPr>
      <w:r>
        <w:rPr>
          <w:color w:val="000000"/>
        </w:rPr>
        <w:t>Revlimid 5 mg gélules</w:t>
      </w:r>
    </w:p>
    <w:p w14:paraId="33C25469" w14:textId="77777777" w:rsidR="007F6DFD" w:rsidRPr="00D2126A" w:rsidRDefault="000E5A86" w:rsidP="00C93C76">
      <w:pPr>
        <w:rPr>
          <w:color w:val="000000"/>
        </w:rPr>
      </w:pPr>
      <w:r>
        <w:rPr>
          <w:color w:val="000000"/>
        </w:rPr>
        <w:t>lénalidomide</w:t>
      </w:r>
    </w:p>
    <w:p w14:paraId="412D0B26" w14:textId="77777777" w:rsidR="007F6DFD" w:rsidRPr="00D2126A" w:rsidRDefault="007F6DFD" w:rsidP="00C93C76">
      <w:pPr>
        <w:rPr>
          <w:color w:val="000000"/>
        </w:rPr>
      </w:pPr>
    </w:p>
    <w:p w14:paraId="781183D2" w14:textId="77777777" w:rsidR="007F6DFD" w:rsidRPr="00D2126A" w:rsidRDefault="007F6DFD" w:rsidP="00C93C76">
      <w:pPr>
        <w:pStyle w:val="Date"/>
        <w:rPr>
          <w:color w:val="000000"/>
        </w:rPr>
      </w:pPr>
    </w:p>
    <w:p w14:paraId="52FB1962" w14:textId="77777777" w:rsidR="007F6DFD" w:rsidRPr="00D2126A" w:rsidRDefault="000E5A86" w:rsidP="00C93C76">
      <w:pPr>
        <w:pStyle w:val="StyleHeadingLab"/>
      </w:pPr>
      <w:r>
        <w:t>2.</w:t>
      </w:r>
      <w:r>
        <w:tab/>
        <w:t>NOM DU TITULAIRE DE L’AUTORISATION DE MISE SUR LE MARCHÉ</w:t>
      </w:r>
    </w:p>
    <w:p w14:paraId="06099574" w14:textId="77777777" w:rsidR="007F6DFD" w:rsidRPr="00D2126A" w:rsidRDefault="007F6DFD" w:rsidP="00EB488D">
      <w:pPr>
        <w:keepNext/>
        <w:rPr>
          <w:color w:val="000000"/>
        </w:rPr>
      </w:pPr>
    </w:p>
    <w:p w14:paraId="38B7363E" w14:textId="77777777" w:rsidR="00CB3D9F" w:rsidRPr="00D2126A" w:rsidRDefault="000E5A86" w:rsidP="00C93C76">
      <w:pPr>
        <w:pStyle w:val="EMEAAddress"/>
      </w:pPr>
      <w:r>
        <w:t>Bristol</w:t>
      </w:r>
      <w:r>
        <w:noBreakHyphen/>
        <w:t>Myers Squibb Pharma EEIG</w:t>
      </w:r>
    </w:p>
    <w:p w14:paraId="67A8BDB7" w14:textId="77777777" w:rsidR="007F6DFD" w:rsidRPr="00D2126A" w:rsidRDefault="007F6DFD" w:rsidP="00C93C76">
      <w:pPr>
        <w:rPr>
          <w:color w:val="000000"/>
        </w:rPr>
      </w:pPr>
    </w:p>
    <w:p w14:paraId="4F830379" w14:textId="77777777" w:rsidR="007F6DFD" w:rsidRPr="00D2126A" w:rsidRDefault="007F6DFD" w:rsidP="00C93C76">
      <w:pPr>
        <w:pStyle w:val="Date"/>
        <w:rPr>
          <w:color w:val="000000"/>
        </w:rPr>
      </w:pPr>
    </w:p>
    <w:p w14:paraId="70292BAB" w14:textId="77777777" w:rsidR="007F6DFD" w:rsidRPr="00D2126A" w:rsidRDefault="000E5A86" w:rsidP="00C93C76">
      <w:pPr>
        <w:pStyle w:val="StyleHeadingLab"/>
      </w:pPr>
      <w:r>
        <w:t>3.</w:t>
      </w:r>
      <w:r>
        <w:tab/>
        <w:t>DATE DE PÉREMPTION</w:t>
      </w:r>
    </w:p>
    <w:p w14:paraId="767D42D8" w14:textId="77777777" w:rsidR="007F6DFD" w:rsidRPr="00D2126A" w:rsidRDefault="007F6DFD" w:rsidP="00EB488D">
      <w:pPr>
        <w:keepNext/>
        <w:rPr>
          <w:iCs/>
          <w:color w:val="000000"/>
        </w:rPr>
      </w:pPr>
    </w:p>
    <w:p w14:paraId="3E7A3EE5" w14:textId="77777777" w:rsidR="007F6DFD" w:rsidRPr="00D2126A" w:rsidRDefault="000E5A86" w:rsidP="00C93C76">
      <w:pPr>
        <w:rPr>
          <w:color w:val="000000"/>
        </w:rPr>
      </w:pPr>
      <w:r>
        <w:rPr>
          <w:color w:val="000000"/>
        </w:rPr>
        <w:t>EXP</w:t>
      </w:r>
    </w:p>
    <w:p w14:paraId="72CBBCB7" w14:textId="77777777" w:rsidR="007F6DFD" w:rsidRPr="00D2126A" w:rsidRDefault="007F6DFD" w:rsidP="00C93C76">
      <w:pPr>
        <w:rPr>
          <w:color w:val="000000"/>
        </w:rPr>
      </w:pPr>
    </w:p>
    <w:p w14:paraId="0D13BD68" w14:textId="77777777" w:rsidR="007F6DFD" w:rsidRPr="00D2126A" w:rsidRDefault="007F6DFD" w:rsidP="00C93C76">
      <w:pPr>
        <w:pStyle w:val="Date"/>
        <w:rPr>
          <w:color w:val="000000"/>
        </w:rPr>
      </w:pPr>
    </w:p>
    <w:p w14:paraId="4955FB40" w14:textId="77777777" w:rsidR="007F6DFD" w:rsidRPr="00D2126A" w:rsidRDefault="000E5A86" w:rsidP="00C93C76">
      <w:pPr>
        <w:pStyle w:val="StyleHeadingLab"/>
      </w:pPr>
      <w:r>
        <w:t>4.</w:t>
      </w:r>
      <w:r>
        <w:tab/>
        <w:t>NUMÉRO DU LOT</w:t>
      </w:r>
    </w:p>
    <w:p w14:paraId="02949022" w14:textId="77777777" w:rsidR="007F6DFD" w:rsidRPr="00D2126A" w:rsidRDefault="007F6DFD" w:rsidP="00EB488D">
      <w:pPr>
        <w:keepNext/>
        <w:rPr>
          <w:iCs/>
          <w:color w:val="000000"/>
        </w:rPr>
      </w:pPr>
    </w:p>
    <w:p w14:paraId="186A1F94" w14:textId="77777777" w:rsidR="007F6DFD" w:rsidRPr="00D2126A" w:rsidRDefault="000E5A86" w:rsidP="00C93C76">
      <w:pPr>
        <w:rPr>
          <w:color w:val="000000"/>
        </w:rPr>
      </w:pPr>
      <w:r>
        <w:rPr>
          <w:color w:val="000000"/>
        </w:rPr>
        <w:t>Lot</w:t>
      </w:r>
    </w:p>
    <w:p w14:paraId="3A4A1F39" w14:textId="77777777" w:rsidR="007F6DFD" w:rsidRPr="00D2126A" w:rsidRDefault="007F6DFD" w:rsidP="00C93C76">
      <w:pPr>
        <w:rPr>
          <w:bCs/>
          <w:color w:val="000000"/>
        </w:rPr>
      </w:pPr>
    </w:p>
    <w:p w14:paraId="489CAFDD" w14:textId="77777777" w:rsidR="007F6DFD" w:rsidRPr="00D2126A" w:rsidRDefault="007F6DFD" w:rsidP="00C93C76">
      <w:pPr>
        <w:pStyle w:val="Date"/>
        <w:rPr>
          <w:color w:val="000000"/>
        </w:rPr>
      </w:pPr>
    </w:p>
    <w:p w14:paraId="3E13892D" w14:textId="232B5F5C" w:rsidR="007F6DFD" w:rsidRPr="00D2126A" w:rsidRDefault="000E5A86" w:rsidP="00C93C76">
      <w:pPr>
        <w:pStyle w:val="StyleHeadingLab"/>
      </w:pPr>
      <w:r>
        <w:t>5.</w:t>
      </w:r>
      <w:r>
        <w:tab/>
        <w:t>AUTRE</w:t>
      </w:r>
    </w:p>
    <w:p w14:paraId="0E825FAA" w14:textId="77777777" w:rsidR="007F6DFD" w:rsidRPr="00D2126A" w:rsidRDefault="007F6DFD" w:rsidP="00EB488D">
      <w:pPr>
        <w:keepNext/>
        <w:rPr>
          <w:color w:val="000000"/>
        </w:rPr>
      </w:pPr>
    </w:p>
    <w:p w14:paraId="14844D4A" w14:textId="77777777" w:rsidR="00B17EDE" w:rsidRPr="00D2126A" w:rsidRDefault="00B17EDE" w:rsidP="00B17EDE">
      <w:pPr>
        <w:pStyle w:val="Date"/>
      </w:pPr>
    </w:p>
    <w:p w14:paraId="3543BCF7" w14:textId="3295D677" w:rsidR="00036363"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t>MENTIONS DEVANT FIGURER SUR L’EMBALLAGE EXTÉRIEUR</w:t>
      </w:r>
    </w:p>
    <w:p w14:paraId="04FC7611" w14:textId="5CC96565" w:rsidR="006C0E0C" w:rsidRPr="00D2126A" w:rsidRDefault="006C0E0C" w:rsidP="00B17EDE">
      <w:pPr>
        <w:keepNext/>
        <w:pBdr>
          <w:left w:val="single" w:sz="4" w:space="1" w:color="auto"/>
          <w:bottom w:val="single" w:sz="4" w:space="1" w:color="auto"/>
          <w:right w:val="single" w:sz="4" w:space="1" w:color="auto"/>
        </w:pBdr>
        <w:rPr>
          <w:b/>
          <w:color w:val="000000"/>
        </w:rPr>
      </w:pPr>
    </w:p>
    <w:p w14:paraId="644A1A5A"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BOÎTE</w:t>
      </w:r>
    </w:p>
    <w:p w14:paraId="09E1E709" w14:textId="77777777" w:rsidR="006C0E0C" w:rsidRPr="00D2126A" w:rsidRDefault="006C0E0C" w:rsidP="00C93C76">
      <w:pPr>
        <w:rPr>
          <w:color w:val="000000"/>
        </w:rPr>
      </w:pPr>
    </w:p>
    <w:p w14:paraId="4C8F3B7D" w14:textId="77777777" w:rsidR="00EB488D" w:rsidRPr="00D2126A" w:rsidRDefault="00EB488D" w:rsidP="00EB488D">
      <w:pPr>
        <w:pStyle w:val="Date"/>
      </w:pPr>
    </w:p>
    <w:p w14:paraId="3A68ECCE" w14:textId="77777777" w:rsidR="006C0E0C" w:rsidRPr="00D2126A" w:rsidRDefault="000E5A86" w:rsidP="00C93C76">
      <w:pPr>
        <w:pStyle w:val="StyleHeadingLab"/>
      </w:pPr>
      <w:r>
        <w:t>1.</w:t>
      </w:r>
      <w:r>
        <w:tab/>
        <w:t>DÉNOMINATION DU MÉDICAMENT</w:t>
      </w:r>
    </w:p>
    <w:p w14:paraId="66517EF0" w14:textId="77777777" w:rsidR="006C0E0C" w:rsidRPr="00D2126A" w:rsidRDefault="006C0E0C" w:rsidP="00EB488D">
      <w:pPr>
        <w:keepNext/>
        <w:rPr>
          <w:color w:val="000000"/>
        </w:rPr>
      </w:pPr>
    </w:p>
    <w:p w14:paraId="5F7FB0CD" w14:textId="77777777" w:rsidR="006C0E0C" w:rsidRPr="00D2126A" w:rsidRDefault="000E5A86" w:rsidP="00C93C76">
      <w:pPr>
        <w:rPr>
          <w:color w:val="000000"/>
        </w:rPr>
      </w:pPr>
      <w:r>
        <w:rPr>
          <w:color w:val="000000"/>
        </w:rPr>
        <w:t>Revlimid 7,5 mg gélules</w:t>
      </w:r>
    </w:p>
    <w:p w14:paraId="40AE8CBA" w14:textId="77777777" w:rsidR="006C0E0C" w:rsidRPr="00D2126A" w:rsidRDefault="000E5A86" w:rsidP="00C93C76">
      <w:pPr>
        <w:rPr>
          <w:color w:val="000000"/>
        </w:rPr>
      </w:pPr>
      <w:r>
        <w:rPr>
          <w:color w:val="000000"/>
        </w:rPr>
        <w:t>lénalidomide</w:t>
      </w:r>
    </w:p>
    <w:p w14:paraId="035996C3" w14:textId="77777777" w:rsidR="006C0E0C" w:rsidRPr="00D2126A" w:rsidRDefault="006C0E0C" w:rsidP="00C93C76">
      <w:pPr>
        <w:rPr>
          <w:color w:val="000000"/>
        </w:rPr>
      </w:pPr>
    </w:p>
    <w:p w14:paraId="1EF96C7E" w14:textId="77777777" w:rsidR="006C0E0C" w:rsidRPr="00D2126A" w:rsidRDefault="006C0E0C" w:rsidP="00C93C76">
      <w:pPr>
        <w:pStyle w:val="Date"/>
        <w:rPr>
          <w:color w:val="000000"/>
        </w:rPr>
      </w:pPr>
    </w:p>
    <w:p w14:paraId="61C3D358" w14:textId="77777777" w:rsidR="006C0E0C" w:rsidRPr="00D2126A" w:rsidRDefault="000E5A86" w:rsidP="00C93C76">
      <w:pPr>
        <w:pStyle w:val="StyleHeadingLab"/>
      </w:pPr>
      <w:r>
        <w:t>2.</w:t>
      </w:r>
      <w:r>
        <w:tab/>
        <w:t>COMPOSITION EN SUBSTANCE(S) ACTIVE(S)</w:t>
      </w:r>
    </w:p>
    <w:p w14:paraId="308FD24D" w14:textId="77777777" w:rsidR="006C0E0C" w:rsidRPr="00D2126A" w:rsidRDefault="006C0E0C" w:rsidP="00EB488D">
      <w:pPr>
        <w:keepNext/>
        <w:rPr>
          <w:color w:val="000000"/>
        </w:rPr>
      </w:pPr>
    </w:p>
    <w:p w14:paraId="1883AD11" w14:textId="77777777" w:rsidR="006C0E0C" w:rsidRPr="00D2126A" w:rsidRDefault="000E5A86" w:rsidP="00C93C76">
      <w:pPr>
        <w:rPr>
          <w:color w:val="000000"/>
        </w:rPr>
      </w:pPr>
      <w:r>
        <w:rPr>
          <w:color w:val="000000"/>
        </w:rPr>
        <w:t>Chaque gélule contient 7,5 mg de lénalidomide.</w:t>
      </w:r>
    </w:p>
    <w:p w14:paraId="0E931788" w14:textId="77777777" w:rsidR="006C0E0C" w:rsidRPr="00D2126A" w:rsidRDefault="006C0E0C" w:rsidP="00C93C76">
      <w:pPr>
        <w:rPr>
          <w:color w:val="000000"/>
        </w:rPr>
      </w:pPr>
    </w:p>
    <w:p w14:paraId="3BFA7248" w14:textId="77777777" w:rsidR="006C0E0C" w:rsidRPr="00D2126A" w:rsidRDefault="006C0E0C" w:rsidP="00C93C76">
      <w:pPr>
        <w:pStyle w:val="Date"/>
        <w:rPr>
          <w:color w:val="000000"/>
        </w:rPr>
      </w:pPr>
    </w:p>
    <w:p w14:paraId="11FEFEA3" w14:textId="77777777" w:rsidR="006C0E0C" w:rsidRPr="00D2126A" w:rsidRDefault="000E5A86" w:rsidP="00C93C76">
      <w:pPr>
        <w:pStyle w:val="StyleHeadingLab"/>
      </w:pPr>
      <w:r>
        <w:t>3.</w:t>
      </w:r>
      <w:r>
        <w:tab/>
        <w:t>LISTE DES EXCIPIENTS</w:t>
      </w:r>
    </w:p>
    <w:p w14:paraId="7E7B7BD1" w14:textId="77777777" w:rsidR="006C0E0C" w:rsidRPr="00D2126A" w:rsidRDefault="006C0E0C" w:rsidP="00EB488D">
      <w:pPr>
        <w:keepNext/>
        <w:rPr>
          <w:color w:val="000000"/>
        </w:rPr>
      </w:pPr>
    </w:p>
    <w:p w14:paraId="624A0180" w14:textId="77777777" w:rsidR="006C0E0C" w:rsidRPr="00D2126A" w:rsidRDefault="000E5A86" w:rsidP="00C93C76">
      <w:pPr>
        <w:rPr>
          <w:color w:val="000000"/>
        </w:rPr>
      </w:pPr>
      <w:r>
        <w:rPr>
          <w:color w:val="000000"/>
        </w:rPr>
        <w:t>Contient du lactose. Voir la notice pour plus d’informations.</w:t>
      </w:r>
    </w:p>
    <w:p w14:paraId="4C288003" w14:textId="77777777" w:rsidR="006C0E0C" w:rsidRPr="00D2126A" w:rsidRDefault="006C0E0C" w:rsidP="00C93C76">
      <w:pPr>
        <w:rPr>
          <w:color w:val="000000"/>
        </w:rPr>
      </w:pPr>
    </w:p>
    <w:p w14:paraId="48C3DE3D" w14:textId="77777777" w:rsidR="006C0E0C" w:rsidRPr="00D2126A" w:rsidRDefault="006C0E0C" w:rsidP="00C93C76">
      <w:pPr>
        <w:pStyle w:val="Date"/>
        <w:rPr>
          <w:color w:val="000000"/>
        </w:rPr>
      </w:pPr>
    </w:p>
    <w:p w14:paraId="1D319A43" w14:textId="77777777" w:rsidR="006C0E0C" w:rsidRPr="00D2126A" w:rsidRDefault="000E5A86" w:rsidP="00C93C76">
      <w:pPr>
        <w:pStyle w:val="StyleHeadingLab"/>
      </w:pPr>
      <w:r>
        <w:t>4.</w:t>
      </w:r>
      <w:r>
        <w:tab/>
        <w:t>FORME PHARMACEUTIQUE ET CONTENU</w:t>
      </w:r>
    </w:p>
    <w:p w14:paraId="12F7B67D" w14:textId="77777777" w:rsidR="006C0E0C" w:rsidRPr="00D2126A" w:rsidRDefault="006C0E0C" w:rsidP="00EB488D">
      <w:pPr>
        <w:keepNext/>
        <w:rPr>
          <w:color w:val="000000"/>
        </w:rPr>
      </w:pPr>
    </w:p>
    <w:p w14:paraId="44208B16" w14:textId="2F5E64C0" w:rsidR="00AA7763" w:rsidRPr="00D2126A" w:rsidRDefault="000E5A86" w:rsidP="00C93C76">
      <w:pPr>
        <w:rPr>
          <w:color w:val="000000"/>
        </w:rPr>
      </w:pPr>
      <w:r>
        <w:rPr>
          <w:color w:val="000000"/>
        </w:rPr>
        <w:t>7 gélules</w:t>
      </w:r>
    </w:p>
    <w:p w14:paraId="2F84B53E" w14:textId="1F7CEB31" w:rsidR="00AA7763" w:rsidRPr="00D2126A" w:rsidRDefault="000E5A86" w:rsidP="00C93C76">
      <w:pPr>
        <w:rPr>
          <w:noProof/>
        </w:rPr>
      </w:pPr>
      <w:r>
        <w:rPr>
          <w:highlight w:val="lightGray"/>
        </w:rPr>
        <w:t>21 gélules</w:t>
      </w:r>
    </w:p>
    <w:p w14:paraId="1129D4BB" w14:textId="77777777" w:rsidR="006C0E0C" w:rsidRPr="00D2126A" w:rsidRDefault="006C0E0C" w:rsidP="00C93C76">
      <w:pPr>
        <w:pStyle w:val="Date"/>
        <w:rPr>
          <w:color w:val="000000"/>
        </w:rPr>
      </w:pPr>
    </w:p>
    <w:p w14:paraId="0CD2CF2C" w14:textId="77777777" w:rsidR="00AA7763" w:rsidRPr="00D2126A" w:rsidRDefault="00AA7763" w:rsidP="00C93C76">
      <w:pPr>
        <w:rPr>
          <w:color w:val="000000"/>
        </w:rPr>
      </w:pPr>
    </w:p>
    <w:p w14:paraId="0E62782B" w14:textId="77777777" w:rsidR="006C0E0C" w:rsidRPr="00D2126A" w:rsidRDefault="000E5A86" w:rsidP="00C93C76">
      <w:pPr>
        <w:pStyle w:val="StyleHeadingLab"/>
      </w:pPr>
      <w:r>
        <w:t>5.</w:t>
      </w:r>
      <w:r>
        <w:tab/>
        <w:t>MODE ET VOIE(S) D’ADMINISTRATION</w:t>
      </w:r>
    </w:p>
    <w:p w14:paraId="72A8D166" w14:textId="77777777" w:rsidR="006C0E0C" w:rsidRPr="00D2126A" w:rsidRDefault="006C0E0C" w:rsidP="00EB488D">
      <w:pPr>
        <w:keepNext/>
        <w:rPr>
          <w:color w:val="000000"/>
        </w:rPr>
      </w:pPr>
    </w:p>
    <w:p w14:paraId="517636B5" w14:textId="77777777" w:rsidR="006C0E0C" w:rsidRPr="00D2126A" w:rsidRDefault="000E5A86" w:rsidP="00C93C76">
      <w:pPr>
        <w:rPr>
          <w:color w:val="000000"/>
        </w:rPr>
      </w:pPr>
      <w:r>
        <w:rPr>
          <w:color w:val="000000"/>
        </w:rPr>
        <w:t>Voie orale.</w:t>
      </w:r>
    </w:p>
    <w:p w14:paraId="3F1D92F3" w14:textId="77777777" w:rsidR="006C0E0C" w:rsidRPr="00D2126A" w:rsidRDefault="006C0E0C" w:rsidP="00C93C76">
      <w:pPr>
        <w:rPr>
          <w:color w:val="000000"/>
        </w:rPr>
      </w:pPr>
    </w:p>
    <w:p w14:paraId="6C9B3BE8" w14:textId="77777777" w:rsidR="006C0E0C" w:rsidRPr="00D2126A" w:rsidRDefault="000E5A86" w:rsidP="00C93C76">
      <w:pPr>
        <w:rPr>
          <w:color w:val="000000"/>
        </w:rPr>
      </w:pPr>
      <w:r>
        <w:rPr>
          <w:color w:val="000000"/>
        </w:rPr>
        <w:t>Lire la notice avant utilisation.</w:t>
      </w:r>
    </w:p>
    <w:p w14:paraId="1A562600" w14:textId="77777777" w:rsidR="006C0E0C" w:rsidRPr="00D2126A" w:rsidRDefault="006C0E0C" w:rsidP="00C93C76">
      <w:pPr>
        <w:rPr>
          <w:color w:val="000000"/>
        </w:rPr>
      </w:pPr>
    </w:p>
    <w:p w14:paraId="75FC8512" w14:textId="77777777" w:rsidR="006C0E0C" w:rsidRPr="00D2126A" w:rsidRDefault="006C0E0C" w:rsidP="00C93C76">
      <w:pPr>
        <w:pStyle w:val="Date"/>
        <w:rPr>
          <w:color w:val="000000"/>
        </w:rPr>
      </w:pPr>
    </w:p>
    <w:p w14:paraId="7389F0C8" w14:textId="77777777" w:rsidR="006C0E0C" w:rsidRPr="00D2126A" w:rsidRDefault="000E5A86" w:rsidP="00C93C76">
      <w:pPr>
        <w:pStyle w:val="StyleHeadingLab"/>
      </w:pPr>
      <w:r>
        <w:t>6.</w:t>
      </w:r>
      <w:r>
        <w:tab/>
        <w:t>MISE EN GARDE SPÉCIALE INDIQUANT QUE LE MÉDICAMENT DOIT ÊTRE CONSERVÉ HORS DE VUE ET DE PORTÉE DES ENFANTS</w:t>
      </w:r>
    </w:p>
    <w:p w14:paraId="0DE72291" w14:textId="77777777" w:rsidR="006C0E0C" w:rsidRPr="00D2126A" w:rsidRDefault="006C0E0C" w:rsidP="00EB488D">
      <w:pPr>
        <w:keepNext/>
        <w:rPr>
          <w:color w:val="000000"/>
        </w:rPr>
      </w:pPr>
    </w:p>
    <w:p w14:paraId="7725DC87" w14:textId="77777777" w:rsidR="006C0E0C" w:rsidRPr="00D2126A" w:rsidRDefault="000E5A86" w:rsidP="00C93C76">
      <w:pPr>
        <w:rPr>
          <w:color w:val="000000"/>
        </w:rPr>
      </w:pPr>
      <w:r>
        <w:rPr>
          <w:color w:val="000000"/>
        </w:rPr>
        <w:t>Tenir hors de la vue et de la portée des enfants.</w:t>
      </w:r>
    </w:p>
    <w:p w14:paraId="028A2EAB" w14:textId="77777777" w:rsidR="006C0E0C" w:rsidRPr="00D2126A" w:rsidRDefault="006C0E0C" w:rsidP="00C93C76">
      <w:pPr>
        <w:rPr>
          <w:color w:val="000000"/>
        </w:rPr>
      </w:pPr>
    </w:p>
    <w:p w14:paraId="0A2D00E9" w14:textId="77777777" w:rsidR="006C0E0C" w:rsidRPr="00D2126A" w:rsidRDefault="006C0E0C" w:rsidP="00C93C76">
      <w:pPr>
        <w:pStyle w:val="Date"/>
        <w:rPr>
          <w:color w:val="000000"/>
        </w:rPr>
      </w:pPr>
    </w:p>
    <w:p w14:paraId="7B889341" w14:textId="77777777" w:rsidR="006C0E0C" w:rsidRPr="00D2126A" w:rsidRDefault="000E5A86" w:rsidP="00C93C76">
      <w:pPr>
        <w:pStyle w:val="StyleHeadingLab"/>
      </w:pPr>
      <w:r>
        <w:t>7.</w:t>
      </w:r>
      <w:r>
        <w:tab/>
        <w:t>AUTRE(S) MISE(S) EN GARDE SPÉCIALE(S), SI NÉCESSAIRE</w:t>
      </w:r>
    </w:p>
    <w:p w14:paraId="418626AE" w14:textId="77777777" w:rsidR="006C0E0C" w:rsidRPr="00D2126A" w:rsidRDefault="006C0E0C" w:rsidP="00EB488D">
      <w:pPr>
        <w:keepNext/>
        <w:rPr>
          <w:color w:val="000000"/>
        </w:rPr>
      </w:pPr>
    </w:p>
    <w:p w14:paraId="5286B880" w14:textId="77777777" w:rsidR="006E28E9" w:rsidRPr="00D2126A" w:rsidRDefault="000E5A86" w:rsidP="00C93C76">
      <w:pPr>
        <w:rPr>
          <w:bCs/>
          <w:color w:val="000000"/>
        </w:rPr>
      </w:pPr>
      <w:r>
        <w:rPr>
          <w:color w:val="000000"/>
        </w:rPr>
        <w:t>MISE EN GARDE : risque d’anomalies congénitales graves. Ne pas utiliser pendant la grossesse ou l’allaitement.</w:t>
      </w:r>
    </w:p>
    <w:p w14:paraId="1560F7CB" w14:textId="77777777" w:rsidR="006C0E0C" w:rsidRPr="00D2126A" w:rsidRDefault="000E5A86" w:rsidP="00C93C76">
      <w:pPr>
        <w:rPr>
          <w:color w:val="000000"/>
        </w:rPr>
      </w:pPr>
      <w:r>
        <w:rPr>
          <w:color w:val="000000"/>
        </w:rPr>
        <w:t>Vous devez suivre le programme de prévention de la grossesse de Revlimid.</w:t>
      </w:r>
    </w:p>
    <w:p w14:paraId="440EF2CC" w14:textId="77777777" w:rsidR="006C0E0C" w:rsidRPr="00D2126A" w:rsidRDefault="006C0E0C" w:rsidP="00C93C76">
      <w:pPr>
        <w:rPr>
          <w:color w:val="000000"/>
        </w:rPr>
      </w:pPr>
    </w:p>
    <w:p w14:paraId="0C8563F7" w14:textId="77777777" w:rsidR="006C0E0C" w:rsidRPr="00D2126A" w:rsidRDefault="006C0E0C" w:rsidP="00C93C76">
      <w:pPr>
        <w:pStyle w:val="Date"/>
        <w:rPr>
          <w:color w:val="000000"/>
        </w:rPr>
      </w:pPr>
    </w:p>
    <w:p w14:paraId="7458A4C3" w14:textId="77777777" w:rsidR="006C0E0C" w:rsidRPr="00D2126A" w:rsidRDefault="000E5A86" w:rsidP="00C93C76">
      <w:pPr>
        <w:pStyle w:val="StyleHeadingLab"/>
      </w:pPr>
      <w:r>
        <w:t>8.</w:t>
      </w:r>
      <w:r>
        <w:tab/>
        <w:t>DATE DE PÉREMPTION</w:t>
      </w:r>
    </w:p>
    <w:p w14:paraId="07B5C939" w14:textId="77777777" w:rsidR="006C0E0C" w:rsidRPr="00D2126A" w:rsidRDefault="006C0E0C" w:rsidP="00EB488D">
      <w:pPr>
        <w:keepNext/>
        <w:rPr>
          <w:color w:val="000000"/>
        </w:rPr>
      </w:pPr>
    </w:p>
    <w:p w14:paraId="7C366A21" w14:textId="77777777" w:rsidR="00036363" w:rsidRPr="00D2126A" w:rsidRDefault="000E5A86" w:rsidP="00C93C76">
      <w:pPr>
        <w:rPr>
          <w:color w:val="000000"/>
        </w:rPr>
      </w:pPr>
      <w:r>
        <w:rPr>
          <w:color w:val="000000"/>
        </w:rPr>
        <w:t>EXP</w:t>
      </w:r>
    </w:p>
    <w:p w14:paraId="56219116" w14:textId="02B53171" w:rsidR="004D3A2E" w:rsidRPr="00D2126A" w:rsidRDefault="004D3A2E" w:rsidP="00C93C76">
      <w:pPr>
        <w:pStyle w:val="Date"/>
      </w:pPr>
    </w:p>
    <w:p w14:paraId="60C7DA79" w14:textId="77777777" w:rsidR="004D3A2E" w:rsidRPr="00D2126A" w:rsidRDefault="004D3A2E" w:rsidP="00C93C76"/>
    <w:p w14:paraId="6E1539DB" w14:textId="77777777" w:rsidR="006C0E0C" w:rsidRPr="00D2126A" w:rsidRDefault="000E5A86" w:rsidP="00C93C76">
      <w:pPr>
        <w:pStyle w:val="StyleHeadingLab"/>
      </w:pPr>
      <w:r>
        <w:t>9.</w:t>
      </w:r>
      <w:r>
        <w:tab/>
        <w:t>PRÉCAUTIONS PARTICULIÈRES DE CONSERVATION</w:t>
      </w:r>
    </w:p>
    <w:p w14:paraId="3F5987F6" w14:textId="77777777" w:rsidR="006C0E0C" w:rsidRPr="00D2126A" w:rsidRDefault="006C0E0C" w:rsidP="00EB488D">
      <w:pPr>
        <w:keepNext/>
        <w:rPr>
          <w:color w:val="000000"/>
        </w:rPr>
      </w:pPr>
    </w:p>
    <w:p w14:paraId="68C1B684" w14:textId="77777777" w:rsidR="006C0E0C" w:rsidRPr="00D2126A" w:rsidRDefault="006C0E0C" w:rsidP="00C93C76">
      <w:pPr>
        <w:pStyle w:val="Date"/>
        <w:rPr>
          <w:color w:val="000000"/>
        </w:rPr>
      </w:pPr>
    </w:p>
    <w:p w14:paraId="6A83D119" w14:textId="77777777" w:rsidR="006C0E0C" w:rsidRPr="00D2126A" w:rsidRDefault="000E5A86" w:rsidP="00C93C76">
      <w:pPr>
        <w:pStyle w:val="StyleHeadingLab"/>
      </w:pPr>
      <w:r>
        <w:t>10.</w:t>
      </w:r>
      <w:r>
        <w:tab/>
        <w:t>PRÉCAUTIONS PARTICULIÈRES D’ÉLIMINATION DES MÉDICAMENTS NON UTILISÉS OU DES DÉCHETS PROVENANT DE CES MÉDICAMENTS S’IL Y A LIEU</w:t>
      </w:r>
    </w:p>
    <w:p w14:paraId="5DF9A28B" w14:textId="77777777" w:rsidR="006C0E0C" w:rsidRPr="00D2126A" w:rsidRDefault="006C0E0C" w:rsidP="00EB488D">
      <w:pPr>
        <w:keepNext/>
        <w:rPr>
          <w:color w:val="000000"/>
        </w:rPr>
      </w:pPr>
    </w:p>
    <w:p w14:paraId="4CDD8F01" w14:textId="77777777" w:rsidR="008D4EE6" w:rsidRPr="00D2126A" w:rsidRDefault="000E5A86" w:rsidP="00C93C76">
      <w:pPr>
        <w:rPr>
          <w:color w:val="000000"/>
        </w:rPr>
      </w:pPr>
      <w:r>
        <w:rPr>
          <w:color w:val="000000"/>
        </w:rPr>
        <w:t>Rapporter les gélules non utilisées à un pharmacien.</w:t>
      </w:r>
    </w:p>
    <w:p w14:paraId="6AC3F167" w14:textId="77777777" w:rsidR="006C0E0C" w:rsidRPr="00D2126A" w:rsidRDefault="006C0E0C" w:rsidP="00C93C76">
      <w:pPr>
        <w:rPr>
          <w:color w:val="000000"/>
        </w:rPr>
      </w:pPr>
    </w:p>
    <w:p w14:paraId="7A10E6AA" w14:textId="77777777" w:rsidR="001120BE" w:rsidRPr="00D2126A" w:rsidRDefault="001120BE" w:rsidP="00C93C76">
      <w:pPr>
        <w:pStyle w:val="Date"/>
      </w:pPr>
    </w:p>
    <w:p w14:paraId="756DF753" w14:textId="77777777" w:rsidR="006C0E0C" w:rsidRPr="00D2126A" w:rsidRDefault="000E5A86" w:rsidP="00C93C76">
      <w:pPr>
        <w:pStyle w:val="StyleHeadingLab"/>
      </w:pPr>
      <w:r>
        <w:t>11.</w:t>
      </w:r>
      <w:r>
        <w:tab/>
        <w:t>NOM ET ADRESSE DU TITULAIRE DE L’AUTORISATION DE MISE SUR LE MARCHÉ</w:t>
      </w:r>
    </w:p>
    <w:p w14:paraId="16B616D4" w14:textId="77777777" w:rsidR="0073192A" w:rsidRPr="00D2126A" w:rsidRDefault="0073192A" w:rsidP="00EB488D">
      <w:pPr>
        <w:keepNext/>
      </w:pPr>
    </w:p>
    <w:p w14:paraId="6296773D" w14:textId="77777777" w:rsidR="00CB3D9F" w:rsidRPr="00AB0414" w:rsidRDefault="000E5A86" w:rsidP="00EB488D">
      <w:pPr>
        <w:pStyle w:val="EMEAAddress"/>
        <w:keepNext/>
        <w:rPr>
          <w:lang w:val="en-US"/>
        </w:rPr>
      </w:pPr>
      <w:r w:rsidRPr="00AB0414">
        <w:rPr>
          <w:lang w:val="en-US"/>
        </w:rPr>
        <w:t>Bristol</w:t>
      </w:r>
      <w:r w:rsidRPr="00AB0414">
        <w:rPr>
          <w:lang w:val="en-US"/>
        </w:rPr>
        <w:noBreakHyphen/>
        <w:t>Myers Squibb Pharma EEIG</w:t>
      </w:r>
    </w:p>
    <w:p w14:paraId="41695027" w14:textId="77777777" w:rsidR="00CB3D9F" w:rsidRPr="00AB0414" w:rsidRDefault="000E5A86" w:rsidP="00EB488D">
      <w:pPr>
        <w:pStyle w:val="EMEAAddress"/>
        <w:keepNext/>
        <w:rPr>
          <w:lang w:val="en-US"/>
        </w:rPr>
      </w:pPr>
      <w:r w:rsidRPr="00AB0414">
        <w:rPr>
          <w:lang w:val="en-US"/>
        </w:rPr>
        <w:t>Plaza 254</w:t>
      </w:r>
    </w:p>
    <w:p w14:paraId="0034BEB7" w14:textId="77777777" w:rsidR="00CB3D9F" w:rsidRPr="00AB0414" w:rsidRDefault="000E5A86" w:rsidP="00EB488D">
      <w:pPr>
        <w:pStyle w:val="EMEAAddress"/>
        <w:keepNext/>
        <w:rPr>
          <w:lang w:val="en-US"/>
        </w:rPr>
      </w:pPr>
      <w:r w:rsidRPr="00AB0414">
        <w:rPr>
          <w:lang w:val="en-US"/>
        </w:rPr>
        <w:t>Blanchardstown Corporate Park 2</w:t>
      </w:r>
    </w:p>
    <w:p w14:paraId="02851E18" w14:textId="77777777" w:rsidR="00CB3D9F" w:rsidRPr="00AB0414" w:rsidRDefault="000E5A86" w:rsidP="00EB488D">
      <w:pPr>
        <w:pStyle w:val="EMEAAddress"/>
        <w:keepNext/>
        <w:rPr>
          <w:lang w:val="en-US"/>
        </w:rPr>
      </w:pPr>
      <w:r w:rsidRPr="00AB0414">
        <w:rPr>
          <w:lang w:val="en-US"/>
        </w:rPr>
        <w:t>Dublin 15, D15 T867</w:t>
      </w:r>
    </w:p>
    <w:p w14:paraId="61D417D1" w14:textId="77777777" w:rsidR="00036363" w:rsidRPr="00D2126A" w:rsidRDefault="000E5A86" w:rsidP="00EB488D">
      <w:pPr>
        <w:keepNext/>
      </w:pPr>
      <w:r>
        <w:t>Irlande</w:t>
      </w:r>
    </w:p>
    <w:p w14:paraId="7D4EDB17" w14:textId="4E926907" w:rsidR="006C0E0C" w:rsidRPr="00D2126A" w:rsidRDefault="006C0E0C" w:rsidP="00C93C76">
      <w:pPr>
        <w:rPr>
          <w:color w:val="000000"/>
        </w:rPr>
      </w:pPr>
    </w:p>
    <w:p w14:paraId="5537F040" w14:textId="77777777" w:rsidR="006C0E0C" w:rsidRPr="00D2126A" w:rsidRDefault="006C0E0C" w:rsidP="00C93C76">
      <w:pPr>
        <w:pStyle w:val="Date"/>
        <w:rPr>
          <w:color w:val="000000"/>
        </w:rPr>
      </w:pPr>
    </w:p>
    <w:p w14:paraId="5E089A7E" w14:textId="77777777" w:rsidR="006C0E0C" w:rsidRPr="00D2126A" w:rsidRDefault="000E5A86" w:rsidP="00C93C76">
      <w:pPr>
        <w:pStyle w:val="StyleHeadingLab"/>
      </w:pPr>
      <w:r>
        <w:t>12.</w:t>
      </w:r>
      <w:r>
        <w:tab/>
        <w:t>NUMÉRO(S) D’AUTORISATION DE MISE SUR LE MARCHÉ</w:t>
      </w:r>
    </w:p>
    <w:p w14:paraId="0B1BCC69" w14:textId="77777777" w:rsidR="006C0E0C" w:rsidRPr="00D2126A" w:rsidRDefault="006C0E0C" w:rsidP="00EB488D">
      <w:pPr>
        <w:keepNext/>
        <w:rPr>
          <w:color w:val="000000"/>
        </w:rPr>
      </w:pPr>
    </w:p>
    <w:p w14:paraId="447D9C8E" w14:textId="33F3A7B0" w:rsidR="00AA7763" w:rsidRPr="00156723" w:rsidRDefault="000E5A86" w:rsidP="00C96725">
      <w:r>
        <w:t xml:space="preserve">EU/1/07/391/012 </w:t>
      </w:r>
      <w:r>
        <w:rPr>
          <w:highlight w:val="lightGray"/>
        </w:rPr>
        <w:t>7 gélules</w:t>
      </w:r>
    </w:p>
    <w:p w14:paraId="21EBC735" w14:textId="25D57392" w:rsidR="00AA7763" w:rsidRPr="00156723" w:rsidRDefault="000E5A86" w:rsidP="00C96725">
      <w:r>
        <w:rPr>
          <w:highlight w:val="lightGray"/>
        </w:rPr>
        <w:t>EU/1/07/391/006 21 gélules</w:t>
      </w:r>
    </w:p>
    <w:p w14:paraId="6D460B00" w14:textId="77777777" w:rsidR="006C0E0C" w:rsidRPr="00156723" w:rsidRDefault="006C0E0C" w:rsidP="00C93C76">
      <w:pPr>
        <w:rPr>
          <w:color w:val="000000"/>
        </w:rPr>
      </w:pPr>
    </w:p>
    <w:p w14:paraId="3320FB88" w14:textId="77777777" w:rsidR="006C0E0C" w:rsidRPr="00156723" w:rsidRDefault="006C0E0C" w:rsidP="00C93C76">
      <w:pPr>
        <w:pStyle w:val="Date"/>
        <w:rPr>
          <w:color w:val="000000"/>
        </w:rPr>
      </w:pPr>
    </w:p>
    <w:p w14:paraId="135E660D" w14:textId="77777777" w:rsidR="006C0E0C" w:rsidRPr="00D2126A" w:rsidRDefault="000E5A86" w:rsidP="00C93C76">
      <w:pPr>
        <w:pStyle w:val="StyleHeadingLab"/>
      </w:pPr>
      <w:r>
        <w:t>13.</w:t>
      </w:r>
      <w:r>
        <w:tab/>
        <w:t>NUMÉRO DU LOT</w:t>
      </w:r>
    </w:p>
    <w:p w14:paraId="277DCBCD" w14:textId="77777777" w:rsidR="006C0E0C" w:rsidRPr="00D2126A" w:rsidRDefault="006C0E0C" w:rsidP="00EB488D">
      <w:pPr>
        <w:keepNext/>
        <w:rPr>
          <w:iCs/>
          <w:color w:val="000000"/>
        </w:rPr>
      </w:pPr>
    </w:p>
    <w:p w14:paraId="20005177" w14:textId="77777777" w:rsidR="006C0E0C" w:rsidRPr="00D2126A" w:rsidRDefault="000E5A86" w:rsidP="00C93C76">
      <w:pPr>
        <w:rPr>
          <w:color w:val="000000"/>
        </w:rPr>
      </w:pPr>
      <w:r>
        <w:rPr>
          <w:color w:val="000000"/>
        </w:rPr>
        <w:t>Lot</w:t>
      </w:r>
    </w:p>
    <w:p w14:paraId="4741FB7A" w14:textId="77777777" w:rsidR="006C0E0C" w:rsidRPr="00D2126A" w:rsidRDefault="006C0E0C" w:rsidP="00C93C76">
      <w:pPr>
        <w:rPr>
          <w:color w:val="000000"/>
        </w:rPr>
      </w:pPr>
    </w:p>
    <w:p w14:paraId="49594878" w14:textId="77777777" w:rsidR="006C0E0C" w:rsidRPr="00D2126A" w:rsidRDefault="006C0E0C" w:rsidP="00C93C76">
      <w:pPr>
        <w:pStyle w:val="Date"/>
        <w:rPr>
          <w:color w:val="000000"/>
        </w:rPr>
      </w:pPr>
    </w:p>
    <w:p w14:paraId="013DF293" w14:textId="77777777" w:rsidR="006C0E0C" w:rsidRPr="00D2126A" w:rsidRDefault="000E5A86" w:rsidP="00C93C76">
      <w:pPr>
        <w:pStyle w:val="StyleHeadingLab"/>
      </w:pPr>
      <w:r>
        <w:t>14.</w:t>
      </w:r>
      <w:r>
        <w:tab/>
        <w:t>CONDITIONS DE PRESCRIPTION ET DE DÉLIVRANCE</w:t>
      </w:r>
    </w:p>
    <w:p w14:paraId="408F8FC0" w14:textId="77777777" w:rsidR="006C0E0C" w:rsidRPr="00D2126A" w:rsidRDefault="006C0E0C" w:rsidP="00EB488D">
      <w:pPr>
        <w:keepNext/>
        <w:rPr>
          <w:color w:val="000000"/>
        </w:rPr>
      </w:pPr>
    </w:p>
    <w:p w14:paraId="5E8A81E1" w14:textId="77777777" w:rsidR="006C0E0C" w:rsidRPr="00D2126A" w:rsidRDefault="006C0E0C" w:rsidP="00C93C76">
      <w:pPr>
        <w:pStyle w:val="Date"/>
        <w:rPr>
          <w:color w:val="000000"/>
        </w:rPr>
      </w:pPr>
    </w:p>
    <w:p w14:paraId="02A584D6" w14:textId="77777777" w:rsidR="006C0E0C" w:rsidRPr="00D2126A" w:rsidRDefault="000E5A86" w:rsidP="00C93C76">
      <w:pPr>
        <w:pStyle w:val="StyleHeadingLab"/>
      </w:pPr>
      <w:r>
        <w:t>15.</w:t>
      </w:r>
      <w:r>
        <w:tab/>
        <w:t>INDICATIONS D’UTILISATION</w:t>
      </w:r>
    </w:p>
    <w:p w14:paraId="22E5AF08" w14:textId="77777777" w:rsidR="006C0E0C" w:rsidRPr="00D2126A" w:rsidRDefault="006C0E0C" w:rsidP="00EB488D">
      <w:pPr>
        <w:keepNext/>
        <w:rPr>
          <w:bCs/>
          <w:color w:val="000000"/>
        </w:rPr>
      </w:pPr>
    </w:p>
    <w:p w14:paraId="60787C9B" w14:textId="77777777" w:rsidR="006C0E0C" w:rsidRPr="00D2126A" w:rsidRDefault="006C0E0C" w:rsidP="00C93C76">
      <w:pPr>
        <w:rPr>
          <w:color w:val="000000"/>
        </w:rPr>
      </w:pPr>
    </w:p>
    <w:p w14:paraId="095127B8" w14:textId="77777777" w:rsidR="006C0E0C" w:rsidRPr="00D2126A" w:rsidRDefault="000E5A86" w:rsidP="00C93C76">
      <w:pPr>
        <w:pStyle w:val="StyleHeadingLab"/>
      </w:pPr>
      <w:r>
        <w:t>16.</w:t>
      </w:r>
      <w:r>
        <w:tab/>
        <w:t>INFORMATIONS EN BRAILLE</w:t>
      </w:r>
    </w:p>
    <w:p w14:paraId="096D766B" w14:textId="77777777" w:rsidR="006C0E0C" w:rsidRPr="00D2126A" w:rsidRDefault="006C0E0C" w:rsidP="00EB488D">
      <w:pPr>
        <w:keepNext/>
        <w:rPr>
          <w:color w:val="000000"/>
        </w:rPr>
      </w:pPr>
    </w:p>
    <w:p w14:paraId="47649FAB" w14:textId="77777777" w:rsidR="00AE7BC4" w:rsidRPr="00D2126A" w:rsidRDefault="000E5A86" w:rsidP="00EB488D">
      <w:pPr>
        <w:pStyle w:val="Date"/>
        <w:keepNext/>
        <w:rPr>
          <w:color w:val="000000"/>
        </w:rPr>
      </w:pPr>
      <w:r>
        <w:rPr>
          <w:color w:val="000000"/>
        </w:rPr>
        <w:t>Revlimid 7,5 mg</w:t>
      </w:r>
    </w:p>
    <w:p w14:paraId="7A4E30D2" w14:textId="77777777" w:rsidR="008D4EE6" w:rsidRPr="00D2126A" w:rsidRDefault="008D4EE6" w:rsidP="00EB488D">
      <w:pPr>
        <w:pStyle w:val="Date"/>
        <w:keepNext/>
      </w:pPr>
    </w:p>
    <w:p w14:paraId="24B3CFFE" w14:textId="77777777" w:rsidR="00C853A4" w:rsidRPr="00D2126A" w:rsidRDefault="00C853A4" w:rsidP="00C93C76">
      <w:pPr>
        <w:rPr>
          <w:noProof/>
          <w:shd w:val="clear" w:color="auto" w:fill="CCCCCC"/>
        </w:rPr>
      </w:pPr>
    </w:p>
    <w:p w14:paraId="213F05BD" w14:textId="77777777" w:rsidR="00C853A4" w:rsidRPr="00D2126A" w:rsidRDefault="000E5A86" w:rsidP="00C93C76">
      <w:pPr>
        <w:pStyle w:val="StyleHeadingLab"/>
        <w:rPr>
          <w:i/>
          <w:noProof/>
        </w:rPr>
      </w:pPr>
      <w:r>
        <w:t>17.</w:t>
      </w:r>
      <w:r>
        <w:tab/>
        <w:t>IDENTIFIANT UNIQUE - CODE</w:t>
      </w:r>
      <w:r>
        <w:noBreakHyphen/>
        <w:t>BARRES 2D</w:t>
      </w:r>
    </w:p>
    <w:p w14:paraId="09CBDB8F" w14:textId="77777777" w:rsidR="00C853A4" w:rsidRPr="00D2126A" w:rsidRDefault="00C853A4" w:rsidP="00EB488D">
      <w:pPr>
        <w:keepNext/>
        <w:rPr>
          <w:noProof/>
        </w:rPr>
      </w:pPr>
    </w:p>
    <w:p w14:paraId="6CB2C3C1" w14:textId="3320665B" w:rsidR="00C853A4" w:rsidRPr="00D2126A" w:rsidRDefault="000E5A86" w:rsidP="00EB488D">
      <w:pPr>
        <w:pStyle w:val="Date"/>
        <w:keepNext/>
        <w:rPr>
          <w:noProof/>
        </w:rPr>
      </w:pPr>
      <w:r>
        <w:rPr>
          <w:highlight w:val="lightGray"/>
        </w:rPr>
        <w:t>Code</w:t>
      </w:r>
      <w:r>
        <w:rPr>
          <w:highlight w:val="lightGray"/>
        </w:rPr>
        <w:noBreakHyphen/>
        <w:t>barres 2D portant l'identifiant unique inclus.</w:t>
      </w:r>
    </w:p>
    <w:p w14:paraId="210CB5E8" w14:textId="77777777" w:rsidR="00C853A4" w:rsidRPr="00D2126A" w:rsidRDefault="00C853A4" w:rsidP="00EB488D">
      <w:pPr>
        <w:keepNext/>
      </w:pPr>
    </w:p>
    <w:p w14:paraId="7FAB433E" w14:textId="77777777" w:rsidR="00C853A4" w:rsidRPr="00D2126A" w:rsidRDefault="00C853A4" w:rsidP="00C93C76"/>
    <w:p w14:paraId="683FAA0A" w14:textId="77777777" w:rsidR="00C853A4" w:rsidRPr="00D2126A" w:rsidRDefault="000E5A86" w:rsidP="00C93C76">
      <w:pPr>
        <w:pStyle w:val="StyleHeadingLab"/>
        <w:rPr>
          <w:i/>
          <w:noProof/>
        </w:rPr>
      </w:pPr>
      <w:r>
        <w:t>18.</w:t>
      </w:r>
      <w:r>
        <w:tab/>
        <w:t>IDENTIFIANT UNIQUE - DONNÉES LISIBLES PAR LES HUMAINS</w:t>
      </w:r>
    </w:p>
    <w:p w14:paraId="6D6B4009" w14:textId="77777777" w:rsidR="00C853A4" w:rsidRPr="00D2126A" w:rsidRDefault="00C853A4" w:rsidP="00EB488D">
      <w:pPr>
        <w:pStyle w:val="Date"/>
        <w:keepNext/>
      </w:pPr>
    </w:p>
    <w:p w14:paraId="46848385" w14:textId="4B028D90" w:rsidR="00C853A4" w:rsidRPr="00D2126A" w:rsidRDefault="000E5A86" w:rsidP="00EB488D">
      <w:pPr>
        <w:keepNext/>
      </w:pPr>
      <w:r>
        <w:t>PC</w:t>
      </w:r>
    </w:p>
    <w:p w14:paraId="64B64EAB" w14:textId="3BFDAE32" w:rsidR="00C853A4" w:rsidRPr="00D2126A" w:rsidRDefault="000E5A86" w:rsidP="00EB488D">
      <w:pPr>
        <w:keepNext/>
      </w:pPr>
      <w:r>
        <w:t>SN</w:t>
      </w:r>
    </w:p>
    <w:p w14:paraId="40F4EFA8" w14:textId="0E1088B0" w:rsidR="00C853A4" w:rsidRPr="00D2126A" w:rsidRDefault="000E5A86" w:rsidP="00EB488D">
      <w:pPr>
        <w:keepNext/>
      </w:pPr>
      <w:r>
        <w:t>NN</w:t>
      </w:r>
    </w:p>
    <w:p w14:paraId="0F9ACB56" w14:textId="77777777" w:rsidR="00C853A4" w:rsidRPr="00D2126A" w:rsidRDefault="00C853A4" w:rsidP="00EB488D">
      <w:pPr>
        <w:pStyle w:val="Date"/>
      </w:pPr>
    </w:p>
    <w:p w14:paraId="2561ED9F" w14:textId="6ABE5195" w:rsidR="006C0E0C"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t>MENTIONS MINIMALES DEVANT FIGURER SUR LES PLAQUETTES OU LES FILMS THERMOSOUDÉS</w:t>
      </w:r>
    </w:p>
    <w:p w14:paraId="38E5B12C" w14:textId="77777777" w:rsidR="006C0E0C" w:rsidRPr="00D2126A" w:rsidRDefault="006C0E0C" w:rsidP="00B17EDE">
      <w:pPr>
        <w:pStyle w:val="Date"/>
        <w:keepNext/>
        <w:pBdr>
          <w:left w:val="single" w:sz="4" w:space="1" w:color="auto"/>
          <w:bottom w:val="single" w:sz="4" w:space="1" w:color="auto"/>
          <w:right w:val="single" w:sz="4" w:space="1" w:color="auto"/>
        </w:pBdr>
        <w:rPr>
          <w:color w:val="000000"/>
        </w:rPr>
      </w:pPr>
    </w:p>
    <w:p w14:paraId="5ECAB89A"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PLAQUETTES</w:t>
      </w:r>
    </w:p>
    <w:p w14:paraId="2218E10F" w14:textId="77777777" w:rsidR="006C0E0C" w:rsidRPr="00D2126A" w:rsidRDefault="006C0E0C" w:rsidP="00EB488D">
      <w:pPr>
        <w:keepNext/>
        <w:rPr>
          <w:bCs/>
          <w:color w:val="000000"/>
        </w:rPr>
      </w:pPr>
    </w:p>
    <w:p w14:paraId="2F7ED29E" w14:textId="77777777" w:rsidR="006C0E0C" w:rsidRPr="00D2126A" w:rsidRDefault="006C0E0C" w:rsidP="00C93C76">
      <w:pPr>
        <w:rPr>
          <w:color w:val="000000"/>
        </w:rPr>
      </w:pPr>
    </w:p>
    <w:p w14:paraId="2F62CCE5" w14:textId="77777777" w:rsidR="006C0E0C" w:rsidRPr="00D2126A" w:rsidRDefault="000E5A86" w:rsidP="00C93C76">
      <w:pPr>
        <w:pStyle w:val="StyleHeadingLab"/>
      </w:pPr>
      <w:r>
        <w:t>1.</w:t>
      </w:r>
      <w:r>
        <w:tab/>
        <w:t>DÉNOMINATION DU MÉDICAMENT</w:t>
      </w:r>
    </w:p>
    <w:p w14:paraId="7C5B2A54" w14:textId="77777777" w:rsidR="006C0E0C" w:rsidRPr="00D2126A" w:rsidRDefault="006C0E0C" w:rsidP="00EB488D">
      <w:pPr>
        <w:keepNext/>
        <w:ind w:left="567" w:hanging="567"/>
        <w:rPr>
          <w:color w:val="000000"/>
        </w:rPr>
      </w:pPr>
    </w:p>
    <w:p w14:paraId="5073E11C" w14:textId="77777777" w:rsidR="006C0E0C" w:rsidRPr="00D2126A" w:rsidRDefault="000E5A86" w:rsidP="00C93C76">
      <w:pPr>
        <w:rPr>
          <w:color w:val="000000"/>
        </w:rPr>
      </w:pPr>
      <w:r>
        <w:rPr>
          <w:color w:val="000000"/>
        </w:rPr>
        <w:t>Revlimid 7,5 mg gélules</w:t>
      </w:r>
    </w:p>
    <w:p w14:paraId="088FCE1C" w14:textId="77777777" w:rsidR="006C0E0C" w:rsidRPr="00D2126A" w:rsidRDefault="000E5A86" w:rsidP="00C93C76">
      <w:pPr>
        <w:rPr>
          <w:color w:val="000000"/>
        </w:rPr>
      </w:pPr>
      <w:r>
        <w:rPr>
          <w:color w:val="000000"/>
        </w:rPr>
        <w:t>lénalidomide</w:t>
      </w:r>
    </w:p>
    <w:p w14:paraId="0FE2C0F9" w14:textId="77777777" w:rsidR="006C0E0C" w:rsidRPr="00D2126A" w:rsidRDefault="006C0E0C" w:rsidP="00C93C76">
      <w:pPr>
        <w:rPr>
          <w:color w:val="000000"/>
        </w:rPr>
      </w:pPr>
    </w:p>
    <w:p w14:paraId="0911B7CC" w14:textId="77777777" w:rsidR="006C0E0C" w:rsidRPr="00D2126A" w:rsidRDefault="006C0E0C" w:rsidP="00C93C76">
      <w:pPr>
        <w:pStyle w:val="Date"/>
        <w:rPr>
          <w:color w:val="000000"/>
        </w:rPr>
      </w:pPr>
    </w:p>
    <w:p w14:paraId="07C4CE73" w14:textId="77777777" w:rsidR="006C0E0C" w:rsidRPr="00D2126A" w:rsidRDefault="000E5A86" w:rsidP="00C93C76">
      <w:pPr>
        <w:pStyle w:val="StyleHeadingLab"/>
      </w:pPr>
      <w:r>
        <w:t>2.</w:t>
      </w:r>
      <w:r>
        <w:tab/>
        <w:t>NOM DU TITULAIRE DE L’AUTORISATION DE MISE SUR LE MARCHÉ</w:t>
      </w:r>
    </w:p>
    <w:p w14:paraId="2430D43E" w14:textId="77777777" w:rsidR="006C0E0C" w:rsidRPr="00D2126A" w:rsidRDefault="006C0E0C" w:rsidP="00EB488D">
      <w:pPr>
        <w:keepNext/>
        <w:rPr>
          <w:color w:val="000000"/>
        </w:rPr>
      </w:pPr>
    </w:p>
    <w:p w14:paraId="004B066D" w14:textId="77777777" w:rsidR="00CB3D9F" w:rsidRPr="00D2126A" w:rsidRDefault="000E5A86" w:rsidP="00C93C76">
      <w:pPr>
        <w:pStyle w:val="EMEAAddress"/>
      </w:pPr>
      <w:r>
        <w:t>Bristol</w:t>
      </w:r>
      <w:r>
        <w:noBreakHyphen/>
        <w:t>Myers Squibb Pharma EEIG</w:t>
      </w:r>
    </w:p>
    <w:p w14:paraId="5942240A" w14:textId="77777777" w:rsidR="006C0E0C" w:rsidRPr="00D2126A" w:rsidRDefault="006C0E0C" w:rsidP="00C93C76">
      <w:pPr>
        <w:rPr>
          <w:color w:val="000000"/>
        </w:rPr>
      </w:pPr>
    </w:p>
    <w:p w14:paraId="596D866C" w14:textId="77777777" w:rsidR="006C0E0C" w:rsidRPr="00D2126A" w:rsidRDefault="006C0E0C" w:rsidP="00C93C76">
      <w:pPr>
        <w:pStyle w:val="Date"/>
        <w:rPr>
          <w:color w:val="000000"/>
        </w:rPr>
      </w:pPr>
    </w:p>
    <w:p w14:paraId="59CACFF3" w14:textId="77777777" w:rsidR="006C0E0C" w:rsidRPr="00D2126A" w:rsidRDefault="000E5A86" w:rsidP="00C93C76">
      <w:pPr>
        <w:pStyle w:val="StyleHeadingLab"/>
      </w:pPr>
      <w:r>
        <w:t>3.</w:t>
      </w:r>
      <w:r>
        <w:tab/>
        <w:t>DATE DE PÉREMPTION</w:t>
      </w:r>
    </w:p>
    <w:p w14:paraId="54987AA3" w14:textId="77777777" w:rsidR="006C0E0C" w:rsidRPr="00D2126A" w:rsidRDefault="006C0E0C" w:rsidP="00EB488D">
      <w:pPr>
        <w:keepNext/>
        <w:rPr>
          <w:iCs/>
          <w:color w:val="000000"/>
        </w:rPr>
      </w:pPr>
    </w:p>
    <w:p w14:paraId="78A5A57D" w14:textId="77777777" w:rsidR="006C0E0C" w:rsidRPr="00D2126A" w:rsidRDefault="000E5A86" w:rsidP="00C93C76">
      <w:pPr>
        <w:rPr>
          <w:color w:val="000000"/>
        </w:rPr>
      </w:pPr>
      <w:r>
        <w:rPr>
          <w:color w:val="000000"/>
        </w:rPr>
        <w:t>EXP</w:t>
      </w:r>
    </w:p>
    <w:p w14:paraId="05CAAA4B" w14:textId="77777777" w:rsidR="006C0E0C" w:rsidRPr="00D2126A" w:rsidRDefault="006C0E0C" w:rsidP="00C93C76">
      <w:pPr>
        <w:rPr>
          <w:color w:val="000000"/>
        </w:rPr>
      </w:pPr>
    </w:p>
    <w:p w14:paraId="4AF3B8B7" w14:textId="77777777" w:rsidR="006C0E0C" w:rsidRPr="00D2126A" w:rsidRDefault="006C0E0C" w:rsidP="00C93C76">
      <w:pPr>
        <w:pStyle w:val="Date"/>
        <w:rPr>
          <w:color w:val="000000"/>
        </w:rPr>
      </w:pPr>
    </w:p>
    <w:p w14:paraId="03022A89" w14:textId="77777777" w:rsidR="006C0E0C" w:rsidRPr="00D2126A" w:rsidRDefault="000E5A86" w:rsidP="00C93C76">
      <w:pPr>
        <w:pStyle w:val="StyleHeadingLab"/>
      </w:pPr>
      <w:r>
        <w:t>4.</w:t>
      </w:r>
      <w:r>
        <w:tab/>
        <w:t>NUMÉRO DU LOT</w:t>
      </w:r>
    </w:p>
    <w:p w14:paraId="05268C62" w14:textId="77777777" w:rsidR="006C0E0C" w:rsidRPr="00D2126A" w:rsidRDefault="006C0E0C" w:rsidP="00EB488D">
      <w:pPr>
        <w:keepNext/>
        <w:rPr>
          <w:iCs/>
          <w:color w:val="000000"/>
        </w:rPr>
      </w:pPr>
    </w:p>
    <w:p w14:paraId="32E45170" w14:textId="77777777" w:rsidR="006C0E0C" w:rsidRPr="00D2126A" w:rsidRDefault="000E5A86" w:rsidP="00C93C76">
      <w:pPr>
        <w:rPr>
          <w:color w:val="000000"/>
        </w:rPr>
      </w:pPr>
      <w:r>
        <w:rPr>
          <w:color w:val="000000"/>
        </w:rPr>
        <w:t>Lot</w:t>
      </w:r>
    </w:p>
    <w:p w14:paraId="7C150B3E" w14:textId="77777777" w:rsidR="006C0E0C" w:rsidRPr="00D2126A" w:rsidRDefault="006C0E0C" w:rsidP="00C93C76">
      <w:pPr>
        <w:rPr>
          <w:b/>
          <w:color w:val="000000"/>
        </w:rPr>
      </w:pPr>
    </w:p>
    <w:p w14:paraId="4E5D4B1D" w14:textId="77777777" w:rsidR="006C0E0C" w:rsidRPr="00D2126A" w:rsidRDefault="006C0E0C" w:rsidP="00C93C76">
      <w:pPr>
        <w:pStyle w:val="Date"/>
        <w:rPr>
          <w:color w:val="000000"/>
        </w:rPr>
      </w:pPr>
    </w:p>
    <w:p w14:paraId="6C1763E2" w14:textId="66F95A1E" w:rsidR="006C0E0C" w:rsidRPr="00D2126A" w:rsidRDefault="000E5A86" w:rsidP="00C93C76">
      <w:pPr>
        <w:pStyle w:val="StyleHeadingLab"/>
      </w:pPr>
      <w:r>
        <w:t>5.</w:t>
      </w:r>
      <w:r>
        <w:tab/>
        <w:t>AUTRE</w:t>
      </w:r>
    </w:p>
    <w:p w14:paraId="585FD8D3" w14:textId="77777777" w:rsidR="001120BE" w:rsidRPr="00D2126A" w:rsidRDefault="001120BE" w:rsidP="00EB488D">
      <w:pPr>
        <w:keepNext/>
        <w:rPr>
          <w:bCs/>
          <w:color w:val="000000"/>
        </w:rPr>
      </w:pPr>
    </w:p>
    <w:p w14:paraId="700DFD14" w14:textId="77777777" w:rsidR="00A84B34" w:rsidRPr="00D2126A" w:rsidRDefault="00A84B34" w:rsidP="00C93C76">
      <w:pPr>
        <w:pStyle w:val="Date"/>
      </w:pPr>
    </w:p>
    <w:p w14:paraId="5D8AE395" w14:textId="53F332A0"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t>MENTIONS DEVANT FIGURER SUR L’EMBALLAGE EXTÉRIEUR</w:t>
      </w:r>
    </w:p>
    <w:p w14:paraId="3449BFDE" w14:textId="77777777" w:rsidR="00A53FD2" w:rsidRPr="00D2126A" w:rsidRDefault="00A53FD2" w:rsidP="00EB488D">
      <w:pPr>
        <w:keepNext/>
        <w:pBdr>
          <w:left w:val="single" w:sz="4" w:space="1" w:color="auto"/>
          <w:bottom w:val="single" w:sz="4" w:space="1" w:color="auto"/>
          <w:right w:val="single" w:sz="4" w:space="1" w:color="auto"/>
        </w:pBdr>
        <w:rPr>
          <w:b/>
          <w:color w:val="000000"/>
        </w:rPr>
      </w:pPr>
    </w:p>
    <w:p w14:paraId="0C528157" w14:textId="77777777" w:rsidR="00F05DF0"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BOÎTE</w:t>
      </w:r>
    </w:p>
    <w:p w14:paraId="5438AA57" w14:textId="77777777" w:rsidR="00F05DF0" w:rsidRPr="00D2126A" w:rsidRDefault="00F05DF0" w:rsidP="00EB488D">
      <w:pPr>
        <w:keepNext/>
        <w:rPr>
          <w:color w:val="000000"/>
        </w:rPr>
      </w:pPr>
    </w:p>
    <w:p w14:paraId="061C3824" w14:textId="77777777" w:rsidR="00EB488D" w:rsidRPr="00D2126A" w:rsidRDefault="00EB488D" w:rsidP="00EB488D">
      <w:pPr>
        <w:pStyle w:val="Date"/>
      </w:pPr>
    </w:p>
    <w:p w14:paraId="1CEBAD3D" w14:textId="77777777" w:rsidR="00F05DF0" w:rsidRPr="00D2126A" w:rsidRDefault="000E5A86" w:rsidP="00C93C76">
      <w:pPr>
        <w:pStyle w:val="StyleHeadingLab"/>
      </w:pPr>
      <w:r>
        <w:t>1.</w:t>
      </w:r>
      <w:r>
        <w:tab/>
        <w:t>DÉNOMINATION DU MÉDICAMENT</w:t>
      </w:r>
    </w:p>
    <w:p w14:paraId="1861CAA4" w14:textId="77777777" w:rsidR="00F05DF0" w:rsidRPr="00D2126A" w:rsidRDefault="00F05DF0" w:rsidP="00EB488D">
      <w:pPr>
        <w:keepNext/>
        <w:rPr>
          <w:color w:val="000000"/>
        </w:rPr>
      </w:pPr>
    </w:p>
    <w:p w14:paraId="7AA7A202" w14:textId="77777777" w:rsidR="00F05DF0" w:rsidRPr="00D2126A" w:rsidRDefault="000E5A86" w:rsidP="00C93C76">
      <w:pPr>
        <w:rPr>
          <w:color w:val="000000"/>
        </w:rPr>
      </w:pPr>
      <w:r>
        <w:rPr>
          <w:color w:val="000000"/>
        </w:rPr>
        <w:t>Revlimid 10 mg gélules</w:t>
      </w:r>
    </w:p>
    <w:p w14:paraId="0BFF1BEB" w14:textId="77777777" w:rsidR="00F05DF0" w:rsidRPr="00D2126A" w:rsidRDefault="000E5A86" w:rsidP="00C93C76">
      <w:pPr>
        <w:rPr>
          <w:color w:val="000000"/>
        </w:rPr>
      </w:pPr>
      <w:r>
        <w:rPr>
          <w:color w:val="000000"/>
        </w:rPr>
        <w:t>lénalidomide</w:t>
      </w:r>
    </w:p>
    <w:p w14:paraId="54DEBD25" w14:textId="77777777" w:rsidR="00F05DF0" w:rsidRPr="00D2126A" w:rsidRDefault="00F05DF0" w:rsidP="00C93C76">
      <w:pPr>
        <w:rPr>
          <w:color w:val="000000"/>
        </w:rPr>
      </w:pPr>
    </w:p>
    <w:p w14:paraId="000B05D1" w14:textId="77777777" w:rsidR="00F05DF0" w:rsidRPr="00D2126A" w:rsidRDefault="00F05DF0" w:rsidP="00C93C76">
      <w:pPr>
        <w:pStyle w:val="Date"/>
        <w:rPr>
          <w:color w:val="000000"/>
        </w:rPr>
      </w:pPr>
    </w:p>
    <w:p w14:paraId="41EAE071" w14:textId="77777777" w:rsidR="00F05DF0" w:rsidRPr="00D2126A" w:rsidRDefault="000E5A86" w:rsidP="00C93C76">
      <w:pPr>
        <w:pStyle w:val="StyleHeadingLab"/>
      </w:pPr>
      <w:r>
        <w:t>2.</w:t>
      </w:r>
      <w:r>
        <w:tab/>
        <w:t>COMPOSITION EN SUBSTANCE(S) ACTIVE(S)</w:t>
      </w:r>
    </w:p>
    <w:p w14:paraId="6AB12DC2" w14:textId="77777777" w:rsidR="00F05DF0" w:rsidRPr="00D2126A" w:rsidRDefault="00F05DF0" w:rsidP="00EB488D">
      <w:pPr>
        <w:keepNext/>
        <w:rPr>
          <w:color w:val="000000"/>
        </w:rPr>
      </w:pPr>
    </w:p>
    <w:p w14:paraId="2A3569BB" w14:textId="77777777" w:rsidR="00F05DF0" w:rsidRPr="00D2126A" w:rsidRDefault="000E5A86" w:rsidP="00C93C76">
      <w:pPr>
        <w:rPr>
          <w:color w:val="000000"/>
        </w:rPr>
      </w:pPr>
      <w:r>
        <w:rPr>
          <w:color w:val="000000"/>
        </w:rPr>
        <w:t>Chaque gélule contient 10 mg de lénalidomide.</w:t>
      </w:r>
    </w:p>
    <w:p w14:paraId="5E26073E" w14:textId="77777777" w:rsidR="00F05DF0" w:rsidRPr="00D2126A" w:rsidRDefault="00F05DF0" w:rsidP="00C93C76">
      <w:pPr>
        <w:rPr>
          <w:color w:val="000000"/>
        </w:rPr>
      </w:pPr>
    </w:p>
    <w:p w14:paraId="73F0CD55" w14:textId="77777777" w:rsidR="00F05DF0" w:rsidRPr="00D2126A" w:rsidRDefault="00F05DF0" w:rsidP="00C93C76">
      <w:pPr>
        <w:pStyle w:val="Date"/>
        <w:rPr>
          <w:color w:val="000000"/>
        </w:rPr>
      </w:pPr>
    </w:p>
    <w:p w14:paraId="780220B9" w14:textId="77777777" w:rsidR="00F05DF0" w:rsidRPr="00D2126A" w:rsidRDefault="000E5A86" w:rsidP="00C93C76">
      <w:pPr>
        <w:pStyle w:val="StyleHeadingLab"/>
      </w:pPr>
      <w:r>
        <w:t>3.</w:t>
      </w:r>
      <w:r>
        <w:tab/>
        <w:t>LISTE DES EXCIPIENTS</w:t>
      </w:r>
    </w:p>
    <w:p w14:paraId="04AE5A50" w14:textId="77777777" w:rsidR="00F05DF0" w:rsidRPr="00D2126A" w:rsidRDefault="00F05DF0" w:rsidP="00EB488D">
      <w:pPr>
        <w:keepNext/>
        <w:rPr>
          <w:color w:val="000000"/>
        </w:rPr>
      </w:pPr>
    </w:p>
    <w:p w14:paraId="2FCB6157" w14:textId="77777777" w:rsidR="00F05DF0" w:rsidRPr="00D2126A" w:rsidRDefault="000E5A86" w:rsidP="00C93C76">
      <w:pPr>
        <w:rPr>
          <w:color w:val="000000"/>
        </w:rPr>
      </w:pPr>
      <w:r>
        <w:rPr>
          <w:color w:val="000000"/>
        </w:rPr>
        <w:t>Contient du lactose. Voir la notice pour plus d’informations.</w:t>
      </w:r>
    </w:p>
    <w:p w14:paraId="28621BE0" w14:textId="77777777" w:rsidR="00F05DF0" w:rsidRPr="00D2126A" w:rsidRDefault="00F05DF0" w:rsidP="00C93C76">
      <w:pPr>
        <w:rPr>
          <w:color w:val="000000"/>
        </w:rPr>
      </w:pPr>
    </w:p>
    <w:p w14:paraId="56D42EF9" w14:textId="77777777" w:rsidR="00F05DF0" w:rsidRPr="00D2126A" w:rsidRDefault="00F05DF0" w:rsidP="00C93C76">
      <w:pPr>
        <w:pStyle w:val="Date"/>
        <w:rPr>
          <w:color w:val="000000"/>
        </w:rPr>
      </w:pPr>
    </w:p>
    <w:p w14:paraId="251AF50E" w14:textId="77777777" w:rsidR="00F05DF0" w:rsidRPr="00D2126A" w:rsidRDefault="000E5A86" w:rsidP="00C93C76">
      <w:pPr>
        <w:pStyle w:val="StyleHeadingLab"/>
      </w:pPr>
      <w:r>
        <w:t>4.</w:t>
      </w:r>
      <w:r>
        <w:tab/>
        <w:t>FORME PHARMACEUTIQUE ET CONTENU</w:t>
      </w:r>
    </w:p>
    <w:p w14:paraId="1637D176" w14:textId="77777777" w:rsidR="00F05DF0" w:rsidRPr="00D2126A" w:rsidRDefault="00F05DF0" w:rsidP="00EB488D">
      <w:pPr>
        <w:keepNext/>
        <w:rPr>
          <w:color w:val="000000"/>
        </w:rPr>
      </w:pPr>
    </w:p>
    <w:p w14:paraId="766B5842" w14:textId="3B66BC0F" w:rsidR="00F05DF0" w:rsidRPr="00D2126A" w:rsidRDefault="000E5A86" w:rsidP="00C93C76">
      <w:pPr>
        <w:rPr>
          <w:color w:val="000000"/>
        </w:rPr>
      </w:pPr>
      <w:r>
        <w:rPr>
          <w:color w:val="000000"/>
        </w:rPr>
        <w:t>7 gélules</w:t>
      </w:r>
    </w:p>
    <w:p w14:paraId="0F25C541" w14:textId="274EC049" w:rsidR="004D3A2E" w:rsidRPr="00D2126A" w:rsidRDefault="000E5A86" w:rsidP="00C93C76">
      <w:pPr>
        <w:rPr>
          <w:noProof/>
        </w:rPr>
      </w:pPr>
      <w:r>
        <w:rPr>
          <w:highlight w:val="lightGray"/>
        </w:rPr>
        <w:t>21 gélules</w:t>
      </w:r>
    </w:p>
    <w:p w14:paraId="370D0A08" w14:textId="77777777" w:rsidR="00F05DF0" w:rsidRPr="00D2126A" w:rsidRDefault="00F05DF0" w:rsidP="00C93C76">
      <w:pPr>
        <w:rPr>
          <w:color w:val="000000"/>
        </w:rPr>
      </w:pPr>
    </w:p>
    <w:p w14:paraId="0A46B053" w14:textId="77777777" w:rsidR="00F05DF0" w:rsidRPr="00D2126A" w:rsidRDefault="00F05DF0" w:rsidP="00C93C76">
      <w:pPr>
        <w:pStyle w:val="Date"/>
        <w:rPr>
          <w:color w:val="000000"/>
        </w:rPr>
      </w:pPr>
    </w:p>
    <w:p w14:paraId="54E70457" w14:textId="77777777" w:rsidR="00F05DF0" w:rsidRPr="00D2126A" w:rsidRDefault="000E5A86" w:rsidP="00C93C76">
      <w:pPr>
        <w:pStyle w:val="StyleHeadingLab"/>
      </w:pPr>
      <w:r>
        <w:t>5.</w:t>
      </w:r>
      <w:r>
        <w:tab/>
        <w:t>MODE ET VOIE(S) D’ADMINISTRATION</w:t>
      </w:r>
    </w:p>
    <w:p w14:paraId="3D9E738B" w14:textId="77777777" w:rsidR="00F05DF0" w:rsidRPr="00D2126A" w:rsidRDefault="00F05DF0" w:rsidP="00EB488D">
      <w:pPr>
        <w:keepNext/>
        <w:rPr>
          <w:color w:val="000000"/>
        </w:rPr>
      </w:pPr>
    </w:p>
    <w:p w14:paraId="02C37198" w14:textId="77777777" w:rsidR="00F05DF0" w:rsidRPr="00D2126A" w:rsidRDefault="000E5A86" w:rsidP="00C93C76">
      <w:pPr>
        <w:rPr>
          <w:color w:val="000000"/>
        </w:rPr>
      </w:pPr>
      <w:r>
        <w:rPr>
          <w:color w:val="000000"/>
        </w:rPr>
        <w:t>Voie orale.</w:t>
      </w:r>
    </w:p>
    <w:p w14:paraId="1EE97C62" w14:textId="77777777" w:rsidR="00F05DF0" w:rsidRPr="00D2126A" w:rsidRDefault="00F05DF0" w:rsidP="00C93C76">
      <w:pPr>
        <w:rPr>
          <w:color w:val="000000"/>
        </w:rPr>
      </w:pPr>
    </w:p>
    <w:p w14:paraId="7E557CDD" w14:textId="77777777" w:rsidR="00F05DF0" w:rsidRPr="00D2126A" w:rsidRDefault="000E5A86" w:rsidP="00C93C76">
      <w:pPr>
        <w:rPr>
          <w:color w:val="000000"/>
        </w:rPr>
      </w:pPr>
      <w:r>
        <w:rPr>
          <w:color w:val="000000"/>
        </w:rPr>
        <w:t>Lire la notice avant utilisation.</w:t>
      </w:r>
    </w:p>
    <w:p w14:paraId="30A42325" w14:textId="77777777" w:rsidR="00F05DF0" w:rsidRPr="00D2126A" w:rsidRDefault="00F05DF0" w:rsidP="00C93C76">
      <w:pPr>
        <w:rPr>
          <w:color w:val="000000"/>
        </w:rPr>
      </w:pPr>
    </w:p>
    <w:p w14:paraId="23E51BD5" w14:textId="77777777" w:rsidR="00F05DF0" w:rsidRPr="00D2126A" w:rsidRDefault="00F05DF0" w:rsidP="00C93C76">
      <w:pPr>
        <w:pStyle w:val="Date"/>
        <w:rPr>
          <w:color w:val="000000"/>
        </w:rPr>
      </w:pPr>
    </w:p>
    <w:p w14:paraId="2769889B" w14:textId="77777777" w:rsidR="00F05DF0" w:rsidRPr="00D2126A" w:rsidRDefault="000E5A86" w:rsidP="00C93C76">
      <w:pPr>
        <w:pStyle w:val="StyleHeadingLab"/>
      </w:pPr>
      <w:r>
        <w:t>6.</w:t>
      </w:r>
      <w:r>
        <w:tab/>
        <w:t>MISE EN GARDE SPÉCIALE INDIQUANT QUE LE MÉDICAMENT DOIT ÊTRE CONSERVÉ HORS DE VUE ET DE PORTÉE DES ENFANTS</w:t>
      </w:r>
    </w:p>
    <w:p w14:paraId="16AA6E10" w14:textId="77777777" w:rsidR="00F05DF0" w:rsidRPr="00D2126A" w:rsidRDefault="00F05DF0" w:rsidP="00EB488D">
      <w:pPr>
        <w:keepNext/>
        <w:rPr>
          <w:color w:val="000000"/>
        </w:rPr>
      </w:pPr>
    </w:p>
    <w:p w14:paraId="234D27CB" w14:textId="77777777" w:rsidR="00F05DF0" w:rsidRPr="00D2126A" w:rsidRDefault="000E5A86" w:rsidP="00C93C76">
      <w:pPr>
        <w:rPr>
          <w:color w:val="000000"/>
        </w:rPr>
      </w:pPr>
      <w:r>
        <w:rPr>
          <w:color w:val="000000"/>
        </w:rPr>
        <w:t>Tenir hors de la vue et de la portée des enfants.</w:t>
      </w:r>
    </w:p>
    <w:p w14:paraId="61FC5143" w14:textId="77777777" w:rsidR="00F05DF0" w:rsidRPr="00D2126A" w:rsidRDefault="00F05DF0" w:rsidP="00C93C76">
      <w:pPr>
        <w:rPr>
          <w:color w:val="000000"/>
        </w:rPr>
      </w:pPr>
    </w:p>
    <w:p w14:paraId="27C67239" w14:textId="77777777" w:rsidR="00F05DF0" w:rsidRPr="00D2126A" w:rsidRDefault="00F05DF0" w:rsidP="00C93C76">
      <w:pPr>
        <w:pStyle w:val="Date"/>
        <w:rPr>
          <w:color w:val="000000"/>
        </w:rPr>
      </w:pPr>
    </w:p>
    <w:p w14:paraId="0318CA5B" w14:textId="77777777" w:rsidR="00F05DF0" w:rsidRPr="00D2126A" w:rsidRDefault="000E5A86" w:rsidP="00C93C76">
      <w:pPr>
        <w:pStyle w:val="StyleHeadingLab"/>
      </w:pPr>
      <w:r>
        <w:t>7.</w:t>
      </w:r>
      <w:r>
        <w:tab/>
        <w:t>AUTRE(S) MISE(S) EN GARDE SPÉCIALE(S), SI NÉCESSAIRE</w:t>
      </w:r>
    </w:p>
    <w:p w14:paraId="6917A9C5" w14:textId="77777777" w:rsidR="00F05DF0" w:rsidRPr="00D2126A" w:rsidRDefault="00F05DF0" w:rsidP="00EB488D">
      <w:pPr>
        <w:keepNext/>
        <w:rPr>
          <w:color w:val="000000"/>
        </w:rPr>
      </w:pPr>
    </w:p>
    <w:p w14:paraId="4BD8EAEC" w14:textId="77777777" w:rsidR="006E28E9" w:rsidRPr="00D2126A" w:rsidRDefault="000E5A86" w:rsidP="00C93C76">
      <w:pPr>
        <w:rPr>
          <w:bCs/>
          <w:color w:val="000000"/>
        </w:rPr>
      </w:pPr>
      <w:r>
        <w:rPr>
          <w:color w:val="000000"/>
        </w:rPr>
        <w:t>MISE EN GARDE : risque d’anomalies congénitales graves. Ne pas utiliser pendant la grossesse ou l’allaitement.</w:t>
      </w:r>
    </w:p>
    <w:p w14:paraId="5BB92FFB" w14:textId="77777777" w:rsidR="00F05DF0" w:rsidRPr="00D2126A" w:rsidRDefault="000E5A86" w:rsidP="00C93C76">
      <w:pPr>
        <w:rPr>
          <w:color w:val="000000"/>
        </w:rPr>
      </w:pPr>
      <w:r>
        <w:rPr>
          <w:color w:val="000000"/>
        </w:rPr>
        <w:t>Vous devez suivre le programme de prévention de la grossesse de Revlimid.</w:t>
      </w:r>
    </w:p>
    <w:p w14:paraId="6A729EA0" w14:textId="77777777" w:rsidR="00F05DF0" w:rsidRPr="00D2126A" w:rsidRDefault="00F05DF0" w:rsidP="00C93C76">
      <w:pPr>
        <w:rPr>
          <w:color w:val="000000"/>
        </w:rPr>
      </w:pPr>
    </w:p>
    <w:p w14:paraId="4A3C5649" w14:textId="77777777" w:rsidR="00F05DF0" w:rsidRPr="00D2126A" w:rsidRDefault="00F05DF0" w:rsidP="00C93C76">
      <w:pPr>
        <w:pStyle w:val="Date"/>
        <w:rPr>
          <w:color w:val="000000"/>
        </w:rPr>
      </w:pPr>
    </w:p>
    <w:p w14:paraId="07C71985" w14:textId="77777777" w:rsidR="00F05DF0" w:rsidRPr="00D2126A" w:rsidRDefault="000E5A86" w:rsidP="00C93C76">
      <w:pPr>
        <w:pStyle w:val="StyleHeadingLab"/>
      </w:pPr>
      <w:r>
        <w:t>8.</w:t>
      </w:r>
      <w:r>
        <w:tab/>
        <w:t>DATE DE PÉREMPTION</w:t>
      </w:r>
    </w:p>
    <w:p w14:paraId="7C2AC57A" w14:textId="77777777" w:rsidR="00F05DF0" w:rsidRPr="00D2126A" w:rsidRDefault="00F05DF0" w:rsidP="00EB488D">
      <w:pPr>
        <w:keepNext/>
        <w:rPr>
          <w:color w:val="000000"/>
        </w:rPr>
      </w:pPr>
    </w:p>
    <w:p w14:paraId="0FE6C213" w14:textId="77777777" w:rsidR="00F05DF0" w:rsidRPr="00D2126A" w:rsidRDefault="000E5A86" w:rsidP="00C93C76">
      <w:pPr>
        <w:rPr>
          <w:color w:val="000000"/>
        </w:rPr>
      </w:pPr>
      <w:r>
        <w:rPr>
          <w:color w:val="000000"/>
        </w:rPr>
        <w:t>EXP</w:t>
      </w:r>
    </w:p>
    <w:p w14:paraId="22B003FC" w14:textId="77777777" w:rsidR="001120BE" w:rsidRPr="00D2126A" w:rsidRDefault="001120BE" w:rsidP="00C93C76">
      <w:pPr>
        <w:pStyle w:val="Date"/>
      </w:pPr>
    </w:p>
    <w:p w14:paraId="55958D0C" w14:textId="77777777" w:rsidR="001120BE" w:rsidRPr="00D2126A" w:rsidRDefault="001120BE" w:rsidP="00C93C76"/>
    <w:p w14:paraId="6550EF88" w14:textId="77777777" w:rsidR="00F05DF0" w:rsidRPr="00D2126A" w:rsidRDefault="000E5A86" w:rsidP="00C93C76">
      <w:pPr>
        <w:pStyle w:val="StyleHeadingLab"/>
      </w:pPr>
      <w:r>
        <w:t>9.</w:t>
      </w:r>
      <w:r>
        <w:tab/>
        <w:t>PRÉCAUTIONS PARTICULIÈRES DE CONSERVATION</w:t>
      </w:r>
    </w:p>
    <w:p w14:paraId="6D021D01" w14:textId="77777777" w:rsidR="00F05DF0" w:rsidRPr="00D2126A" w:rsidRDefault="00F05DF0" w:rsidP="00EB488D">
      <w:pPr>
        <w:keepNext/>
        <w:rPr>
          <w:color w:val="000000"/>
        </w:rPr>
      </w:pPr>
    </w:p>
    <w:p w14:paraId="051F9F16" w14:textId="77777777" w:rsidR="00F05DF0" w:rsidRPr="00D2126A" w:rsidRDefault="00F05DF0" w:rsidP="00C93C76">
      <w:pPr>
        <w:pStyle w:val="Date"/>
        <w:rPr>
          <w:color w:val="000000"/>
        </w:rPr>
      </w:pPr>
    </w:p>
    <w:p w14:paraId="2926BBE0" w14:textId="77777777" w:rsidR="00F05DF0" w:rsidRPr="00D2126A" w:rsidRDefault="000E5A86" w:rsidP="00C93C76">
      <w:pPr>
        <w:pStyle w:val="StyleHeadingLab"/>
      </w:pPr>
      <w:r>
        <w:t>10.</w:t>
      </w:r>
      <w:r>
        <w:tab/>
        <w:t>PRÉCAUTIONS PARTICULIÈRES D’ÉLIMINATION DES MÉDICAMENTS NON UTILISÉS OU DES DÉCHETS PROVENANT DE CES MÉDICAMENTS S’IL Y A LIEU</w:t>
      </w:r>
    </w:p>
    <w:p w14:paraId="4E0252A5" w14:textId="77777777" w:rsidR="00F05DF0" w:rsidRPr="00D2126A" w:rsidRDefault="00F05DF0" w:rsidP="00EB488D">
      <w:pPr>
        <w:keepNext/>
        <w:rPr>
          <w:color w:val="000000"/>
        </w:rPr>
      </w:pPr>
    </w:p>
    <w:p w14:paraId="1B7F80AC" w14:textId="77777777" w:rsidR="00036363" w:rsidRPr="00D2126A" w:rsidRDefault="000E5A86" w:rsidP="00C93C76">
      <w:pPr>
        <w:rPr>
          <w:color w:val="000000"/>
        </w:rPr>
      </w:pPr>
      <w:r>
        <w:rPr>
          <w:color w:val="000000"/>
        </w:rPr>
        <w:t>Rapporter les gélules non utilisées à un pharmacien.</w:t>
      </w:r>
    </w:p>
    <w:p w14:paraId="3289361A" w14:textId="20A2AACF" w:rsidR="00F05DF0" w:rsidRPr="00D2126A" w:rsidRDefault="00F05DF0" w:rsidP="00C93C76">
      <w:pPr>
        <w:pStyle w:val="Date"/>
        <w:rPr>
          <w:color w:val="000000"/>
        </w:rPr>
      </w:pPr>
    </w:p>
    <w:p w14:paraId="54ED5232" w14:textId="77777777" w:rsidR="001120BE" w:rsidRPr="00D2126A" w:rsidRDefault="001120BE" w:rsidP="00C93C76"/>
    <w:p w14:paraId="2F771E55" w14:textId="77777777" w:rsidR="00F05DF0" w:rsidRPr="00D2126A" w:rsidRDefault="000E5A86" w:rsidP="00C93C76">
      <w:pPr>
        <w:pStyle w:val="StyleHeadingLab"/>
      </w:pPr>
      <w:r>
        <w:t>11.</w:t>
      </w:r>
      <w:r>
        <w:tab/>
        <w:t>NOM ET ADRESSE DU TITULAIRE DE L’AUTORISATION DE MISE SUR LE MARCHÉ</w:t>
      </w:r>
    </w:p>
    <w:p w14:paraId="07D37860" w14:textId="77777777" w:rsidR="00F05DF0" w:rsidRPr="00D2126A" w:rsidRDefault="00F05DF0" w:rsidP="00C93C76">
      <w:pPr>
        <w:keepNext/>
        <w:rPr>
          <w:color w:val="000000"/>
        </w:rPr>
      </w:pPr>
    </w:p>
    <w:p w14:paraId="56BDB804" w14:textId="77777777" w:rsidR="00CB3D9F" w:rsidRPr="00AB0414" w:rsidRDefault="000E5A86" w:rsidP="00C93C76">
      <w:pPr>
        <w:pStyle w:val="EMEAAddress"/>
        <w:keepNext/>
        <w:rPr>
          <w:lang w:val="en-US"/>
        </w:rPr>
      </w:pPr>
      <w:r w:rsidRPr="00AB0414">
        <w:rPr>
          <w:lang w:val="en-US"/>
        </w:rPr>
        <w:t>Bristol</w:t>
      </w:r>
      <w:r w:rsidRPr="00AB0414">
        <w:rPr>
          <w:lang w:val="en-US"/>
        </w:rPr>
        <w:noBreakHyphen/>
        <w:t>Myers Squibb Pharma EEIG</w:t>
      </w:r>
    </w:p>
    <w:p w14:paraId="474953AF" w14:textId="77777777" w:rsidR="00CB3D9F" w:rsidRPr="00AB0414" w:rsidRDefault="000E5A86" w:rsidP="00C93C76">
      <w:pPr>
        <w:pStyle w:val="EMEAAddress"/>
        <w:keepNext/>
        <w:rPr>
          <w:lang w:val="en-US"/>
        </w:rPr>
      </w:pPr>
      <w:r w:rsidRPr="00AB0414">
        <w:rPr>
          <w:lang w:val="en-US"/>
        </w:rPr>
        <w:t>Plaza 254</w:t>
      </w:r>
    </w:p>
    <w:p w14:paraId="631C3F6E" w14:textId="77777777" w:rsidR="00CB3D9F" w:rsidRPr="00AB0414" w:rsidRDefault="000E5A86" w:rsidP="00C93C76">
      <w:pPr>
        <w:pStyle w:val="EMEAAddress"/>
        <w:keepNext/>
        <w:rPr>
          <w:lang w:val="en-US"/>
        </w:rPr>
      </w:pPr>
      <w:r w:rsidRPr="00AB0414">
        <w:rPr>
          <w:lang w:val="en-US"/>
        </w:rPr>
        <w:t>Blanchardstown Corporate Park 2</w:t>
      </w:r>
    </w:p>
    <w:p w14:paraId="4DBA5D84" w14:textId="77777777" w:rsidR="00CB3D9F" w:rsidRPr="00AB0414" w:rsidRDefault="000E5A86" w:rsidP="00C93C76">
      <w:pPr>
        <w:pStyle w:val="EMEAAddress"/>
        <w:keepNext/>
        <w:rPr>
          <w:lang w:val="en-US"/>
        </w:rPr>
      </w:pPr>
      <w:r w:rsidRPr="00AB0414">
        <w:rPr>
          <w:lang w:val="en-US"/>
        </w:rPr>
        <w:t>Dublin 15, D15 T867</w:t>
      </w:r>
    </w:p>
    <w:p w14:paraId="6891AEF5" w14:textId="77777777" w:rsidR="00036363" w:rsidRPr="00D2126A" w:rsidRDefault="000E5A86" w:rsidP="00C93C76">
      <w:pPr>
        <w:keepNext/>
      </w:pPr>
      <w:r>
        <w:t>Irlande</w:t>
      </w:r>
    </w:p>
    <w:p w14:paraId="4DB42D41" w14:textId="0578062D" w:rsidR="00F05DF0" w:rsidRPr="00D2126A" w:rsidRDefault="00F05DF0" w:rsidP="00C93C76">
      <w:pPr>
        <w:rPr>
          <w:color w:val="000000"/>
        </w:rPr>
      </w:pPr>
    </w:p>
    <w:p w14:paraId="143902F7" w14:textId="77777777" w:rsidR="00F05DF0" w:rsidRPr="00D2126A" w:rsidRDefault="00F05DF0" w:rsidP="00C93C76">
      <w:pPr>
        <w:pStyle w:val="Date"/>
        <w:rPr>
          <w:color w:val="000000"/>
        </w:rPr>
      </w:pPr>
    </w:p>
    <w:p w14:paraId="6A336F55" w14:textId="77777777" w:rsidR="00F05DF0" w:rsidRPr="00D2126A" w:rsidRDefault="000E5A86" w:rsidP="00C93C76">
      <w:pPr>
        <w:pStyle w:val="StyleHeadingLab"/>
      </w:pPr>
      <w:r>
        <w:t>12.</w:t>
      </w:r>
      <w:r>
        <w:tab/>
        <w:t>NUMÉRO(S) D’AUTORISATION DE MISE SUR LE MARCHÉ</w:t>
      </w:r>
    </w:p>
    <w:p w14:paraId="5242F328" w14:textId="77777777" w:rsidR="00F05DF0" w:rsidRPr="00D2126A" w:rsidRDefault="00F05DF0" w:rsidP="00EB488D">
      <w:pPr>
        <w:keepNext/>
        <w:rPr>
          <w:color w:val="000000"/>
        </w:rPr>
      </w:pPr>
    </w:p>
    <w:p w14:paraId="6D773938" w14:textId="6E7D5104" w:rsidR="00601714" w:rsidRPr="00156723" w:rsidRDefault="000E5A86" w:rsidP="00C96725">
      <w:r>
        <w:t xml:space="preserve">EU/1/07/391/010 </w:t>
      </w:r>
      <w:r>
        <w:rPr>
          <w:highlight w:val="lightGray"/>
        </w:rPr>
        <w:t>7 gélules</w:t>
      </w:r>
    </w:p>
    <w:p w14:paraId="11DB0492" w14:textId="2768B381" w:rsidR="00F05DF0" w:rsidRPr="00156723" w:rsidRDefault="000E5A86" w:rsidP="00C96725">
      <w:r>
        <w:rPr>
          <w:highlight w:val="lightGray"/>
        </w:rPr>
        <w:t>EU/1/07/391/002 21 gélules</w:t>
      </w:r>
    </w:p>
    <w:p w14:paraId="1A4B05D2" w14:textId="77777777" w:rsidR="00F05DF0" w:rsidRPr="00156723" w:rsidRDefault="00F05DF0" w:rsidP="00C93C76">
      <w:pPr>
        <w:rPr>
          <w:color w:val="000000"/>
        </w:rPr>
      </w:pPr>
    </w:p>
    <w:p w14:paraId="4B2B0648" w14:textId="77777777" w:rsidR="00F05DF0" w:rsidRPr="00156723" w:rsidRDefault="00F05DF0" w:rsidP="00C93C76">
      <w:pPr>
        <w:pStyle w:val="Date"/>
        <w:rPr>
          <w:color w:val="000000"/>
        </w:rPr>
      </w:pPr>
    </w:p>
    <w:p w14:paraId="4C9CCC73" w14:textId="77777777" w:rsidR="00F05DF0" w:rsidRPr="00D2126A" w:rsidRDefault="000E5A86" w:rsidP="00C93C76">
      <w:pPr>
        <w:pStyle w:val="StyleHeadingLab"/>
      </w:pPr>
      <w:r>
        <w:t>13.</w:t>
      </w:r>
      <w:r>
        <w:tab/>
        <w:t>NUMÉRO DU LOT</w:t>
      </w:r>
    </w:p>
    <w:p w14:paraId="365C3EE1" w14:textId="77777777" w:rsidR="00F05DF0" w:rsidRPr="00D2126A" w:rsidRDefault="00F05DF0" w:rsidP="00EB488D">
      <w:pPr>
        <w:keepNext/>
        <w:rPr>
          <w:iCs/>
          <w:color w:val="000000"/>
        </w:rPr>
      </w:pPr>
    </w:p>
    <w:p w14:paraId="0BE5152F" w14:textId="77777777" w:rsidR="00F05DF0" w:rsidRPr="00D2126A" w:rsidRDefault="000E5A86" w:rsidP="00C93C76">
      <w:pPr>
        <w:rPr>
          <w:color w:val="000000"/>
        </w:rPr>
      </w:pPr>
      <w:r>
        <w:rPr>
          <w:color w:val="000000"/>
        </w:rPr>
        <w:t>Lot</w:t>
      </w:r>
    </w:p>
    <w:p w14:paraId="6E6A5E93" w14:textId="77777777" w:rsidR="00F05DF0" w:rsidRPr="00D2126A" w:rsidRDefault="00F05DF0" w:rsidP="00C93C76">
      <w:pPr>
        <w:rPr>
          <w:color w:val="000000"/>
        </w:rPr>
      </w:pPr>
    </w:p>
    <w:p w14:paraId="01BB1794" w14:textId="77777777" w:rsidR="00F05DF0" w:rsidRPr="00D2126A" w:rsidRDefault="00F05DF0" w:rsidP="00C93C76">
      <w:pPr>
        <w:pStyle w:val="Date"/>
        <w:rPr>
          <w:color w:val="000000"/>
        </w:rPr>
      </w:pPr>
    </w:p>
    <w:p w14:paraId="01844B15" w14:textId="77777777" w:rsidR="00F05DF0" w:rsidRPr="00D2126A" w:rsidRDefault="000E5A86" w:rsidP="00C93C76">
      <w:pPr>
        <w:pStyle w:val="StyleHeadingLab"/>
      </w:pPr>
      <w:r>
        <w:t>14.</w:t>
      </w:r>
      <w:r>
        <w:tab/>
        <w:t>CONDITIONS DE PRESCRIPTION ET DE DÉLIVRANCE</w:t>
      </w:r>
    </w:p>
    <w:p w14:paraId="4B410E97" w14:textId="77777777" w:rsidR="00F05DF0" w:rsidRPr="00D2126A" w:rsidRDefault="00F05DF0" w:rsidP="00EB488D">
      <w:pPr>
        <w:keepNext/>
        <w:rPr>
          <w:color w:val="000000"/>
        </w:rPr>
      </w:pPr>
    </w:p>
    <w:p w14:paraId="19D99CE8" w14:textId="77777777" w:rsidR="00F05DF0" w:rsidRPr="00D2126A" w:rsidRDefault="00F05DF0" w:rsidP="00C93C76">
      <w:pPr>
        <w:pStyle w:val="Date"/>
        <w:rPr>
          <w:color w:val="000000"/>
        </w:rPr>
      </w:pPr>
    </w:p>
    <w:p w14:paraId="4C651FC9" w14:textId="77777777" w:rsidR="00F05DF0" w:rsidRPr="00D2126A" w:rsidRDefault="000E5A86" w:rsidP="00C93C76">
      <w:pPr>
        <w:pStyle w:val="StyleHeadingLab"/>
      </w:pPr>
      <w:r>
        <w:t>15.</w:t>
      </w:r>
      <w:r>
        <w:tab/>
        <w:t>INDICATIONS D’UTILISATION</w:t>
      </w:r>
    </w:p>
    <w:p w14:paraId="5E814200" w14:textId="77777777" w:rsidR="00F05DF0" w:rsidRPr="00D2126A" w:rsidRDefault="00F05DF0" w:rsidP="00EB488D">
      <w:pPr>
        <w:keepNext/>
        <w:rPr>
          <w:bCs/>
          <w:color w:val="000000"/>
        </w:rPr>
      </w:pPr>
    </w:p>
    <w:p w14:paraId="1FCDEDFE" w14:textId="77777777" w:rsidR="00F05DF0" w:rsidRPr="00D2126A" w:rsidRDefault="00F05DF0" w:rsidP="00C93C76">
      <w:pPr>
        <w:rPr>
          <w:color w:val="000000"/>
        </w:rPr>
      </w:pPr>
    </w:p>
    <w:p w14:paraId="3A2FE3A5" w14:textId="77777777" w:rsidR="00F05DF0" w:rsidRPr="00D2126A" w:rsidRDefault="000E5A86" w:rsidP="00C93C76">
      <w:pPr>
        <w:pStyle w:val="StyleHeadingLab"/>
      </w:pPr>
      <w:r>
        <w:t>16.</w:t>
      </w:r>
      <w:r>
        <w:tab/>
        <w:t>INFORMATIONS EN BRAILLE</w:t>
      </w:r>
    </w:p>
    <w:p w14:paraId="5A3CF786" w14:textId="77777777" w:rsidR="00F05DF0" w:rsidRPr="00D2126A" w:rsidRDefault="00F05DF0" w:rsidP="00EB488D">
      <w:pPr>
        <w:keepNext/>
        <w:rPr>
          <w:color w:val="000000"/>
        </w:rPr>
      </w:pPr>
    </w:p>
    <w:p w14:paraId="6FF0AD90" w14:textId="77777777" w:rsidR="00AE7BC4" w:rsidRPr="00D2126A" w:rsidRDefault="000E5A86" w:rsidP="00EB488D">
      <w:pPr>
        <w:pStyle w:val="Date"/>
        <w:keepNext/>
        <w:rPr>
          <w:color w:val="000000"/>
        </w:rPr>
      </w:pPr>
      <w:r>
        <w:rPr>
          <w:color w:val="000000"/>
        </w:rPr>
        <w:t>Revlimid 10 mg</w:t>
      </w:r>
    </w:p>
    <w:p w14:paraId="7F3F5E00" w14:textId="77777777" w:rsidR="008D4EE6" w:rsidRPr="00D2126A" w:rsidRDefault="008D4EE6" w:rsidP="00EB488D">
      <w:pPr>
        <w:pStyle w:val="Date"/>
        <w:keepNext/>
      </w:pPr>
    </w:p>
    <w:p w14:paraId="3D062D65" w14:textId="77777777" w:rsidR="00C853A4" w:rsidRPr="00D2126A" w:rsidRDefault="00C853A4" w:rsidP="00C93C76">
      <w:pPr>
        <w:rPr>
          <w:noProof/>
          <w:shd w:val="clear" w:color="auto" w:fill="CCCCCC"/>
        </w:rPr>
      </w:pPr>
    </w:p>
    <w:p w14:paraId="31085E39" w14:textId="77777777" w:rsidR="00C853A4" w:rsidRPr="00D2126A" w:rsidRDefault="000E5A86" w:rsidP="00C93C76">
      <w:pPr>
        <w:pStyle w:val="StyleHeadingLab"/>
        <w:rPr>
          <w:i/>
          <w:noProof/>
        </w:rPr>
      </w:pPr>
      <w:r>
        <w:t>17.</w:t>
      </w:r>
      <w:r>
        <w:tab/>
        <w:t>IDENTIFIANT UNIQUE - CODE</w:t>
      </w:r>
      <w:r>
        <w:noBreakHyphen/>
        <w:t>BARRES 2D</w:t>
      </w:r>
    </w:p>
    <w:p w14:paraId="29138514" w14:textId="77777777" w:rsidR="00C853A4" w:rsidRPr="00D2126A" w:rsidRDefault="00C853A4" w:rsidP="00EB488D">
      <w:pPr>
        <w:keepNext/>
        <w:rPr>
          <w:noProof/>
        </w:rPr>
      </w:pPr>
    </w:p>
    <w:p w14:paraId="6CE517F8" w14:textId="05A0BC3B" w:rsidR="00C853A4" w:rsidRPr="00D2126A" w:rsidRDefault="000E5A86" w:rsidP="00EB488D">
      <w:pPr>
        <w:pStyle w:val="Date"/>
        <w:keepNext/>
        <w:rPr>
          <w:noProof/>
        </w:rPr>
      </w:pPr>
      <w:r>
        <w:rPr>
          <w:highlight w:val="lightGray"/>
        </w:rPr>
        <w:t>Code</w:t>
      </w:r>
      <w:r>
        <w:rPr>
          <w:highlight w:val="lightGray"/>
        </w:rPr>
        <w:noBreakHyphen/>
        <w:t>barres 2D portant l'identifiant unique inclus.</w:t>
      </w:r>
    </w:p>
    <w:p w14:paraId="2BD57EC7" w14:textId="77777777" w:rsidR="00C853A4" w:rsidRPr="00D2126A" w:rsidRDefault="00C853A4" w:rsidP="00EB488D">
      <w:pPr>
        <w:keepNext/>
      </w:pPr>
    </w:p>
    <w:p w14:paraId="386D7189" w14:textId="77777777" w:rsidR="00C853A4" w:rsidRPr="00D2126A" w:rsidRDefault="00C853A4" w:rsidP="00C93C76"/>
    <w:p w14:paraId="59A9550F" w14:textId="77777777" w:rsidR="00C853A4" w:rsidRPr="00D2126A" w:rsidRDefault="000E5A86" w:rsidP="00C93C76">
      <w:pPr>
        <w:pStyle w:val="StyleHeadingLab"/>
        <w:rPr>
          <w:i/>
          <w:noProof/>
        </w:rPr>
      </w:pPr>
      <w:r>
        <w:t>18.</w:t>
      </w:r>
      <w:r>
        <w:tab/>
        <w:t>IDENTIFIANT UNIQUE - DONNÉES LISIBLES PAR LES HUMAINS</w:t>
      </w:r>
    </w:p>
    <w:p w14:paraId="5030F471" w14:textId="77777777" w:rsidR="00C853A4" w:rsidRPr="00D2126A" w:rsidRDefault="00C853A4" w:rsidP="00EB488D">
      <w:pPr>
        <w:pStyle w:val="Date"/>
        <w:keepNext/>
      </w:pPr>
    </w:p>
    <w:p w14:paraId="011E84A5" w14:textId="2B587738" w:rsidR="00C853A4" w:rsidRPr="00D2126A" w:rsidRDefault="000E5A86" w:rsidP="00EB488D">
      <w:pPr>
        <w:keepNext/>
      </w:pPr>
      <w:r>
        <w:t>PC</w:t>
      </w:r>
    </w:p>
    <w:p w14:paraId="0AD36F82" w14:textId="7BE26A6B" w:rsidR="00C853A4" w:rsidRPr="00D2126A" w:rsidRDefault="000E5A86" w:rsidP="00EB488D">
      <w:pPr>
        <w:keepNext/>
      </w:pPr>
      <w:r>
        <w:t>SN</w:t>
      </w:r>
    </w:p>
    <w:p w14:paraId="6C697F3A" w14:textId="38198B39" w:rsidR="00C853A4" w:rsidRPr="00D2126A" w:rsidRDefault="000E5A86" w:rsidP="00EB488D">
      <w:pPr>
        <w:keepNext/>
      </w:pPr>
      <w:r>
        <w:t>NN</w:t>
      </w:r>
    </w:p>
    <w:p w14:paraId="6D5EDD12" w14:textId="77777777" w:rsidR="008D4EE6" w:rsidRPr="00D2126A" w:rsidRDefault="008D4EE6" w:rsidP="00C93C76"/>
    <w:p w14:paraId="0B169170" w14:textId="4A858944" w:rsidR="00F05DF0"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t>MENTIONS MINIMALES DEVANT FIGURER SUR LES PLAQUETTES OU LES FILMS THERMOSOUDÉS</w:t>
      </w:r>
    </w:p>
    <w:p w14:paraId="7BD63440" w14:textId="77777777" w:rsidR="00F05DF0" w:rsidRPr="00D2126A" w:rsidRDefault="00F05DF0" w:rsidP="00B17EDE">
      <w:pPr>
        <w:pStyle w:val="Date"/>
        <w:keepNext/>
        <w:pBdr>
          <w:left w:val="single" w:sz="4" w:space="1" w:color="auto"/>
          <w:bottom w:val="single" w:sz="4" w:space="1" w:color="auto"/>
          <w:right w:val="single" w:sz="4" w:space="1" w:color="auto"/>
        </w:pBdr>
        <w:rPr>
          <w:color w:val="000000"/>
        </w:rPr>
      </w:pPr>
    </w:p>
    <w:p w14:paraId="639F6ECA" w14:textId="77777777" w:rsidR="00F05DF0"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PLAQUETTES</w:t>
      </w:r>
    </w:p>
    <w:p w14:paraId="766A18D1" w14:textId="77777777" w:rsidR="00F05DF0" w:rsidRPr="00D2126A" w:rsidRDefault="00F05DF0" w:rsidP="00EB488D">
      <w:pPr>
        <w:keepNext/>
        <w:rPr>
          <w:bCs/>
          <w:color w:val="000000"/>
        </w:rPr>
      </w:pPr>
    </w:p>
    <w:p w14:paraId="5F46F72B" w14:textId="77777777" w:rsidR="00F05DF0" w:rsidRPr="00D2126A" w:rsidRDefault="00F05DF0" w:rsidP="00C93C76">
      <w:pPr>
        <w:rPr>
          <w:color w:val="000000"/>
        </w:rPr>
      </w:pPr>
    </w:p>
    <w:p w14:paraId="40852688" w14:textId="77777777" w:rsidR="00F05DF0" w:rsidRPr="00D2126A" w:rsidRDefault="000E5A86" w:rsidP="00C93C76">
      <w:pPr>
        <w:pStyle w:val="StyleHeadingLab"/>
      </w:pPr>
      <w:r>
        <w:t>1.</w:t>
      </w:r>
      <w:r>
        <w:tab/>
        <w:t>DÉNOMINATION DU MÉDICAMENT</w:t>
      </w:r>
    </w:p>
    <w:p w14:paraId="4F23F730" w14:textId="77777777" w:rsidR="00F05DF0" w:rsidRPr="00D2126A" w:rsidRDefault="00F05DF0" w:rsidP="00EB488D">
      <w:pPr>
        <w:keepNext/>
        <w:ind w:left="567" w:hanging="567"/>
        <w:rPr>
          <w:color w:val="000000"/>
        </w:rPr>
      </w:pPr>
    </w:p>
    <w:p w14:paraId="31CEC6BA" w14:textId="77777777" w:rsidR="00F05DF0" w:rsidRPr="00D2126A" w:rsidRDefault="000E5A86" w:rsidP="00C93C76">
      <w:pPr>
        <w:rPr>
          <w:color w:val="000000"/>
        </w:rPr>
      </w:pPr>
      <w:r>
        <w:rPr>
          <w:color w:val="000000"/>
        </w:rPr>
        <w:t>Revlimid 10 mg gélules</w:t>
      </w:r>
    </w:p>
    <w:p w14:paraId="64AAA2B0" w14:textId="77777777" w:rsidR="00F05DF0" w:rsidRPr="00D2126A" w:rsidRDefault="000E5A86" w:rsidP="00C93C76">
      <w:pPr>
        <w:rPr>
          <w:color w:val="000000"/>
        </w:rPr>
      </w:pPr>
      <w:r>
        <w:rPr>
          <w:color w:val="000000"/>
        </w:rPr>
        <w:t>lénalidomide</w:t>
      </w:r>
    </w:p>
    <w:p w14:paraId="013020F8" w14:textId="77777777" w:rsidR="00F05DF0" w:rsidRPr="00D2126A" w:rsidRDefault="00F05DF0" w:rsidP="00C93C76">
      <w:pPr>
        <w:rPr>
          <w:color w:val="000000"/>
        </w:rPr>
      </w:pPr>
    </w:p>
    <w:p w14:paraId="2E6D7434" w14:textId="77777777" w:rsidR="00F05DF0" w:rsidRPr="00D2126A" w:rsidRDefault="00F05DF0" w:rsidP="00C93C76">
      <w:pPr>
        <w:pStyle w:val="Date"/>
        <w:rPr>
          <w:color w:val="000000"/>
        </w:rPr>
      </w:pPr>
    </w:p>
    <w:p w14:paraId="380FCBE1" w14:textId="77777777" w:rsidR="00F05DF0" w:rsidRPr="00D2126A" w:rsidRDefault="000E5A86" w:rsidP="00C93C76">
      <w:pPr>
        <w:pStyle w:val="StyleHeadingLab"/>
      </w:pPr>
      <w:r>
        <w:t>2.</w:t>
      </w:r>
      <w:r>
        <w:tab/>
        <w:t>NOM DU TITULAIRE DE L’AUTORISATION DE MISE SUR LE MARCHÉ</w:t>
      </w:r>
    </w:p>
    <w:p w14:paraId="510D45AD" w14:textId="77777777" w:rsidR="00F05DF0" w:rsidRPr="00D2126A" w:rsidRDefault="00F05DF0" w:rsidP="00EB488D">
      <w:pPr>
        <w:keepNext/>
        <w:rPr>
          <w:color w:val="000000"/>
        </w:rPr>
      </w:pPr>
    </w:p>
    <w:p w14:paraId="0536D239" w14:textId="77777777" w:rsidR="00CB3D9F" w:rsidRPr="00D2126A" w:rsidRDefault="000E5A86" w:rsidP="00C93C76">
      <w:pPr>
        <w:pStyle w:val="EMEAAddress"/>
      </w:pPr>
      <w:r>
        <w:t>Bristol</w:t>
      </w:r>
      <w:r>
        <w:noBreakHyphen/>
        <w:t>Myers Squibb Pharma EEIG</w:t>
      </w:r>
    </w:p>
    <w:p w14:paraId="232B760D" w14:textId="77777777" w:rsidR="00F05DF0" w:rsidRPr="00D2126A" w:rsidRDefault="00F05DF0" w:rsidP="00C93C76">
      <w:pPr>
        <w:rPr>
          <w:color w:val="000000"/>
        </w:rPr>
      </w:pPr>
    </w:p>
    <w:p w14:paraId="555CA40B" w14:textId="77777777" w:rsidR="00F05DF0" w:rsidRPr="00D2126A" w:rsidRDefault="00F05DF0" w:rsidP="00C93C76">
      <w:pPr>
        <w:pStyle w:val="Date"/>
        <w:rPr>
          <w:color w:val="000000"/>
        </w:rPr>
      </w:pPr>
    </w:p>
    <w:p w14:paraId="5E0E133C" w14:textId="77777777" w:rsidR="00F05DF0" w:rsidRPr="00D2126A" w:rsidRDefault="000E5A86" w:rsidP="00C93C76">
      <w:pPr>
        <w:pStyle w:val="StyleHeadingLab"/>
      </w:pPr>
      <w:r>
        <w:t>3.</w:t>
      </w:r>
      <w:r>
        <w:tab/>
        <w:t>DATE DE PÉREMPTION</w:t>
      </w:r>
    </w:p>
    <w:p w14:paraId="5D04CB72" w14:textId="77777777" w:rsidR="00F05DF0" w:rsidRPr="00D2126A" w:rsidRDefault="00F05DF0" w:rsidP="00EB488D">
      <w:pPr>
        <w:keepNext/>
        <w:rPr>
          <w:iCs/>
          <w:color w:val="000000"/>
        </w:rPr>
      </w:pPr>
    </w:p>
    <w:p w14:paraId="1BFDCEC6" w14:textId="77777777" w:rsidR="00F05DF0" w:rsidRPr="00D2126A" w:rsidRDefault="000E5A86" w:rsidP="00C93C76">
      <w:pPr>
        <w:rPr>
          <w:color w:val="000000"/>
        </w:rPr>
      </w:pPr>
      <w:r>
        <w:rPr>
          <w:color w:val="000000"/>
        </w:rPr>
        <w:t>EXP</w:t>
      </w:r>
    </w:p>
    <w:p w14:paraId="72F24D28" w14:textId="77777777" w:rsidR="00F05DF0" w:rsidRPr="00D2126A" w:rsidRDefault="00F05DF0" w:rsidP="00C93C76">
      <w:pPr>
        <w:rPr>
          <w:color w:val="000000"/>
        </w:rPr>
      </w:pPr>
    </w:p>
    <w:p w14:paraId="5486DF75" w14:textId="77777777" w:rsidR="00F05DF0" w:rsidRPr="00D2126A" w:rsidRDefault="00F05DF0" w:rsidP="00C93C76">
      <w:pPr>
        <w:pStyle w:val="Date"/>
        <w:rPr>
          <w:color w:val="000000"/>
        </w:rPr>
      </w:pPr>
    </w:p>
    <w:p w14:paraId="553762F2" w14:textId="77777777" w:rsidR="00F05DF0" w:rsidRPr="00D2126A" w:rsidRDefault="000E5A86" w:rsidP="00C93C76">
      <w:pPr>
        <w:pStyle w:val="StyleHeadingLab"/>
      </w:pPr>
      <w:r>
        <w:t>4.</w:t>
      </w:r>
      <w:r>
        <w:tab/>
        <w:t>NUMÉRO DU LOT</w:t>
      </w:r>
    </w:p>
    <w:p w14:paraId="48DBB6C7" w14:textId="77777777" w:rsidR="00F05DF0" w:rsidRPr="00D2126A" w:rsidRDefault="00F05DF0" w:rsidP="00EB488D">
      <w:pPr>
        <w:keepNext/>
        <w:rPr>
          <w:iCs/>
          <w:color w:val="000000"/>
        </w:rPr>
      </w:pPr>
    </w:p>
    <w:p w14:paraId="2FFFDA78" w14:textId="77777777" w:rsidR="00F05DF0" w:rsidRPr="00D2126A" w:rsidRDefault="000E5A86" w:rsidP="00C93C76">
      <w:pPr>
        <w:rPr>
          <w:color w:val="000000"/>
        </w:rPr>
      </w:pPr>
      <w:r>
        <w:rPr>
          <w:color w:val="000000"/>
        </w:rPr>
        <w:t>Lot</w:t>
      </w:r>
    </w:p>
    <w:p w14:paraId="056CEFD6" w14:textId="77777777" w:rsidR="00F05DF0" w:rsidRPr="00D2126A" w:rsidRDefault="00F05DF0" w:rsidP="00C93C76">
      <w:pPr>
        <w:rPr>
          <w:b/>
          <w:color w:val="000000"/>
        </w:rPr>
      </w:pPr>
    </w:p>
    <w:p w14:paraId="3F3987BC" w14:textId="77777777" w:rsidR="00F05DF0" w:rsidRPr="00D2126A" w:rsidRDefault="00F05DF0" w:rsidP="00C93C76">
      <w:pPr>
        <w:pStyle w:val="Date"/>
        <w:rPr>
          <w:color w:val="000000"/>
        </w:rPr>
      </w:pPr>
    </w:p>
    <w:p w14:paraId="1D190A78" w14:textId="2034C77B" w:rsidR="00F05DF0" w:rsidRPr="00D2126A" w:rsidRDefault="000E5A86" w:rsidP="00C93C76">
      <w:pPr>
        <w:pStyle w:val="StyleHeadingLab"/>
      </w:pPr>
      <w:r>
        <w:t>5.</w:t>
      </w:r>
      <w:r>
        <w:tab/>
        <w:t>AUTRE</w:t>
      </w:r>
    </w:p>
    <w:p w14:paraId="64B368E5" w14:textId="77777777" w:rsidR="001120BE" w:rsidRPr="00D2126A" w:rsidRDefault="001120BE" w:rsidP="00EB488D">
      <w:pPr>
        <w:keepNext/>
        <w:rPr>
          <w:bCs/>
          <w:color w:val="000000"/>
        </w:rPr>
      </w:pPr>
    </w:p>
    <w:p w14:paraId="51CC0816" w14:textId="77777777" w:rsidR="00A84B34" w:rsidRPr="00D2126A" w:rsidRDefault="00A84B34" w:rsidP="00C93C76">
      <w:pPr>
        <w:pStyle w:val="Date"/>
      </w:pPr>
    </w:p>
    <w:p w14:paraId="27A5816F" w14:textId="3DC89C2B"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t>MENTIONS DEVANT FIGURER SUR L’EMBALLAGE EXTÉRIEUR</w:t>
      </w:r>
    </w:p>
    <w:p w14:paraId="136343BD" w14:textId="77777777" w:rsidR="007F6DFD" w:rsidRPr="00D2126A" w:rsidRDefault="007F6DFD" w:rsidP="00EB488D">
      <w:pPr>
        <w:keepNext/>
        <w:pBdr>
          <w:left w:val="single" w:sz="4" w:space="1" w:color="auto"/>
          <w:bottom w:val="single" w:sz="4" w:space="1" w:color="auto"/>
          <w:right w:val="single" w:sz="4" w:space="1" w:color="auto"/>
        </w:pBdr>
        <w:rPr>
          <w:b/>
          <w:color w:val="000000"/>
        </w:rPr>
      </w:pPr>
    </w:p>
    <w:p w14:paraId="622A56EA" w14:textId="77777777" w:rsidR="007F6DFD"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BOÎTE</w:t>
      </w:r>
    </w:p>
    <w:p w14:paraId="0D554420" w14:textId="77777777" w:rsidR="007F6DFD" w:rsidRPr="00D2126A" w:rsidRDefault="007F6DFD" w:rsidP="00EB488D">
      <w:pPr>
        <w:keepNext/>
        <w:rPr>
          <w:color w:val="000000"/>
        </w:rPr>
      </w:pPr>
    </w:p>
    <w:p w14:paraId="1CCACA86" w14:textId="77777777" w:rsidR="00EE1093" w:rsidRPr="00D2126A" w:rsidRDefault="00EE1093" w:rsidP="00C93C76">
      <w:pPr>
        <w:pStyle w:val="Date"/>
      </w:pPr>
    </w:p>
    <w:p w14:paraId="1B232F6F" w14:textId="77777777" w:rsidR="007F6DFD" w:rsidRPr="00D2126A" w:rsidRDefault="000E5A86" w:rsidP="00C93C76">
      <w:pPr>
        <w:pStyle w:val="StyleHeadingLab"/>
      </w:pPr>
      <w:r>
        <w:t>1.</w:t>
      </w:r>
      <w:r>
        <w:tab/>
        <w:t>DÉNOMINATION DU MÉDICAMENT</w:t>
      </w:r>
    </w:p>
    <w:p w14:paraId="2FDF6475" w14:textId="77777777" w:rsidR="007F6DFD" w:rsidRPr="00D2126A" w:rsidRDefault="007F6DFD" w:rsidP="00DB443D">
      <w:pPr>
        <w:keepNext/>
        <w:rPr>
          <w:color w:val="000000"/>
        </w:rPr>
      </w:pPr>
    </w:p>
    <w:p w14:paraId="281D99A6" w14:textId="77777777" w:rsidR="007F6DFD" w:rsidRPr="00D2126A" w:rsidRDefault="000E5A86" w:rsidP="00C93C76">
      <w:pPr>
        <w:rPr>
          <w:color w:val="000000"/>
        </w:rPr>
      </w:pPr>
      <w:r>
        <w:rPr>
          <w:color w:val="000000"/>
        </w:rPr>
        <w:t>Revlimid 15 mg gélules</w:t>
      </w:r>
    </w:p>
    <w:p w14:paraId="129C312D" w14:textId="77777777" w:rsidR="007F6DFD" w:rsidRPr="00D2126A" w:rsidRDefault="000E5A86" w:rsidP="00C93C76">
      <w:pPr>
        <w:rPr>
          <w:color w:val="000000"/>
        </w:rPr>
      </w:pPr>
      <w:r>
        <w:rPr>
          <w:color w:val="000000"/>
        </w:rPr>
        <w:t>lénalidomide</w:t>
      </w:r>
    </w:p>
    <w:p w14:paraId="0D1743D9" w14:textId="77777777" w:rsidR="007F6DFD" w:rsidRPr="00D2126A" w:rsidRDefault="007F6DFD" w:rsidP="00C93C76">
      <w:pPr>
        <w:rPr>
          <w:color w:val="000000"/>
        </w:rPr>
      </w:pPr>
    </w:p>
    <w:p w14:paraId="50928DA9" w14:textId="77777777" w:rsidR="007F6DFD" w:rsidRPr="00D2126A" w:rsidRDefault="007F6DFD" w:rsidP="00C93C76">
      <w:pPr>
        <w:pStyle w:val="Date"/>
        <w:rPr>
          <w:color w:val="000000"/>
        </w:rPr>
      </w:pPr>
    </w:p>
    <w:p w14:paraId="21515E38" w14:textId="77777777" w:rsidR="007F6DFD" w:rsidRPr="00D2126A" w:rsidRDefault="000E5A86" w:rsidP="00C93C76">
      <w:pPr>
        <w:pStyle w:val="StyleHeadingLab"/>
      </w:pPr>
      <w:r>
        <w:t>2.</w:t>
      </w:r>
      <w:r>
        <w:tab/>
        <w:t>COMPOSITION EN SUBSTANCE(S) ACTIVE(S)</w:t>
      </w:r>
    </w:p>
    <w:p w14:paraId="49984B4E" w14:textId="77777777" w:rsidR="007F6DFD" w:rsidRPr="00D2126A" w:rsidRDefault="007F6DFD" w:rsidP="00DB443D">
      <w:pPr>
        <w:keepNext/>
        <w:rPr>
          <w:color w:val="000000"/>
        </w:rPr>
      </w:pPr>
    </w:p>
    <w:p w14:paraId="728DDBAE" w14:textId="77777777" w:rsidR="007F6DFD" w:rsidRPr="00D2126A" w:rsidRDefault="000E5A86" w:rsidP="00C93C76">
      <w:pPr>
        <w:rPr>
          <w:color w:val="000000"/>
        </w:rPr>
      </w:pPr>
      <w:r>
        <w:rPr>
          <w:color w:val="000000"/>
        </w:rPr>
        <w:t>Chaque gélule contient 15 mg de lénalidomide.</w:t>
      </w:r>
    </w:p>
    <w:p w14:paraId="47319513" w14:textId="77777777" w:rsidR="007F6DFD" w:rsidRPr="00D2126A" w:rsidRDefault="007F6DFD" w:rsidP="00C93C76">
      <w:pPr>
        <w:rPr>
          <w:color w:val="000000"/>
        </w:rPr>
      </w:pPr>
    </w:p>
    <w:p w14:paraId="5430E546" w14:textId="77777777" w:rsidR="007F6DFD" w:rsidRPr="00D2126A" w:rsidRDefault="007F6DFD" w:rsidP="00C93C76">
      <w:pPr>
        <w:pStyle w:val="Date"/>
        <w:rPr>
          <w:color w:val="000000"/>
        </w:rPr>
      </w:pPr>
    </w:p>
    <w:p w14:paraId="72D8936E" w14:textId="77777777" w:rsidR="007F6DFD" w:rsidRPr="00D2126A" w:rsidRDefault="000E5A86" w:rsidP="00C93C76">
      <w:pPr>
        <w:pStyle w:val="StyleHeadingLab"/>
      </w:pPr>
      <w:r>
        <w:t>3.</w:t>
      </w:r>
      <w:r>
        <w:tab/>
        <w:t>LISTE DES EXCIPIENTS</w:t>
      </w:r>
    </w:p>
    <w:p w14:paraId="799CDD77" w14:textId="77777777" w:rsidR="007F6DFD" w:rsidRPr="00D2126A" w:rsidRDefault="007F6DFD" w:rsidP="00DB443D">
      <w:pPr>
        <w:keepNext/>
        <w:rPr>
          <w:color w:val="000000"/>
        </w:rPr>
      </w:pPr>
    </w:p>
    <w:p w14:paraId="11E91DD6" w14:textId="77777777" w:rsidR="007F6DFD" w:rsidRPr="00D2126A" w:rsidRDefault="000E5A86" w:rsidP="00C93C76">
      <w:pPr>
        <w:rPr>
          <w:color w:val="000000"/>
        </w:rPr>
      </w:pPr>
      <w:r>
        <w:rPr>
          <w:color w:val="000000"/>
        </w:rPr>
        <w:t>Contient du lactose. Voir la notice pour plus d’informations.</w:t>
      </w:r>
    </w:p>
    <w:p w14:paraId="372A5B1B" w14:textId="77777777" w:rsidR="007F6DFD" w:rsidRPr="00D2126A" w:rsidRDefault="007F6DFD" w:rsidP="00C93C76">
      <w:pPr>
        <w:rPr>
          <w:color w:val="000000"/>
        </w:rPr>
      </w:pPr>
    </w:p>
    <w:p w14:paraId="6EF5F5C5" w14:textId="77777777" w:rsidR="007F6DFD" w:rsidRPr="00D2126A" w:rsidRDefault="007F6DFD" w:rsidP="00C93C76">
      <w:pPr>
        <w:pStyle w:val="Date"/>
        <w:rPr>
          <w:color w:val="000000"/>
        </w:rPr>
      </w:pPr>
    </w:p>
    <w:p w14:paraId="6CE27409" w14:textId="77777777" w:rsidR="007F6DFD" w:rsidRPr="00D2126A" w:rsidRDefault="000E5A86" w:rsidP="00C93C76">
      <w:pPr>
        <w:pStyle w:val="StyleHeadingLab"/>
      </w:pPr>
      <w:r>
        <w:t>4.</w:t>
      </w:r>
      <w:r>
        <w:tab/>
        <w:t>FORME PHARMACEUTIQUE ET CONTENU</w:t>
      </w:r>
    </w:p>
    <w:p w14:paraId="468A65A5" w14:textId="77777777" w:rsidR="007F6DFD" w:rsidRPr="00D2126A" w:rsidRDefault="007F6DFD" w:rsidP="00B33A5A">
      <w:pPr>
        <w:keepNext/>
        <w:rPr>
          <w:color w:val="000000"/>
        </w:rPr>
      </w:pPr>
    </w:p>
    <w:p w14:paraId="466A45D4" w14:textId="21D2988B" w:rsidR="007F6DFD" w:rsidRPr="00D2126A" w:rsidRDefault="000E5A86" w:rsidP="00C93C76">
      <w:pPr>
        <w:rPr>
          <w:color w:val="000000"/>
        </w:rPr>
      </w:pPr>
      <w:r>
        <w:rPr>
          <w:color w:val="000000"/>
        </w:rPr>
        <w:t>7 gélules</w:t>
      </w:r>
    </w:p>
    <w:p w14:paraId="7605BC84" w14:textId="62707C5E" w:rsidR="004D3A2E" w:rsidRPr="00D2126A" w:rsidRDefault="000E5A86" w:rsidP="00C93C76">
      <w:pPr>
        <w:rPr>
          <w:noProof/>
        </w:rPr>
      </w:pPr>
      <w:r>
        <w:rPr>
          <w:highlight w:val="lightGray"/>
        </w:rPr>
        <w:t>21 gélules</w:t>
      </w:r>
    </w:p>
    <w:p w14:paraId="551E0060" w14:textId="77777777" w:rsidR="007F6DFD" w:rsidRPr="00D2126A" w:rsidRDefault="007F6DFD" w:rsidP="00C93C76">
      <w:pPr>
        <w:rPr>
          <w:color w:val="000000"/>
        </w:rPr>
      </w:pPr>
    </w:p>
    <w:p w14:paraId="7B01366B" w14:textId="77777777" w:rsidR="007F6DFD" w:rsidRPr="00D2126A" w:rsidRDefault="007F6DFD" w:rsidP="00C93C76">
      <w:pPr>
        <w:pStyle w:val="Date"/>
        <w:rPr>
          <w:color w:val="000000"/>
        </w:rPr>
      </w:pPr>
    </w:p>
    <w:p w14:paraId="78919503" w14:textId="77777777" w:rsidR="007F6DFD" w:rsidRPr="00D2126A" w:rsidRDefault="000E5A86" w:rsidP="00C93C76">
      <w:pPr>
        <w:pStyle w:val="StyleHeadingLab"/>
      </w:pPr>
      <w:r>
        <w:t>5.</w:t>
      </w:r>
      <w:r>
        <w:tab/>
        <w:t>MODE ET VOIE(S) D’ADMINISTRATION</w:t>
      </w:r>
    </w:p>
    <w:p w14:paraId="040E94E5" w14:textId="77777777" w:rsidR="007F6DFD" w:rsidRPr="00D2126A" w:rsidRDefault="007F6DFD" w:rsidP="00B33A5A">
      <w:pPr>
        <w:keepNext/>
        <w:rPr>
          <w:color w:val="000000"/>
        </w:rPr>
      </w:pPr>
    </w:p>
    <w:p w14:paraId="3E72D1F5" w14:textId="77777777" w:rsidR="007F6DFD" w:rsidRPr="00D2126A" w:rsidRDefault="000E5A86" w:rsidP="00C93C76">
      <w:pPr>
        <w:rPr>
          <w:color w:val="000000"/>
        </w:rPr>
      </w:pPr>
      <w:r>
        <w:rPr>
          <w:color w:val="000000"/>
        </w:rPr>
        <w:t>Voie orale.</w:t>
      </w:r>
    </w:p>
    <w:p w14:paraId="55ED89C1" w14:textId="77777777" w:rsidR="007F6DFD" w:rsidRPr="00D2126A" w:rsidRDefault="007F6DFD" w:rsidP="00C93C76">
      <w:pPr>
        <w:rPr>
          <w:color w:val="000000"/>
        </w:rPr>
      </w:pPr>
    </w:p>
    <w:p w14:paraId="14CAA495" w14:textId="77777777" w:rsidR="007F6DFD" w:rsidRPr="00D2126A" w:rsidRDefault="000E5A86" w:rsidP="00C93C76">
      <w:pPr>
        <w:rPr>
          <w:color w:val="000000"/>
        </w:rPr>
      </w:pPr>
      <w:r>
        <w:rPr>
          <w:color w:val="000000"/>
        </w:rPr>
        <w:t>Lire la notice avant utilisation.</w:t>
      </w:r>
    </w:p>
    <w:p w14:paraId="3D189815" w14:textId="77777777" w:rsidR="007F6DFD" w:rsidRPr="00D2126A" w:rsidRDefault="007F6DFD" w:rsidP="00C93C76">
      <w:pPr>
        <w:rPr>
          <w:color w:val="000000"/>
        </w:rPr>
      </w:pPr>
    </w:p>
    <w:p w14:paraId="738F410E" w14:textId="77777777" w:rsidR="007F6DFD" w:rsidRPr="00D2126A" w:rsidRDefault="007F6DFD" w:rsidP="00C93C76">
      <w:pPr>
        <w:pStyle w:val="Date"/>
        <w:rPr>
          <w:color w:val="000000"/>
        </w:rPr>
      </w:pPr>
    </w:p>
    <w:p w14:paraId="59BFB7B6" w14:textId="77777777" w:rsidR="007F6DFD" w:rsidRPr="00D2126A" w:rsidRDefault="000E5A86" w:rsidP="00C93C76">
      <w:pPr>
        <w:pStyle w:val="StyleHeadingLab"/>
      </w:pPr>
      <w:r>
        <w:t>6.</w:t>
      </w:r>
      <w:r>
        <w:tab/>
        <w:t>MISE EN GARDE SPÉCIALE INDIQUANT QUE LE MÉDICAMENT DOIT ÊTRE CONSERVÉ HORS DE VUE ET DE PORTÉE DES ENFANTS</w:t>
      </w:r>
    </w:p>
    <w:p w14:paraId="2AF7A440" w14:textId="77777777" w:rsidR="007F6DFD" w:rsidRPr="00D2126A" w:rsidRDefault="007F6DFD" w:rsidP="00B33A5A">
      <w:pPr>
        <w:keepNext/>
        <w:rPr>
          <w:color w:val="000000"/>
        </w:rPr>
      </w:pPr>
    </w:p>
    <w:p w14:paraId="7964EAA3" w14:textId="77777777" w:rsidR="007F6DFD" w:rsidRPr="00D2126A" w:rsidRDefault="000E5A86" w:rsidP="00C93C76">
      <w:pPr>
        <w:rPr>
          <w:color w:val="000000"/>
        </w:rPr>
      </w:pPr>
      <w:r>
        <w:rPr>
          <w:color w:val="000000"/>
        </w:rPr>
        <w:t>Tenir hors de la vue et de la portée des enfants.</w:t>
      </w:r>
    </w:p>
    <w:p w14:paraId="2F8A62AE" w14:textId="77777777" w:rsidR="007F6DFD" w:rsidRPr="00D2126A" w:rsidRDefault="007F6DFD" w:rsidP="00C93C76">
      <w:pPr>
        <w:rPr>
          <w:color w:val="000000"/>
        </w:rPr>
      </w:pPr>
    </w:p>
    <w:p w14:paraId="6AF8839A" w14:textId="77777777" w:rsidR="007F6DFD" w:rsidRPr="00D2126A" w:rsidRDefault="007F6DFD" w:rsidP="00C93C76">
      <w:pPr>
        <w:pStyle w:val="Date"/>
        <w:rPr>
          <w:color w:val="000000"/>
        </w:rPr>
      </w:pPr>
    </w:p>
    <w:p w14:paraId="5ADD9558" w14:textId="77777777" w:rsidR="007F6DFD" w:rsidRPr="00D2126A" w:rsidRDefault="000E5A86" w:rsidP="00C93C76">
      <w:pPr>
        <w:pStyle w:val="StyleHeadingLab"/>
      </w:pPr>
      <w:r>
        <w:t>7.</w:t>
      </w:r>
      <w:r>
        <w:tab/>
        <w:t>AUTRE(S) MISE(S) EN GARDE SPÉCIALE(S), SI NÉCESSAIRE</w:t>
      </w:r>
    </w:p>
    <w:p w14:paraId="01B7281D" w14:textId="77777777" w:rsidR="007F6DFD" w:rsidRPr="00D2126A" w:rsidRDefault="007F6DFD" w:rsidP="00B33A5A">
      <w:pPr>
        <w:keepNext/>
        <w:rPr>
          <w:color w:val="000000"/>
        </w:rPr>
      </w:pPr>
    </w:p>
    <w:p w14:paraId="6A8A9D86" w14:textId="77777777" w:rsidR="006E28E9" w:rsidRPr="00D2126A" w:rsidRDefault="000E5A86" w:rsidP="00C93C76">
      <w:pPr>
        <w:rPr>
          <w:bCs/>
          <w:color w:val="000000"/>
        </w:rPr>
      </w:pPr>
      <w:r>
        <w:rPr>
          <w:color w:val="000000"/>
        </w:rPr>
        <w:t>MISE EN GARDE : risque d’anomalies congénitales graves. Ne pas utiliser pendant la grossesse ou l’allaitement.</w:t>
      </w:r>
    </w:p>
    <w:p w14:paraId="62CA1856" w14:textId="77777777" w:rsidR="007F6DFD" w:rsidRPr="00D2126A" w:rsidRDefault="000E5A86" w:rsidP="00C93C76">
      <w:pPr>
        <w:rPr>
          <w:color w:val="000000"/>
        </w:rPr>
      </w:pPr>
      <w:r>
        <w:rPr>
          <w:color w:val="000000"/>
        </w:rPr>
        <w:t>Vous devez suivre le programme de prévention de la grossesse de Revlimid.</w:t>
      </w:r>
    </w:p>
    <w:p w14:paraId="7E149958" w14:textId="77777777" w:rsidR="007F6DFD" w:rsidRPr="00D2126A" w:rsidRDefault="007F6DFD" w:rsidP="00C93C76">
      <w:pPr>
        <w:rPr>
          <w:color w:val="000000"/>
        </w:rPr>
      </w:pPr>
    </w:p>
    <w:p w14:paraId="774BB9B4" w14:textId="77777777" w:rsidR="007F6DFD" w:rsidRPr="00D2126A" w:rsidRDefault="007F6DFD" w:rsidP="00C93C76">
      <w:pPr>
        <w:pStyle w:val="Date"/>
        <w:rPr>
          <w:color w:val="000000"/>
        </w:rPr>
      </w:pPr>
    </w:p>
    <w:p w14:paraId="2F202E98" w14:textId="77777777" w:rsidR="007F6DFD" w:rsidRPr="00D2126A" w:rsidRDefault="000E5A86" w:rsidP="00C93C76">
      <w:pPr>
        <w:pStyle w:val="StyleHeadingLab"/>
      </w:pPr>
      <w:r>
        <w:t>8.</w:t>
      </w:r>
      <w:r>
        <w:tab/>
        <w:t>DATE DE PÉREMPTION</w:t>
      </w:r>
    </w:p>
    <w:p w14:paraId="00A84EF8" w14:textId="77777777" w:rsidR="007F6DFD" w:rsidRPr="00D2126A" w:rsidRDefault="007F6DFD" w:rsidP="00B33A5A">
      <w:pPr>
        <w:keepNext/>
        <w:rPr>
          <w:color w:val="000000"/>
        </w:rPr>
      </w:pPr>
    </w:p>
    <w:p w14:paraId="54265E74" w14:textId="77777777" w:rsidR="00036363" w:rsidRPr="00D2126A" w:rsidRDefault="000E5A86" w:rsidP="00C93C76">
      <w:pPr>
        <w:rPr>
          <w:color w:val="000000"/>
        </w:rPr>
      </w:pPr>
      <w:r>
        <w:rPr>
          <w:color w:val="000000"/>
        </w:rPr>
        <w:t>EXP</w:t>
      </w:r>
    </w:p>
    <w:p w14:paraId="5BC34E76" w14:textId="37F1D934" w:rsidR="008D4EE6" w:rsidRPr="00D2126A" w:rsidRDefault="008D4EE6" w:rsidP="00C93C76">
      <w:pPr>
        <w:pStyle w:val="Date"/>
      </w:pPr>
    </w:p>
    <w:p w14:paraId="6EA5DC75" w14:textId="77777777" w:rsidR="008D4EE6" w:rsidRPr="00D2126A" w:rsidRDefault="008D4EE6" w:rsidP="00C93C76"/>
    <w:p w14:paraId="6C075B4E" w14:textId="77777777" w:rsidR="007F6DFD" w:rsidRPr="00D2126A" w:rsidRDefault="000E5A86" w:rsidP="00C93C76">
      <w:pPr>
        <w:pStyle w:val="StyleHeadingLab"/>
      </w:pPr>
      <w:r>
        <w:t>9.</w:t>
      </w:r>
      <w:r>
        <w:tab/>
        <w:t>PRÉCAUTIONS PARTICULIÈRES DE CONSERVATION</w:t>
      </w:r>
    </w:p>
    <w:p w14:paraId="7146A144" w14:textId="77777777" w:rsidR="007F6DFD" w:rsidRPr="00D2126A" w:rsidRDefault="007F6DFD" w:rsidP="00B33A5A">
      <w:pPr>
        <w:keepNext/>
        <w:rPr>
          <w:color w:val="000000"/>
        </w:rPr>
      </w:pPr>
    </w:p>
    <w:p w14:paraId="3DA59721" w14:textId="77777777" w:rsidR="007F6DFD" w:rsidRPr="00D2126A" w:rsidRDefault="007F6DFD" w:rsidP="00C93C76">
      <w:pPr>
        <w:pStyle w:val="Date"/>
        <w:rPr>
          <w:color w:val="000000"/>
        </w:rPr>
      </w:pPr>
    </w:p>
    <w:p w14:paraId="14A39659" w14:textId="77777777" w:rsidR="007F6DFD" w:rsidRPr="00D2126A" w:rsidRDefault="000E5A86" w:rsidP="00C93C76">
      <w:pPr>
        <w:pStyle w:val="StyleHeadingLab"/>
      </w:pPr>
      <w:r>
        <w:t>10.</w:t>
      </w:r>
      <w:r>
        <w:tab/>
        <w:t>PRÉCAUTIONS PARTICULIÈRES D’ÉLIMINATION DES MÉDICAMENTS NON UTILISÉS OU DES DÉCHETS PROVENANT DE CES MÉDICAMENTS S’IL Y A LIEU</w:t>
      </w:r>
    </w:p>
    <w:p w14:paraId="62CB8123" w14:textId="77777777" w:rsidR="007F6DFD" w:rsidRPr="00D2126A" w:rsidRDefault="007F6DFD" w:rsidP="00B33A5A">
      <w:pPr>
        <w:keepNext/>
        <w:rPr>
          <w:color w:val="000000"/>
        </w:rPr>
      </w:pPr>
    </w:p>
    <w:p w14:paraId="34260D62" w14:textId="77777777" w:rsidR="008D4EE6" w:rsidRPr="00D2126A" w:rsidRDefault="000E5A86" w:rsidP="00C93C76">
      <w:pPr>
        <w:rPr>
          <w:color w:val="000000"/>
        </w:rPr>
      </w:pPr>
      <w:r>
        <w:rPr>
          <w:color w:val="000000"/>
        </w:rPr>
        <w:t>Rapporter les gélules non utilisées à un pharmacien.</w:t>
      </w:r>
    </w:p>
    <w:p w14:paraId="32DC3122" w14:textId="77777777" w:rsidR="007F6DFD" w:rsidRPr="00D2126A" w:rsidRDefault="007F6DFD" w:rsidP="00C93C76">
      <w:pPr>
        <w:rPr>
          <w:color w:val="000000"/>
        </w:rPr>
      </w:pPr>
    </w:p>
    <w:p w14:paraId="4455B899" w14:textId="77777777" w:rsidR="007F6DFD" w:rsidRPr="00D2126A" w:rsidRDefault="007F6DFD" w:rsidP="00C93C76">
      <w:pPr>
        <w:pStyle w:val="Date"/>
        <w:rPr>
          <w:color w:val="000000"/>
        </w:rPr>
      </w:pPr>
    </w:p>
    <w:p w14:paraId="279797DB" w14:textId="77777777" w:rsidR="007F6DFD" w:rsidRPr="00D2126A" w:rsidRDefault="000E5A86" w:rsidP="00C93C76">
      <w:pPr>
        <w:pStyle w:val="StyleHeadingLab"/>
      </w:pPr>
      <w:r>
        <w:t>11.</w:t>
      </w:r>
      <w:r>
        <w:tab/>
        <w:t>NOM ET ADRESSE DU TITULAIRE DE L’AUTORISATION DE MISE SUR LE MARCHÉ</w:t>
      </w:r>
    </w:p>
    <w:p w14:paraId="7DA970F7" w14:textId="77777777" w:rsidR="007F6DFD" w:rsidRPr="00D2126A" w:rsidRDefault="007F6DFD" w:rsidP="00B33A5A">
      <w:pPr>
        <w:keepNext/>
        <w:rPr>
          <w:color w:val="000000"/>
        </w:rPr>
      </w:pPr>
    </w:p>
    <w:p w14:paraId="685FADB6" w14:textId="77777777" w:rsidR="00CB3D9F" w:rsidRPr="00AB0414" w:rsidRDefault="000E5A86" w:rsidP="00B33A5A">
      <w:pPr>
        <w:pStyle w:val="EMEAAddress"/>
        <w:keepNext/>
        <w:rPr>
          <w:lang w:val="en-US"/>
        </w:rPr>
      </w:pPr>
      <w:r w:rsidRPr="00AB0414">
        <w:rPr>
          <w:lang w:val="en-US"/>
        </w:rPr>
        <w:t>Bristol</w:t>
      </w:r>
      <w:r w:rsidRPr="00AB0414">
        <w:rPr>
          <w:lang w:val="en-US"/>
        </w:rPr>
        <w:noBreakHyphen/>
        <w:t>Myers Squibb Pharma EEIG</w:t>
      </w:r>
    </w:p>
    <w:p w14:paraId="3998143B" w14:textId="77777777" w:rsidR="00CB3D9F" w:rsidRPr="00AB0414" w:rsidRDefault="000E5A86" w:rsidP="00B33A5A">
      <w:pPr>
        <w:pStyle w:val="EMEAAddress"/>
        <w:keepNext/>
        <w:rPr>
          <w:lang w:val="en-US"/>
        </w:rPr>
      </w:pPr>
      <w:r w:rsidRPr="00AB0414">
        <w:rPr>
          <w:lang w:val="en-US"/>
        </w:rPr>
        <w:t>Plaza 254</w:t>
      </w:r>
    </w:p>
    <w:p w14:paraId="1A4CF19B" w14:textId="77777777" w:rsidR="00CB3D9F" w:rsidRPr="00AB0414" w:rsidRDefault="000E5A86" w:rsidP="00B33A5A">
      <w:pPr>
        <w:pStyle w:val="EMEAAddress"/>
        <w:keepNext/>
        <w:rPr>
          <w:lang w:val="en-US"/>
        </w:rPr>
      </w:pPr>
      <w:r w:rsidRPr="00AB0414">
        <w:rPr>
          <w:lang w:val="en-US"/>
        </w:rPr>
        <w:t>Blanchardstown Corporate Park 2</w:t>
      </w:r>
    </w:p>
    <w:p w14:paraId="14DD7671" w14:textId="77777777" w:rsidR="00CB3D9F" w:rsidRPr="00AB0414" w:rsidRDefault="000E5A86" w:rsidP="00B33A5A">
      <w:pPr>
        <w:pStyle w:val="EMEAAddress"/>
        <w:keepNext/>
        <w:rPr>
          <w:lang w:val="en-US"/>
        </w:rPr>
      </w:pPr>
      <w:r w:rsidRPr="00AB0414">
        <w:rPr>
          <w:lang w:val="en-US"/>
        </w:rPr>
        <w:t>Dublin 15, D15 T867</w:t>
      </w:r>
    </w:p>
    <w:p w14:paraId="7D4F9F7E" w14:textId="77777777" w:rsidR="00036363" w:rsidRPr="00D2126A" w:rsidRDefault="000E5A86" w:rsidP="00B33A5A">
      <w:pPr>
        <w:keepNext/>
      </w:pPr>
      <w:r>
        <w:t>Irlande</w:t>
      </w:r>
    </w:p>
    <w:p w14:paraId="48635C08" w14:textId="5F027BAE" w:rsidR="007F6DFD" w:rsidRPr="00D2126A" w:rsidRDefault="007F6DFD" w:rsidP="00B33A5A">
      <w:pPr>
        <w:rPr>
          <w:color w:val="000000"/>
        </w:rPr>
      </w:pPr>
    </w:p>
    <w:p w14:paraId="26CE7DC4" w14:textId="77777777" w:rsidR="007F6DFD" w:rsidRPr="00D2126A" w:rsidRDefault="007F6DFD" w:rsidP="00C93C76">
      <w:pPr>
        <w:pStyle w:val="Date"/>
        <w:rPr>
          <w:color w:val="000000"/>
        </w:rPr>
      </w:pPr>
    </w:p>
    <w:p w14:paraId="5ABBA064" w14:textId="77777777" w:rsidR="007F6DFD" w:rsidRPr="00D2126A" w:rsidRDefault="000E5A86" w:rsidP="00C93C76">
      <w:pPr>
        <w:pStyle w:val="StyleHeadingLab"/>
      </w:pPr>
      <w:r>
        <w:t>12.</w:t>
      </w:r>
      <w:r>
        <w:tab/>
        <w:t>NUMÉRO(S) D’AUTORISATION DE MISE SUR LE MARCHÉ</w:t>
      </w:r>
    </w:p>
    <w:p w14:paraId="6B051483" w14:textId="77777777" w:rsidR="007F6DFD" w:rsidRPr="00D2126A" w:rsidRDefault="007F6DFD" w:rsidP="00B33A5A">
      <w:pPr>
        <w:keepNext/>
        <w:rPr>
          <w:color w:val="000000"/>
        </w:rPr>
      </w:pPr>
    </w:p>
    <w:p w14:paraId="3CF0CCEB" w14:textId="4DDFC43F" w:rsidR="00601714" w:rsidRPr="00156723" w:rsidRDefault="000E5A86" w:rsidP="00C96725">
      <w:r>
        <w:t xml:space="preserve">EU/1/07/391/011 </w:t>
      </w:r>
      <w:r>
        <w:rPr>
          <w:highlight w:val="lightGray"/>
        </w:rPr>
        <w:t>7 gélules</w:t>
      </w:r>
    </w:p>
    <w:p w14:paraId="7CF2196D" w14:textId="540D297A" w:rsidR="007F6DFD" w:rsidRPr="00156723" w:rsidRDefault="000E5A86" w:rsidP="00C96725">
      <w:r>
        <w:rPr>
          <w:highlight w:val="lightGray"/>
        </w:rPr>
        <w:t>EU/1/07/391/003 21 gélules</w:t>
      </w:r>
    </w:p>
    <w:p w14:paraId="4C07B749" w14:textId="77777777" w:rsidR="007F6DFD" w:rsidRPr="00156723" w:rsidRDefault="007F6DFD" w:rsidP="00C93C76">
      <w:pPr>
        <w:rPr>
          <w:color w:val="000000"/>
        </w:rPr>
      </w:pPr>
    </w:p>
    <w:p w14:paraId="5F0F57F0" w14:textId="77777777" w:rsidR="007F6DFD" w:rsidRPr="00156723" w:rsidRDefault="007F6DFD" w:rsidP="00C93C76">
      <w:pPr>
        <w:pStyle w:val="Date"/>
        <w:rPr>
          <w:color w:val="000000"/>
        </w:rPr>
      </w:pPr>
    </w:p>
    <w:p w14:paraId="6AAD8C05" w14:textId="77777777" w:rsidR="007F6DFD" w:rsidRPr="00D2126A" w:rsidRDefault="000E5A86" w:rsidP="00C93C76">
      <w:pPr>
        <w:pStyle w:val="StyleHeadingLab"/>
      </w:pPr>
      <w:r>
        <w:t>13.</w:t>
      </w:r>
      <w:r>
        <w:tab/>
        <w:t>NUMÉRO DU LOT</w:t>
      </w:r>
    </w:p>
    <w:p w14:paraId="1EE182FF" w14:textId="77777777" w:rsidR="007F6DFD" w:rsidRPr="00D2126A" w:rsidRDefault="007F6DFD" w:rsidP="00B33A5A">
      <w:pPr>
        <w:keepNext/>
        <w:rPr>
          <w:iCs/>
          <w:color w:val="000000"/>
        </w:rPr>
      </w:pPr>
    </w:p>
    <w:p w14:paraId="4C6B28AF" w14:textId="77777777" w:rsidR="007F6DFD" w:rsidRPr="00D2126A" w:rsidRDefault="000E5A86" w:rsidP="00C93C76">
      <w:pPr>
        <w:rPr>
          <w:color w:val="000000"/>
        </w:rPr>
      </w:pPr>
      <w:r>
        <w:rPr>
          <w:color w:val="000000"/>
        </w:rPr>
        <w:t>Lot</w:t>
      </w:r>
    </w:p>
    <w:p w14:paraId="46049651" w14:textId="77777777" w:rsidR="007F6DFD" w:rsidRPr="00D2126A" w:rsidRDefault="007F6DFD" w:rsidP="00C93C76">
      <w:pPr>
        <w:rPr>
          <w:color w:val="000000"/>
        </w:rPr>
      </w:pPr>
    </w:p>
    <w:p w14:paraId="39078BF9" w14:textId="77777777" w:rsidR="007F6DFD" w:rsidRPr="00D2126A" w:rsidRDefault="007F6DFD" w:rsidP="00C93C76">
      <w:pPr>
        <w:pStyle w:val="Date"/>
        <w:rPr>
          <w:color w:val="000000"/>
        </w:rPr>
      </w:pPr>
    </w:p>
    <w:p w14:paraId="7191B488" w14:textId="77777777" w:rsidR="007F6DFD" w:rsidRPr="00D2126A" w:rsidRDefault="000E5A86" w:rsidP="00C93C76">
      <w:pPr>
        <w:pStyle w:val="StyleHeadingLab"/>
      </w:pPr>
      <w:r>
        <w:t>14.</w:t>
      </w:r>
      <w:r>
        <w:tab/>
        <w:t>CONDITIONS DE PRESCRIPTION ET DE DÉLIVRANCE</w:t>
      </w:r>
    </w:p>
    <w:p w14:paraId="7DC7C6E1" w14:textId="77777777" w:rsidR="007F6DFD" w:rsidRPr="00D2126A" w:rsidRDefault="007F6DFD" w:rsidP="00B33A5A">
      <w:pPr>
        <w:keepNext/>
        <w:rPr>
          <w:color w:val="000000"/>
        </w:rPr>
      </w:pPr>
    </w:p>
    <w:p w14:paraId="7425A124" w14:textId="77777777" w:rsidR="007F6DFD" w:rsidRPr="00D2126A" w:rsidRDefault="007F6DFD" w:rsidP="00C93C76">
      <w:pPr>
        <w:pStyle w:val="Date"/>
        <w:rPr>
          <w:color w:val="000000"/>
        </w:rPr>
      </w:pPr>
    </w:p>
    <w:p w14:paraId="62A3E893" w14:textId="77777777" w:rsidR="007F6DFD" w:rsidRPr="00D2126A" w:rsidRDefault="000E5A86" w:rsidP="00C93C76">
      <w:pPr>
        <w:pStyle w:val="StyleHeadingLab"/>
      </w:pPr>
      <w:r>
        <w:t>15.</w:t>
      </w:r>
      <w:r>
        <w:tab/>
        <w:t>INDICATIONS D’UTILISATION</w:t>
      </w:r>
    </w:p>
    <w:p w14:paraId="451E2B0A" w14:textId="77777777" w:rsidR="007F6DFD" w:rsidRPr="00D2126A" w:rsidRDefault="007F6DFD" w:rsidP="00B33A5A">
      <w:pPr>
        <w:keepNext/>
        <w:rPr>
          <w:bCs/>
          <w:color w:val="000000"/>
        </w:rPr>
      </w:pPr>
    </w:p>
    <w:p w14:paraId="3165FE18" w14:textId="77777777" w:rsidR="007F6DFD" w:rsidRPr="00D2126A" w:rsidRDefault="007F6DFD" w:rsidP="00C93C76">
      <w:pPr>
        <w:rPr>
          <w:color w:val="000000"/>
        </w:rPr>
      </w:pPr>
    </w:p>
    <w:p w14:paraId="30D1A1EE" w14:textId="77777777" w:rsidR="007F6DFD" w:rsidRPr="00D2126A" w:rsidRDefault="000E5A86" w:rsidP="00C93C76">
      <w:pPr>
        <w:pStyle w:val="StyleHeadingLab"/>
      </w:pPr>
      <w:r>
        <w:t>16.</w:t>
      </w:r>
      <w:r>
        <w:tab/>
        <w:t>INFORMATIONS EN BRAILLE</w:t>
      </w:r>
    </w:p>
    <w:p w14:paraId="753DFEAD" w14:textId="77777777" w:rsidR="007F6DFD" w:rsidRPr="00D2126A" w:rsidRDefault="007F6DFD" w:rsidP="00B33A5A">
      <w:pPr>
        <w:keepNext/>
        <w:rPr>
          <w:color w:val="000000"/>
        </w:rPr>
      </w:pPr>
    </w:p>
    <w:p w14:paraId="66601D2B" w14:textId="77777777" w:rsidR="00AE7BC4" w:rsidRPr="00D2126A" w:rsidRDefault="000E5A86" w:rsidP="00B33A5A">
      <w:pPr>
        <w:pStyle w:val="Date"/>
        <w:keepNext/>
        <w:rPr>
          <w:color w:val="000000"/>
        </w:rPr>
      </w:pPr>
      <w:r>
        <w:rPr>
          <w:color w:val="000000"/>
        </w:rPr>
        <w:t>Revlimid 15 mg</w:t>
      </w:r>
    </w:p>
    <w:p w14:paraId="104BF13C" w14:textId="77777777" w:rsidR="008D4EE6" w:rsidRPr="00D2126A" w:rsidRDefault="008D4EE6" w:rsidP="00B33A5A">
      <w:pPr>
        <w:pStyle w:val="Date"/>
        <w:keepNext/>
      </w:pPr>
    </w:p>
    <w:p w14:paraId="4C7252E1" w14:textId="77777777" w:rsidR="00C853A4" w:rsidRPr="00D2126A" w:rsidRDefault="00C853A4" w:rsidP="00C93C76">
      <w:pPr>
        <w:rPr>
          <w:noProof/>
          <w:shd w:val="clear" w:color="auto" w:fill="CCCCCC"/>
        </w:rPr>
      </w:pPr>
    </w:p>
    <w:p w14:paraId="58E25189" w14:textId="77777777" w:rsidR="00C853A4" w:rsidRPr="00D2126A" w:rsidRDefault="000E5A86" w:rsidP="00C93C76">
      <w:pPr>
        <w:pStyle w:val="StyleHeadingLab"/>
        <w:rPr>
          <w:i/>
          <w:noProof/>
        </w:rPr>
      </w:pPr>
      <w:r>
        <w:t>17.</w:t>
      </w:r>
      <w:r>
        <w:tab/>
        <w:t>IDENTIFIANT UNIQUE - CODE</w:t>
      </w:r>
      <w:r>
        <w:noBreakHyphen/>
        <w:t>BARRES 2D</w:t>
      </w:r>
    </w:p>
    <w:p w14:paraId="7D5EDFC4" w14:textId="77777777" w:rsidR="00C853A4" w:rsidRPr="00D2126A" w:rsidRDefault="00C853A4" w:rsidP="00B33A5A">
      <w:pPr>
        <w:keepNext/>
        <w:rPr>
          <w:noProof/>
        </w:rPr>
      </w:pPr>
    </w:p>
    <w:p w14:paraId="3BBB4ABB" w14:textId="47A10677" w:rsidR="00C853A4" w:rsidRPr="00D2126A" w:rsidRDefault="000E5A86" w:rsidP="00C93C76">
      <w:pPr>
        <w:pStyle w:val="Date"/>
        <w:rPr>
          <w:noProof/>
        </w:rPr>
      </w:pPr>
      <w:r>
        <w:rPr>
          <w:highlight w:val="lightGray"/>
        </w:rPr>
        <w:t>Code</w:t>
      </w:r>
      <w:r>
        <w:rPr>
          <w:highlight w:val="lightGray"/>
        </w:rPr>
        <w:noBreakHyphen/>
        <w:t>barres 2D portant l'identifiant unique inclus.</w:t>
      </w:r>
    </w:p>
    <w:p w14:paraId="1B2EAA66" w14:textId="77777777" w:rsidR="00C853A4" w:rsidRPr="00D2126A" w:rsidRDefault="00C853A4" w:rsidP="00C93C76"/>
    <w:p w14:paraId="684BC2F3" w14:textId="77777777" w:rsidR="00C853A4" w:rsidRPr="00D2126A" w:rsidRDefault="00C853A4" w:rsidP="00C93C76"/>
    <w:p w14:paraId="3D82D173" w14:textId="77777777" w:rsidR="00C853A4" w:rsidRPr="00D2126A" w:rsidRDefault="000E5A86" w:rsidP="00C93C76">
      <w:pPr>
        <w:pStyle w:val="StyleHeadingLab"/>
        <w:rPr>
          <w:i/>
          <w:noProof/>
        </w:rPr>
      </w:pPr>
      <w:r>
        <w:t>18.</w:t>
      </w:r>
      <w:r>
        <w:tab/>
        <w:t>IDENTIFIANT UNIQUE - DONNÉES LISIBLES PAR LES HUMAINS</w:t>
      </w:r>
    </w:p>
    <w:p w14:paraId="5EA9F534" w14:textId="77777777" w:rsidR="00C853A4" w:rsidRPr="00D2126A" w:rsidRDefault="00C853A4" w:rsidP="00B33A5A">
      <w:pPr>
        <w:pStyle w:val="Date"/>
        <w:keepNext/>
      </w:pPr>
    </w:p>
    <w:p w14:paraId="3930B038" w14:textId="46FEE964" w:rsidR="00C853A4" w:rsidRPr="00D2126A" w:rsidRDefault="000E5A86" w:rsidP="00B33A5A">
      <w:pPr>
        <w:keepNext/>
      </w:pPr>
      <w:r>
        <w:t>PC</w:t>
      </w:r>
    </w:p>
    <w:p w14:paraId="1BE53681" w14:textId="3C4C7972" w:rsidR="00C853A4" w:rsidRPr="00D2126A" w:rsidRDefault="000E5A86" w:rsidP="00B33A5A">
      <w:pPr>
        <w:keepNext/>
      </w:pPr>
      <w:r>
        <w:t>SN</w:t>
      </w:r>
    </w:p>
    <w:p w14:paraId="4368A464" w14:textId="5CDBD544" w:rsidR="00C853A4" w:rsidRPr="00D2126A" w:rsidRDefault="000E5A86" w:rsidP="00B33A5A">
      <w:pPr>
        <w:keepNext/>
      </w:pPr>
      <w:r>
        <w:t>NN</w:t>
      </w:r>
    </w:p>
    <w:p w14:paraId="20776CA4" w14:textId="77777777" w:rsidR="00C853A4" w:rsidRPr="00D2126A" w:rsidRDefault="00C853A4" w:rsidP="00B17EDE">
      <w:pPr>
        <w:pStyle w:val="Date"/>
      </w:pPr>
    </w:p>
    <w:p w14:paraId="41214E07" w14:textId="2203F6FA" w:rsidR="007F6DFD" w:rsidRPr="00D2126A" w:rsidRDefault="000E5A86" w:rsidP="00B33A5A">
      <w:pPr>
        <w:keepNext/>
        <w:pBdr>
          <w:top w:val="single" w:sz="4" w:space="1" w:color="auto"/>
          <w:left w:val="single" w:sz="4" w:space="1" w:color="auto"/>
          <w:right w:val="single" w:sz="4" w:space="1" w:color="auto"/>
        </w:pBdr>
        <w:rPr>
          <w:b/>
          <w:color w:val="000000"/>
        </w:rPr>
      </w:pPr>
      <w:r>
        <w:br w:type="page"/>
      </w:r>
      <w:r>
        <w:rPr>
          <w:b/>
          <w:color w:val="000000"/>
        </w:rPr>
        <w:t>MENTIONS MINIMALES DEVANT FIGURER SUR LES PLAQUETTES OU LES FILMS THERMOSOUDÉS</w:t>
      </w:r>
    </w:p>
    <w:p w14:paraId="35BB3D22" w14:textId="77777777" w:rsidR="007F6DFD" w:rsidRPr="00D2126A" w:rsidRDefault="007F6DFD" w:rsidP="00B33A5A">
      <w:pPr>
        <w:pStyle w:val="Date"/>
        <w:keepNext/>
        <w:pBdr>
          <w:left w:val="single" w:sz="4" w:space="1" w:color="auto"/>
          <w:bottom w:val="single" w:sz="4" w:space="1" w:color="auto"/>
          <w:right w:val="single" w:sz="4" w:space="1" w:color="auto"/>
        </w:pBdr>
        <w:rPr>
          <w:color w:val="000000"/>
        </w:rPr>
      </w:pPr>
    </w:p>
    <w:p w14:paraId="6B250BFA" w14:textId="77777777" w:rsidR="007F6DFD"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PLAQUETTES</w:t>
      </w:r>
    </w:p>
    <w:p w14:paraId="074972BB" w14:textId="77777777" w:rsidR="007F6DFD" w:rsidRPr="00D2126A" w:rsidRDefault="007F6DFD" w:rsidP="00B33A5A">
      <w:pPr>
        <w:keepNext/>
        <w:rPr>
          <w:bCs/>
          <w:color w:val="000000"/>
        </w:rPr>
      </w:pPr>
    </w:p>
    <w:p w14:paraId="27C31B9E" w14:textId="77777777" w:rsidR="007F6DFD" w:rsidRPr="00D2126A" w:rsidRDefault="007F6DFD" w:rsidP="00C93C76">
      <w:pPr>
        <w:rPr>
          <w:color w:val="000000"/>
        </w:rPr>
      </w:pPr>
    </w:p>
    <w:p w14:paraId="03075245" w14:textId="77777777" w:rsidR="007F6DFD" w:rsidRPr="00D2126A" w:rsidRDefault="000E5A86" w:rsidP="00C93C76">
      <w:pPr>
        <w:pStyle w:val="StyleHeadingLab"/>
      </w:pPr>
      <w:r>
        <w:t>1.</w:t>
      </w:r>
      <w:r>
        <w:tab/>
        <w:t>DÉNOMINATION DU MÉDICAMENT</w:t>
      </w:r>
    </w:p>
    <w:p w14:paraId="4AEBDAB0" w14:textId="77777777" w:rsidR="007F6DFD" w:rsidRPr="00D2126A" w:rsidRDefault="007F6DFD" w:rsidP="00B33A5A">
      <w:pPr>
        <w:keepNext/>
        <w:ind w:left="567" w:hanging="567"/>
        <w:rPr>
          <w:color w:val="000000"/>
        </w:rPr>
      </w:pPr>
    </w:p>
    <w:p w14:paraId="55315F91" w14:textId="77777777" w:rsidR="007F6DFD" w:rsidRPr="00D2126A" w:rsidRDefault="000E5A86" w:rsidP="00C93C76">
      <w:pPr>
        <w:rPr>
          <w:color w:val="000000"/>
        </w:rPr>
      </w:pPr>
      <w:r>
        <w:rPr>
          <w:color w:val="000000"/>
        </w:rPr>
        <w:t>Revlimid 15 mg gélules</w:t>
      </w:r>
    </w:p>
    <w:p w14:paraId="622C0F0C" w14:textId="77777777" w:rsidR="007F6DFD" w:rsidRPr="00D2126A" w:rsidRDefault="000E5A86" w:rsidP="00C93C76">
      <w:pPr>
        <w:rPr>
          <w:color w:val="000000"/>
        </w:rPr>
      </w:pPr>
      <w:r>
        <w:rPr>
          <w:color w:val="000000"/>
        </w:rPr>
        <w:t>lénalidomide</w:t>
      </w:r>
    </w:p>
    <w:p w14:paraId="4F4A233D" w14:textId="77777777" w:rsidR="007F6DFD" w:rsidRPr="00D2126A" w:rsidRDefault="007F6DFD" w:rsidP="00C93C76">
      <w:pPr>
        <w:rPr>
          <w:color w:val="000000"/>
        </w:rPr>
      </w:pPr>
    </w:p>
    <w:p w14:paraId="6A36B9DE" w14:textId="77777777" w:rsidR="007F6DFD" w:rsidRPr="00D2126A" w:rsidRDefault="007F6DFD" w:rsidP="00C93C76">
      <w:pPr>
        <w:pStyle w:val="Date"/>
        <w:rPr>
          <w:color w:val="000000"/>
        </w:rPr>
      </w:pPr>
    </w:p>
    <w:p w14:paraId="50856A44" w14:textId="77777777" w:rsidR="007F6DFD" w:rsidRPr="00D2126A" w:rsidRDefault="000E5A86" w:rsidP="00C93C76">
      <w:pPr>
        <w:pStyle w:val="StyleHeadingLab"/>
      </w:pPr>
      <w:r>
        <w:t>2.</w:t>
      </w:r>
      <w:r>
        <w:tab/>
        <w:t>NOM DU TITULAIRE DE L’AUTORISATION DE MISE SUR LE MARCHÉ</w:t>
      </w:r>
    </w:p>
    <w:p w14:paraId="294A8CC5" w14:textId="77777777" w:rsidR="007F6DFD" w:rsidRPr="00D2126A" w:rsidRDefault="007F6DFD" w:rsidP="00B33A5A">
      <w:pPr>
        <w:keepNext/>
        <w:rPr>
          <w:color w:val="000000"/>
        </w:rPr>
      </w:pPr>
    </w:p>
    <w:p w14:paraId="2C0721C8" w14:textId="77777777" w:rsidR="00CB3D9F" w:rsidRPr="00D2126A" w:rsidRDefault="000E5A86" w:rsidP="00C93C76">
      <w:pPr>
        <w:pStyle w:val="EMEAAddress"/>
      </w:pPr>
      <w:r>
        <w:t>Bristol</w:t>
      </w:r>
      <w:r>
        <w:noBreakHyphen/>
        <w:t>Myers Squibb Pharma EEIG</w:t>
      </w:r>
    </w:p>
    <w:p w14:paraId="28A7C2AF" w14:textId="77777777" w:rsidR="007F6DFD" w:rsidRPr="00D2126A" w:rsidRDefault="007F6DFD" w:rsidP="00C93C76">
      <w:pPr>
        <w:rPr>
          <w:color w:val="000000"/>
        </w:rPr>
      </w:pPr>
    </w:p>
    <w:p w14:paraId="46E482EC" w14:textId="77777777" w:rsidR="007F6DFD" w:rsidRPr="00D2126A" w:rsidRDefault="007F6DFD" w:rsidP="00C93C76">
      <w:pPr>
        <w:pStyle w:val="Date"/>
        <w:rPr>
          <w:color w:val="000000"/>
        </w:rPr>
      </w:pPr>
    </w:p>
    <w:p w14:paraId="477F7F49" w14:textId="77777777" w:rsidR="007F6DFD" w:rsidRPr="00D2126A" w:rsidRDefault="000E5A86" w:rsidP="00C93C76">
      <w:pPr>
        <w:pStyle w:val="StyleHeadingLab"/>
      </w:pPr>
      <w:r>
        <w:t>3.</w:t>
      </w:r>
      <w:r>
        <w:tab/>
        <w:t>DATE DE PÉREMPTION</w:t>
      </w:r>
    </w:p>
    <w:p w14:paraId="0142EE69" w14:textId="77777777" w:rsidR="007F6DFD" w:rsidRPr="00D2126A" w:rsidRDefault="007F6DFD" w:rsidP="00B33A5A">
      <w:pPr>
        <w:keepNext/>
        <w:rPr>
          <w:iCs/>
          <w:color w:val="000000"/>
        </w:rPr>
      </w:pPr>
    </w:p>
    <w:p w14:paraId="7FC0F248" w14:textId="77777777" w:rsidR="007F6DFD" w:rsidRPr="00D2126A" w:rsidRDefault="000E5A86" w:rsidP="00C93C76">
      <w:pPr>
        <w:rPr>
          <w:color w:val="000000"/>
        </w:rPr>
      </w:pPr>
      <w:r>
        <w:rPr>
          <w:color w:val="000000"/>
        </w:rPr>
        <w:t>EXP</w:t>
      </w:r>
    </w:p>
    <w:p w14:paraId="281BA095" w14:textId="77777777" w:rsidR="007F6DFD" w:rsidRPr="00D2126A" w:rsidRDefault="007F6DFD" w:rsidP="00C93C76">
      <w:pPr>
        <w:rPr>
          <w:color w:val="000000"/>
        </w:rPr>
      </w:pPr>
    </w:p>
    <w:p w14:paraId="46EC2CD9" w14:textId="77777777" w:rsidR="007F6DFD" w:rsidRPr="00D2126A" w:rsidRDefault="007F6DFD" w:rsidP="00C93C76">
      <w:pPr>
        <w:pStyle w:val="Date"/>
        <w:rPr>
          <w:color w:val="000000"/>
        </w:rPr>
      </w:pPr>
    </w:p>
    <w:p w14:paraId="6D816DED" w14:textId="77777777" w:rsidR="007F6DFD" w:rsidRPr="00D2126A" w:rsidRDefault="000E5A86" w:rsidP="00C93C76">
      <w:pPr>
        <w:pStyle w:val="StyleHeadingLab"/>
      </w:pPr>
      <w:r>
        <w:t>4.</w:t>
      </w:r>
      <w:r>
        <w:tab/>
        <w:t>NUMÉRO DU LOT</w:t>
      </w:r>
    </w:p>
    <w:p w14:paraId="196308EC" w14:textId="77777777" w:rsidR="007F6DFD" w:rsidRPr="00D2126A" w:rsidRDefault="007F6DFD" w:rsidP="00B33A5A">
      <w:pPr>
        <w:keepNext/>
        <w:rPr>
          <w:iCs/>
          <w:color w:val="000000"/>
        </w:rPr>
      </w:pPr>
    </w:p>
    <w:p w14:paraId="075A07E6" w14:textId="77777777" w:rsidR="007F6DFD" w:rsidRPr="00D2126A" w:rsidRDefault="000E5A86" w:rsidP="00C93C76">
      <w:pPr>
        <w:rPr>
          <w:color w:val="000000"/>
        </w:rPr>
      </w:pPr>
      <w:r>
        <w:rPr>
          <w:color w:val="000000"/>
        </w:rPr>
        <w:t>Lot</w:t>
      </w:r>
    </w:p>
    <w:p w14:paraId="23EDC4F1" w14:textId="77777777" w:rsidR="007F6DFD" w:rsidRPr="00D2126A" w:rsidRDefault="007F6DFD" w:rsidP="00C93C76">
      <w:pPr>
        <w:rPr>
          <w:bCs/>
          <w:color w:val="000000"/>
        </w:rPr>
      </w:pPr>
    </w:p>
    <w:p w14:paraId="73A928D7" w14:textId="77777777" w:rsidR="007F6DFD" w:rsidRPr="00D2126A" w:rsidRDefault="007F6DFD" w:rsidP="00C93C76">
      <w:pPr>
        <w:pStyle w:val="Date"/>
        <w:rPr>
          <w:color w:val="000000"/>
        </w:rPr>
      </w:pPr>
    </w:p>
    <w:p w14:paraId="3B90B166" w14:textId="52475BD6" w:rsidR="007F6DFD" w:rsidRPr="00D2126A" w:rsidRDefault="000E5A86" w:rsidP="00C93C76">
      <w:pPr>
        <w:pStyle w:val="StyleHeadingLab"/>
      </w:pPr>
      <w:r>
        <w:t>5.</w:t>
      </w:r>
      <w:r>
        <w:tab/>
        <w:t>AUTRE</w:t>
      </w:r>
    </w:p>
    <w:p w14:paraId="38F2621C" w14:textId="77777777" w:rsidR="001120BE" w:rsidRPr="00D2126A" w:rsidRDefault="001120BE" w:rsidP="00B33A5A">
      <w:pPr>
        <w:keepNext/>
        <w:rPr>
          <w:bCs/>
          <w:color w:val="000000"/>
        </w:rPr>
      </w:pPr>
    </w:p>
    <w:p w14:paraId="45AA8DA9" w14:textId="77777777" w:rsidR="001120BE" w:rsidRPr="00D2126A" w:rsidRDefault="001120BE" w:rsidP="00C93C76">
      <w:pPr>
        <w:rPr>
          <w:bCs/>
          <w:color w:val="000000"/>
        </w:rPr>
      </w:pPr>
    </w:p>
    <w:p w14:paraId="7139ADC3" w14:textId="59A231BB" w:rsidR="00A53FD2" w:rsidRPr="00D2126A" w:rsidRDefault="000E5A86" w:rsidP="00B33A5A">
      <w:pPr>
        <w:pStyle w:val="Date"/>
        <w:keepNext/>
        <w:pBdr>
          <w:top w:val="single" w:sz="4" w:space="1" w:color="auto"/>
          <w:left w:val="single" w:sz="4" w:space="1" w:color="auto"/>
          <w:right w:val="single" w:sz="4" w:space="1" w:color="auto"/>
        </w:pBdr>
        <w:rPr>
          <w:b/>
          <w:color w:val="000000"/>
        </w:rPr>
      </w:pPr>
      <w:r>
        <w:br w:type="page"/>
      </w:r>
      <w:r>
        <w:rPr>
          <w:b/>
          <w:color w:val="000000"/>
        </w:rPr>
        <w:t>MENTIONS DEVANT FIGURER SUR L’EMBALLAGE EXTÉRIEUR</w:t>
      </w:r>
    </w:p>
    <w:p w14:paraId="28AC8CE7" w14:textId="77777777" w:rsidR="00EE1093" w:rsidRPr="00D2126A" w:rsidRDefault="00EE1093" w:rsidP="00B33A5A">
      <w:pPr>
        <w:keepNext/>
        <w:pBdr>
          <w:left w:val="single" w:sz="4" w:space="1" w:color="auto"/>
          <w:right w:val="single" w:sz="4" w:space="1" w:color="auto"/>
        </w:pBdr>
      </w:pPr>
    </w:p>
    <w:p w14:paraId="4CCBFFC2" w14:textId="77777777" w:rsidR="00072932"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BOÎTE</w:t>
      </w:r>
    </w:p>
    <w:p w14:paraId="491FA14C" w14:textId="77777777" w:rsidR="00072932" w:rsidRPr="00D2126A" w:rsidRDefault="00072932" w:rsidP="00B33A5A">
      <w:pPr>
        <w:keepNext/>
        <w:rPr>
          <w:color w:val="000000"/>
        </w:rPr>
      </w:pPr>
    </w:p>
    <w:p w14:paraId="5A8FF836" w14:textId="77777777" w:rsidR="00EE1093" w:rsidRPr="00D2126A" w:rsidRDefault="00EE1093" w:rsidP="00C93C76">
      <w:pPr>
        <w:pStyle w:val="Date"/>
      </w:pPr>
    </w:p>
    <w:p w14:paraId="5D7BC90F" w14:textId="77777777" w:rsidR="00072932" w:rsidRPr="00D2126A" w:rsidRDefault="000E5A86" w:rsidP="00C93C76">
      <w:pPr>
        <w:pStyle w:val="StyleHeadingLab"/>
      </w:pPr>
      <w:r>
        <w:t>1.</w:t>
      </w:r>
      <w:r>
        <w:tab/>
        <w:t>DÉNOMINATION DU MÉDICAMENT</w:t>
      </w:r>
    </w:p>
    <w:p w14:paraId="70DD263A" w14:textId="77777777" w:rsidR="00072932" w:rsidRPr="00D2126A" w:rsidRDefault="00072932" w:rsidP="00B33A5A">
      <w:pPr>
        <w:keepNext/>
        <w:rPr>
          <w:color w:val="000000"/>
        </w:rPr>
      </w:pPr>
    </w:p>
    <w:p w14:paraId="6F1080D8" w14:textId="77777777" w:rsidR="00072932" w:rsidRPr="00D2126A" w:rsidRDefault="000E5A86" w:rsidP="00C93C76">
      <w:pPr>
        <w:rPr>
          <w:color w:val="000000"/>
        </w:rPr>
      </w:pPr>
      <w:r>
        <w:rPr>
          <w:color w:val="000000"/>
        </w:rPr>
        <w:t>Revlimid 20 mg gélules</w:t>
      </w:r>
    </w:p>
    <w:p w14:paraId="672BCF62" w14:textId="77777777" w:rsidR="00072932" w:rsidRPr="00D2126A" w:rsidRDefault="000E5A86" w:rsidP="00C93C76">
      <w:pPr>
        <w:rPr>
          <w:color w:val="000000"/>
        </w:rPr>
      </w:pPr>
      <w:r>
        <w:rPr>
          <w:color w:val="000000"/>
        </w:rPr>
        <w:t>lénalidomide</w:t>
      </w:r>
    </w:p>
    <w:p w14:paraId="16BFD89E" w14:textId="77777777" w:rsidR="00072932" w:rsidRPr="00D2126A" w:rsidRDefault="00072932" w:rsidP="00C93C76">
      <w:pPr>
        <w:rPr>
          <w:color w:val="000000"/>
        </w:rPr>
      </w:pPr>
    </w:p>
    <w:p w14:paraId="58E5DC18" w14:textId="77777777" w:rsidR="00072932" w:rsidRPr="00D2126A" w:rsidRDefault="00072932" w:rsidP="00C93C76">
      <w:pPr>
        <w:pStyle w:val="Date"/>
        <w:rPr>
          <w:color w:val="000000"/>
        </w:rPr>
      </w:pPr>
    </w:p>
    <w:p w14:paraId="0539757D" w14:textId="77777777" w:rsidR="00072932" w:rsidRPr="00D2126A" w:rsidRDefault="000E5A86" w:rsidP="00C93C76">
      <w:pPr>
        <w:pStyle w:val="StyleHeadingLab"/>
      </w:pPr>
      <w:r>
        <w:t>2.</w:t>
      </w:r>
      <w:r>
        <w:tab/>
        <w:t>COMPOSITION EN SUBSTANCE(S) ACTIVE(S)</w:t>
      </w:r>
    </w:p>
    <w:p w14:paraId="085CFE0D" w14:textId="77777777" w:rsidR="00072932" w:rsidRPr="00D2126A" w:rsidRDefault="00072932" w:rsidP="00B33A5A">
      <w:pPr>
        <w:keepNext/>
        <w:rPr>
          <w:color w:val="000000"/>
        </w:rPr>
      </w:pPr>
    </w:p>
    <w:p w14:paraId="728AF0B1" w14:textId="77777777" w:rsidR="00072932" w:rsidRPr="00D2126A" w:rsidRDefault="000E5A86" w:rsidP="00C93C76">
      <w:pPr>
        <w:rPr>
          <w:color w:val="000000"/>
        </w:rPr>
      </w:pPr>
      <w:r>
        <w:rPr>
          <w:color w:val="000000"/>
        </w:rPr>
        <w:t>Chaque gélule contient 20 mg de lénalidomide.</w:t>
      </w:r>
    </w:p>
    <w:p w14:paraId="5740AA70" w14:textId="77777777" w:rsidR="00072932" w:rsidRPr="00D2126A" w:rsidRDefault="00072932" w:rsidP="00C93C76">
      <w:pPr>
        <w:rPr>
          <w:color w:val="000000"/>
        </w:rPr>
      </w:pPr>
    </w:p>
    <w:p w14:paraId="66D77981" w14:textId="77777777" w:rsidR="00072932" w:rsidRPr="00D2126A" w:rsidRDefault="00072932" w:rsidP="00C93C76">
      <w:pPr>
        <w:pStyle w:val="Date"/>
        <w:rPr>
          <w:color w:val="000000"/>
        </w:rPr>
      </w:pPr>
    </w:p>
    <w:p w14:paraId="735D3C80" w14:textId="77777777" w:rsidR="00072932" w:rsidRPr="00D2126A" w:rsidRDefault="000E5A86" w:rsidP="00C93C76">
      <w:pPr>
        <w:pStyle w:val="StyleHeadingLab"/>
      </w:pPr>
      <w:r>
        <w:t>3.</w:t>
      </w:r>
      <w:r>
        <w:tab/>
        <w:t>LISTE DES EXCIPIENTS</w:t>
      </w:r>
    </w:p>
    <w:p w14:paraId="5AE6F741" w14:textId="77777777" w:rsidR="00072932" w:rsidRPr="00D2126A" w:rsidRDefault="00072932" w:rsidP="00BB5715">
      <w:pPr>
        <w:keepNext/>
        <w:rPr>
          <w:color w:val="000000"/>
        </w:rPr>
      </w:pPr>
    </w:p>
    <w:p w14:paraId="69A86316" w14:textId="77777777" w:rsidR="00072932" w:rsidRPr="00D2126A" w:rsidRDefault="000E5A86" w:rsidP="00C93C76">
      <w:pPr>
        <w:rPr>
          <w:color w:val="000000"/>
        </w:rPr>
      </w:pPr>
      <w:r>
        <w:rPr>
          <w:color w:val="000000"/>
        </w:rPr>
        <w:t>Contient du lactose. Voir la notice pour plus d’informations.</w:t>
      </w:r>
    </w:p>
    <w:p w14:paraId="7BEE2119" w14:textId="77777777" w:rsidR="00072932" w:rsidRPr="00D2126A" w:rsidRDefault="00072932" w:rsidP="00C93C76">
      <w:pPr>
        <w:rPr>
          <w:color w:val="000000"/>
        </w:rPr>
      </w:pPr>
    </w:p>
    <w:p w14:paraId="7978C1AD" w14:textId="77777777" w:rsidR="00072932" w:rsidRPr="00D2126A" w:rsidRDefault="00072932" w:rsidP="00C93C76">
      <w:pPr>
        <w:pStyle w:val="Date"/>
        <w:rPr>
          <w:color w:val="000000"/>
        </w:rPr>
      </w:pPr>
    </w:p>
    <w:p w14:paraId="28AB04F5" w14:textId="77777777" w:rsidR="00072932" w:rsidRPr="00D2126A" w:rsidRDefault="000E5A86" w:rsidP="00C93C76">
      <w:pPr>
        <w:pStyle w:val="StyleHeadingLab"/>
      </w:pPr>
      <w:r>
        <w:t>4.</w:t>
      </w:r>
      <w:r>
        <w:tab/>
        <w:t>FORME PHARMACEUTIQUE ET CONTENU</w:t>
      </w:r>
    </w:p>
    <w:p w14:paraId="43E9EF43" w14:textId="77777777" w:rsidR="00072932" w:rsidRPr="00D2126A" w:rsidRDefault="00072932" w:rsidP="00BB5715">
      <w:pPr>
        <w:keepNext/>
        <w:rPr>
          <w:color w:val="000000"/>
        </w:rPr>
      </w:pPr>
    </w:p>
    <w:p w14:paraId="008CC964" w14:textId="268A846E" w:rsidR="00AA7763" w:rsidRPr="00D2126A" w:rsidRDefault="000E5A86" w:rsidP="00C93C76">
      <w:pPr>
        <w:rPr>
          <w:color w:val="000000"/>
        </w:rPr>
      </w:pPr>
      <w:r>
        <w:rPr>
          <w:color w:val="000000"/>
        </w:rPr>
        <w:t>7 gélules</w:t>
      </w:r>
    </w:p>
    <w:p w14:paraId="3416B1F5" w14:textId="4C3D8D7B" w:rsidR="00AA7763" w:rsidRPr="00D2126A" w:rsidRDefault="000E5A86" w:rsidP="00C93C76">
      <w:pPr>
        <w:rPr>
          <w:noProof/>
        </w:rPr>
      </w:pPr>
      <w:r>
        <w:rPr>
          <w:highlight w:val="lightGray"/>
        </w:rPr>
        <w:t>21 gélules</w:t>
      </w:r>
    </w:p>
    <w:p w14:paraId="65B5D96C" w14:textId="77777777" w:rsidR="00072932" w:rsidRPr="00D2126A" w:rsidRDefault="00072932" w:rsidP="00C93C76">
      <w:pPr>
        <w:rPr>
          <w:color w:val="000000"/>
        </w:rPr>
      </w:pPr>
    </w:p>
    <w:p w14:paraId="0C62EC47" w14:textId="77777777" w:rsidR="00072932" w:rsidRPr="00D2126A" w:rsidRDefault="00072932" w:rsidP="00C93C76">
      <w:pPr>
        <w:pStyle w:val="Date"/>
        <w:rPr>
          <w:color w:val="000000"/>
        </w:rPr>
      </w:pPr>
    </w:p>
    <w:p w14:paraId="4A0F081B" w14:textId="77777777" w:rsidR="00072932" w:rsidRPr="00D2126A" w:rsidRDefault="000E5A86" w:rsidP="00C93C76">
      <w:pPr>
        <w:pStyle w:val="StyleHeadingLab"/>
      </w:pPr>
      <w:r>
        <w:t>5.</w:t>
      </w:r>
      <w:r>
        <w:tab/>
        <w:t>MODE ET VOIE(S) D’ADMINISTRATION</w:t>
      </w:r>
    </w:p>
    <w:p w14:paraId="3DB6C302" w14:textId="77777777" w:rsidR="00072932" w:rsidRPr="00D2126A" w:rsidRDefault="00072932" w:rsidP="00BB5715">
      <w:pPr>
        <w:keepNext/>
        <w:rPr>
          <w:color w:val="000000"/>
        </w:rPr>
      </w:pPr>
    </w:p>
    <w:p w14:paraId="2763FD58" w14:textId="77777777" w:rsidR="00072932" w:rsidRPr="00D2126A" w:rsidRDefault="000E5A86" w:rsidP="00C93C76">
      <w:pPr>
        <w:rPr>
          <w:color w:val="000000"/>
        </w:rPr>
      </w:pPr>
      <w:r>
        <w:rPr>
          <w:color w:val="000000"/>
        </w:rPr>
        <w:t>Voie orale.</w:t>
      </w:r>
    </w:p>
    <w:p w14:paraId="41FAD5BC" w14:textId="77777777" w:rsidR="00072932" w:rsidRPr="00D2126A" w:rsidRDefault="00072932" w:rsidP="00C93C76">
      <w:pPr>
        <w:rPr>
          <w:color w:val="000000"/>
        </w:rPr>
      </w:pPr>
    </w:p>
    <w:p w14:paraId="4EE6730D" w14:textId="77777777" w:rsidR="00072932" w:rsidRPr="00D2126A" w:rsidRDefault="000E5A86" w:rsidP="00C93C76">
      <w:pPr>
        <w:rPr>
          <w:color w:val="000000"/>
        </w:rPr>
      </w:pPr>
      <w:r>
        <w:rPr>
          <w:color w:val="000000"/>
        </w:rPr>
        <w:t>Lire la notice avant utilisation.</w:t>
      </w:r>
    </w:p>
    <w:p w14:paraId="79D886D2" w14:textId="77777777" w:rsidR="00072932" w:rsidRPr="00D2126A" w:rsidRDefault="00072932" w:rsidP="00C93C76">
      <w:pPr>
        <w:rPr>
          <w:color w:val="000000"/>
        </w:rPr>
      </w:pPr>
    </w:p>
    <w:p w14:paraId="02B922F9" w14:textId="77777777" w:rsidR="00072932" w:rsidRPr="00D2126A" w:rsidRDefault="00072932" w:rsidP="00C93C76">
      <w:pPr>
        <w:pStyle w:val="Date"/>
        <w:rPr>
          <w:color w:val="000000"/>
        </w:rPr>
      </w:pPr>
    </w:p>
    <w:p w14:paraId="137F6787" w14:textId="77777777" w:rsidR="00072932" w:rsidRPr="00D2126A" w:rsidRDefault="000E5A86" w:rsidP="00C93C76">
      <w:pPr>
        <w:pStyle w:val="StyleHeadingLab"/>
      </w:pPr>
      <w:r>
        <w:t>6.</w:t>
      </w:r>
      <w:r>
        <w:tab/>
        <w:t>MISE EN GARDE SPÉCIALE INDIQUANT QUE LE MÉDICAMENT DOIT ÊTRE CONSERVÉ HORS DE VUE ET DE PORTÉE DES ENFANTS</w:t>
      </w:r>
    </w:p>
    <w:p w14:paraId="19B35AF3" w14:textId="77777777" w:rsidR="00072932" w:rsidRPr="00D2126A" w:rsidRDefault="00072932" w:rsidP="00CD07A7">
      <w:pPr>
        <w:keepNext/>
        <w:rPr>
          <w:color w:val="000000"/>
        </w:rPr>
      </w:pPr>
    </w:p>
    <w:p w14:paraId="10B4C98A" w14:textId="77777777" w:rsidR="00072932" w:rsidRPr="00D2126A" w:rsidRDefault="000E5A86" w:rsidP="00C93C76">
      <w:pPr>
        <w:rPr>
          <w:color w:val="000000"/>
        </w:rPr>
      </w:pPr>
      <w:r>
        <w:rPr>
          <w:color w:val="000000"/>
        </w:rPr>
        <w:t>Tenir hors de la vue et de la portée des enfants.</w:t>
      </w:r>
    </w:p>
    <w:p w14:paraId="02A45B86" w14:textId="77777777" w:rsidR="00072932" w:rsidRPr="00D2126A" w:rsidRDefault="00072932" w:rsidP="00C93C76">
      <w:pPr>
        <w:rPr>
          <w:color w:val="000000"/>
        </w:rPr>
      </w:pPr>
    </w:p>
    <w:p w14:paraId="7657D37B" w14:textId="77777777" w:rsidR="00072932" w:rsidRPr="00D2126A" w:rsidRDefault="00072932" w:rsidP="00C93C76">
      <w:pPr>
        <w:pStyle w:val="Date"/>
        <w:rPr>
          <w:color w:val="000000"/>
        </w:rPr>
      </w:pPr>
    </w:p>
    <w:p w14:paraId="2259118B" w14:textId="77777777" w:rsidR="00072932" w:rsidRPr="00D2126A" w:rsidRDefault="000E5A86" w:rsidP="00C93C76">
      <w:pPr>
        <w:pStyle w:val="StyleHeadingLab"/>
      </w:pPr>
      <w:r>
        <w:t>7.</w:t>
      </w:r>
      <w:r>
        <w:tab/>
        <w:t>AUTRE(S) MISE(S) EN GARDE SPÉCIALE(S), SI NÉCESSAIRE</w:t>
      </w:r>
    </w:p>
    <w:p w14:paraId="4E02D5A4" w14:textId="77777777" w:rsidR="00072932" w:rsidRPr="00D2126A" w:rsidRDefault="00072932" w:rsidP="00CD07A7">
      <w:pPr>
        <w:keepNext/>
        <w:rPr>
          <w:color w:val="000000"/>
        </w:rPr>
      </w:pPr>
    </w:p>
    <w:p w14:paraId="5DCACDBE" w14:textId="77777777" w:rsidR="006E28E9" w:rsidRPr="00D2126A" w:rsidRDefault="000E5A86" w:rsidP="00C93C76">
      <w:pPr>
        <w:rPr>
          <w:bCs/>
          <w:color w:val="000000"/>
        </w:rPr>
      </w:pPr>
      <w:r>
        <w:rPr>
          <w:color w:val="000000"/>
        </w:rPr>
        <w:t>MISE EN GARDE : risque d’anomalies congénitales graves. Ne pas utiliser pendant la grossesse ou l’allaitement.</w:t>
      </w:r>
    </w:p>
    <w:p w14:paraId="4843D1B5" w14:textId="77777777" w:rsidR="00072932" w:rsidRPr="00D2126A" w:rsidRDefault="000E5A86" w:rsidP="00C93C76">
      <w:pPr>
        <w:rPr>
          <w:color w:val="000000"/>
        </w:rPr>
      </w:pPr>
      <w:r>
        <w:rPr>
          <w:color w:val="000000"/>
        </w:rPr>
        <w:t>Vous devez suivre le programme de prévention de la grossesse de Revlimid.</w:t>
      </w:r>
    </w:p>
    <w:p w14:paraId="6CD0E4DE" w14:textId="77777777" w:rsidR="00072932" w:rsidRPr="00D2126A" w:rsidRDefault="00072932" w:rsidP="00C93C76">
      <w:pPr>
        <w:rPr>
          <w:color w:val="000000"/>
        </w:rPr>
      </w:pPr>
    </w:p>
    <w:p w14:paraId="24E909DE" w14:textId="77777777" w:rsidR="00072932" w:rsidRPr="00D2126A" w:rsidRDefault="00072932" w:rsidP="00C93C76">
      <w:pPr>
        <w:pStyle w:val="Date"/>
        <w:rPr>
          <w:color w:val="000000"/>
        </w:rPr>
      </w:pPr>
    </w:p>
    <w:p w14:paraId="1B2C4ECF" w14:textId="77777777" w:rsidR="00072932" w:rsidRPr="00D2126A" w:rsidRDefault="000E5A86" w:rsidP="00C93C76">
      <w:pPr>
        <w:pStyle w:val="StyleHeadingLab"/>
      </w:pPr>
      <w:r>
        <w:t>8.</w:t>
      </w:r>
      <w:r>
        <w:tab/>
        <w:t>DATE DE PÉREMPTION</w:t>
      </w:r>
    </w:p>
    <w:p w14:paraId="0DD827C8" w14:textId="77777777" w:rsidR="00072932" w:rsidRPr="00D2126A" w:rsidRDefault="00072932" w:rsidP="00CD07A7">
      <w:pPr>
        <w:keepNext/>
        <w:rPr>
          <w:color w:val="000000"/>
        </w:rPr>
      </w:pPr>
    </w:p>
    <w:p w14:paraId="387AC932" w14:textId="77777777" w:rsidR="00072932" w:rsidRPr="00D2126A" w:rsidRDefault="000E5A86" w:rsidP="00C93C76">
      <w:pPr>
        <w:rPr>
          <w:color w:val="000000"/>
        </w:rPr>
      </w:pPr>
      <w:r>
        <w:rPr>
          <w:color w:val="000000"/>
        </w:rPr>
        <w:t>EXP</w:t>
      </w:r>
    </w:p>
    <w:p w14:paraId="59855D14" w14:textId="77777777" w:rsidR="001120BE" w:rsidRPr="00D2126A" w:rsidRDefault="001120BE" w:rsidP="00C93C76">
      <w:pPr>
        <w:pStyle w:val="Date"/>
      </w:pPr>
    </w:p>
    <w:p w14:paraId="6C50A0E7" w14:textId="77777777" w:rsidR="001120BE" w:rsidRPr="00D2126A" w:rsidRDefault="001120BE" w:rsidP="00C93C76"/>
    <w:p w14:paraId="6C39B98C" w14:textId="77777777" w:rsidR="00072932" w:rsidRPr="00D2126A" w:rsidRDefault="000E5A86" w:rsidP="00C93C76">
      <w:pPr>
        <w:pStyle w:val="StyleHeadingLab"/>
      </w:pPr>
      <w:r>
        <w:t>9.</w:t>
      </w:r>
      <w:r>
        <w:tab/>
        <w:t>PRÉCAUTIONS PARTICULIÈRES DE CONSERVATION</w:t>
      </w:r>
    </w:p>
    <w:p w14:paraId="7D9024F8" w14:textId="77777777" w:rsidR="00072932" w:rsidRPr="00D2126A" w:rsidRDefault="00072932" w:rsidP="00CD07A7">
      <w:pPr>
        <w:keepNext/>
        <w:rPr>
          <w:color w:val="000000"/>
        </w:rPr>
      </w:pPr>
    </w:p>
    <w:p w14:paraId="1DE73AB4" w14:textId="77777777" w:rsidR="00072932" w:rsidRPr="00D2126A" w:rsidRDefault="00072932" w:rsidP="00C93C76">
      <w:pPr>
        <w:pStyle w:val="Date"/>
        <w:rPr>
          <w:color w:val="000000"/>
        </w:rPr>
      </w:pPr>
    </w:p>
    <w:p w14:paraId="4AC3C190" w14:textId="77777777" w:rsidR="00072932" w:rsidRPr="00D2126A" w:rsidRDefault="000E5A86" w:rsidP="00C93C76">
      <w:pPr>
        <w:pStyle w:val="StyleHeadingLab"/>
      </w:pPr>
      <w:r>
        <w:t>10.</w:t>
      </w:r>
      <w:r>
        <w:tab/>
        <w:t>PRÉCAUTIONS PARTICULIÈRES D’ÉLIMINATION DES MÉDICAMENTS NON UTILISÉS OU DES DÉCHETS PROVENANT DE CES MÉDICAMENTS S’IL Y A LIEU</w:t>
      </w:r>
    </w:p>
    <w:p w14:paraId="52E597AA" w14:textId="77777777" w:rsidR="00072932" w:rsidRPr="00D2126A" w:rsidRDefault="00072932" w:rsidP="00CD07A7">
      <w:pPr>
        <w:keepNext/>
        <w:rPr>
          <w:color w:val="000000"/>
        </w:rPr>
      </w:pPr>
    </w:p>
    <w:p w14:paraId="4CF8333E" w14:textId="77777777" w:rsidR="008D4EE6" w:rsidRPr="00D2126A" w:rsidRDefault="000E5A86" w:rsidP="00C93C76">
      <w:pPr>
        <w:rPr>
          <w:color w:val="000000"/>
        </w:rPr>
      </w:pPr>
      <w:r>
        <w:rPr>
          <w:color w:val="000000"/>
        </w:rPr>
        <w:t>Rapporter les gélules non utilisées à un pharmacien.</w:t>
      </w:r>
    </w:p>
    <w:p w14:paraId="68D2AD3C" w14:textId="77777777" w:rsidR="00072932" w:rsidRPr="00D2126A" w:rsidRDefault="00072932" w:rsidP="00C93C76">
      <w:pPr>
        <w:rPr>
          <w:color w:val="000000"/>
        </w:rPr>
      </w:pPr>
    </w:p>
    <w:p w14:paraId="754CBD39" w14:textId="77777777" w:rsidR="00072932" w:rsidRPr="00D2126A" w:rsidRDefault="00072932" w:rsidP="00C93C76">
      <w:pPr>
        <w:pStyle w:val="Date"/>
        <w:rPr>
          <w:color w:val="000000"/>
        </w:rPr>
      </w:pPr>
    </w:p>
    <w:p w14:paraId="1C04192A" w14:textId="77777777" w:rsidR="00072932" w:rsidRPr="00D2126A" w:rsidRDefault="000E5A86" w:rsidP="00C93C76">
      <w:pPr>
        <w:pStyle w:val="StyleHeadingLab"/>
      </w:pPr>
      <w:r>
        <w:t>11.</w:t>
      </w:r>
      <w:r>
        <w:tab/>
        <w:t>NOM ET ADRESSE DU TITULAIRE DE L’AUTORISATION DE MISE SUR LE MARCHÉ</w:t>
      </w:r>
    </w:p>
    <w:p w14:paraId="644611A2" w14:textId="77777777" w:rsidR="00072932" w:rsidRPr="00D2126A" w:rsidRDefault="00072932" w:rsidP="00CD07A7">
      <w:pPr>
        <w:keepNext/>
        <w:rPr>
          <w:color w:val="000000"/>
        </w:rPr>
      </w:pPr>
    </w:p>
    <w:p w14:paraId="6F1F6896" w14:textId="77777777" w:rsidR="00CB3D9F" w:rsidRPr="00AB0414" w:rsidRDefault="000E5A86" w:rsidP="00CD07A7">
      <w:pPr>
        <w:pStyle w:val="EMEAAddress"/>
        <w:keepNext/>
        <w:rPr>
          <w:lang w:val="en-US"/>
        </w:rPr>
      </w:pPr>
      <w:r w:rsidRPr="00AB0414">
        <w:rPr>
          <w:lang w:val="en-US"/>
        </w:rPr>
        <w:t>Bristol</w:t>
      </w:r>
      <w:r w:rsidRPr="00AB0414">
        <w:rPr>
          <w:lang w:val="en-US"/>
        </w:rPr>
        <w:noBreakHyphen/>
        <w:t>Myers Squibb Pharma EEIG</w:t>
      </w:r>
    </w:p>
    <w:p w14:paraId="22FC428C" w14:textId="77777777" w:rsidR="00CB3D9F" w:rsidRPr="00AB0414" w:rsidRDefault="000E5A86" w:rsidP="00CD07A7">
      <w:pPr>
        <w:pStyle w:val="EMEAAddress"/>
        <w:keepNext/>
        <w:rPr>
          <w:lang w:val="en-US"/>
        </w:rPr>
      </w:pPr>
      <w:r w:rsidRPr="00AB0414">
        <w:rPr>
          <w:lang w:val="en-US"/>
        </w:rPr>
        <w:t>Plaza 254</w:t>
      </w:r>
    </w:p>
    <w:p w14:paraId="4291B8AB" w14:textId="77777777" w:rsidR="00CB3D9F" w:rsidRPr="00AB0414" w:rsidRDefault="000E5A86" w:rsidP="00CD07A7">
      <w:pPr>
        <w:pStyle w:val="EMEAAddress"/>
        <w:keepNext/>
        <w:rPr>
          <w:lang w:val="en-US"/>
        </w:rPr>
      </w:pPr>
      <w:r w:rsidRPr="00AB0414">
        <w:rPr>
          <w:lang w:val="en-US"/>
        </w:rPr>
        <w:t>Blanchardstown Corporate Park 2</w:t>
      </w:r>
    </w:p>
    <w:p w14:paraId="6B6660B8" w14:textId="77777777" w:rsidR="00CB3D9F" w:rsidRPr="00AB0414" w:rsidRDefault="000E5A86" w:rsidP="00CD07A7">
      <w:pPr>
        <w:pStyle w:val="EMEAAddress"/>
        <w:keepNext/>
        <w:rPr>
          <w:lang w:val="en-US"/>
        </w:rPr>
      </w:pPr>
      <w:r w:rsidRPr="00AB0414">
        <w:rPr>
          <w:lang w:val="en-US"/>
        </w:rPr>
        <w:t>Dublin 15, D15 T867</w:t>
      </w:r>
    </w:p>
    <w:p w14:paraId="7EE5B30C" w14:textId="77777777" w:rsidR="00036363" w:rsidRPr="00D2126A" w:rsidRDefault="000E5A86" w:rsidP="00CD07A7">
      <w:pPr>
        <w:keepNext/>
      </w:pPr>
      <w:r>
        <w:t>Irlande</w:t>
      </w:r>
    </w:p>
    <w:p w14:paraId="04670190" w14:textId="72A6AA71" w:rsidR="00072932" w:rsidRPr="00D2126A" w:rsidRDefault="00072932" w:rsidP="00C93C76">
      <w:pPr>
        <w:rPr>
          <w:color w:val="000000"/>
        </w:rPr>
      </w:pPr>
    </w:p>
    <w:p w14:paraId="7EB39D38" w14:textId="77777777" w:rsidR="00072932" w:rsidRPr="00D2126A" w:rsidRDefault="00072932" w:rsidP="00C93C76">
      <w:pPr>
        <w:pStyle w:val="Date"/>
        <w:rPr>
          <w:color w:val="000000"/>
        </w:rPr>
      </w:pPr>
    </w:p>
    <w:p w14:paraId="4BA3581E" w14:textId="77777777" w:rsidR="00072932" w:rsidRPr="00D2126A" w:rsidRDefault="000E5A86" w:rsidP="00C93C76">
      <w:pPr>
        <w:pStyle w:val="StyleHeadingLab"/>
      </w:pPr>
      <w:r>
        <w:t>12.</w:t>
      </w:r>
      <w:r>
        <w:tab/>
        <w:t>NUMÉRO(S) D’AUTORISATION DE MISE SUR LE MARCHÉ</w:t>
      </w:r>
    </w:p>
    <w:p w14:paraId="54784A98" w14:textId="77777777" w:rsidR="00072932" w:rsidRPr="00D2126A" w:rsidRDefault="00072932" w:rsidP="00CD07A7">
      <w:pPr>
        <w:keepNext/>
        <w:rPr>
          <w:color w:val="000000"/>
        </w:rPr>
      </w:pPr>
    </w:p>
    <w:p w14:paraId="25D27EF0" w14:textId="1941D2E0" w:rsidR="00AA7763" w:rsidRPr="00156723" w:rsidRDefault="000E5A86" w:rsidP="00C96725">
      <w:r>
        <w:t xml:space="preserve">EU/1/07/391/013 </w:t>
      </w:r>
      <w:r>
        <w:rPr>
          <w:highlight w:val="lightGray"/>
        </w:rPr>
        <w:t>7 gélules</w:t>
      </w:r>
    </w:p>
    <w:p w14:paraId="175C8F3D" w14:textId="731F9AA0" w:rsidR="00AA7763" w:rsidRPr="00156723" w:rsidRDefault="000E5A86" w:rsidP="00C96725">
      <w:r>
        <w:rPr>
          <w:highlight w:val="lightGray"/>
        </w:rPr>
        <w:t>EU/1/07/391/009 21 gélules</w:t>
      </w:r>
    </w:p>
    <w:p w14:paraId="54EFC6AA" w14:textId="77777777" w:rsidR="00072932" w:rsidRPr="00156723" w:rsidRDefault="00072932" w:rsidP="00C93C76">
      <w:pPr>
        <w:rPr>
          <w:color w:val="000000"/>
        </w:rPr>
      </w:pPr>
    </w:p>
    <w:p w14:paraId="0DA547BF" w14:textId="77777777" w:rsidR="00072932" w:rsidRPr="00156723" w:rsidRDefault="00072932" w:rsidP="00C93C76">
      <w:pPr>
        <w:pStyle w:val="Date"/>
        <w:rPr>
          <w:color w:val="000000"/>
        </w:rPr>
      </w:pPr>
    </w:p>
    <w:p w14:paraId="18BE11A7" w14:textId="77777777" w:rsidR="00072932" w:rsidRPr="00D2126A" w:rsidRDefault="000E5A86" w:rsidP="00C93C76">
      <w:pPr>
        <w:pStyle w:val="StyleHeadingLab"/>
      </w:pPr>
      <w:r>
        <w:t>13.</w:t>
      </w:r>
      <w:r>
        <w:tab/>
        <w:t>NUMÉRO DU LOT</w:t>
      </w:r>
    </w:p>
    <w:p w14:paraId="4EB7EE09" w14:textId="77777777" w:rsidR="00072932" w:rsidRPr="00D2126A" w:rsidRDefault="00072932" w:rsidP="003028B4">
      <w:pPr>
        <w:keepNext/>
        <w:rPr>
          <w:iCs/>
          <w:color w:val="000000"/>
        </w:rPr>
      </w:pPr>
    </w:p>
    <w:p w14:paraId="0133BC38" w14:textId="77777777" w:rsidR="00072932" w:rsidRPr="00D2126A" w:rsidRDefault="000E5A86" w:rsidP="00C93C76">
      <w:pPr>
        <w:rPr>
          <w:color w:val="000000"/>
        </w:rPr>
      </w:pPr>
      <w:r>
        <w:rPr>
          <w:color w:val="000000"/>
        </w:rPr>
        <w:t>Lot</w:t>
      </w:r>
    </w:p>
    <w:p w14:paraId="38C867DE" w14:textId="77777777" w:rsidR="00072932" w:rsidRPr="00D2126A" w:rsidRDefault="00072932" w:rsidP="00C93C76">
      <w:pPr>
        <w:rPr>
          <w:color w:val="000000"/>
        </w:rPr>
      </w:pPr>
    </w:p>
    <w:p w14:paraId="7B4579FA" w14:textId="77777777" w:rsidR="00072932" w:rsidRPr="00D2126A" w:rsidRDefault="00072932" w:rsidP="00C93C76">
      <w:pPr>
        <w:pStyle w:val="Date"/>
        <w:rPr>
          <w:color w:val="000000"/>
        </w:rPr>
      </w:pPr>
    </w:p>
    <w:p w14:paraId="33655851" w14:textId="77777777" w:rsidR="00072932" w:rsidRPr="00D2126A" w:rsidRDefault="000E5A86" w:rsidP="00C93C76">
      <w:pPr>
        <w:pStyle w:val="StyleHeadingLab"/>
      </w:pPr>
      <w:r>
        <w:t>14.</w:t>
      </w:r>
      <w:r>
        <w:tab/>
        <w:t>CONDITIONS DE PRESCRIPTION ET DE DÉLIVRANCE</w:t>
      </w:r>
    </w:p>
    <w:p w14:paraId="51F9F5DD" w14:textId="77777777" w:rsidR="00072932" w:rsidRPr="00D2126A" w:rsidRDefault="00072932" w:rsidP="003028B4">
      <w:pPr>
        <w:keepNext/>
        <w:rPr>
          <w:color w:val="000000"/>
        </w:rPr>
      </w:pPr>
    </w:p>
    <w:p w14:paraId="7D5A0256" w14:textId="77777777" w:rsidR="00072932" w:rsidRPr="00D2126A" w:rsidRDefault="00072932" w:rsidP="00C93C76">
      <w:pPr>
        <w:pStyle w:val="Date"/>
        <w:rPr>
          <w:color w:val="000000"/>
        </w:rPr>
      </w:pPr>
    </w:p>
    <w:p w14:paraId="0118A265" w14:textId="77777777" w:rsidR="00072932" w:rsidRPr="00D2126A" w:rsidRDefault="000E5A86" w:rsidP="00C93C76">
      <w:pPr>
        <w:pStyle w:val="StyleHeadingLab"/>
      </w:pPr>
      <w:r>
        <w:t>15.</w:t>
      </w:r>
      <w:r>
        <w:tab/>
        <w:t>INDICATIONS D’UTILISATION</w:t>
      </w:r>
    </w:p>
    <w:p w14:paraId="291AA7A1" w14:textId="77777777" w:rsidR="00072932" w:rsidRPr="00D2126A" w:rsidRDefault="00072932" w:rsidP="003028B4">
      <w:pPr>
        <w:keepNext/>
        <w:rPr>
          <w:bCs/>
          <w:color w:val="000000"/>
        </w:rPr>
      </w:pPr>
    </w:p>
    <w:p w14:paraId="7E9D8209" w14:textId="77777777" w:rsidR="00072932" w:rsidRPr="00D2126A" w:rsidRDefault="00072932" w:rsidP="00C93C76">
      <w:pPr>
        <w:rPr>
          <w:color w:val="000000"/>
        </w:rPr>
      </w:pPr>
    </w:p>
    <w:p w14:paraId="7B928199" w14:textId="77777777" w:rsidR="00072932" w:rsidRPr="00D2126A" w:rsidRDefault="000E5A86" w:rsidP="00C93C76">
      <w:pPr>
        <w:pStyle w:val="StyleHeadingLab"/>
      </w:pPr>
      <w:r>
        <w:t>16.</w:t>
      </w:r>
      <w:r>
        <w:tab/>
        <w:t>INFORMATIONS EN BRAILLE</w:t>
      </w:r>
    </w:p>
    <w:p w14:paraId="3E82C996" w14:textId="77777777" w:rsidR="00072932" w:rsidRPr="00D2126A" w:rsidRDefault="00072932" w:rsidP="003028B4">
      <w:pPr>
        <w:keepNext/>
        <w:rPr>
          <w:color w:val="000000"/>
        </w:rPr>
      </w:pPr>
    </w:p>
    <w:p w14:paraId="3A7C54D6" w14:textId="77777777" w:rsidR="008D4EE6" w:rsidRPr="00D2126A" w:rsidRDefault="000E5A86" w:rsidP="003028B4">
      <w:pPr>
        <w:pStyle w:val="Date"/>
        <w:keepNext/>
      </w:pPr>
      <w:r>
        <w:rPr>
          <w:color w:val="000000"/>
        </w:rPr>
        <w:t>Revlimid 20 mg</w:t>
      </w:r>
    </w:p>
    <w:p w14:paraId="4ECF6B4F" w14:textId="77777777" w:rsidR="00C853A4" w:rsidRPr="00D2126A" w:rsidRDefault="00C853A4" w:rsidP="00C93C76">
      <w:pPr>
        <w:rPr>
          <w:noProof/>
          <w:shd w:val="clear" w:color="auto" w:fill="CCCCCC"/>
        </w:rPr>
      </w:pPr>
    </w:p>
    <w:p w14:paraId="0654A02D" w14:textId="77777777" w:rsidR="00C853A4" w:rsidRPr="00D2126A" w:rsidRDefault="000E5A86" w:rsidP="00C93C76">
      <w:pPr>
        <w:pStyle w:val="StyleHeadingLab"/>
        <w:rPr>
          <w:i/>
          <w:noProof/>
        </w:rPr>
      </w:pPr>
      <w:r>
        <w:t>17.</w:t>
      </w:r>
      <w:r>
        <w:tab/>
        <w:t>IDENTIFIANT UNIQUE - CODE</w:t>
      </w:r>
      <w:r>
        <w:noBreakHyphen/>
        <w:t>BARRES 2D</w:t>
      </w:r>
    </w:p>
    <w:p w14:paraId="77919617" w14:textId="77777777" w:rsidR="00C853A4" w:rsidRPr="00D2126A" w:rsidRDefault="00C853A4" w:rsidP="003028B4">
      <w:pPr>
        <w:keepNext/>
        <w:rPr>
          <w:noProof/>
        </w:rPr>
      </w:pPr>
    </w:p>
    <w:p w14:paraId="2737F5F4" w14:textId="0FE489C5" w:rsidR="00C853A4" w:rsidRPr="00D2126A" w:rsidRDefault="000E5A86" w:rsidP="003028B4">
      <w:pPr>
        <w:pStyle w:val="Date"/>
        <w:keepNext/>
        <w:rPr>
          <w:noProof/>
        </w:rPr>
      </w:pPr>
      <w:r>
        <w:rPr>
          <w:highlight w:val="lightGray"/>
        </w:rPr>
        <w:t>Code</w:t>
      </w:r>
      <w:r>
        <w:rPr>
          <w:highlight w:val="lightGray"/>
        </w:rPr>
        <w:noBreakHyphen/>
        <w:t>barres 2D portant l'identifiant unique inclus.</w:t>
      </w:r>
    </w:p>
    <w:p w14:paraId="28E36663" w14:textId="77777777" w:rsidR="00C853A4" w:rsidRPr="00D2126A" w:rsidRDefault="00C853A4" w:rsidP="003028B4">
      <w:pPr>
        <w:keepNext/>
      </w:pPr>
    </w:p>
    <w:p w14:paraId="36DBA827" w14:textId="77777777" w:rsidR="00C853A4" w:rsidRPr="00D2126A" w:rsidRDefault="00C853A4" w:rsidP="00C93C76"/>
    <w:p w14:paraId="23CE9EE3" w14:textId="77777777" w:rsidR="00C853A4" w:rsidRPr="00D2126A" w:rsidRDefault="000E5A86" w:rsidP="00C93C76">
      <w:pPr>
        <w:pStyle w:val="StyleHeadingLab"/>
        <w:rPr>
          <w:i/>
          <w:noProof/>
        </w:rPr>
      </w:pPr>
      <w:r>
        <w:t>18.</w:t>
      </w:r>
      <w:r>
        <w:tab/>
        <w:t>IDENTIFIANT UNIQUE - DONNÉES LISIBLES PAR LES HUMAINS</w:t>
      </w:r>
    </w:p>
    <w:p w14:paraId="48B21F37" w14:textId="77777777" w:rsidR="00C853A4" w:rsidRPr="00D2126A" w:rsidRDefault="00C853A4" w:rsidP="003028B4">
      <w:pPr>
        <w:pStyle w:val="Date"/>
        <w:keepNext/>
      </w:pPr>
    </w:p>
    <w:p w14:paraId="74645605" w14:textId="78917D26" w:rsidR="00C853A4" w:rsidRPr="00D2126A" w:rsidRDefault="000E5A86" w:rsidP="003028B4">
      <w:pPr>
        <w:keepNext/>
      </w:pPr>
      <w:r>
        <w:t>PC</w:t>
      </w:r>
    </w:p>
    <w:p w14:paraId="4845043D" w14:textId="007B06C8" w:rsidR="00C853A4" w:rsidRPr="00D2126A" w:rsidRDefault="000E5A86" w:rsidP="003028B4">
      <w:pPr>
        <w:keepNext/>
      </w:pPr>
      <w:r>
        <w:t>SN</w:t>
      </w:r>
    </w:p>
    <w:p w14:paraId="1AC06CE8" w14:textId="0ABFD065" w:rsidR="00C853A4" w:rsidRPr="00D2126A" w:rsidRDefault="000E5A86" w:rsidP="003028B4">
      <w:pPr>
        <w:keepNext/>
      </w:pPr>
      <w:r>
        <w:t>NN</w:t>
      </w:r>
    </w:p>
    <w:p w14:paraId="631EC477" w14:textId="77777777" w:rsidR="00C853A4" w:rsidRPr="00D2126A" w:rsidRDefault="00C853A4" w:rsidP="00B17EDE">
      <w:pPr>
        <w:pStyle w:val="Date"/>
      </w:pPr>
    </w:p>
    <w:p w14:paraId="62962B9B" w14:textId="3EEDEA5B" w:rsidR="00072932" w:rsidRPr="00D2126A" w:rsidRDefault="000E5A86" w:rsidP="003028B4">
      <w:pPr>
        <w:keepNext/>
        <w:pBdr>
          <w:top w:val="single" w:sz="4" w:space="1" w:color="auto"/>
          <w:left w:val="single" w:sz="4" w:space="1" w:color="auto"/>
          <w:right w:val="single" w:sz="4" w:space="1" w:color="auto"/>
        </w:pBdr>
        <w:rPr>
          <w:b/>
          <w:color w:val="000000"/>
        </w:rPr>
      </w:pPr>
      <w:r>
        <w:br w:type="page"/>
      </w:r>
      <w:r>
        <w:rPr>
          <w:b/>
          <w:color w:val="000000"/>
        </w:rPr>
        <w:t>MENTIONS MINIMALES DEVANT FIGURER SUR LES PLAQUETTES OU LES FILMS THERMOSOUDÉS</w:t>
      </w:r>
    </w:p>
    <w:p w14:paraId="3613B95E" w14:textId="77777777" w:rsidR="00072932" w:rsidRPr="00D2126A" w:rsidRDefault="00072932" w:rsidP="003028B4">
      <w:pPr>
        <w:pStyle w:val="Date"/>
        <w:keepNext/>
        <w:pBdr>
          <w:left w:val="single" w:sz="4" w:space="1" w:color="auto"/>
          <w:bottom w:val="single" w:sz="4" w:space="1" w:color="auto"/>
          <w:right w:val="single" w:sz="4" w:space="1" w:color="auto"/>
        </w:pBdr>
        <w:rPr>
          <w:color w:val="000000"/>
        </w:rPr>
      </w:pPr>
    </w:p>
    <w:p w14:paraId="2DBB1FBE" w14:textId="77777777" w:rsidR="00072932"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PLAQUETTES</w:t>
      </w:r>
    </w:p>
    <w:p w14:paraId="7EBD98A2" w14:textId="77777777" w:rsidR="00072932" w:rsidRPr="00D2126A" w:rsidRDefault="00072932" w:rsidP="003028B4">
      <w:pPr>
        <w:keepNext/>
        <w:rPr>
          <w:bCs/>
          <w:color w:val="000000"/>
        </w:rPr>
      </w:pPr>
    </w:p>
    <w:p w14:paraId="4A956C2C" w14:textId="77777777" w:rsidR="00072932" w:rsidRPr="00D2126A" w:rsidRDefault="00072932" w:rsidP="00C93C76">
      <w:pPr>
        <w:rPr>
          <w:color w:val="000000"/>
        </w:rPr>
      </w:pPr>
    </w:p>
    <w:p w14:paraId="6163AE6C" w14:textId="77777777" w:rsidR="00072932" w:rsidRPr="00D2126A" w:rsidRDefault="000E5A86" w:rsidP="00C93C76">
      <w:pPr>
        <w:pStyle w:val="StyleHeadingLab"/>
      </w:pPr>
      <w:r>
        <w:t>1.</w:t>
      </w:r>
      <w:r>
        <w:tab/>
        <w:t>DÉNOMINATION DU MÉDICAMENT</w:t>
      </w:r>
    </w:p>
    <w:p w14:paraId="4827484A" w14:textId="77777777" w:rsidR="00072932" w:rsidRPr="00D2126A" w:rsidRDefault="00072932" w:rsidP="003028B4">
      <w:pPr>
        <w:keepNext/>
        <w:ind w:left="567" w:hanging="567"/>
        <w:rPr>
          <w:color w:val="000000"/>
        </w:rPr>
      </w:pPr>
    </w:p>
    <w:p w14:paraId="260D1DAB" w14:textId="77777777" w:rsidR="00072932" w:rsidRPr="00D2126A" w:rsidRDefault="000E5A86" w:rsidP="00C93C76">
      <w:pPr>
        <w:rPr>
          <w:color w:val="000000"/>
        </w:rPr>
      </w:pPr>
      <w:r>
        <w:rPr>
          <w:color w:val="000000"/>
        </w:rPr>
        <w:t>Revlimid 20 mg gélules</w:t>
      </w:r>
    </w:p>
    <w:p w14:paraId="6037FA57" w14:textId="77777777" w:rsidR="00072932" w:rsidRPr="00D2126A" w:rsidRDefault="000E5A86" w:rsidP="00C93C76">
      <w:pPr>
        <w:rPr>
          <w:color w:val="000000"/>
        </w:rPr>
      </w:pPr>
      <w:r>
        <w:rPr>
          <w:color w:val="000000"/>
        </w:rPr>
        <w:t>lénalidomide</w:t>
      </w:r>
    </w:p>
    <w:p w14:paraId="5E8BD7E9" w14:textId="77777777" w:rsidR="00072932" w:rsidRPr="00D2126A" w:rsidRDefault="00072932" w:rsidP="00C93C76">
      <w:pPr>
        <w:rPr>
          <w:color w:val="000000"/>
        </w:rPr>
      </w:pPr>
    </w:p>
    <w:p w14:paraId="35E6EC99" w14:textId="77777777" w:rsidR="00072932" w:rsidRPr="00D2126A" w:rsidRDefault="00072932" w:rsidP="00C93C76">
      <w:pPr>
        <w:pStyle w:val="Date"/>
        <w:rPr>
          <w:color w:val="000000"/>
        </w:rPr>
      </w:pPr>
    </w:p>
    <w:p w14:paraId="770F7315" w14:textId="77777777" w:rsidR="00072932" w:rsidRPr="00D2126A" w:rsidRDefault="000E5A86" w:rsidP="00C93C76">
      <w:pPr>
        <w:pStyle w:val="StyleHeadingLab"/>
      </w:pPr>
      <w:r>
        <w:t>2.</w:t>
      </w:r>
      <w:r>
        <w:tab/>
        <w:t>NOM DU TITULAIRE DE L’AUTORISATION DE MISE SUR LE MARCHÉ</w:t>
      </w:r>
    </w:p>
    <w:p w14:paraId="26BEF41A" w14:textId="77777777" w:rsidR="00072932" w:rsidRPr="00D2126A" w:rsidRDefault="00072932" w:rsidP="003028B4">
      <w:pPr>
        <w:keepNext/>
        <w:rPr>
          <w:color w:val="000000"/>
        </w:rPr>
      </w:pPr>
    </w:p>
    <w:p w14:paraId="06A74C83" w14:textId="77777777" w:rsidR="00CB3D9F" w:rsidRPr="00D2126A" w:rsidRDefault="000E5A86" w:rsidP="00C93C76">
      <w:pPr>
        <w:pStyle w:val="EMEAAddress"/>
      </w:pPr>
      <w:r>
        <w:t>Bristol</w:t>
      </w:r>
      <w:r>
        <w:noBreakHyphen/>
        <w:t>Myers Squibb Pharma EEIG</w:t>
      </w:r>
    </w:p>
    <w:p w14:paraId="5B2EE081" w14:textId="77777777" w:rsidR="00072932" w:rsidRPr="00D2126A" w:rsidRDefault="00072932" w:rsidP="00C93C76">
      <w:pPr>
        <w:rPr>
          <w:color w:val="000000"/>
        </w:rPr>
      </w:pPr>
    </w:p>
    <w:p w14:paraId="3067A76E" w14:textId="77777777" w:rsidR="00072932" w:rsidRPr="00D2126A" w:rsidRDefault="00072932" w:rsidP="00C93C76">
      <w:pPr>
        <w:pStyle w:val="Date"/>
        <w:rPr>
          <w:color w:val="000000"/>
        </w:rPr>
      </w:pPr>
    </w:p>
    <w:p w14:paraId="138EF663" w14:textId="77777777" w:rsidR="00072932" w:rsidRPr="00D2126A" w:rsidRDefault="000E5A86" w:rsidP="00C93C76">
      <w:pPr>
        <w:pStyle w:val="StyleHeadingLab"/>
      </w:pPr>
      <w:r>
        <w:t>3.</w:t>
      </w:r>
      <w:r>
        <w:tab/>
        <w:t>DATE DE PÉREMPTION</w:t>
      </w:r>
    </w:p>
    <w:p w14:paraId="6E8EFC1E" w14:textId="77777777" w:rsidR="00072932" w:rsidRPr="00D2126A" w:rsidRDefault="00072932" w:rsidP="003028B4">
      <w:pPr>
        <w:keepNext/>
        <w:rPr>
          <w:iCs/>
          <w:color w:val="000000"/>
        </w:rPr>
      </w:pPr>
    </w:p>
    <w:p w14:paraId="7E6B0806" w14:textId="77777777" w:rsidR="00072932" w:rsidRPr="00D2126A" w:rsidRDefault="000E5A86" w:rsidP="00C93C76">
      <w:pPr>
        <w:rPr>
          <w:color w:val="000000"/>
        </w:rPr>
      </w:pPr>
      <w:r>
        <w:rPr>
          <w:color w:val="000000"/>
        </w:rPr>
        <w:t>EXP</w:t>
      </w:r>
    </w:p>
    <w:p w14:paraId="6B1FDB91" w14:textId="77777777" w:rsidR="00072932" w:rsidRPr="00D2126A" w:rsidRDefault="00072932" w:rsidP="00C93C76">
      <w:pPr>
        <w:rPr>
          <w:color w:val="000000"/>
        </w:rPr>
      </w:pPr>
    </w:p>
    <w:p w14:paraId="40374096" w14:textId="77777777" w:rsidR="00072932" w:rsidRPr="00D2126A" w:rsidRDefault="00072932" w:rsidP="00C93C76">
      <w:pPr>
        <w:pStyle w:val="Date"/>
        <w:rPr>
          <w:color w:val="000000"/>
        </w:rPr>
      </w:pPr>
    </w:p>
    <w:p w14:paraId="22B59E86" w14:textId="77777777" w:rsidR="00072932" w:rsidRPr="00D2126A" w:rsidRDefault="000E5A86" w:rsidP="00C93C76">
      <w:pPr>
        <w:pStyle w:val="StyleHeadingLab"/>
      </w:pPr>
      <w:r>
        <w:t>4.</w:t>
      </w:r>
      <w:r>
        <w:tab/>
        <w:t>NUMÉRO DU LOT</w:t>
      </w:r>
    </w:p>
    <w:p w14:paraId="2C8F40F7" w14:textId="77777777" w:rsidR="00072932" w:rsidRPr="00D2126A" w:rsidRDefault="00072932" w:rsidP="003028B4">
      <w:pPr>
        <w:keepNext/>
        <w:rPr>
          <w:iCs/>
          <w:color w:val="000000"/>
        </w:rPr>
      </w:pPr>
    </w:p>
    <w:p w14:paraId="0EBC05BF" w14:textId="77777777" w:rsidR="00072932" w:rsidRPr="00D2126A" w:rsidRDefault="000E5A86" w:rsidP="00C93C76">
      <w:pPr>
        <w:rPr>
          <w:color w:val="000000"/>
        </w:rPr>
      </w:pPr>
      <w:r>
        <w:rPr>
          <w:color w:val="000000"/>
        </w:rPr>
        <w:t>Lot</w:t>
      </w:r>
    </w:p>
    <w:p w14:paraId="5E3524D6" w14:textId="77777777" w:rsidR="00072932" w:rsidRPr="00D2126A" w:rsidRDefault="00072932" w:rsidP="00C93C76">
      <w:pPr>
        <w:rPr>
          <w:bCs/>
          <w:color w:val="000000"/>
        </w:rPr>
      </w:pPr>
    </w:p>
    <w:p w14:paraId="37D30547" w14:textId="77777777" w:rsidR="00072932" w:rsidRPr="00D2126A" w:rsidRDefault="00072932" w:rsidP="00C93C76">
      <w:pPr>
        <w:pStyle w:val="Date"/>
        <w:rPr>
          <w:color w:val="000000"/>
        </w:rPr>
      </w:pPr>
    </w:p>
    <w:p w14:paraId="357E3EF9" w14:textId="52A8B682" w:rsidR="00072932" w:rsidRPr="00D2126A" w:rsidRDefault="000E5A86" w:rsidP="00C93C76">
      <w:pPr>
        <w:pStyle w:val="StyleHeadingLab"/>
      </w:pPr>
      <w:r>
        <w:t>5.</w:t>
      </w:r>
      <w:r>
        <w:tab/>
        <w:t>AUTRE</w:t>
      </w:r>
    </w:p>
    <w:p w14:paraId="4742A98D" w14:textId="77777777" w:rsidR="001120BE" w:rsidRPr="00D2126A" w:rsidRDefault="001120BE" w:rsidP="003028B4">
      <w:pPr>
        <w:keepNext/>
        <w:rPr>
          <w:color w:val="000000"/>
        </w:rPr>
      </w:pPr>
    </w:p>
    <w:p w14:paraId="636F70EB" w14:textId="77777777" w:rsidR="001120BE" w:rsidRPr="00D2126A" w:rsidRDefault="001120BE" w:rsidP="00C93C76">
      <w:pPr>
        <w:rPr>
          <w:color w:val="000000"/>
        </w:rPr>
      </w:pPr>
    </w:p>
    <w:p w14:paraId="0A05DAD7" w14:textId="6B95E332" w:rsidR="00A53FD2" w:rsidRPr="00D2126A" w:rsidRDefault="000E5A86" w:rsidP="003028B4">
      <w:pPr>
        <w:pStyle w:val="Date"/>
        <w:keepNext/>
        <w:pBdr>
          <w:top w:val="single" w:sz="4" w:space="1" w:color="auto"/>
          <w:left w:val="single" w:sz="4" w:space="1" w:color="auto"/>
          <w:right w:val="single" w:sz="4" w:space="1" w:color="auto"/>
        </w:pBdr>
        <w:rPr>
          <w:b/>
          <w:color w:val="000000"/>
        </w:rPr>
      </w:pPr>
      <w:r>
        <w:br w:type="page"/>
      </w:r>
      <w:r>
        <w:rPr>
          <w:b/>
          <w:color w:val="000000"/>
        </w:rPr>
        <w:t>MENTIONS DEVANT FIGURER SUR L’EMBALLAGE EXTÉRIEUR</w:t>
      </w:r>
    </w:p>
    <w:p w14:paraId="1DA9198A" w14:textId="77777777" w:rsidR="007F6DFD" w:rsidRPr="00D2126A" w:rsidRDefault="007F6DFD" w:rsidP="003028B4">
      <w:pPr>
        <w:keepNext/>
        <w:pBdr>
          <w:left w:val="single" w:sz="4" w:space="1" w:color="auto"/>
          <w:bottom w:val="single" w:sz="4" w:space="1" w:color="auto"/>
          <w:right w:val="single" w:sz="4" w:space="1" w:color="auto"/>
        </w:pBdr>
        <w:rPr>
          <w:b/>
          <w:color w:val="000000"/>
        </w:rPr>
      </w:pPr>
    </w:p>
    <w:p w14:paraId="7B4575C8" w14:textId="77777777" w:rsidR="007F6DFD"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BOÎTE</w:t>
      </w:r>
    </w:p>
    <w:p w14:paraId="32C471C4" w14:textId="77777777" w:rsidR="007F6DFD" w:rsidRPr="00D2126A" w:rsidRDefault="007F6DFD" w:rsidP="003028B4">
      <w:pPr>
        <w:keepNext/>
        <w:rPr>
          <w:color w:val="000000"/>
        </w:rPr>
      </w:pPr>
    </w:p>
    <w:p w14:paraId="449304F5" w14:textId="77777777" w:rsidR="006A5D4C" w:rsidRPr="00D2126A" w:rsidRDefault="006A5D4C" w:rsidP="00C93C76">
      <w:pPr>
        <w:pStyle w:val="Date"/>
      </w:pPr>
    </w:p>
    <w:p w14:paraId="354D4CA3" w14:textId="77777777" w:rsidR="007F6DFD" w:rsidRPr="00D2126A" w:rsidRDefault="000E5A86" w:rsidP="00C93C76">
      <w:pPr>
        <w:pStyle w:val="StyleHeadingLab"/>
      </w:pPr>
      <w:r>
        <w:t>1.</w:t>
      </w:r>
      <w:r>
        <w:tab/>
        <w:t>DÉNOMINATION DU MÉDICAMENT</w:t>
      </w:r>
    </w:p>
    <w:p w14:paraId="7181DA49" w14:textId="77777777" w:rsidR="007F6DFD" w:rsidRPr="00D2126A" w:rsidRDefault="007F6DFD" w:rsidP="003028B4">
      <w:pPr>
        <w:keepNext/>
        <w:rPr>
          <w:color w:val="000000"/>
        </w:rPr>
      </w:pPr>
    </w:p>
    <w:p w14:paraId="1DA010E4" w14:textId="77777777" w:rsidR="007F6DFD" w:rsidRPr="00D2126A" w:rsidRDefault="000E5A86" w:rsidP="00C93C76">
      <w:pPr>
        <w:rPr>
          <w:color w:val="000000"/>
        </w:rPr>
      </w:pPr>
      <w:r>
        <w:rPr>
          <w:color w:val="000000"/>
        </w:rPr>
        <w:t>Revlimid 25 mg gélules</w:t>
      </w:r>
    </w:p>
    <w:p w14:paraId="20B4C3BC" w14:textId="77777777" w:rsidR="007F6DFD" w:rsidRPr="00D2126A" w:rsidRDefault="000E5A86" w:rsidP="00C93C76">
      <w:pPr>
        <w:rPr>
          <w:color w:val="000000"/>
        </w:rPr>
      </w:pPr>
      <w:r>
        <w:rPr>
          <w:color w:val="000000"/>
        </w:rPr>
        <w:t>lénalidomide</w:t>
      </w:r>
    </w:p>
    <w:p w14:paraId="51C5D305" w14:textId="77777777" w:rsidR="007F6DFD" w:rsidRPr="00D2126A" w:rsidRDefault="007F6DFD" w:rsidP="00C93C76">
      <w:pPr>
        <w:rPr>
          <w:color w:val="000000"/>
        </w:rPr>
      </w:pPr>
    </w:p>
    <w:p w14:paraId="2D3D4AD9" w14:textId="77777777" w:rsidR="007F6DFD" w:rsidRPr="00D2126A" w:rsidRDefault="007F6DFD" w:rsidP="00C93C76">
      <w:pPr>
        <w:pStyle w:val="Date"/>
        <w:rPr>
          <w:color w:val="000000"/>
        </w:rPr>
      </w:pPr>
    </w:p>
    <w:p w14:paraId="236D2D1E" w14:textId="77777777" w:rsidR="007F6DFD" w:rsidRPr="00D2126A" w:rsidRDefault="000E5A86" w:rsidP="00C93C76">
      <w:pPr>
        <w:pStyle w:val="StyleHeadingLab"/>
      </w:pPr>
      <w:r>
        <w:t>2.</w:t>
      </w:r>
      <w:r>
        <w:tab/>
        <w:t>COMPOSITION EN SUBSTANCE(S) ACTIVE(S)</w:t>
      </w:r>
    </w:p>
    <w:p w14:paraId="2E6899E9" w14:textId="77777777" w:rsidR="007F6DFD" w:rsidRPr="00D2126A" w:rsidRDefault="007F6DFD" w:rsidP="003028B4">
      <w:pPr>
        <w:keepNext/>
        <w:rPr>
          <w:color w:val="000000"/>
        </w:rPr>
      </w:pPr>
    </w:p>
    <w:p w14:paraId="7DE55A74" w14:textId="77777777" w:rsidR="007F6DFD" w:rsidRPr="00D2126A" w:rsidRDefault="000E5A86" w:rsidP="00C93C76">
      <w:pPr>
        <w:rPr>
          <w:color w:val="000000"/>
        </w:rPr>
      </w:pPr>
      <w:r>
        <w:rPr>
          <w:color w:val="000000"/>
        </w:rPr>
        <w:t>Chaque gélule contient 25 mg de lénalidomide.</w:t>
      </w:r>
    </w:p>
    <w:p w14:paraId="62CC1A09" w14:textId="77777777" w:rsidR="007F6DFD" w:rsidRPr="00D2126A" w:rsidRDefault="007F6DFD" w:rsidP="00C93C76">
      <w:pPr>
        <w:rPr>
          <w:color w:val="000000"/>
        </w:rPr>
      </w:pPr>
    </w:p>
    <w:p w14:paraId="4B0FBBE3" w14:textId="77777777" w:rsidR="007F6DFD" w:rsidRPr="00D2126A" w:rsidRDefault="007F6DFD" w:rsidP="00C93C76">
      <w:pPr>
        <w:pStyle w:val="Date"/>
        <w:rPr>
          <w:color w:val="000000"/>
        </w:rPr>
      </w:pPr>
    </w:p>
    <w:p w14:paraId="35A7CD88" w14:textId="77777777" w:rsidR="007F6DFD" w:rsidRPr="00D2126A" w:rsidRDefault="000E5A86" w:rsidP="00C93C76">
      <w:pPr>
        <w:pStyle w:val="StyleHeadingLab"/>
      </w:pPr>
      <w:r>
        <w:t>3.</w:t>
      </w:r>
      <w:r>
        <w:tab/>
        <w:t>LISTE DES EXCIPIENTS</w:t>
      </w:r>
    </w:p>
    <w:p w14:paraId="01849AA0" w14:textId="77777777" w:rsidR="007F6DFD" w:rsidRPr="00D2126A" w:rsidRDefault="007F6DFD" w:rsidP="00477176">
      <w:pPr>
        <w:keepNext/>
        <w:rPr>
          <w:color w:val="000000"/>
        </w:rPr>
      </w:pPr>
    </w:p>
    <w:p w14:paraId="572C92C9" w14:textId="77777777" w:rsidR="007F6DFD" w:rsidRPr="00D2126A" w:rsidRDefault="000E5A86" w:rsidP="00C93C76">
      <w:pPr>
        <w:rPr>
          <w:color w:val="000000"/>
        </w:rPr>
      </w:pPr>
      <w:r>
        <w:rPr>
          <w:color w:val="000000"/>
        </w:rPr>
        <w:t>Contient du lactose. Voir la notice pour plus d’informations.</w:t>
      </w:r>
    </w:p>
    <w:p w14:paraId="64081EBB" w14:textId="77777777" w:rsidR="007F6DFD" w:rsidRPr="00D2126A" w:rsidRDefault="007F6DFD" w:rsidP="00C93C76">
      <w:pPr>
        <w:rPr>
          <w:color w:val="000000"/>
        </w:rPr>
      </w:pPr>
    </w:p>
    <w:p w14:paraId="268FDEF3" w14:textId="77777777" w:rsidR="007F6DFD" w:rsidRPr="00D2126A" w:rsidRDefault="007F6DFD" w:rsidP="00C93C76">
      <w:pPr>
        <w:pStyle w:val="Date"/>
        <w:rPr>
          <w:color w:val="000000"/>
        </w:rPr>
      </w:pPr>
    </w:p>
    <w:p w14:paraId="7868E325" w14:textId="77777777" w:rsidR="007F6DFD" w:rsidRPr="00D2126A" w:rsidRDefault="000E5A86" w:rsidP="00C93C76">
      <w:pPr>
        <w:pStyle w:val="StyleHeadingLab"/>
      </w:pPr>
      <w:r>
        <w:t>4.</w:t>
      </w:r>
      <w:r>
        <w:tab/>
        <w:t>FORME PHARMACEUTIQUE ET CONTENU</w:t>
      </w:r>
    </w:p>
    <w:p w14:paraId="6ADEFE98" w14:textId="77777777" w:rsidR="007F6DFD" w:rsidRPr="00D2126A" w:rsidRDefault="007F6DFD" w:rsidP="00477176">
      <w:pPr>
        <w:keepNext/>
        <w:rPr>
          <w:color w:val="000000"/>
        </w:rPr>
      </w:pPr>
    </w:p>
    <w:p w14:paraId="07DA0CAD" w14:textId="295E38A0" w:rsidR="00AA7763" w:rsidRPr="00D2126A" w:rsidRDefault="000E5A86" w:rsidP="00C93C76">
      <w:pPr>
        <w:rPr>
          <w:color w:val="000000"/>
        </w:rPr>
      </w:pPr>
      <w:r>
        <w:rPr>
          <w:color w:val="000000"/>
        </w:rPr>
        <w:t>7 gélules</w:t>
      </w:r>
    </w:p>
    <w:p w14:paraId="5324FB46" w14:textId="3C3A2DD3" w:rsidR="00AA7763" w:rsidRPr="00D2126A" w:rsidRDefault="000E5A86" w:rsidP="00C93C76">
      <w:pPr>
        <w:rPr>
          <w:noProof/>
        </w:rPr>
      </w:pPr>
      <w:r>
        <w:rPr>
          <w:highlight w:val="lightGray"/>
        </w:rPr>
        <w:t>21 gélules</w:t>
      </w:r>
    </w:p>
    <w:p w14:paraId="4CC88FA2" w14:textId="77777777" w:rsidR="007F6DFD" w:rsidRPr="00D2126A" w:rsidRDefault="007F6DFD" w:rsidP="00C93C76">
      <w:pPr>
        <w:rPr>
          <w:color w:val="000000"/>
        </w:rPr>
      </w:pPr>
    </w:p>
    <w:p w14:paraId="453B2693" w14:textId="77777777" w:rsidR="007F6DFD" w:rsidRPr="00D2126A" w:rsidRDefault="007F6DFD" w:rsidP="00C93C76">
      <w:pPr>
        <w:pStyle w:val="Date"/>
        <w:rPr>
          <w:color w:val="000000"/>
        </w:rPr>
      </w:pPr>
    </w:p>
    <w:p w14:paraId="09439E63" w14:textId="77777777" w:rsidR="007F6DFD" w:rsidRPr="00D2126A" w:rsidRDefault="000E5A86" w:rsidP="00C93C76">
      <w:pPr>
        <w:pStyle w:val="StyleHeadingLab"/>
      </w:pPr>
      <w:r>
        <w:t>5.</w:t>
      </w:r>
      <w:r>
        <w:tab/>
        <w:t>MODE ET VOIE(S) D’ADMINISTRATION</w:t>
      </w:r>
    </w:p>
    <w:p w14:paraId="021FEC4C" w14:textId="77777777" w:rsidR="007F6DFD" w:rsidRPr="00D2126A" w:rsidRDefault="007F6DFD" w:rsidP="00477176">
      <w:pPr>
        <w:keepNext/>
        <w:rPr>
          <w:color w:val="000000"/>
        </w:rPr>
      </w:pPr>
    </w:p>
    <w:p w14:paraId="1DB8D928" w14:textId="77777777" w:rsidR="007F6DFD" w:rsidRPr="00D2126A" w:rsidRDefault="000E5A86" w:rsidP="00C93C76">
      <w:pPr>
        <w:rPr>
          <w:color w:val="000000"/>
        </w:rPr>
      </w:pPr>
      <w:r>
        <w:rPr>
          <w:color w:val="000000"/>
        </w:rPr>
        <w:t>Voie orale.</w:t>
      </w:r>
    </w:p>
    <w:p w14:paraId="576F9A31" w14:textId="77777777" w:rsidR="007F6DFD" w:rsidRPr="00D2126A" w:rsidRDefault="007F6DFD" w:rsidP="00C93C76">
      <w:pPr>
        <w:rPr>
          <w:color w:val="000000"/>
        </w:rPr>
      </w:pPr>
    </w:p>
    <w:p w14:paraId="6F7B1F4B" w14:textId="77777777" w:rsidR="007F6DFD" w:rsidRPr="00D2126A" w:rsidRDefault="000E5A86" w:rsidP="00C93C76">
      <w:pPr>
        <w:rPr>
          <w:color w:val="000000"/>
        </w:rPr>
      </w:pPr>
      <w:r>
        <w:rPr>
          <w:color w:val="000000"/>
        </w:rPr>
        <w:t>Lire la notice avant utilisation.</w:t>
      </w:r>
    </w:p>
    <w:p w14:paraId="616C63C0" w14:textId="77777777" w:rsidR="007F6DFD" w:rsidRPr="00D2126A" w:rsidRDefault="007F6DFD" w:rsidP="00C93C76">
      <w:pPr>
        <w:rPr>
          <w:color w:val="000000"/>
        </w:rPr>
      </w:pPr>
    </w:p>
    <w:p w14:paraId="163B9EFC" w14:textId="77777777" w:rsidR="007F6DFD" w:rsidRPr="00D2126A" w:rsidRDefault="007F6DFD" w:rsidP="00C93C76">
      <w:pPr>
        <w:pStyle w:val="Date"/>
        <w:rPr>
          <w:color w:val="000000"/>
        </w:rPr>
      </w:pPr>
    </w:p>
    <w:p w14:paraId="084EE20C" w14:textId="77777777" w:rsidR="007F6DFD" w:rsidRPr="00D2126A" w:rsidRDefault="000E5A86" w:rsidP="00C93C76">
      <w:pPr>
        <w:pStyle w:val="StyleHeadingLab"/>
      </w:pPr>
      <w:r>
        <w:t>6.</w:t>
      </w:r>
      <w:r>
        <w:tab/>
        <w:t>MISE EN GARDE SPÉCIALE INDIQUANT QUE LE MÉDICAMENT DOIT ÊTRE CONSERVÉ HORS DE VUE ET DE PORTÉE DES ENFANTS</w:t>
      </w:r>
    </w:p>
    <w:p w14:paraId="55429830" w14:textId="77777777" w:rsidR="007F6DFD" w:rsidRPr="00D2126A" w:rsidRDefault="007F6DFD" w:rsidP="00477176">
      <w:pPr>
        <w:keepNext/>
        <w:rPr>
          <w:color w:val="000000"/>
        </w:rPr>
      </w:pPr>
    </w:p>
    <w:p w14:paraId="76D53B42" w14:textId="77777777" w:rsidR="007F6DFD" w:rsidRPr="00D2126A" w:rsidRDefault="000E5A86" w:rsidP="00C93C76">
      <w:pPr>
        <w:rPr>
          <w:color w:val="000000"/>
        </w:rPr>
      </w:pPr>
      <w:r>
        <w:rPr>
          <w:color w:val="000000"/>
        </w:rPr>
        <w:t>Tenir hors de la vue et de la portée des enfants.</w:t>
      </w:r>
    </w:p>
    <w:p w14:paraId="6D4F3A4D" w14:textId="77777777" w:rsidR="007F6DFD" w:rsidRPr="00D2126A" w:rsidRDefault="007F6DFD" w:rsidP="00C93C76">
      <w:pPr>
        <w:rPr>
          <w:color w:val="000000"/>
        </w:rPr>
      </w:pPr>
    </w:p>
    <w:p w14:paraId="137C8866" w14:textId="77777777" w:rsidR="007F6DFD" w:rsidRPr="00D2126A" w:rsidRDefault="007F6DFD" w:rsidP="00C93C76">
      <w:pPr>
        <w:pStyle w:val="Date"/>
        <w:rPr>
          <w:color w:val="000000"/>
        </w:rPr>
      </w:pPr>
    </w:p>
    <w:p w14:paraId="2B895E3D" w14:textId="77777777" w:rsidR="007F6DFD" w:rsidRPr="00D2126A" w:rsidRDefault="000E5A86" w:rsidP="00C93C76">
      <w:pPr>
        <w:pStyle w:val="StyleHeadingLab"/>
      </w:pPr>
      <w:r>
        <w:t>7.</w:t>
      </w:r>
      <w:r>
        <w:tab/>
        <w:t>AUTRE(S) MISE(S) EN GARDE SPÉCIALE(S), SI NÉCESSAIRE</w:t>
      </w:r>
    </w:p>
    <w:p w14:paraId="4FF111F1" w14:textId="77777777" w:rsidR="007F6DFD" w:rsidRPr="00D2126A" w:rsidRDefault="007F6DFD" w:rsidP="00477176">
      <w:pPr>
        <w:keepNext/>
        <w:rPr>
          <w:color w:val="000000"/>
        </w:rPr>
      </w:pPr>
    </w:p>
    <w:p w14:paraId="6E4A24D6" w14:textId="77777777" w:rsidR="006E28E9" w:rsidRPr="00D2126A" w:rsidRDefault="000E5A86" w:rsidP="00C93C76">
      <w:pPr>
        <w:rPr>
          <w:bCs/>
          <w:color w:val="000000"/>
        </w:rPr>
      </w:pPr>
      <w:r>
        <w:rPr>
          <w:color w:val="000000"/>
        </w:rPr>
        <w:t>MISE EN GARDE : risque d’anomalies congénitales graves. Ne pas utiliser pendant la grossesse ou l’allaitement.</w:t>
      </w:r>
    </w:p>
    <w:p w14:paraId="2D74213A" w14:textId="77777777" w:rsidR="007F6DFD" w:rsidRPr="00D2126A" w:rsidRDefault="000E5A86" w:rsidP="00C93C76">
      <w:pPr>
        <w:rPr>
          <w:color w:val="000000"/>
        </w:rPr>
      </w:pPr>
      <w:r>
        <w:rPr>
          <w:color w:val="000000"/>
        </w:rPr>
        <w:t>Vous devez suivre le programme de prévention de la grossesse de Revlimid.</w:t>
      </w:r>
    </w:p>
    <w:p w14:paraId="5B2B6EBB" w14:textId="77777777" w:rsidR="007F6DFD" w:rsidRPr="00D2126A" w:rsidRDefault="007F6DFD" w:rsidP="00C93C76">
      <w:pPr>
        <w:rPr>
          <w:color w:val="000000"/>
        </w:rPr>
      </w:pPr>
    </w:p>
    <w:p w14:paraId="2C43F2C5" w14:textId="77777777" w:rsidR="007F6DFD" w:rsidRPr="00D2126A" w:rsidRDefault="007F6DFD" w:rsidP="00C93C76">
      <w:pPr>
        <w:pStyle w:val="Date"/>
        <w:rPr>
          <w:color w:val="000000"/>
        </w:rPr>
      </w:pPr>
    </w:p>
    <w:p w14:paraId="45C54C8D" w14:textId="77777777" w:rsidR="007F6DFD" w:rsidRPr="00D2126A" w:rsidRDefault="000E5A86" w:rsidP="00C93C76">
      <w:pPr>
        <w:pStyle w:val="StyleHeadingLab"/>
      </w:pPr>
      <w:r>
        <w:t>8.</w:t>
      </w:r>
      <w:r>
        <w:tab/>
        <w:t>DATE DE PÉREMPTION</w:t>
      </w:r>
    </w:p>
    <w:p w14:paraId="3D16A706" w14:textId="77777777" w:rsidR="007F6DFD" w:rsidRPr="00D2126A" w:rsidRDefault="007F6DFD" w:rsidP="00477176">
      <w:pPr>
        <w:keepNext/>
        <w:rPr>
          <w:color w:val="000000"/>
        </w:rPr>
      </w:pPr>
    </w:p>
    <w:p w14:paraId="291256F1" w14:textId="77777777" w:rsidR="007F6DFD" w:rsidRPr="00D2126A" w:rsidRDefault="000E5A86" w:rsidP="00C93C76">
      <w:pPr>
        <w:rPr>
          <w:color w:val="000000"/>
        </w:rPr>
      </w:pPr>
      <w:r>
        <w:rPr>
          <w:color w:val="000000"/>
        </w:rPr>
        <w:t>EXP</w:t>
      </w:r>
    </w:p>
    <w:p w14:paraId="3F9E1326" w14:textId="77777777" w:rsidR="001120BE" w:rsidRPr="00D2126A" w:rsidRDefault="001120BE" w:rsidP="00C93C76">
      <w:pPr>
        <w:pStyle w:val="Date"/>
      </w:pPr>
    </w:p>
    <w:p w14:paraId="2E516A1A" w14:textId="77777777" w:rsidR="001120BE" w:rsidRPr="00D2126A" w:rsidRDefault="001120BE" w:rsidP="00C93C76"/>
    <w:p w14:paraId="0460445C" w14:textId="77777777" w:rsidR="007F6DFD" w:rsidRPr="00D2126A" w:rsidRDefault="000E5A86" w:rsidP="00C93C76">
      <w:pPr>
        <w:pStyle w:val="StyleHeadingLab"/>
      </w:pPr>
      <w:r>
        <w:t>9.</w:t>
      </w:r>
      <w:r>
        <w:tab/>
        <w:t>PRÉCAUTIONS PARTICULIÈRES DE CONSERVATION</w:t>
      </w:r>
    </w:p>
    <w:p w14:paraId="7C2B39E3" w14:textId="77777777" w:rsidR="007F6DFD" w:rsidRPr="00D2126A" w:rsidRDefault="007F6DFD" w:rsidP="00477176">
      <w:pPr>
        <w:keepNext/>
        <w:rPr>
          <w:color w:val="000000"/>
        </w:rPr>
      </w:pPr>
    </w:p>
    <w:p w14:paraId="2158A9B6" w14:textId="77777777" w:rsidR="007F6DFD" w:rsidRPr="00D2126A" w:rsidRDefault="007F6DFD" w:rsidP="00C93C76">
      <w:pPr>
        <w:pStyle w:val="Date"/>
        <w:rPr>
          <w:color w:val="000000"/>
        </w:rPr>
      </w:pPr>
    </w:p>
    <w:p w14:paraId="6173627D" w14:textId="77777777" w:rsidR="007F6DFD" w:rsidRPr="00D2126A" w:rsidRDefault="000E5A86" w:rsidP="00C93C76">
      <w:pPr>
        <w:pStyle w:val="StyleHeadingLab"/>
      </w:pPr>
      <w:r>
        <w:t>10.</w:t>
      </w:r>
      <w:r>
        <w:tab/>
        <w:t>PRÉCAUTIONS PARTICULIÈRES D’ÉLIMINATION DES MÉDICAMENTS NON UTILISÉS OU DES DÉCHETS PROVENANT DE CES MÉDICAMENTS S’IL Y A LIEU</w:t>
      </w:r>
    </w:p>
    <w:p w14:paraId="2296382B" w14:textId="77777777" w:rsidR="007F6DFD" w:rsidRPr="00D2126A" w:rsidRDefault="007F6DFD" w:rsidP="00477176">
      <w:pPr>
        <w:keepNext/>
        <w:rPr>
          <w:color w:val="000000"/>
        </w:rPr>
      </w:pPr>
    </w:p>
    <w:p w14:paraId="77F58C87" w14:textId="77777777" w:rsidR="008D4EE6" w:rsidRPr="00D2126A" w:rsidRDefault="000E5A86" w:rsidP="00C93C76">
      <w:pPr>
        <w:rPr>
          <w:color w:val="000000"/>
        </w:rPr>
      </w:pPr>
      <w:r>
        <w:rPr>
          <w:color w:val="000000"/>
        </w:rPr>
        <w:t>Rapporter les gélules non utilisées à un pharmacien.</w:t>
      </w:r>
    </w:p>
    <w:p w14:paraId="221D1F1D" w14:textId="77777777" w:rsidR="007F6DFD" w:rsidRPr="00D2126A" w:rsidRDefault="007F6DFD" w:rsidP="00C93C76">
      <w:pPr>
        <w:rPr>
          <w:color w:val="000000"/>
        </w:rPr>
      </w:pPr>
    </w:p>
    <w:p w14:paraId="523F6FFB" w14:textId="77777777" w:rsidR="007F6DFD" w:rsidRPr="00D2126A" w:rsidRDefault="007F6DFD" w:rsidP="00C93C76">
      <w:pPr>
        <w:pStyle w:val="Date"/>
        <w:rPr>
          <w:color w:val="000000"/>
        </w:rPr>
      </w:pPr>
    </w:p>
    <w:p w14:paraId="66B7BEDB" w14:textId="77777777" w:rsidR="007F6DFD" w:rsidRPr="00D2126A" w:rsidRDefault="000E5A86" w:rsidP="00C93C76">
      <w:pPr>
        <w:pStyle w:val="StyleHeadingLab"/>
      </w:pPr>
      <w:r>
        <w:t>11.</w:t>
      </w:r>
      <w:r>
        <w:tab/>
        <w:t>NOM ET ADRESSE DU TITULAIRE DE L’AUTORISATION DE MISE SUR LE MARCHÉ</w:t>
      </w:r>
    </w:p>
    <w:p w14:paraId="3221CD1F" w14:textId="77777777" w:rsidR="007F6DFD" w:rsidRPr="00D2126A" w:rsidRDefault="007F6DFD" w:rsidP="00477176">
      <w:pPr>
        <w:keepNext/>
        <w:rPr>
          <w:color w:val="000000"/>
        </w:rPr>
      </w:pPr>
    </w:p>
    <w:p w14:paraId="55C6F7E0" w14:textId="77777777" w:rsidR="00CB3D9F" w:rsidRPr="00AB0414" w:rsidRDefault="000E5A86" w:rsidP="00477176">
      <w:pPr>
        <w:pStyle w:val="EMEAAddress"/>
        <w:keepNext/>
        <w:rPr>
          <w:lang w:val="en-US"/>
        </w:rPr>
      </w:pPr>
      <w:r w:rsidRPr="00AB0414">
        <w:rPr>
          <w:lang w:val="en-US"/>
        </w:rPr>
        <w:t>Bristol</w:t>
      </w:r>
      <w:r w:rsidRPr="00AB0414">
        <w:rPr>
          <w:lang w:val="en-US"/>
        </w:rPr>
        <w:noBreakHyphen/>
        <w:t>Myers Squibb Pharma EEIG</w:t>
      </w:r>
    </w:p>
    <w:p w14:paraId="4D202F81" w14:textId="77777777" w:rsidR="00CB3D9F" w:rsidRPr="00AB0414" w:rsidRDefault="000E5A86" w:rsidP="00477176">
      <w:pPr>
        <w:pStyle w:val="EMEAAddress"/>
        <w:keepNext/>
        <w:rPr>
          <w:lang w:val="en-US"/>
        </w:rPr>
      </w:pPr>
      <w:r w:rsidRPr="00AB0414">
        <w:rPr>
          <w:lang w:val="en-US"/>
        </w:rPr>
        <w:t>Plaza 254</w:t>
      </w:r>
    </w:p>
    <w:p w14:paraId="66CB4D9D" w14:textId="77777777" w:rsidR="00CB3D9F" w:rsidRPr="00AB0414" w:rsidRDefault="000E5A86" w:rsidP="00477176">
      <w:pPr>
        <w:pStyle w:val="EMEAAddress"/>
        <w:keepNext/>
        <w:rPr>
          <w:lang w:val="en-US"/>
        </w:rPr>
      </w:pPr>
      <w:r w:rsidRPr="00AB0414">
        <w:rPr>
          <w:lang w:val="en-US"/>
        </w:rPr>
        <w:t>Blanchardstown Corporate Park 2</w:t>
      </w:r>
    </w:p>
    <w:p w14:paraId="206D7380" w14:textId="77777777" w:rsidR="00CB3D9F" w:rsidRPr="00AB0414" w:rsidRDefault="000E5A86" w:rsidP="00477176">
      <w:pPr>
        <w:pStyle w:val="EMEAAddress"/>
        <w:keepNext/>
        <w:rPr>
          <w:lang w:val="en-US"/>
        </w:rPr>
      </w:pPr>
      <w:r w:rsidRPr="00AB0414">
        <w:rPr>
          <w:lang w:val="en-US"/>
        </w:rPr>
        <w:t>Dublin 15, D15 T867</w:t>
      </w:r>
    </w:p>
    <w:p w14:paraId="6725833A" w14:textId="77777777" w:rsidR="00036363" w:rsidRPr="00D2126A" w:rsidRDefault="000E5A86" w:rsidP="00477176">
      <w:pPr>
        <w:keepNext/>
      </w:pPr>
      <w:r>
        <w:t>Irlande</w:t>
      </w:r>
    </w:p>
    <w:p w14:paraId="473BF45B" w14:textId="4D12D941" w:rsidR="007F6DFD" w:rsidRPr="00D2126A" w:rsidRDefault="007F6DFD" w:rsidP="00C93C76">
      <w:pPr>
        <w:rPr>
          <w:color w:val="000000"/>
        </w:rPr>
      </w:pPr>
    </w:p>
    <w:p w14:paraId="621A2252" w14:textId="77777777" w:rsidR="007F6DFD" w:rsidRPr="00D2126A" w:rsidRDefault="007F6DFD" w:rsidP="00C93C76">
      <w:pPr>
        <w:pStyle w:val="Date"/>
        <w:rPr>
          <w:color w:val="000000"/>
        </w:rPr>
      </w:pPr>
    </w:p>
    <w:p w14:paraId="1FA386C6" w14:textId="77777777" w:rsidR="007F6DFD" w:rsidRPr="00D2126A" w:rsidRDefault="000E5A86" w:rsidP="00C93C76">
      <w:pPr>
        <w:pStyle w:val="StyleHeadingLab"/>
      </w:pPr>
      <w:r>
        <w:t>12.</w:t>
      </w:r>
      <w:r>
        <w:tab/>
        <w:t>NUMÉRO(S) D’AUTORISATION DE MISE SUR LE MARCHÉ</w:t>
      </w:r>
    </w:p>
    <w:p w14:paraId="5F760B61" w14:textId="77777777" w:rsidR="007F6DFD" w:rsidRPr="00D2126A" w:rsidRDefault="007F6DFD" w:rsidP="00477176">
      <w:pPr>
        <w:keepNext/>
        <w:rPr>
          <w:color w:val="000000"/>
        </w:rPr>
      </w:pPr>
    </w:p>
    <w:p w14:paraId="4E9F83F2" w14:textId="71570236" w:rsidR="00AA7763" w:rsidRPr="00156723" w:rsidRDefault="000E5A86" w:rsidP="00747C76">
      <w:r>
        <w:t xml:space="preserve">EU/1/07/391/014 </w:t>
      </w:r>
      <w:r>
        <w:rPr>
          <w:highlight w:val="lightGray"/>
        </w:rPr>
        <w:t>7 gélules</w:t>
      </w:r>
    </w:p>
    <w:p w14:paraId="5895B07B" w14:textId="483017E2" w:rsidR="00AA7763" w:rsidRPr="00156723" w:rsidRDefault="000E5A86" w:rsidP="00747C76">
      <w:r>
        <w:rPr>
          <w:highlight w:val="lightGray"/>
        </w:rPr>
        <w:t>EU/1/07/391/004 21 gélules</w:t>
      </w:r>
    </w:p>
    <w:p w14:paraId="01A04929" w14:textId="77777777" w:rsidR="007F6DFD" w:rsidRPr="00156723" w:rsidRDefault="007F6DFD" w:rsidP="00C93C76">
      <w:pPr>
        <w:rPr>
          <w:color w:val="000000"/>
        </w:rPr>
      </w:pPr>
    </w:p>
    <w:p w14:paraId="7D2361A3" w14:textId="77777777" w:rsidR="007F6DFD" w:rsidRPr="00156723" w:rsidRDefault="007F6DFD" w:rsidP="00C93C76">
      <w:pPr>
        <w:pStyle w:val="Date"/>
        <w:rPr>
          <w:color w:val="000000"/>
        </w:rPr>
      </w:pPr>
    </w:p>
    <w:p w14:paraId="5165AFD0" w14:textId="77777777" w:rsidR="007F6DFD" w:rsidRPr="00D2126A" w:rsidRDefault="000E5A86" w:rsidP="00C93C76">
      <w:pPr>
        <w:pStyle w:val="StyleHeadingLab"/>
      </w:pPr>
      <w:r>
        <w:t>13.</w:t>
      </w:r>
      <w:r>
        <w:tab/>
        <w:t>NUMÉRO DU LOT</w:t>
      </w:r>
    </w:p>
    <w:p w14:paraId="45169ED8" w14:textId="77777777" w:rsidR="007F6DFD" w:rsidRPr="00D2126A" w:rsidRDefault="007F6DFD" w:rsidP="00477176">
      <w:pPr>
        <w:keepNext/>
        <w:rPr>
          <w:iCs/>
          <w:color w:val="000000"/>
        </w:rPr>
      </w:pPr>
    </w:p>
    <w:p w14:paraId="0FD8ADF9" w14:textId="77777777" w:rsidR="007F6DFD" w:rsidRPr="00D2126A" w:rsidRDefault="000E5A86" w:rsidP="00C93C76">
      <w:pPr>
        <w:rPr>
          <w:color w:val="000000"/>
        </w:rPr>
      </w:pPr>
      <w:r>
        <w:rPr>
          <w:color w:val="000000"/>
        </w:rPr>
        <w:t>Lot</w:t>
      </w:r>
    </w:p>
    <w:p w14:paraId="0696D359" w14:textId="77777777" w:rsidR="007F6DFD" w:rsidRPr="00D2126A" w:rsidRDefault="007F6DFD" w:rsidP="00C93C76">
      <w:pPr>
        <w:rPr>
          <w:color w:val="000000"/>
        </w:rPr>
      </w:pPr>
    </w:p>
    <w:p w14:paraId="63369F0C" w14:textId="77777777" w:rsidR="007F6DFD" w:rsidRPr="00D2126A" w:rsidRDefault="007F6DFD" w:rsidP="00C93C76">
      <w:pPr>
        <w:pStyle w:val="Date"/>
        <w:rPr>
          <w:color w:val="000000"/>
        </w:rPr>
      </w:pPr>
    </w:p>
    <w:p w14:paraId="41808586" w14:textId="77777777" w:rsidR="007F6DFD" w:rsidRPr="00D2126A" w:rsidRDefault="000E5A86" w:rsidP="00C93C76">
      <w:pPr>
        <w:pStyle w:val="StyleHeadingLab"/>
      </w:pPr>
      <w:r>
        <w:t>14.</w:t>
      </w:r>
      <w:r>
        <w:tab/>
        <w:t>CONDITIONS DE PRESCRIPTION ET DE DÉLIVRANCE</w:t>
      </w:r>
    </w:p>
    <w:p w14:paraId="7A8F2A50" w14:textId="77777777" w:rsidR="007F6DFD" w:rsidRPr="00D2126A" w:rsidRDefault="007F6DFD" w:rsidP="00477176">
      <w:pPr>
        <w:keepNext/>
        <w:rPr>
          <w:color w:val="000000"/>
        </w:rPr>
      </w:pPr>
    </w:p>
    <w:p w14:paraId="61572796" w14:textId="77777777" w:rsidR="007F6DFD" w:rsidRPr="00D2126A" w:rsidRDefault="007F6DFD" w:rsidP="00C93C76">
      <w:pPr>
        <w:pStyle w:val="Date"/>
        <w:rPr>
          <w:color w:val="000000"/>
        </w:rPr>
      </w:pPr>
    </w:p>
    <w:p w14:paraId="67968E51" w14:textId="77777777" w:rsidR="007F6DFD" w:rsidRPr="00D2126A" w:rsidRDefault="000E5A86" w:rsidP="00C93C76">
      <w:pPr>
        <w:pStyle w:val="StyleHeadingLab"/>
      </w:pPr>
      <w:r>
        <w:t>15.</w:t>
      </w:r>
      <w:r>
        <w:tab/>
        <w:t>INDICATIONS D’UTILISATION</w:t>
      </w:r>
    </w:p>
    <w:p w14:paraId="15DE97B0" w14:textId="77777777" w:rsidR="007F6DFD" w:rsidRPr="00D2126A" w:rsidRDefault="007F6DFD" w:rsidP="00477176">
      <w:pPr>
        <w:keepNext/>
        <w:rPr>
          <w:bCs/>
          <w:color w:val="000000"/>
        </w:rPr>
      </w:pPr>
    </w:p>
    <w:p w14:paraId="176E01BF" w14:textId="77777777" w:rsidR="007F6DFD" w:rsidRPr="00D2126A" w:rsidRDefault="007F6DFD" w:rsidP="00C93C76">
      <w:pPr>
        <w:rPr>
          <w:color w:val="000000"/>
        </w:rPr>
      </w:pPr>
    </w:p>
    <w:p w14:paraId="7245C8D0" w14:textId="77777777" w:rsidR="007F6DFD" w:rsidRPr="00D2126A" w:rsidRDefault="000E5A86" w:rsidP="00C93C76">
      <w:pPr>
        <w:pStyle w:val="StyleHeadingLab"/>
      </w:pPr>
      <w:r>
        <w:t>16.</w:t>
      </w:r>
      <w:r>
        <w:tab/>
        <w:t>INFORMATIONS EN BRAILLE</w:t>
      </w:r>
    </w:p>
    <w:p w14:paraId="7A35B7E3" w14:textId="77777777" w:rsidR="007F6DFD" w:rsidRPr="00D2126A" w:rsidRDefault="007F6DFD" w:rsidP="00477176">
      <w:pPr>
        <w:keepNext/>
        <w:rPr>
          <w:color w:val="000000"/>
        </w:rPr>
      </w:pPr>
    </w:p>
    <w:p w14:paraId="79DC880E" w14:textId="77777777" w:rsidR="00AE7BC4" w:rsidRPr="00D2126A" w:rsidRDefault="000E5A86" w:rsidP="00477176">
      <w:pPr>
        <w:pStyle w:val="Date"/>
        <w:keepNext/>
        <w:rPr>
          <w:color w:val="000000"/>
        </w:rPr>
      </w:pPr>
      <w:r>
        <w:rPr>
          <w:color w:val="000000"/>
        </w:rPr>
        <w:t>Revlimid 25 mg</w:t>
      </w:r>
    </w:p>
    <w:p w14:paraId="1C5C8663" w14:textId="77777777" w:rsidR="008D4EE6" w:rsidRPr="00D2126A" w:rsidRDefault="008D4EE6" w:rsidP="00477176">
      <w:pPr>
        <w:pStyle w:val="Date"/>
        <w:keepNext/>
      </w:pPr>
    </w:p>
    <w:p w14:paraId="249C3CD6" w14:textId="77777777" w:rsidR="00C853A4" w:rsidRPr="00D2126A" w:rsidRDefault="00C853A4" w:rsidP="00C93C76">
      <w:pPr>
        <w:rPr>
          <w:noProof/>
          <w:shd w:val="clear" w:color="auto" w:fill="CCCCCC"/>
        </w:rPr>
      </w:pPr>
    </w:p>
    <w:p w14:paraId="18D6B26A" w14:textId="77777777" w:rsidR="00C853A4" w:rsidRPr="00D2126A" w:rsidRDefault="000E5A86" w:rsidP="00C93C76">
      <w:pPr>
        <w:pStyle w:val="StyleHeadingLab"/>
        <w:rPr>
          <w:i/>
          <w:noProof/>
        </w:rPr>
      </w:pPr>
      <w:r>
        <w:t>17.</w:t>
      </w:r>
      <w:r>
        <w:tab/>
        <w:t>IDENTIFIANT UNIQUE - CODE</w:t>
      </w:r>
      <w:r>
        <w:noBreakHyphen/>
        <w:t>BARRES 2D</w:t>
      </w:r>
    </w:p>
    <w:p w14:paraId="7F8749B8" w14:textId="77777777" w:rsidR="00C853A4" w:rsidRPr="00D2126A" w:rsidRDefault="00C853A4" w:rsidP="00477176">
      <w:pPr>
        <w:keepNext/>
        <w:rPr>
          <w:noProof/>
        </w:rPr>
      </w:pPr>
    </w:p>
    <w:p w14:paraId="04242769" w14:textId="622BF565" w:rsidR="00C853A4" w:rsidRPr="00D2126A" w:rsidRDefault="000E5A86" w:rsidP="00477176">
      <w:pPr>
        <w:pStyle w:val="Date"/>
        <w:keepNext/>
        <w:rPr>
          <w:noProof/>
        </w:rPr>
      </w:pPr>
      <w:r>
        <w:rPr>
          <w:highlight w:val="lightGray"/>
        </w:rPr>
        <w:t>Code</w:t>
      </w:r>
      <w:r>
        <w:rPr>
          <w:highlight w:val="lightGray"/>
        </w:rPr>
        <w:noBreakHyphen/>
        <w:t>barres 2D portant l'identifiant unique inclus.</w:t>
      </w:r>
    </w:p>
    <w:p w14:paraId="7A089B84" w14:textId="77777777" w:rsidR="00C853A4" w:rsidRPr="00D2126A" w:rsidRDefault="00C853A4" w:rsidP="00477176">
      <w:pPr>
        <w:keepNext/>
      </w:pPr>
    </w:p>
    <w:p w14:paraId="374315E2" w14:textId="77777777" w:rsidR="00C853A4" w:rsidRPr="00D2126A" w:rsidRDefault="00C853A4" w:rsidP="00C93C76"/>
    <w:p w14:paraId="23AB4D8E" w14:textId="77777777" w:rsidR="00C853A4" w:rsidRPr="00D2126A" w:rsidRDefault="000E5A86" w:rsidP="00C93C76">
      <w:pPr>
        <w:pStyle w:val="StyleHeadingLab"/>
        <w:rPr>
          <w:i/>
          <w:noProof/>
        </w:rPr>
      </w:pPr>
      <w:r>
        <w:t>18.</w:t>
      </w:r>
      <w:r>
        <w:tab/>
        <w:t>IDENTIFIANT UNIQUE - DONNÉES LISIBLES PAR LES HUMAINS</w:t>
      </w:r>
    </w:p>
    <w:p w14:paraId="7DCAFAE0" w14:textId="77777777" w:rsidR="00C853A4" w:rsidRPr="00D2126A" w:rsidRDefault="00C853A4" w:rsidP="00477176">
      <w:pPr>
        <w:pStyle w:val="Date"/>
        <w:keepNext/>
      </w:pPr>
    </w:p>
    <w:p w14:paraId="6F076FB7" w14:textId="7BAA6CD5" w:rsidR="00C853A4" w:rsidRPr="00D2126A" w:rsidRDefault="000E5A86" w:rsidP="00477176">
      <w:pPr>
        <w:keepNext/>
      </w:pPr>
      <w:r>
        <w:t>PC</w:t>
      </w:r>
    </w:p>
    <w:p w14:paraId="0B55A191" w14:textId="541E3149" w:rsidR="00C853A4" w:rsidRPr="00D2126A" w:rsidRDefault="000E5A86" w:rsidP="00477176">
      <w:pPr>
        <w:keepNext/>
      </w:pPr>
      <w:r>
        <w:t>SN</w:t>
      </w:r>
    </w:p>
    <w:p w14:paraId="6F23E24F" w14:textId="2555902B" w:rsidR="00C853A4" w:rsidRPr="00D2126A" w:rsidRDefault="000E5A86" w:rsidP="00477176">
      <w:pPr>
        <w:keepNext/>
      </w:pPr>
      <w:r>
        <w:t>NN</w:t>
      </w:r>
    </w:p>
    <w:p w14:paraId="7E482A65" w14:textId="77777777" w:rsidR="00A84B34" w:rsidRPr="00D2126A" w:rsidRDefault="00A84B34" w:rsidP="00C93C76"/>
    <w:p w14:paraId="6280B525" w14:textId="1F9C3E4C" w:rsidR="007F6DFD" w:rsidRPr="00D2126A" w:rsidRDefault="000E5A86" w:rsidP="00477176">
      <w:pPr>
        <w:keepNext/>
        <w:pBdr>
          <w:top w:val="single" w:sz="4" w:space="1" w:color="auto"/>
          <w:left w:val="single" w:sz="4" w:space="1" w:color="auto"/>
          <w:right w:val="single" w:sz="4" w:space="1" w:color="auto"/>
        </w:pBdr>
        <w:rPr>
          <w:b/>
          <w:color w:val="000000"/>
        </w:rPr>
      </w:pPr>
      <w:r>
        <w:br w:type="page"/>
      </w:r>
      <w:r>
        <w:rPr>
          <w:b/>
          <w:color w:val="000000"/>
        </w:rPr>
        <w:t>MENTIONS MINIMALES DEVANT FIGURER SUR LES PLAQUETTES OU LES FILMS THERMOSOUDÉS</w:t>
      </w:r>
    </w:p>
    <w:p w14:paraId="7EB234E3" w14:textId="77777777" w:rsidR="007F6DFD" w:rsidRPr="00D2126A" w:rsidRDefault="007F6DFD" w:rsidP="00477176">
      <w:pPr>
        <w:pStyle w:val="Date"/>
        <w:keepNext/>
        <w:pBdr>
          <w:left w:val="single" w:sz="4" w:space="1" w:color="auto"/>
          <w:bottom w:val="single" w:sz="4" w:space="1" w:color="auto"/>
          <w:right w:val="single" w:sz="4" w:space="1" w:color="auto"/>
        </w:pBdr>
        <w:rPr>
          <w:color w:val="000000"/>
        </w:rPr>
      </w:pPr>
    </w:p>
    <w:p w14:paraId="15A3F09D" w14:textId="77777777" w:rsidR="007F6DFD" w:rsidRPr="00D2126A" w:rsidRDefault="000E5A86" w:rsidP="00477176">
      <w:pPr>
        <w:keepNext/>
        <w:pBdr>
          <w:left w:val="single" w:sz="4" w:space="1" w:color="auto"/>
          <w:bottom w:val="single" w:sz="4" w:space="1" w:color="auto"/>
          <w:right w:val="single" w:sz="4" w:space="1" w:color="auto"/>
        </w:pBdr>
        <w:rPr>
          <w:b/>
          <w:color w:val="000000"/>
        </w:rPr>
      </w:pPr>
      <w:r>
        <w:rPr>
          <w:b/>
          <w:color w:val="000000"/>
        </w:rPr>
        <w:t>PLAQUETTES</w:t>
      </w:r>
    </w:p>
    <w:p w14:paraId="4D526C29" w14:textId="77777777" w:rsidR="007F6DFD" w:rsidRPr="00D2126A" w:rsidRDefault="007F6DFD" w:rsidP="00477176">
      <w:pPr>
        <w:keepNext/>
        <w:rPr>
          <w:bCs/>
          <w:color w:val="000000"/>
        </w:rPr>
      </w:pPr>
    </w:p>
    <w:p w14:paraId="6E0C326A" w14:textId="77777777" w:rsidR="007F6DFD" w:rsidRPr="00D2126A" w:rsidRDefault="007F6DFD" w:rsidP="00C93C76">
      <w:pPr>
        <w:rPr>
          <w:color w:val="000000"/>
        </w:rPr>
      </w:pPr>
    </w:p>
    <w:p w14:paraId="64F6FE52" w14:textId="77777777" w:rsidR="007F6DFD" w:rsidRPr="00D2126A" w:rsidRDefault="000E5A86" w:rsidP="00C93C76">
      <w:pPr>
        <w:pStyle w:val="StyleHeadingLab"/>
      </w:pPr>
      <w:r>
        <w:t>1.</w:t>
      </w:r>
      <w:r>
        <w:tab/>
        <w:t>DÉNOMINATION DU MÉDICAMENT</w:t>
      </w:r>
    </w:p>
    <w:p w14:paraId="72878CB1" w14:textId="77777777" w:rsidR="007F6DFD" w:rsidRPr="00D2126A" w:rsidRDefault="007F6DFD" w:rsidP="00477176">
      <w:pPr>
        <w:keepNext/>
        <w:ind w:left="567" w:hanging="567"/>
        <w:rPr>
          <w:color w:val="000000"/>
        </w:rPr>
      </w:pPr>
    </w:p>
    <w:p w14:paraId="552D5AA2" w14:textId="77777777" w:rsidR="007F6DFD" w:rsidRPr="00D2126A" w:rsidRDefault="000E5A86" w:rsidP="00C93C76">
      <w:pPr>
        <w:rPr>
          <w:color w:val="000000"/>
        </w:rPr>
      </w:pPr>
      <w:r>
        <w:rPr>
          <w:color w:val="000000"/>
        </w:rPr>
        <w:t>Revlimid 25 mg gélules</w:t>
      </w:r>
    </w:p>
    <w:p w14:paraId="47FAEE44" w14:textId="77777777" w:rsidR="007F6DFD" w:rsidRPr="00D2126A" w:rsidRDefault="000E5A86" w:rsidP="00C93C76">
      <w:pPr>
        <w:rPr>
          <w:color w:val="000000"/>
        </w:rPr>
      </w:pPr>
      <w:r>
        <w:rPr>
          <w:color w:val="000000"/>
        </w:rPr>
        <w:t>lénalidomide</w:t>
      </w:r>
    </w:p>
    <w:p w14:paraId="00937263" w14:textId="77777777" w:rsidR="007F6DFD" w:rsidRPr="00D2126A" w:rsidRDefault="007F6DFD" w:rsidP="00C93C76">
      <w:pPr>
        <w:rPr>
          <w:color w:val="000000"/>
        </w:rPr>
      </w:pPr>
    </w:p>
    <w:p w14:paraId="3397DE9D" w14:textId="77777777" w:rsidR="007F6DFD" w:rsidRPr="00D2126A" w:rsidRDefault="007F6DFD" w:rsidP="00C93C76">
      <w:pPr>
        <w:pStyle w:val="Date"/>
        <w:rPr>
          <w:color w:val="000000"/>
        </w:rPr>
      </w:pPr>
    </w:p>
    <w:p w14:paraId="6443EBAD" w14:textId="77777777" w:rsidR="007F6DFD" w:rsidRPr="00D2126A" w:rsidRDefault="000E5A86" w:rsidP="00C93C76">
      <w:pPr>
        <w:pStyle w:val="StyleHeadingLab"/>
      </w:pPr>
      <w:r>
        <w:t>2.</w:t>
      </w:r>
      <w:r>
        <w:tab/>
        <w:t>NOM DU TITULAIRE DE L’AUTORISATION DE MISE SUR LE MARCHÉ</w:t>
      </w:r>
    </w:p>
    <w:p w14:paraId="1CB52B7F" w14:textId="77777777" w:rsidR="007F6DFD" w:rsidRPr="00D2126A" w:rsidRDefault="007F6DFD" w:rsidP="00477176">
      <w:pPr>
        <w:keepNext/>
        <w:rPr>
          <w:color w:val="000000"/>
        </w:rPr>
      </w:pPr>
    </w:p>
    <w:p w14:paraId="6D52689F" w14:textId="77777777" w:rsidR="00CB3D9F" w:rsidRPr="00D2126A" w:rsidRDefault="000E5A86" w:rsidP="00C93C76">
      <w:pPr>
        <w:pStyle w:val="EMEAAddress"/>
      </w:pPr>
      <w:r>
        <w:t>Bristol</w:t>
      </w:r>
      <w:r>
        <w:noBreakHyphen/>
        <w:t>Myers Squibb Pharma EEIG</w:t>
      </w:r>
    </w:p>
    <w:p w14:paraId="0D849287" w14:textId="77777777" w:rsidR="007F6DFD" w:rsidRPr="00D2126A" w:rsidRDefault="007F6DFD" w:rsidP="00C93C76">
      <w:pPr>
        <w:rPr>
          <w:color w:val="000000"/>
        </w:rPr>
      </w:pPr>
    </w:p>
    <w:p w14:paraId="31F5F4C6" w14:textId="77777777" w:rsidR="007F6DFD" w:rsidRPr="00D2126A" w:rsidRDefault="007F6DFD" w:rsidP="00C93C76">
      <w:pPr>
        <w:pStyle w:val="Date"/>
        <w:rPr>
          <w:color w:val="000000"/>
        </w:rPr>
      </w:pPr>
    </w:p>
    <w:p w14:paraId="43BC1E74" w14:textId="77777777" w:rsidR="007F6DFD" w:rsidRPr="00D2126A" w:rsidRDefault="000E5A86" w:rsidP="00C93C76">
      <w:pPr>
        <w:pStyle w:val="StyleHeadingLab"/>
      </w:pPr>
      <w:r>
        <w:t>3.</w:t>
      </w:r>
      <w:r>
        <w:tab/>
        <w:t>DATE DE PÉREMPTION</w:t>
      </w:r>
    </w:p>
    <w:p w14:paraId="22E92FC5" w14:textId="77777777" w:rsidR="007F6DFD" w:rsidRPr="00D2126A" w:rsidRDefault="007F6DFD" w:rsidP="00477176">
      <w:pPr>
        <w:keepNext/>
        <w:rPr>
          <w:iCs/>
          <w:color w:val="000000"/>
        </w:rPr>
      </w:pPr>
    </w:p>
    <w:p w14:paraId="66DA540F" w14:textId="77777777" w:rsidR="007F6DFD" w:rsidRPr="00D2126A" w:rsidRDefault="000E5A86" w:rsidP="00C93C76">
      <w:pPr>
        <w:rPr>
          <w:color w:val="000000"/>
        </w:rPr>
      </w:pPr>
      <w:r>
        <w:rPr>
          <w:color w:val="000000"/>
        </w:rPr>
        <w:t>EXP</w:t>
      </w:r>
    </w:p>
    <w:p w14:paraId="60D7A5D4" w14:textId="77777777" w:rsidR="007F6DFD" w:rsidRPr="00D2126A" w:rsidRDefault="007F6DFD" w:rsidP="00C93C76">
      <w:pPr>
        <w:rPr>
          <w:color w:val="000000"/>
        </w:rPr>
      </w:pPr>
    </w:p>
    <w:p w14:paraId="4C01A2D0" w14:textId="77777777" w:rsidR="007F6DFD" w:rsidRPr="00D2126A" w:rsidRDefault="007F6DFD" w:rsidP="00C93C76">
      <w:pPr>
        <w:pStyle w:val="Date"/>
        <w:rPr>
          <w:color w:val="000000"/>
        </w:rPr>
      </w:pPr>
    </w:p>
    <w:p w14:paraId="75CFD582" w14:textId="77777777" w:rsidR="007F6DFD" w:rsidRPr="00D2126A" w:rsidRDefault="000E5A86" w:rsidP="00C93C76">
      <w:pPr>
        <w:pStyle w:val="StyleHeadingLab"/>
      </w:pPr>
      <w:r>
        <w:t>4.</w:t>
      </w:r>
      <w:r>
        <w:tab/>
        <w:t>NUMÉRO DU LOT</w:t>
      </w:r>
    </w:p>
    <w:p w14:paraId="413ED529" w14:textId="77777777" w:rsidR="007F6DFD" w:rsidRPr="00D2126A" w:rsidRDefault="007F6DFD" w:rsidP="00477176">
      <w:pPr>
        <w:keepNext/>
        <w:rPr>
          <w:iCs/>
          <w:color w:val="000000"/>
        </w:rPr>
      </w:pPr>
    </w:p>
    <w:p w14:paraId="22846654" w14:textId="77777777" w:rsidR="007F6DFD" w:rsidRPr="00D2126A" w:rsidRDefault="000E5A86" w:rsidP="00C93C76">
      <w:pPr>
        <w:rPr>
          <w:color w:val="000000"/>
        </w:rPr>
      </w:pPr>
      <w:r>
        <w:rPr>
          <w:color w:val="000000"/>
        </w:rPr>
        <w:t>Lot</w:t>
      </w:r>
    </w:p>
    <w:p w14:paraId="4C567596" w14:textId="77777777" w:rsidR="007F6DFD" w:rsidRPr="00D2126A" w:rsidRDefault="007F6DFD" w:rsidP="00C93C76">
      <w:pPr>
        <w:rPr>
          <w:bCs/>
          <w:color w:val="000000"/>
        </w:rPr>
      </w:pPr>
    </w:p>
    <w:p w14:paraId="2BE9E9DD" w14:textId="77777777" w:rsidR="007F6DFD" w:rsidRPr="00D2126A" w:rsidRDefault="007F6DFD" w:rsidP="00C93C76">
      <w:pPr>
        <w:pStyle w:val="Date"/>
        <w:rPr>
          <w:color w:val="000000"/>
        </w:rPr>
      </w:pPr>
    </w:p>
    <w:p w14:paraId="47BD8C1E" w14:textId="00C2AA8B" w:rsidR="007F6DFD" w:rsidRPr="00D2126A" w:rsidRDefault="000E5A86" w:rsidP="00C93C76">
      <w:pPr>
        <w:pStyle w:val="StyleHeadingLab"/>
      </w:pPr>
      <w:r>
        <w:t>5.</w:t>
      </w:r>
      <w:r>
        <w:tab/>
        <w:t>AUTRE</w:t>
      </w:r>
    </w:p>
    <w:p w14:paraId="4DB523A7" w14:textId="77777777" w:rsidR="001120BE" w:rsidRPr="00D2126A" w:rsidRDefault="001120BE" w:rsidP="00477176">
      <w:pPr>
        <w:keepNext/>
        <w:rPr>
          <w:color w:val="000000"/>
        </w:rPr>
      </w:pPr>
    </w:p>
    <w:p w14:paraId="74572F32" w14:textId="77777777" w:rsidR="00F36412" w:rsidRPr="00D2126A" w:rsidRDefault="00F36412" w:rsidP="00C93C76">
      <w:pPr>
        <w:rPr>
          <w:noProof/>
          <w:color w:val="000000"/>
        </w:rPr>
      </w:pPr>
    </w:p>
    <w:p w14:paraId="4FBA7D0F" w14:textId="76EB10AD" w:rsidR="00F36412" w:rsidRPr="00D2126A" w:rsidRDefault="00B17EDE" w:rsidP="00B17EDE">
      <w:pPr>
        <w:pStyle w:val="Date"/>
        <w:jc w:val="center"/>
        <w:rPr>
          <w:noProof/>
          <w:color w:val="000000"/>
        </w:rPr>
      </w:pPr>
      <w:r>
        <w:br w:type="page"/>
      </w:r>
    </w:p>
    <w:p w14:paraId="405C97DE" w14:textId="77777777" w:rsidR="00F36412" w:rsidRPr="00D2126A" w:rsidRDefault="00F36412" w:rsidP="00C93C76">
      <w:pPr>
        <w:jc w:val="center"/>
        <w:rPr>
          <w:noProof/>
          <w:color w:val="000000"/>
        </w:rPr>
      </w:pPr>
    </w:p>
    <w:p w14:paraId="3B3AFD4F" w14:textId="77777777" w:rsidR="00F36412" w:rsidRPr="00D2126A" w:rsidRDefault="00F36412" w:rsidP="00C93C76">
      <w:pPr>
        <w:jc w:val="center"/>
        <w:rPr>
          <w:noProof/>
          <w:color w:val="000000"/>
        </w:rPr>
      </w:pPr>
    </w:p>
    <w:p w14:paraId="61149B7C" w14:textId="77777777" w:rsidR="00F36412" w:rsidRPr="00D2126A" w:rsidRDefault="00F36412" w:rsidP="00C93C76">
      <w:pPr>
        <w:jc w:val="center"/>
        <w:rPr>
          <w:noProof/>
          <w:color w:val="000000"/>
        </w:rPr>
      </w:pPr>
    </w:p>
    <w:p w14:paraId="6E9DD171" w14:textId="77777777" w:rsidR="00F36412" w:rsidRPr="00D2126A" w:rsidRDefault="00F36412" w:rsidP="00C93C76">
      <w:pPr>
        <w:jc w:val="center"/>
        <w:rPr>
          <w:noProof/>
          <w:color w:val="000000"/>
        </w:rPr>
      </w:pPr>
    </w:p>
    <w:p w14:paraId="3778BD62" w14:textId="77777777" w:rsidR="00F36412" w:rsidRPr="00D2126A" w:rsidRDefault="00F36412" w:rsidP="00C93C76">
      <w:pPr>
        <w:jc w:val="center"/>
        <w:rPr>
          <w:noProof/>
          <w:color w:val="000000"/>
        </w:rPr>
      </w:pPr>
    </w:p>
    <w:p w14:paraId="2E0630A5" w14:textId="77777777" w:rsidR="00F36412" w:rsidRPr="00D2126A" w:rsidRDefault="00F36412" w:rsidP="00C93C76">
      <w:pPr>
        <w:jc w:val="center"/>
        <w:rPr>
          <w:noProof/>
          <w:color w:val="000000"/>
        </w:rPr>
      </w:pPr>
    </w:p>
    <w:p w14:paraId="3E84EDD4" w14:textId="77777777" w:rsidR="00F36412" w:rsidRPr="00D2126A" w:rsidRDefault="00F36412" w:rsidP="00C93C76">
      <w:pPr>
        <w:jc w:val="center"/>
        <w:rPr>
          <w:noProof/>
          <w:color w:val="000000"/>
        </w:rPr>
      </w:pPr>
    </w:p>
    <w:p w14:paraId="0CA4A739" w14:textId="77777777" w:rsidR="00F36412" w:rsidRPr="00D2126A" w:rsidRDefault="00F36412" w:rsidP="00C93C76">
      <w:pPr>
        <w:jc w:val="center"/>
        <w:rPr>
          <w:noProof/>
          <w:color w:val="000000"/>
        </w:rPr>
      </w:pPr>
    </w:p>
    <w:p w14:paraId="23AFFAF1" w14:textId="77777777" w:rsidR="00F36412" w:rsidRPr="00D2126A" w:rsidRDefault="00F36412" w:rsidP="00C93C76">
      <w:pPr>
        <w:jc w:val="center"/>
        <w:rPr>
          <w:noProof/>
          <w:color w:val="000000"/>
        </w:rPr>
      </w:pPr>
    </w:p>
    <w:p w14:paraId="313AC319" w14:textId="77777777" w:rsidR="00F36412" w:rsidRPr="00D2126A" w:rsidRDefault="00F36412" w:rsidP="00C93C76">
      <w:pPr>
        <w:jc w:val="center"/>
        <w:rPr>
          <w:noProof/>
          <w:color w:val="000000"/>
        </w:rPr>
      </w:pPr>
    </w:p>
    <w:p w14:paraId="365B5DDD" w14:textId="77777777" w:rsidR="00F36412" w:rsidRPr="00D2126A" w:rsidRDefault="00F36412" w:rsidP="00C93C76">
      <w:pPr>
        <w:jc w:val="center"/>
        <w:rPr>
          <w:noProof/>
          <w:color w:val="000000"/>
        </w:rPr>
      </w:pPr>
    </w:p>
    <w:p w14:paraId="6A2CC192" w14:textId="77777777" w:rsidR="00F36412" w:rsidRPr="00D2126A" w:rsidRDefault="00F36412" w:rsidP="00C93C76">
      <w:pPr>
        <w:jc w:val="center"/>
        <w:rPr>
          <w:noProof/>
          <w:color w:val="000000"/>
        </w:rPr>
      </w:pPr>
    </w:p>
    <w:p w14:paraId="520AF985" w14:textId="77777777" w:rsidR="00F36412" w:rsidRPr="00D2126A" w:rsidRDefault="00F36412" w:rsidP="00C93C76">
      <w:pPr>
        <w:jc w:val="center"/>
        <w:rPr>
          <w:noProof/>
          <w:color w:val="000000"/>
        </w:rPr>
      </w:pPr>
    </w:p>
    <w:p w14:paraId="0A134A59" w14:textId="77777777" w:rsidR="00F36412" w:rsidRPr="00D2126A" w:rsidRDefault="00F36412" w:rsidP="00C93C76">
      <w:pPr>
        <w:jc w:val="center"/>
        <w:rPr>
          <w:noProof/>
          <w:color w:val="000000"/>
        </w:rPr>
      </w:pPr>
    </w:p>
    <w:p w14:paraId="2117E272" w14:textId="77777777" w:rsidR="00F36412" w:rsidRPr="00D2126A" w:rsidRDefault="00F36412" w:rsidP="00C93C76">
      <w:pPr>
        <w:jc w:val="center"/>
        <w:rPr>
          <w:noProof/>
          <w:color w:val="000000"/>
        </w:rPr>
      </w:pPr>
    </w:p>
    <w:p w14:paraId="2C56E60A" w14:textId="77777777" w:rsidR="00F36412" w:rsidRPr="00D2126A" w:rsidRDefault="00F36412" w:rsidP="00C93C76">
      <w:pPr>
        <w:jc w:val="center"/>
        <w:rPr>
          <w:noProof/>
          <w:color w:val="000000"/>
        </w:rPr>
      </w:pPr>
    </w:p>
    <w:p w14:paraId="1CC3D112" w14:textId="77777777" w:rsidR="00F36412" w:rsidRPr="00D2126A" w:rsidRDefault="00F36412" w:rsidP="00C93C76">
      <w:pPr>
        <w:jc w:val="center"/>
        <w:rPr>
          <w:noProof/>
          <w:color w:val="000000"/>
        </w:rPr>
      </w:pPr>
    </w:p>
    <w:p w14:paraId="1F38654D" w14:textId="77777777" w:rsidR="00F36412" w:rsidRPr="00D2126A" w:rsidRDefault="00F36412" w:rsidP="00C93C76">
      <w:pPr>
        <w:jc w:val="center"/>
        <w:rPr>
          <w:noProof/>
          <w:color w:val="000000"/>
        </w:rPr>
      </w:pPr>
    </w:p>
    <w:p w14:paraId="5192F292" w14:textId="77777777" w:rsidR="00F36412" w:rsidRPr="00D2126A" w:rsidRDefault="00F36412" w:rsidP="00C93C76">
      <w:pPr>
        <w:jc w:val="center"/>
        <w:rPr>
          <w:noProof/>
          <w:color w:val="000000"/>
        </w:rPr>
      </w:pPr>
    </w:p>
    <w:p w14:paraId="59DCAB38" w14:textId="77777777" w:rsidR="006A5D4C" w:rsidRPr="00D2126A" w:rsidRDefault="006A5D4C" w:rsidP="00C93C76">
      <w:pPr>
        <w:pStyle w:val="Date"/>
        <w:jc w:val="center"/>
      </w:pPr>
    </w:p>
    <w:p w14:paraId="2592107B" w14:textId="77777777" w:rsidR="006A5D4C" w:rsidRPr="00D2126A" w:rsidRDefault="006A5D4C" w:rsidP="00C93C76">
      <w:pPr>
        <w:jc w:val="center"/>
      </w:pPr>
    </w:p>
    <w:p w14:paraId="0D709C57" w14:textId="77777777" w:rsidR="00F36412" w:rsidRPr="00D2126A" w:rsidRDefault="00F36412" w:rsidP="00C93C76">
      <w:pPr>
        <w:jc w:val="center"/>
        <w:rPr>
          <w:noProof/>
          <w:color w:val="000000"/>
        </w:rPr>
      </w:pPr>
    </w:p>
    <w:p w14:paraId="342A6C28" w14:textId="77777777" w:rsidR="00B52266" w:rsidRPr="00D2126A" w:rsidRDefault="000E5A86" w:rsidP="00C93C76">
      <w:pPr>
        <w:pStyle w:val="TitleA"/>
        <w:outlineLvl w:val="0"/>
        <w:rPr>
          <w:bCs/>
          <w:color w:val="000000"/>
        </w:rPr>
      </w:pPr>
      <w:r>
        <w:rPr>
          <w:color w:val="000000"/>
        </w:rPr>
        <w:t>B. NOTICE</w:t>
      </w:r>
    </w:p>
    <w:p w14:paraId="5A83F6FF" w14:textId="454647FD" w:rsidR="00B52266" w:rsidRPr="00D2126A" w:rsidRDefault="00B17EDE" w:rsidP="005B2C6E">
      <w:pPr>
        <w:tabs>
          <w:tab w:val="left" w:pos="2762"/>
          <w:tab w:val="center" w:pos="4535"/>
        </w:tabs>
        <w:jc w:val="center"/>
        <w:rPr>
          <w:b/>
          <w:color w:val="000000"/>
        </w:rPr>
      </w:pPr>
      <w:r>
        <w:br w:type="page"/>
      </w:r>
      <w:r w:rsidRPr="005B2C6E">
        <w:rPr>
          <w:b/>
          <w:color w:val="000000"/>
        </w:rPr>
        <w:t>Notice : Information du patient</w:t>
      </w:r>
    </w:p>
    <w:p w14:paraId="13A784E2" w14:textId="77777777" w:rsidR="006C0E0C" w:rsidRPr="00D2126A" w:rsidRDefault="006C0E0C" w:rsidP="00C93C76">
      <w:pPr>
        <w:pStyle w:val="Date"/>
        <w:jc w:val="center"/>
        <w:rPr>
          <w:color w:val="000000"/>
        </w:rPr>
      </w:pPr>
    </w:p>
    <w:p w14:paraId="1CA18954" w14:textId="77777777" w:rsidR="00B52266" w:rsidRPr="00D2126A" w:rsidRDefault="000E5A86" w:rsidP="00C93C76">
      <w:pPr>
        <w:tabs>
          <w:tab w:val="left" w:pos="2762"/>
          <w:tab w:val="center" w:pos="4535"/>
        </w:tabs>
        <w:jc w:val="center"/>
        <w:rPr>
          <w:b/>
          <w:color w:val="000000"/>
        </w:rPr>
      </w:pPr>
      <w:r>
        <w:rPr>
          <w:b/>
          <w:color w:val="000000"/>
        </w:rPr>
        <w:t>Revlimid 2,5 mg gélules</w:t>
      </w:r>
    </w:p>
    <w:p w14:paraId="7C1E09F8" w14:textId="77777777" w:rsidR="00346F7A" w:rsidRPr="00D2126A" w:rsidRDefault="000E5A86" w:rsidP="00C93C76">
      <w:pPr>
        <w:tabs>
          <w:tab w:val="left" w:pos="2762"/>
          <w:tab w:val="center" w:pos="4535"/>
        </w:tabs>
        <w:jc w:val="center"/>
        <w:rPr>
          <w:b/>
          <w:color w:val="000000"/>
        </w:rPr>
      </w:pPr>
      <w:r>
        <w:rPr>
          <w:b/>
          <w:color w:val="000000"/>
        </w:rPr>
        <w:t>Revlimid 5 mg gélules</w:t>
      </w:r>
    </w:p>
    <w:p w14:paraId="2771609D" w14:textId="77777777" w:rsidR="00651871" w:rsidRPr="00D2126A" w:rsidRDefault="000E5A86" w:rsidP="00C93C76">
      <w:pPr>
        <w:tabs>
          <w:tab w:val="left" w:pos="2762"/>
          <w:tab w:val="center" w:pos="4535"/>
        </w:tabs>
        <w:jc w:val="center"/>
        <w:rPr>
          <w:b/>
          <w:color w:val="000000"/>
        </w:rPr>
      </w:pPr>
      <w:r>
        <w:rPr>
          <w:b/>
          <w:color w:val="000000"/>
        </w:rPr>
        <w:t>Revlimid 7,5 mg gélules</w:t>
      </w:r>
    </w:p>
    <w:p w14:paraId="439421B4" w14:textId="77777777" w:rsidR="00346F7A" w:rsidRPr="00D2126A" w:rsidRDefault="000E5A86" w:rsidP="00C93C76">
      <w:pPr>
        <w:tabs>
          <w:tab w:val="left" w:pos="2762"/>
          <w:tab w:val="center" w:pos="4535"/>
        </w:tabs>
        <w:jc w:val="center"/>
        <w:rPr>
          <w:b/>
          <w:color w:val="000000"/>
        </w:rPr>
      </w:pPr>
      <w:r>
        <w:rPr>
          <w:b/>
          <w:color w:val="000000"/>
        </w:rPr>
        <w:t>Revlimid 10 mg gélules</w:t>
      </w:r>
    </w:p>
    <w:p w14:paraId="24DDD8D9" w14:textId="77777777" w:rsidR="00A60471" w:rsidRPr="00D2126A" w:rsidRDefault="000E5A86" w:rsidP="00C93C76">
      <w:pPr>
        <w:tabs>
          <w:tab w:val="left" w:pos="2762"/>
          <w:tab w:val="center" w:pos="4535"/>
        </w:tabs>
        <w:jc w:val="center"/>
        <w:rPr>
          <w:b/>
          <w:color w:val="000000"/>
        </w:rPr>
      </w:pPr>
      <w:r>
        <w:rPr>
          <w:b/>
          <w:color w:val="000000"/>
        </w:rPr>
        <w:t>Revlimid 15 mg gélules</w:t>
      </w:r>
    </w:p>
    <w:p w14:paraId="6DD4CA3B" w14:textId="77777777" w:rsidR="00A60471" w:rsidRPr="00D2126A" w:rsidRDefault="000E5A86" w:rsidP="00C93C76">
      <w:pPr>
        <w:tabs>
          <w:tab w:val="left" w:pos="2762"/>
          <w:tab w:val="center" w:pos="4535"/>
        </w:tabs>
        <w:jc w:val="center"/>
        <w:rPr>
          <w:b/>
          <w:color w:val="000000"/>
        </w:rPr>
      </w:pPr>
      <w:r>
        <w:rPr>
          <w:b/>
          <w:color w:val="000000"/>
        </w:rPr>
        <w:t>Revlimid 20 mg gélules</w:t>
      </w:r>
    </w:p>
    <w:p w14:paraId="175F2BA1" w14:textId="77777777" w:rsidR="00A60471" w:rsidRPr="00D2126A" w:rsidRDefault="000E5A86" w:rsidP="00C93C76">
      <w:pPr>
        <w:tabs>
          <w:tab w:val="left" w:pos="2762"/>
          <w:tab w:val="center" w:pos="4535"/>
        </w:tabs>
        <w:jc w:val="center"/>
        <w:rPr>
          <w:b/>
          <w:color w:val="000000"/>
        </w:rPr>
      </w:pPr>
      <w:r>
        <w:rPr>
          <w:b/>
          <w:color w:val="000000"/>
        </w:rPr>
        <w:t>Revlimid 25 mg gélules</w:t>
      </w:r>
    </w:p>
    <w:p w14:paraId="39196C12" w14:textId="77777777" w:rsidR="00651871" w:rsidRPr="00D2126A" w:rsidRDefault="00651871" w:rsidP="00C93C76">
      <w:pPr>
        <w:jc w:val="center"/>
        <w:rPr>
          <w:bCs/>
          <w:color w:val="000000"/>
        </w:rPr>
      </w:pPr>
    </w:p>
    <w:p w14:paraId="1F53CB4D" w14:textId="77777777" w:rsidR="00B52266" w:rsidRPr="00D2126A" w:rsidRDefault="000E5A86" w:rsidP="00C93C76">
      <w:pPr>
        <w:jc w:val="center"/>
        <w:rPr>
          <w:bCs/>
          <w:color w:val="000000"/>
        </w:rPr>
      </w:pPr>
      <w:r>
        <w:rPr>
          <w:color w:val="000000"/>
        </w:rPr>
        <w:t>lénalidomide</w:t>
      </w:r>
    </w:p>
    <w:p w14:paraId="6CAB1DDD" w14:textId="77777777" w:rsidR="00B52266" w:rsidRPr="00D2126A" w:rsidRDefault="00B52266" w:rsidP="00C93C76">
      <w:pPr>
        <w:jc w:val="center"/>
        <w:rPr>
          <w:color w:val="000000"/>
        </w:rPr>
      </w:pPr>
    </w:p>
    <w:p w14:paraId="7BA59FC4" w14:textId="44AE3B17" w:rsidR="008248FB" w:rsidRPr="00D2126A" w:rsidRDefault="005A5CBB" w:rsidP="00C93C76">
      <w:pPr>
        <w:rPr>
          <w:b/>
          <w:color w:val="000000"/>
        </w:rPr>
      </w:pPr>
      <w:r>
        <w:pict w14:anchorId="37633834">
          <v:shape id="Picture 2" o:spid="_x0000_i1027" type="#_x0000_t75" style="width:15pt;height:13.5pt;visibility:visible;mso-wrap-style:square">
            <v:imagedata r:id="rId12" o:title=""/>
          </v:shape>
        </w:pict>
      </w:r>
      <w:r w:rsidR="00836272">
        <w:t>Ce médicament fait l’objet d’une surveillance supplémentaire qui permettra l’identification rapide de nouvelles informations relatives à la sécurité. Vous pouvez y contribuer en signalant tout effet indésirable que vous observez. Voir en fin de rubrique 4 comment déclarer les effets indésirables.</w:t>
      </w:r>
    </w:p>
    <w:p w14:paraId="1BEF2568" w14:textId="77777777" w:rsidR="008248FB" w:rsidRPr="00D2126A" w:rsidRDefault="008248FB" w:rsidP="00C93C76">
      <w:pPr>
        <w:suppressAutoHyphens/>
        <w:ind w:left="142" w:hanging="142"/>
        <w:rPr>
          <w:color w:val="000000"/>
        </w:rPr>
      </w:pPr>
    </w:p>
    <w:p w14:paraId="3F98C407" w14:textId="79D2B728" w:rsidR="00B52266" w:rsidRPr="00D2126A" w:rsidRDefault="000E5A86" w:rsidP="00B66DC4">
      <w:pPr>
        <w:suppressAutoHyphens/>
        <w:rPr>
          <w:color w:val="000000"/>
        </w:rPr>
      </w:pPr>
      <w:r>
        <w:rPr>
          <w:b/>
          <w:color w:val="000000"/>
        </w:rPr>
        <w:t>Veuillez lire attentivement cette notice avant de prendre ce médicament car elle contient des informations importantes pour vous.</w:t>
      </w:r>
    </w:p>
    <w:p w14:paraId="62A519A2" w14:textId="77777777" w:rsidR="00B52266" w:rsidRPr="00D2126A" w:rsidRDefault="000E5A86" w:rsidP="00C93C76">
      <w:pPr>
        <w:numPr>
          <w:ilvl w:val="0"/>
          <w:numId w:val="18"/>
        </w:numPr>
        <w:ind w:left="567" w:right="-2" w:hanging="567"/>
        <w:rPr>
          <w:color w:val="000000"/>
        </w:rPr>
      </w:pPr>
      <w:r>
        <w:rPr>
          <w:color w:val="000000"/>
        </w:rPr>
        <w:t>Gardez cette notice. Vous pourriez avoir besoin de la relire.</w:t>
      </w:r>
    </w:p>
    <w:p w14:paraId="72D53490" w14:textId="77777777" w:rsidR="00B52266" w:rsidRPr="00D2126A" w:rsidRDefault="000E5A86" w:rsidP="00C93C76">
      <w:pPr>
        <w:numPr>
          <w:ilvl w:val="0"/>
          <w:numId w:val="18"/>
        </w:numPr>
        <w:ind w:left="567" w:right="-2" w:hanging="567"/>
        <w:rPr>
          <w:color w:val="000000"/>
        </w:rPr>
      </w:pPr>
      <w:r>
        <w:rPr>
          <w:color w:val="000000"/>
        </w:rPr>
        <w:t>Si vous avez d’autres questions, interrogez votre médecin ou votre pharmacien.</w:t>
      </w:r>
    </w:p>
    <w:p w14:paraId="784E7AE9" w14:textId="77777777" w:rsidR="00B52266" w:rsidRPr="00D2126A" w:rsidRDefault="000E5A86" w:rsidP="00477176">
      <w:pPr>
        <w:keepNext/>
        <w:numPr>
          <w:ilvl w:val="0"/>
          <w:numId w:val="18"/>
        </w:numPr>
        <w:ind w:left="567" w:right="-2" w:hanging="567"/>
        <w:rPr>
          <w:color w:val="000000"/>
        </w:rPr>
      </w:pPr>
      <w:r>
        <w:rPr>
          <w:color w:val="000000"/>
        </w:rPr>
        <w:t>Ce médicament vous a été personnellement prescrit. Ne le donnez pas à d’autres personnes. Il pourrait leur être nocif, même si les signes de leur maladie sont identiques aux vôtres.</w:t>
      </w:r>
    </w:p>
    <w:p w14:paraId="75CE2D8F" w14:textId="73E1389B" w:rsidR="00B52266" w:rsidRPr="00D2126A" w:rsidRDefault="000E5A86" w:rsidP="00C93C76">
      <w:pPr>
        <w:numPr>
          <w:ilvl w:val="0"/>
          <w:numId w:val="18"/>
        </w:numPr>
        <w:ind w:left="567" w:right="-2" w:hanging="567"/>
        <w:rPr>
          <w:b/>
          <w:color w:val="000000"/>
        </w:rPr>
      </w:pPr>
      <w:r>
        <w:rPr>
          <w:color w:val="000000"/>
        </w:rPr>
        <w:t>Si vous ressentez un quelconque effet indésirable, parlez</w:t>
      </w:r>
      <w:r>
        <w:rPr>
          <w:color w:val="000000"/>
        </w:rPr>
        <w:noBreakHyphen/>
        <w:t>en à votre médecin ou votre pharmacien. Ceci s’applique aussi à tout effet indésirable qui ne serait pas mentionné dans cette notice. Voir rubrique 4.</w:t>
      </w:r>
    </w:p>
    <w:p w14:paraId="01B6BCF7" w14:textId="77777777" w:rsidR="00B52266" w:rsidRPr="00D2126A" w:rsidRDefault="00B52266" w:rsidP="00C93C76">
      <w:pPr>
        <w:numPr>
          <w:ilvl w:val="12"/>
          <w:numId w:val="0"/>
        </w:numPr>
        <w:ind w:right="-2"/>
        <w:rPr>
          <w:color w:val="000000"/>
        </w:rPr>
      </w:pPr>
    </w:p>
    <w:p w14:paraId="5A7C0680" w14:textId="77777777" w:rsidR="00B52266" w:rsidRPr="00D2126A" w:rsidRDefault="000E5A86" w:rsidP="00477176">
      <w:pPr>
        <w:keepNext/>
        <w:numPr>
          <w:ilvl w:val="12"/>
          <w:numId w:val="0"/>
        </w:numPr>
        <w:ind w:right="-2"/>
        <w:rPr>
          <w:color w:val="000000"/>
        </w:rPr>
      </w:pPr>
      <w:r>
        <w:rPr>
          <w:b/>
          <w:color w:val="000000"/>
        </w:rPr>
        <w:t>Que contient cette notice ?</w:t>
      </w:r>
    </w:p>
    <w:p w14:paraId="6312543C" w14:textId="73783593" w:rsidR="00B52266" w:rsidRPr="00D2126A" w:rsidRDefault="000E5A86" w:rsidP="00C93C76">
      <w:pPr>
        <w:numPr>
          <w:ilvl w:val="0"/>
          <w:numId w:val="69"/>
        </w:numPr>
        <w:ind w:right="-29"/>
        <w:rPr>
          <w:color w:val="000000"/>
        </w:rPr>
      </w:pPr>
      <w:r>
        <w:rPr>
          <w:color w:val="000000"/>
        </w:rPr>
        <w:t>Qu’est</w:t>
      </w:r>
      <w:r>
        <w:rPr>
          <w:color w:val="000000"/>
        </w:rPr>
        <w:noBreakHyphen/>
        <w:t>ce que Revlimid et dans quels cas est</w:t>
      </w:r>
      <w:r>
        <w:rPr>
          <w:color w:val="000000"/>
        </w:rPr>
        <w:noBreakHyphen/>
        <w:t>il utilisé</w:t>
      </w:r>
    </w:p>
    <w:p w14:paraId="51367CAE" w14:textId="14E680E0" w:rsidR="00B52266" w:rsidRPr="00D2126A" w:rsidRDefault="00EE50FD" w:rsidP="00C93C76">
      <w:pPr>
        <w:numPr>
          <w:ilvl w:val="0"/>
          <w:numId w:val="69"/>
        </w:numPr>
        <w:ind w:right="-29"/>
        <w:rPr>
          <w:color w:val="000000"/>
        </w:rPr>
      </w:pPr>
      <w:r>
        <w:rPr>
          <w:color w:val="000000"/>
        </w:rPr>
        <w:t>Quelles sont les informations à connaître avant de prendre Revlimid</w:t>
      </w:r>
    </w:p>
    <w:p w14:paraId="3259F4DB" w14:textId="69EAD9FA" w:rsidR="00B52266" w:rsidRPr="00D2126A" w:rsidRDefault="000E5A86" w:rsidP="00C93C76">
      <w:pPr>
        <w:numPr>
          <w:ilvl w:val="0"/>
          <w:numId w:val="69"/>
        </w:numPr>
        <w:ind w:right="-29"/>
        <w:rPr>
          <w:color w:val="000000"/>
        </w:rPr>
      </w:pPr>
      <w:r>
        <w:rPr>
          <w:color w:val="000000"/>
        </w:rPr>
        <w:t>Comment prendre Revlimid</w:t>
      </w:r>
    </w:p>
    <w:p w14:paraId="401340A3" w14:textId="71B94C65" w:rsidR="00B52266" w:rsidRPr="00D2126A" w:rsidRDefault="000E5A86" w:rsidP="00C93C76">
      <w:pPr>
        <w:numPr>
          <w:ilvl w:val="0"/>
          <w:numId w:val="69"/>
        </w:numPr>
        <w:ind w:right="-29"/>
        <w:rPr>
          <w:color w:val="000000"/>
        </w:rPr>
      </w:pPr>
      <w:r>
        <w:rPr>
          <w:color w:val="000000"/>
        </w:rPr>
        <w:t>Quels sont les effets indésirables éventuels ?</w:t>
      </w:r>
    </w:p>
    <w:p w14:paraId="3DA38734" w14:textId="6CB4B334" w:rsidR="00B52266" w:rsidRPr="00D2126A" w:rsidRDefault="000E5A86" w:rsidP="00477176">
      <w:pPr>
        <w:keepNext/>
        <w:numPr>
          <w:ilvl w:val="0"/>
          <w:numId w:val="69"/>
        </w:numPr>
        <w:ind w:right="-29"/>
        <w:rPr>
          <w:color w:val="000000"/>
        </w:rPr>
      </w:pPr>
      <w:r>
        <w:rPr>
          <w:color w:val="000000"/>
        </w:rPr>
        <w:t>Comment conserver Revlimid</w:t>
      </w:r>
    </w:p>
    <w:p w14:paraId="4586B580" w14:textId="6B4BBD1C" w:rsidR="00B52266" w:rsidRPr="00D2126A" w:rsidRDefault="00EE50FD" w:rsidP="00C93C76">
      <w:pPr>
        <w:numPr>
          <w:ilvl w:val="0"/>
          <w:numId w:val="69"/>
        </w:numPr>
        <w:ind w:right="-29"/>
        <w:rPr>
          <w:color w:val="000000"/>
        </w:rPr>
      </w:pPr>
      <w:r>
        <w:rPr>
          <w:color w:val="000000"/>
        </w:rPr>
        <w:t>Contenu de l’emballage et autres informations</w:t>
      </w:r>
    </w:p>
    <w:p w14:paraId="5BEDC0A5" w14:textId="77777777" w:rsidR="00B52266" w:rsidRPr="00D2126A" w:rsidRDefault="00B52266" w:rsidP="00C93C76">
      <w:pPr>
        <w:numPr>
          <w:ilvl w:val="12"/>
          <w:numId w:val="0"/>
        </w:numPr>
        <w:ind w:right="-2"/>
        <w:rPr>
          <w:color w:val="000000"/>
        </w:rPr>
      </w:pPr>
    </w:p>
    <w:p w14:paraId="4B046F47" w14:textId="77777777" w:rsidR="00B52266" w:rsidRPr="00D2126A" w:rsidRDefault="00B52266" w:rsidP="00C93C76">
      <w:pPr>
        <w:numPr>
          <w:ilvl w:val="12"/>
          <w:numId w:val="0"/>
        </w:numPr>
        <w:ind w:right="-2"/>
        <w:rPr>
          <w:color w:val="000000"/>
        </w:rPr>
      </w:pPr>
    </w:p>
    <w:p w14:paraId="042DE1DF" w14:textId="77777777" w:rsidR="00B52266" w:rsidRPr="00D2126A" w:rsidRDefault="000E5A86" w:rsidP="00477176">
      <w:pPr>
        <w:keepNext/>
        <w:numPr>
          <w:ilvl w:val="12"/>
          <w:numId w:val="0"/>
        </w:numPr>
        <w:ind w:left="567" w:right="-2" w:hanging="567"/>
        <w:rPr>
          <w:color w:val="000000"/>
        </w:rPr>
      </w:pPr>
      <w:r>
        <w:rPr>
          <w:b/>
          <w:color w:val="000000"/>
        </w:rPr>
        <w:t>1.</w:t>
      </w:r>
      <w:r>
        <w:rPr>
          <w:b/>
          <w:color w:val="000000"/>
        </w:rPr>
        <w:tab/>
        <w:t>Qu'est</w:t>
      </w:r>
      <w:r>
        <w:rPr>
          <w:b/>
          <w:color w:val="000000"/>
        </w:rPr>
        <w:noBreakHyphen/>
        <w:t>ce que Revlimid et dans quels cas est</w:t>
      </w:r>
      <w:r>
        <w:rPr>
          <w:b/>
          <w:color w:val="000000"/>
        </w:rPr>
        <w:noBreakHyphen/>
        <w:t>il utilisé ?</w:t>
      </w:r>
    </w:p>
    <w:p w14:paraId="6F3ECAC7" w14:textId="77777777" w:rsidR="00B52266" w:rsidRPr="00D2126A" w:rsidRDefault="00B52266" w:rsidP="00477176">
      <w:pPr>
        <w:keepNext/>
        <w:numPr>
          <w:ilvl w:val="12"/>
          <w:numId w:val="0"/>
        </w:numPr>
        <w:ind w:right="-2"/>
        <w:rPr>
          <w:color w:val="000000"/>
        </w:rPr>
      </w:pPr>
    </w:p>
    <w:p w14:paraId="56F618EC" w14:textId="77777777" w:rsidR="00B52266" w:rsidRPr="00D2126A" w:rsidRDefault="000E5A86" w:rsidP="00477176">
      <w:pPr>
        <w:keepNext/>
        <w:numPr>
          <w:ilvl w:val="12"/>
          <w:numId w:val="0"/>
        </w:numPr>
        <w:ind w:right="-2"/>
        <w:rPr>
          <w:b/>
          <w:color w:val="000000"/>
        </w:rPr>
      </w:pPr>
      <w:r>
        <w:rPr>
          <w:b/>
          <w:color w:val="000000"/>
        </w:rPr>
        <w:t>Qu’est</w:t>
      </w:r>
      <w:r>
        <w:rPr>
          <w:b/>
          <w:color w:val="000000"/>
        </w:rPr>
        <w:noBreakHyphen/>
        <w:t>ce que Revlimid</w:t>
      </w:r>
    </w:p>
    <w:p w14:paraId="3A26ED7A" w14:textId="77777777" w:rsidR="00B52266" w:rsidRPr="00D2126A" w:rsidRDefault="000E5A86" w:rsidP="00C93C76">
      <w:pPr>
        <w:numPr>
          <w:ilvl w:val="12"/>
          <w:numId w:val="0"/>
        </w:numPr>
        <w:ind w:right="-2"/>
        <w:rPr>
          <w:color w:val="000000"/>
        </w:rPr>
      </w:pPr>
      <w:r>
        <w:rPr>
          <w:color w:val="000000"/>
        </w:rPr>
        <w:t>Revlimid contient la substance active « lénalidomide ». Il appartient à un groupe de médicaments qui modifient le fonctionnement de votre système immunitaire.</w:t>
      </w:r>
    </w:p>
    <w:p w14:paraId="02712FB3" w14:textId="77777777" w:rsidR="00523AEC" w:rsidRPr="00D2126A" w:rsidRDefault="00523AEC" w:rsidP="00C93C76">
      <w:pPr>
        <w:numPr>
          <w:ilvl w:val="12"/>
          <w:numId w:val="0"/>
        </w:numPr>
        <w:ind w:right="-2"/>
        <w:rPr>
          <w:color w:val="000000"/>
        </w:rPr>
      </w:pPr>
    </w:p>
    <w:p w14:paraId="4B3F995A" w14:textId="77777777" w:rsidR="00B52266" w:rsidRPr="00D2126A" w:rsidRDefault="000E5A86" w:rsidP="00477176">
      <w:pPr>
        <w:keepNext/>
        <w:numPr>
          <w:ilvl w:val="12"/>
          <w:numId w:val="0"/>
        </w:numPr>
        <w:ind w:right="-2"/>
        <w:rPr>
          <w:color w:val="000000"/>
        </w:rPr>
      </w:pPr>
      <w:r>
        <w:rPr>
          <w:b/>
        </w:rPr>
        <w:t>Dans quels cas Revlimid est</w:t>
      </w:r>
      <w:r>
        <w:rPr>
          <w:b/>
        </w:rPr>
        <w:noBreakHyphen/>
        <w:t>il utilisé</w:t>
      </w:r>
    </w:p>
    <w:p w14:paraId="61EAFBCB" w14:textId="77777777" w:rsidR="00A60471" w:rsidRPr="00D2126A" w:rsidRDefault="000E5A86" w:rsidP="00477176">
      <w:pPr>
        <w:keepNext/>
        <w:numPr>
          <w:ilvl w:val="12"/>
          <w:numId w:val="0"/>
        </w:numPr>
        <w:ind w:right="-2"/>
      </w:pPr>
      <w:r>
        <w:t>Revlimid est utilisé chez les patients adultes dans le traitement :</w:t>
      </w:r>
    </w:p>
    <w:p w14:paraId="0ECA9362" w14:textId="77777777" w:rsidR="00A60471" w:rsidRPr="00D2126A" w:rsidRDefault="000E5A86" w:rsidP="00C93C76">
      <w:pPr>
        <w:pStyle w:val="StyleBullets"/>
      </w:pPr>
      <w:r>
        <w:t>du myélome multiple</w:t>
      </w:r>
    </w:p>
    <w:p w14:paraId="0C84DB04" w14:textId="77777777" w:rsidR="00A60471" w:rsidRPr="00D2126A" w:rsidRDefault="000E5A86" w:rsidP="00C93C76">
      <w:pPr>
        <w:pStyle w:val="StyleBullets"/>
      </w:pPr>
      <w:r>
        <w:t>des syndromes myélodysplasiques</w:t>
      </w:r>
    </w:p>
    <w:p w14:paraId="5FD2D5B5" w14:textId="77777777" w:rsidR="008D4EE6" w:rsidRPr="00D2126A" w:rsidRDefault="000E5A86" w:rsidP="00477176">
      <w:pPr>
        <w:pStyle w:val="StyleBullets"/>
        <w:keepNext/>
      </w:pPr>
      <w:r>
        <w:t>du lymphome à cellules du manteau</w:t>
      </w:r>
    </w:p>
    <w:p w14:paraId="365D75DE" w14:textId="77777777" w:rsidR="00AF5BB6" w:rsidRPr="00D2126A" w:rsidRDefault="000E5A86" w:rsidP="00C93C76">
      <w:pPr>
        <w:pStyle w:val="StyleBullets"/>
      </w:pPr>
      <w:r>
        <w:t>du lymphome folliculaire</w:t>
      </w:r>
    </w:p>
    <w:p w14:paraId="3A7F9BD1" w14:textId="77777777" w:rsidR="008D4EE6" w:rsidRPr="00D2126A" w:rsidRDefault="008D4EE6" w:rsidP="00C93C76">
      <w:pPr>
        <w:ind w:right="-29"/>
      </w:pPr>
    </w:p>
    <w:p w14:paraId="4C89766B" w14:textId="77777777" w:rsidR="00A60471" w:rsidRPr="00D2126A" w:rsidRDefault="000E5A86" w:rsidP="00477176">
      <w:pPr>
        <w:keepNext/>
        <w:numPr>
          <w:ilvl w:val="12"/>
          <w:numId w:val="0"/>
        </w:numPr>
        <w:ind w:right="-2"/>
        <w:rPr>
          <w:b/>
          <w:color w:val="000000"/>
        </w:rPr>
      </w:pPr>
      <w:r>
        <w:rPr>
          <w:b/>
          <w:color w:val="000000"/>
        </w:rPr>
        <w:t>Myélome multiple</w:t>
      </w:r>
    </w:p>
    <w:p w14:paraId="157216B7" w14:textId="77777777" w:rsidR="00036363" w:rsidRPr="00D2126A" w:rsidRDefault="000E5A86" w:rsidP="00C93C76">
      <w:pPr>
        <w:ind w:right="-2"/>
        <w:rPr>
          <w:iCs/>
          <w:noProof/>
        </w:rPr>
      </w:pPr>
      <w:r>
        <w:t>Le myélome multiple est un type de cancer touchant un certain type de cellules sanguines appelées plasmocytes. Ces cellules s’accumulent dans la moelle osseuse et se multiplient et deviennent incontrôlées. Cela peut entraîner une atteinte des os et des reins.</w:t>
      </w:r>
    </w:p>
    <w:p w14:paraId="5DB0A71B" w14:textId="25284880" w:rsidR="00A60471" w:rsidRPr="00D2126A" w:rsidRDefault="00A60471" w:rsidP="00C93C76"/>
    <w:p w14:paraId="5D0795AB" w14:textId="77777777" w:rsidR="00A60471" w:rsidRPr="00D2126A" w:rsidRDefault="000E5A86" w:rsidP="00C93C76">
      <w:pPr>
        <w:ind w:right="-2"/>
        <w:rPr>
          <w:iCs/>
          <w:noProof/>
        </w:rPr>
      </w:pPr>
      <w:r>
        <w:t>En général, le myélome multiple ne peut pas être guéri. Cependant, les signes et symptômes peuvent régresser de façon importante ou disparaître pendant une certaine période. Cela est appelé une « rémission ».</w:t>
      </w:r>
    </w:p>
    <w:p w14:paraId="07059951" w14:textId="77777777" w:rsidR="00A60471" w:rsidRPr="00D2126A" w:rsidRDefault="00A60471" w:rsidP="00C93C76"/>
    <w:p w14:paraId="7CD763E1" w14:textId="77777777" w:rsidR="00523AEC" w:rsidRPr="00D2126A" w:rsidRDefault="000E5A86" w:rsidP="00C93C76">
      <w:pPr>
        <w:keepNext/>
        <w:rPr>
          <w:u w:val="single"/>
        </w:rPr>
      </w:pPr>
      <w:r>
        <w:rPr>
          <w:u w:val="single"/>
        </w:rPr>
        <w:t>Myélome multiple non préalablement traité – chez les patients qui ont reçu une greffe de moelle osseuse</w:t>
      </w:r>
    </w:p>
    <w:p w14:paraId="6E1FBC6D" w14:textId="77777777" w:rsidR="00523AEC" w:rsidRPr="00D2126A" w:rsidRDefault="000E5A86" w:rsidP="00477176">
      <w:pPr>
        <w:pStyle w:val="Date"/>
      </w:pPr>
      <w:r>
        <w:t>Dans cette indication, Revlimid est utilisé seul, comme traitement d’entretien, après une récupération adéquate des patients à la suite d’une greffe de moelle osseuse.</w:t>
      </w:r>
    </w:p>
    <w:p w14:paraId="528C8E05" w14:textId="77777777" w:rsidR="00F953F6" w:rsidRPr="00D2126A" w:rsidRDefault="00F953F6" w:rsidP="00C93C76">
      <w:pPr>
        <w:rPr>
          <w:u w:val="single"/>
        </w:rPr>
      </w:pPr>
    </w:p>
    <w:p w14:paraId="7531295C" w14:textId="77777777" w:rsidR="00523AEC" w:rsidRPr="00D2126A" w:rsidRDefault="000E5A86" w:rsidP="00477176">
      <w:pPr>
        <w:keepNext/>
        <w:rPr>
          <w:u w:val="single"/>
        </w:rPr>
      </w:pPr>
      <w:r>
        <w:rPr>
          <w:u w:val="single"/>
        </w:rPr>
        <w:t>Myélome multiple non préalablement traité – chez les patients qui ne peuvent pas être traités par une greffe de moelle osseuse</w:t>
      </w:r>
    </w:p>
    <w:p w14:paraId="7A0C9C90" w14:textId="77777777" w:rsidR="00A60471" w:rsidRPr="00D2126A" w:rsidRDefault="000E5A86" w:rsidP="00477176">
      <w:pPr>
        <w:keepNext/>
      </w:pPr>
      <w:r>
        <w:t>Revlimid est pris avec d’autres médicaments. Ceux</w:t>
      </w:r>
      <w:r>
        <w:noBreakHyphen/>
        <w:t>ci peuvent être :</w:t>
      </w:r>
    </w:p>
    <w:p w14:paraId="50DF411D" w14:textId="77777777" w:rsidR="0062427C" w:rsidRPr="00D2126A" w:rsidRDefault="000E5A86" w:rsidP="00C93C76">
      <w:pPr>
        <w:pStyle w:val="StyleBullets"/>
        <w:rPr>
          <w:noProof/>
        </w:rPr>
      </w:pPr>
      <w:r>
        <w:t>un médicament de chimiothérapie appelé « bortézomib »</w:t>
      </w:r>
    </w:p>
    <w:p w14:paraId="1FD1D8AB" w14:textId="77777777" w:rsidR="00A60471" w:rsidRPr="00D2126A" w:rsidRDefault="000E5A86" w:rsidP="00C93C76">
      <w:pPr>
        <w:pStyle w:val="StyleBullets"/>
        <w:rPr>
          <w:noProof/>
        </w:rPr>
      </w:pPr>
      <w:r>
        <w:t>un médicament anti</w:t>
      </w:r>
      <w:r>
        <w:noBreakHyphen/>
        <w:t>inflammatoire appelé « dexaméthasone »</w:t>
      </w:r>
    </w:p>
    <w:p w14:paraId="5071D782" w14:textId="77777777" w:rsidR="00E34F90" w:rsidRPr="00D2126A" w:rsidRDefault="000E5A86" w:rsidP="00477176">
      <w:pPr>
        <w:pStyle w:val="StyleBullets"/>
        <w:keepNext/>
        <w:rPr>
          <w:noProof/>
        </w:rPr>
      </w:pPr>
      <w:r>
        <w:t>un médicament de chimiothérapie appelé « melphalan » et</w:t>
      </w:r>
    </w:p>
    <w:p w14:paraId="6C044593" w14:textId="77777777" w:rsidR="00036363" w:rsidRPr="00D2126A" w:rsidRDefault="000E5A86" w:rsidP="00C93C76">
      <w:pPr>
        <w:pStyle w:val="StyleBullets"/>
        <w:rPr>
          <w:noProof/>
        </w:rPr>
      </w:pPr>
      <w:r>
        <w:t>un médicament anti</w:t>
      </w:r>
      <w:r>
        <w:noBreakHyphen/>
        <w:t>inflammatoire appelé « prednisone »</w:t>
      </w:r>
    </w:p>
    <w:p w14:paraId="6460219E" w14:textId="54DE3781" w:rsidR="007A327B" w:rsidRPr="00D2126A" w:rsidRDefault="000E5A86" w:rsidP="00C93C76">
      <w:pPr>
        <w:pStyle w:val="Date"/>
        <w:rPr>
          <w:iCs/>
          <w:noProof/>
        </w:rPr>
      </w:pPr>
      <w:r>
        <w:t>Vous prendrez ces autres médicaments au début du traitement et vous continuerez ensuite en prenant Revlimid seul.</w:t>
      </w:r>
    </w:p>
    <w:p w14:paraId="56F68DD4" w14:textId="77777777" w:rsidR="007A327B" w:rsidRPr="00D2126A" w:rsidRDefault="007A327B" w:rsidP="00C93C76">
      <w:pPr>
        <w:pStyle w:val="Date"/>
      </w:pPr>
    </w:p>
    <w:p w14:paraId="4BABD947" w14:textId="30DA2699" w:rsidR="007A327B" w:rsidRPr="00D2126A" w:rsidRDefault="000E5A86" w:rsidP="00C93C76">
      <w:pPr>
        <w:pStyle w:val="Date"/>
      </w:pPr>
      <w:r>
        <w:t>Si vous êtes âgé(e) de 75 ans ou plus ou si vous présentez des troubles rénaux modérés à sévères, votre médecin effectuera une évaluation attentive avant le début du traitement.</w:t>
      </w:r>
    </w:p>
    <w:p w14:paraId="1ABB5BC7" w14:textId="77777777" w:rsidR="00A60471" w:rsidRPr="00D2126A" w:rsidRDefault="00A60471" w:rsidP="00C93C76">
      <w:pPr>
        <w:pStyle w:val="Date"/>
        <w:rPr>
          <w:iCs/>
          <w:noProof/>
        </w:rPr>
      </w:pPr>
    </w:p>
    <w:p w14:paraId="20BC92BF" w14:textId="77777777" w:rsidR="007A327B" w:rsidRPr="00D2126A" w:rsidRDefault="000E5A86" w:rsidP="00477176">
      <w:pPr>
        <w:keepNext/>
        <w:rPr>
          <w:u w:val="single"/>
        </w:rPr>
      </w:pPr>
      <w:r>
        <w:rPr>
          <w:u w:val="single"/>
        </w:rPr>
        <w:t>Myélome multiple – chez les patients qui ont déjà été traités</w:t>
      </w:r>
    </w:p>
    <w:p w14:paraId="17810EAE" w14:textId="77777777" w:rsidR="00036363" w:rsidRPr="00D2126A" w:rsidRDefault="000E5A86" w:rsidP="00C93C76">
      <w:pPr>
        <w:pStyle w:val="Date"/>
      </w:pPr>
      <w:r>
        <w:t>Revlimid est pris en association avec un médicament anti</w:t>
      </w:r>
      <w:r>
        <w:noBreakHyphen/>
        <w:t>inflammatoire appelé « dexaméthasone ».</w:t>
      </w:r>
    </w:p>
    <w:p w14:paraId="7A48A180" w14:textId="7AEDFFF3" w:rsidR="00A60471" w:rsidRPr="00D2126A" w:rsidRDefault="00A60471" w:rsidP="00C93C76"/>
    <w:p w14:paraId="6B4A6F91" w14:textId="77777777" w:rsidR="00036363" w:rsidRPr="00D2126A" w:rsidRDefault="000E5A86" w:rsidP="00C93C76">
      <w:pPr>
        <w:ind w:right="-2"/>
        <w:rPr>
          <w:iCs/>
          <w:noProof/>
        </w:rPr>
      </w:pPr>
      <w:r>
        <w:t>Revlimid peut empêcher l’aggravation des signes et symptômes du myélome multiple. Il a également été démontré qu’il retarde la récidive du myélome multiple après le traitement.</w:t>
      </w:r>
    </w:p>
    <w:p w14:paraId="7A540F61" w14:textId="4D1CF75C" w:rsidR="00A60471" w:rsidRPr="00D2126A" w:rsidRDefault="00A60471" w:rsidP="00C93C76">
      <w:pPr>
        <w:pStyle w:val="Date"/>
        <w:rPr>
          <w:u w:val="single"/>
        </w:rPr>
      </w:pPr>
    </w:p>
    <w:p w14:paraId="05DF0091" w14:textId="77777777" w:rsidR="00A60471" w:rsidRPr="00D2126A" w:rsidRDefault="000E5A86" w:rsidP="00477176">
      <w:pPr>
        <w:pStyle w:val="Date"/>
        <w:keepNext/>
        <w:rPr>
          <w:b/>
        </w:rPr>
      </w:pPr>
      <w:r>
        <w:rPr>
          <w:b/>
        </w:rPr>
        <w:t>Syndromes myélodysplasiques (SMD)</w:t>
      </w:r>
    </w:p>
    <w:p w14:paraId="572565C2" w14:textId="77777777" w:rsidR="00A60471" w:rsidRPr="00D2126A" w:rsidRDefault="000E5A86" w:rsidP="00C93C76">
      <w:pPr>
        <w:pStyle w:val="Date"/>
      </w:pPr>
      <w:r>
        <w:t>Le terme SMD désigne un ensemble de nombreuses maladies différentes du sang et de la moelle osseuse. Les cellules sanguines deviennent anormales et ne fonctionnent pas correctement. Les patients peuvent présenter différents signes et symptômes, notamment un taux faible de globules rouges (anémie), un besoin de transfusions sanguines et un risque d’infection.</w:t>
      </w:r>
    </w:p>
    <w:p w14:paraId="50BDAE53" w14:textId="77777777" w:rsidR="00A60471" w:rsidRPr="00D2126A" w:rsidRDefault="00A60471" w:rsidP="00C93C76"/>
    <w:p w14:paraId="17D580BE" w14:textId="77777777" w:rsidR="0074318D" w:rsidRPr="00D2126A" w:rsidRDefault="000E5A86" w:rsidP="00477176">
      <w:pPr>
        <w:keepNext/>
        <w:rPr>
          <w:bCs/>
          <w:color w:val="000000"/>
        </w:rPr>
      </w:pPr>
      <w:r>
        <w:rPr>
          <w:color w:val="000000"/>
        </w:rPr>
        <w:t>Revlimid est utilisé seul pour traiter les patients adultes chez lesquels un SMD a été diagnostiqué et lorsque toutes les conditions ci</w:t>
      </w:r>
      <w:r>
        <w:rPr>
          <w:color w:val="000000"/>
        </w:rPr>
        <w:noBreakHyphen/>
        <w:t>dessous sont remplies :</w:t>
      </w:r>
    </w:p>
    <w:p w14:paraId="74B8C3A6" w14:textId="77777777" w:rsidR="0074318D" w:rsidRPr="00D2126A" w:rsidRDefault="000E5A86" w:rsidP="00C93C76">
      <w:pPr>
        <w:pStyle w:val="StyleBullets"/>
      </w:pPr>
      <w:r>
        <w:t>vous avez besoin de transfusions sanguines régulières pour corriger un taux faible de globules rouges (« anémie avec dépendance transfusionnelle ») ;</w:t>
      </w:r>
    </w:p>
    <w:p w14:paraId="6F36B435" w14:textId="77777777" w:rsidR="0074318D" w:rsidRPr="00D2126A" w:rsidRDefault="000E5A86" w:rsidP="00477176">
      <w:pPr>
        <w:pStyle w:val="StyleBullets"/>
        <w:keepNext/>
      </w:pPr>
      <w:r>
        <w:t>vous présentez une anomalie des cellules dans la moelle osseuse appelée « anomalie cytogénétique de délétion 5q isolée ». Cela signifie que votre organisme ne fabrique pas assez de cellules sanguines saines ;</w:t>
      </w:r>
    </w:p>
    <w:p w14:paraId="20AC4DAA" w14:textId="77777777" w:rsidR="0074318D" w:rsidRPr="00D2126A" w:rsidRDefault="000E5A86" w:rsidP="00C93C76">
      <w:pPr>
        <w:pStyle w:val="StyleBullets"/>
      </w:pPr>
      <w:r>
        <w:t>d’autres traitements qui ont été administrés préalablement, ne sont pas adaptés ou ne sont pas suffisamment efficaces.</w:t>
      </w:r>
    </w:p>
    <w:p w14:paraId="0D2C48B4" w14:textId="77777777" w:rsidR="0074318D" w:rsidRPr="00D2126A" w:rsidRDefault="0074318D" w:rsidP="00C93C76">
      <w:pPr>
        <w:pStyle w:val="Date"/>
        <w:rPr>
          <w:color w:val="000000"/>
        </w:rPr>
      </w:pPr>
    </w:p>
    <w:p w14:paraId="1F56934D" w14:textId="77777777" w:rsidR="00036363" w:rsidRPr="00D2126A" w:rsidRDefault="000E5A86" w:rsidP="00477176">
      <w:pPr>
        <w:pStyle w:val="Date"/>
        <w:keepNext/>
        <w:rPr>
          <w:color w:val="000000"/>
        </w:rPr>
      </w:pPr>
      <w:r>
        <w:rPr>
          <w:color w:val="000000"/>
        </w:rPr>
        <w:t>Revlimid peut augmenter le nombre de globules rouges normaux produits par l’organisme en diminuant le nombre de cellules anormales :</w:t>
      </w:r>
    </w:p>
    <w:p w14:paraId="1F0323B1" w14:textId="21A70424" w:rsidR="00A60471" w:rsidRPr="00D2126A" w:rsidRDefault="000E5A86" w:rsidP="00C93C76">
      <w:pPr>
        <w:pStyle w:val="StyleBullets"/>
        <w:rPr>
          <w:rFonts w:eastAsia="Calibri"/>
        </w:rPr>
      </w:pPr>
      <w:r>
        <w:t>cela peut réduire le nombre de transfusions sanguines nécessaires. Il est possible que le recours aux transfusions ne soit plus nécessaire.</w:t>
      </w:r>
    </w:p>
    <w:p w14:paraId="567CF81E" w14:textId="77777777" w:rsidR="00A60471" w:rsidRPr="00D2126A" w:rsidRDefault="00A60471" w:rsidP="00C93C76">
      <w:pPr>
        <w:rPr>
          <w:iCs/>
          <w:noProof/>
          <w:color w:val="000000"/>
        </w:rPr>
      </w:pPr>
    </w:p>
    <w:p w14:paraId="1347874B" w14:textId="77777777" w:rsidR="008D4EE6" w:rsidRPr="00D2126A" w:rsidRDefault="000E5A86" w:rsidP="00DF154F">
      <w:pPr>
        <w:keepNext/>
        <w:rPr>
          <w:b/>
        </w:rPr>
      </w:pPr>
      <w:r>
        <w:rPr>
          <w:b/>
        </w:rPr>
        <w:t>Lymphome à cellules du manteau (LCM)</w:t>
      </w:r>
    </w:p>
    <w:p w14:paraId="3A1E0D68" w14:textId="224504D6" w:rsidR="008D4EE6" w:rsidRPr="00D2126A" w:rsidRDefault="000E5A86" w:rsidP="00DF154F">
      <w:r>
        <w:t>Le LCM est un cancer d‘une partie du système immunitaire (le tissu lymphoïde). Il touche un type de globules blancs appelés lymphocytes B ou cellules B. Le LCM est une maladie dans laquelle les lymphocytes B se multiplient de façon incontrôlée et s’accumulent dans le tissu lymphoïde, la moelle osseuse ou le sang.</w:t>
      </w:r>
    </w:p>
    <w:p w14:paraId="2DF51B5C" w14:textId="77777777" w:rsidR="008D4EE6" w:rsidRPr="00D2126A" w:rsidRDefault="008D4EE6" w:rsidP="00DF154F"/>
    <w:p w14:paraId="2F276453" w14:textId="77777777" w:rsidR="008D4EE6" w:rsidRPr="00D2126A" w:rsidRDefault="000E5A86" w:rsidP="00DF154F">
      <w:r>
        <w:t>Revlimid est utilisé seul pour traiter les patients adultes qui ont été préalablement traités avec d’autres médicaments.</w:t>
      </w:r>
    </w:p>
    <w:p w14:paraId="15409E12" w14:textId="77777777" w:rsidR="008D4EE6" w:rsidRPr="00D2126A" w:rsidRDefault="008D4EE6" w:rsidP="00DF154F"/>
    <w:p w14:paraId="6AFCCAD0" w14:textId="77777777" w:rsidR="00AF5BB6" w:rsidRPr="00D2126A" w:rsidRDefault="000E5A86" w:rsidP="00DF154F">
      <w:pPr>
        <w:keepNext/>
        <w:rPr>
          <w:b/>
        </w:rPr>
      </w:pPr>
      <w:r>
        <w:rPr>
          <w:b/>
        </w:rPr>
        <w:t>Lymphome folliculaire (LF)</w:t>
      </w:r>
    </w:p>
    <w:p w14:paraId="7EFD8931" w14:textId="77777777" w:rsidR="00AF5BB6" w:rsidRPr="00D2126A" w:rsidRDefault="000E5A86" w:rsidP="00DF154F">
      <w:r>
        <w:t>Le LF est un cancer à progression lente qui touche les lymphocytes B, un type de globules blancs qui aident votre organisme à lutter contre les infections. En cas de LF, un nombre excessif de ces lymphocytes B peut s’accumuler dans le sang, la moelle osseuse, les ganglions lymphatiques et la rate.</w:t>
      </w:r>
    </w:p>
    <w:p w14:paraId="5F8511E9" w14:textId="77777777" w:rsidR="00AF5BB6" w:rsidRPr="00D2126A" w:rsidRDefault="00AF5BB6" w:rsidP="00DF154F"/>
    <w:p w14:paraId="0F0D1441" w14:textId="77777777" w:rsidR="00AF5BB6" w:rsidRPr="00D2126A" w:rsidRDefault="000E5A86" w:rsidP="00AD65A7">
      <w:r>
        <w:t>Revlimid est pris en association avec un autre médicament appelé « rituximab » pour le traitement des patients adultes atteints de lymphome folliculaire préalablement traité.</w:t>
      </w:r>
    </w:p>
    <w:p w14:paraId="03CEB7B7" w14:textId="77777777" w:rsidR="00163251" w:rsidRPr="00D2126A" w:rsidRDefault="00163251" w:rsidP="00DF154F"/>
    <w:p w14:paraId="2C6AA081" w14:textId="77777777" w:rsidR="00EE50FD" w:rsidRPr="00D2126A" w:rsidRDefault="000E5A86" w:rsidP="00C93C76">
      <w:pPr>
        <w:keepNext/>
        <w:rPr>
          <w:b/>
          <w:iCs/>
          <w:noProof/>
          <w:color w:val="000000"/>
        </w:rPr>
      </w:pPr>
      <w:r>
        <w:rPr>
          <w:b/>
          <w:color w:val="000000"/>
        </w:rPr>
        <w:t>Comment agit Revlimid</w:t>
      </w:r>
    </w:p>
    <w:p w14:paraId="119C311C" w14:textId="77777777" w:rsidR="00EE50FD" w:rsidRPr="00D2126A" w:rsidRDefault="000E5A86" w:rsidP="00C93C76">
      <w:pPr>
        <w:keepNext/>
        <w:rPr>
          <w:iCs/>
          <w:noProof/>
          <w:color w:val="000000"/>
        </w:rPr>
      </w:pPr>
      <w:r>
        <w:rPr>
          <w:color w:val="000000"/>
        </w:rPr>
        <w:t>Revlimid agit en modifiant le fonctionnement du système immunitaire de l’organisme et en attaquant directement le cancer. Il agit de plusieurs façons différentes :</w:t>
      </w:r>
    </w:p>
    <w:p w14:paraId="3014B426" w14:textId="77777777" w:rsidR="00EE50FD" w:rsidRPr="00D2126A" w:rsidRDefault="000E5A86" w:rsidP="00C93C76">
      <w:pPr>
        <w:pStyle w:val="StyleBullets"/>
        <w:rPr>
          <w:rFonts w:eastAsia="Calibri"/>
        </w:rPr>
      </w:pPr>
      <w:r>
        <w:t>en arrêtant le développement des cellules cancéreuses ;</w:t>
      </w:r>
    </w:p>
    <w:p w14:paraId="254FD964" w14:textId="77777777" w:rsidR="00EE50FD" w:rsidRPr="00D2126A" w:rsidRDefault="000E5A86" w:rsidP="00477176">
      <w:pPr>
        <w:pStyle w:val="StyleBullets"/>
        <w:keepNext/>
        <w:rPr>
          <w:iCs/>
          <w:noProof/>
        </w:rPr>
      </w:pPr>
      <w:r>
        <w:t>en arrêtant la croissance des vaisseaux sanguins dans la tumeur ;</w:t>
      </w:r>
    </w:p>
    <w:p w14:paraId="0353A507" w14:textId="77777777" w:rsidR="00EE50FD" w:rsidRPr="00D2126A" w:rsidRDefault="000E5A86" w:rsidP="00C93C76">
      <w:pPr>
        <w:pStyle w:val="StyleBullets"/>
        <w:rPr>
          <w:iCs/>
          <w:noProof/>
        </w:rPr>
      </w:pPr>
      <w:r>
        <w:t>en stimulant une partie du système immunitaire pour attaquer les cellules cancéreuses</w:t>
      </w:r>
    </w:p>
    <w:p w14:paraId="3AEEACE6" w14:textId="77777777" w:rsidR="00EE50FD" w:rsidRPr="00D2126A" w:rsidRDefault="00EE50FD" w:rsidP="00C93C76">
      <w:pPr>
        <w:ind w:right="-2"/>
        <w:rPr>
          <w:iCs/>
          <w:noProof/>
          <w:color w:val="000000"/>
        </w:rPr>
      </w:pPr>
    </w:p>
    <w:p w14:paraId="716BC59A" w14:textId="77777777" w:rsidR="00CE52F6" w:rsidRPr="00D2126A" w:rsidRDefault="00CE52F6" w:rsidP="00C93C76">
      <w:pPr>
        <w:pStyle w:val="Date"/>
      </w:pPr>
    </w:p>
    <w:p w14:paraId="4E8891D1" w14:textId="77777777" w:rsidR="00B52266" w:rsidRPr="00D2126A" w:rsidRDefault="000E5A86" w:rsidP="00C93C76">
      <w:pPr>
        <w:keepNext/>
        <w:numPr>
          <w:ilvl w:val="12"/>
          <w:numId w:val="0"/>
        </w:numPr>
        <w:ind w:left="567" w:right="-2" w:hanging="567"/>
        <w:rPr>
          <w:color w:val="000000"/>
        </w:rPr>
      </w:pPr>
      <w:r>
        <w:rPr>
          <w:b/>
          <w:color w:val="000000"/>
        </w:rPr>
        <w:t>2.</w:t>
      </w:r>
      <w:r>
        <w:rPr>
          <w:b/>
          <w:color w:val="000000"/>
        </w:rPr>
        <w:tab/>
        <w:t>Quelles sont les informations à connaître avant de prendre Revlimid</w:t>
      </w:r>
    </w:p>
    <w:p w14:paraId="684ED5EA" w14:textId="77777777" w:rsidR="00834086" w:rsidRPr="00D2126A" w:rsidRDefault="00834086" w:rsidP="00C93C76">
      <w:pPr>
        <w:keepNext/>
        <w:rPr>
          <w:b/>
          <w:iCs/>
          <w:noProof/>
          <w:color w:val="000000"/>
        </w:rPr>
      </w:pPr>
    </w:p>
    <w:p w14:paraId="33716DCA" w14:textId="77777777" w:rsidR="0062427C" w:rsidRPr="00D2126A" w:rsidRDefault="000E5A86" w:rsidP="00C93C76">
      <w:pPr>
        <w:keepNext/>
        <w:rPr>
          <w:b/>
          <w:iCs/>
          <w:noProof/>
          <w:color w:val="000000"/>
        </w:rPr>
      </w:pPr>
      <w:r>
        <w:rPr>
          <w:b/>
          <w:color w:val="000000"/>
        </w:rPr>
        <w:t>Vous devez lire la notice de tous les médicaments pris en association avec Revlimid avant le début du traitement par Revlimid.</w:t>
      </w:r>
    </w:p>
    <w:p w14:paraId="218DBAEC" w14:textId="77777777" w:rsidR="00B52266" w:rsidRPr="00D2126A" w:rsidRDefault="00B52266" w:rsidP="00C93C76">
      <w:pPr>
        <w:keepNext/>
        <w:numPr>
          <w:ilvl w:val="12"/>
          <w:numId w:val="0"/>
        </w:numPr>
        <w:rPr>
          <w:bCs/>
          <w:color w:val="000000"/>
        </w:rPr>
      </w:pPr>
    </w:p>
    <w:p w14:paraId="5548AFB9" w14:textId="77777777" w:rsidR="00B52266" w:rsidRPr="00D2126A" w:rsidRDefault="000E5A86" w:rsidP="00C93C76">
      <w:pPr>
        <w:keepNext/>
        <w:rPr>
          <w:b/>
          <w:color w:val="000000"/>
        </w:rPr>
      </w:pPr>
      <w:r>
        <w:rPr>
          <w:b/>
          <w:color w:val="000000"/>
        </w:rPr>
        <w:t>Ne prenez jamais Revlimid :</w:t>
      </w:r>
    </w:p>
    <w:p w14:paraId="608A2AB1" w14:textId="77777777" w:rsidR="00EE50FD" w:rsidRPr="00D2126A" w:rsidRDefault="000E5A86" w:rsidP="00C93C76">
      <w:pPr>
        <w:pStyle w:val="StyleBullets"/>
      </w:pPr>
      <w:r>
        <w:t xml:space="preserve">si vous êtes enceinte, si vous pensez que vous pourriez l’être ou si vous prévoyez de l'être, </w:t>
      </w:r>
      <w:r>
        <w:rPr>
          <w:b/>
        </w:rPr>
        <w:t>car un effet nocif du Revlimid est attendu pour l’enfant à naître</w:t>
      </w:r>
      <w:r>
        <w:t xml:space="preserve"> (voir la section « Grossesse, allaitement et contraception – Informations pour les femmes et les hommes » de la rubrique 2) ;</w:t>
      </w:r>
    </w:p>
    <w:p w14:paraId="2F94A404" w14:textId="77777777" w:rsidR="00EE50FD" w:rsidRPr="00D2126A" w:rsidRDefault="000E5A86" w:rsidP="00477176">
      <w:pPr>
        <w:pStyle w:val="StyleBullets"/>
        <w:keepNext/>
      </w:pPr>
      <w:r>
        <w:t>si vous êtes en âge de devenir enceinte, sauf si vous prenez toutes les mesures nécessaires pour ne pas être enceinte (voir la section « Grossesse, allaitement et contraception – Informations pour les femmes et les hommes » de la rubrique 2). Si vous êtes en âge de devenir enceinte, votre médecin notera à chaque prescription que les mesures nécessaires ont été prises et vous en donnera confirmation.</w:t>
      </w:r>
    </w:p>
    <w:p w14:paraId="7464ED84" w14:textId="77777777" w:rsidR="00B52266" w:rsidRPr="00D2126A" w:rsidRDefault="000E5A86" w:rsidP="00C93C76">
      <w:pPr>
        <w:pStyle w:val="StyleBullets"/>
      </w:pPr>
      <w:r>
        <w:t>si vous êtes allergique au lénalidomide ou à l’un des autres composants contenus dans ce médicament mentionnés dans la rubrique 6. Si vous pensez que vous pourriez être allergique, demandez conseil à votre médecin.</w:t>
      </w:r>
    </w:p>
    <w:p w14:paraId="5EF8C668" w14:textId="77777777" w:rsidR="00B52266" w:rsidRPr="00D2126A" w:rsidRDefault="00B52266" w:rsidP="00C93C76">
      <w:pPr>
        <w:rPr>
          <w:color w:val="000000"/>
        </w:rPr>
      </w:pPr>
    </w:p>
    <w:p w14:paraId="08E05B87" w14:textId="77777777" w:rsidR="00B52266" w:rsidRPr="00D2126A" w:rsidRDefault="000E5A86" w:rsidP="00C93C76">
      <w:pPr>
        <w:rPr>
          <w:color w:val="000000"/>
        </w:rPr>
      </w:pPr>
      <w:r>
        <w:rPr>
          <w:color w:val="000000"/>
        </w:rPr>
        <w:t>Si l’une de ces situations vous concerne, ne prenez pas Revlimid. Adressez</w:t>
      </w:r>
      <w:r>
        <w:rPr>
          <w:color w:val="000000"/>
        </w:rPr>
        <w:noBreakHyphen/>
        <w:t>vous à votre médecin en cas de doute.</w:t>
      </w:r>
    </w:p>
    <w:p w14:paraId="2223F20F" w14:textId="77777777" w:rsidR="00B52266" w:rsidRPr="00D2126A" w:rsidRDefault="00B52266" w:rsidP="00C93C76">
      <w:pPr>
        <w:rPr>
          <w:color w:val="000000"/>
        </w:rPr>
      </w:pPr>
    </w:p>
    <w:p w14:paraId="5809DCC6" w14:textId="77777777" w:rsidR="00B52266" w:rsidRPr="00D2126A" w:rsidRDefault="000E5A86" w:rsidP="00477176">
      <w:pPr>
        <w:keepNext/>
        <w:numPr>
          <w:ilvl w:val="12"/>
          <w:numId w:val="0"/>
        </w:numPr>
        <w:ind w:right="-2"/>
        <w:rPr>
          <w:color w:val="000000"/>
        </w:rPr>
      </w:pPr>
      <w:r>
        <w:rPr>
          <w:b/>
          <w:color w:val="000000"/>
        </w:rPr>
        <w:t>Avertissements et précautions</w:t>
      </w:r>
    </w:p>
    <w:p w14:paraId="0D678208" w14:textId="77777777" w:rsidR="003A13F2" w:rsidRPr="00D2126A" w:rsidRDefault="000E5A86" w:rsidP="00477176">
      <w:pPr>
        <w:pStyle w:val="Date"/>
        <w:keepNext/>
        <w:rPr>
          <w:b/>
          <w:color w:val="000000"/>
        </w:rPr>
      </w:pPr>
      <w:r>
        <w:rPr>
          <w:b/>
          <w:color w:val="000000"/>
        </w:rPr>
        <w:t>Adressez</w:t>
      </w:r>
      <w:r>
        <w:rPr>
          <w:b/>
          <w:color w:val="000000"/>
        </w:rPr>
        <w:noBreakHyphen/>
        <w:t>vous à votre médecin, pharmacien ou infirmier/ère avant de prendre Revlimid si :</w:t>
      </w:r>
    </w:p>
    <w:p w14:paraId="56F4282C" w14:textId="77777777" w:rsidR="003A13F2" w:rsidRPr="00D2126A" w:rsidRDefault="000E5A86" w:rsidP="00C93C76">
      <w:pPr>
        <w:pStyle w:val="StyleBullets"/>
      </w:pPr>
      <w:r>
        <w:t>vous avez des antécédents de caillots sanguins. Le risque de formation de caillots sanguins dans les veines et les artères est augmenté pendant le traitement ;</w:t>
      </w:r>
    </w:p>
    <w:p w14:paraId="3F40F887" w14:textId="77777777" w:rsidR="00036363" w:rsidRPr="00D2126A" w:rsidRDefault="000E5A86" w:rsidP="00C93C76">
      <w:pPr>
        <w:pStyle w:val="StyleBullets"/>
      </w:pPr>
      <w:r>
        <w:t>vous présentez des signes d’infection tels que toux ou fièvre ;</w:t>
      </w:r>
    </w:p>
    <w:p w14:paraId="37235873" w14:textId="1E4F3370" w:rsidR="00110889" w:rsidRPr="00D2126A" w:rsidRDefault="000E5A86" w:rsidP="00C93C76">
      <w:pPr>
        <w:pStyle w:val="StyleBullets"/>
        <w:rPr>
          <w:bCs/>
        </w:rPr>
      </w:pPr>
      <w:r>
        <w:t>vous avez ou avez eu dans le passé une infection virale, en particulier hépatite B, varicelle, zona ou infection par le VIH. En cas de doute, adressez</w:t>
      </w:r>
      <w:r>
        <w:noBreakHyphen/>
        <w:t>vous à votre médecin. Le traitement par Revlimid peut provoquer une réactivation du virus chez les patients qui en sont porteurs. Cela entraîne une récidive de l’infection. Votre médecin doit déterminer si vous avez eu dans le passé une hépatite B.</w:t>
      </w:r>
    </w:p>
    <w:p w14:paraId="620502AD" w14:textId="77777777" w:rsidR="003A13F2" w:rsidRPr="00D2126A" w:rsidRDefault="000E5A86" w:rsidP="00C93C76">
      <w:pPr>
        <w:pStyle w:val="StyleBullets"/>
      </w:pPr>
      <w:r>
        <w:t>vous avez des problèmes de reins ; votre médecin pourra adapter votre dose de Revlimid ;</w:t>
      </w:r>
    </w:p>
    <w:p w14:paraId="75448AF3" w14:textId="77777777" w:rsidR="003A13F2" w:rsidRPr="00D2126A" w:rsidRDefault="000E5A86" w:rsidP="00C93C76">
      <w:pPr>
        <w:pStyle w:val="StyleBullets"/>
      </w:pPr>
      <w:r>
        <w:t>vous avez des antécédents de crise cardiaque (infarctus du myocarde), si vous avez déjà développé un caillot sanguin ou si vous fumez, si vous avez une pression artérielle élevée (hypertension) ou un taux de cholestérol élevé ;</w:t>
      </w:r>
    </w:p>
    <w:p w14:paraId="61937FE4" w14:textId="77777777" w:rsidR="00DA4D3A" w:rsidRPr="00D2126A" w:rsidRDefault="000E5A86" w:rsidP="00477176">
      <w:pPr>
        <w:pStyle w:val="StyleBullets"/>
        <w:keepNext/>
      </w:pPr>
      <w:r>
        <w:t>vous avez développé une réaction allergique pendant un traitement par le thalidomide (un autre médicament utilisé dans le traitement du myélome multiple), par exemple éruption cutanée, démangeaisons, gonflement (œdème), vertiges ou difficultés à respirer.</w:t>
      </w:r>
    </w:p>
    <w:p w14:paraId="729E3228" w14:textId="74A83B32" w:rsidR="009B658D" w:rsidRPr="00D2126A" w:rsidRDefault="000E5A86" w:rsidP="00C93C76">
      <w:pPr>
        <w:pStyle w:val="StyleBullets"/>
      </w:pPr>
      <w:r>
        <w:t>vous avez déjà présenté simultanément plusieurs des symptômes suivants : éruption cutanée étendue, rougeurs cutanées, température élevée, symptômes ressemblant à ceux de la grippe, augmentations des enzymes hépatiques, anomalies sanguines (éosinophilie), augmentation du volume des ganglions lymphatiques – ce sont des signes de réaction cutanée sévère appelée réaction médicamenteuse accompagnée d’une éosinophilie et de symptômes systémiques, appelée également syndrome DRESS ou syndrome d’hypersensibilité médicamenteuse (voir également la rubrique 4 « Quels sont les effets indésirables éventuels ? »).</w:t>
      </w:r>
    </w:p>
    <w:p w14:paraId="39F70AB0" w14:textId="77777777" w:rsidR="007D54A1" w:rsidRPr="00D2126A" w:rsidRDefault="007D54A1" w:rsidP="00C93C76"/>
    <w:p w14:paraId="5561D9FA" w14:textId="77777777" w:rsidR="003A13F2" w:rsidRPr="00D2126A" w:rsidRDefault="000E5A86" w:rsidP="00C93C76">
      <w:r>
        <w:t>Si l’une de ces situations vous concerne, adressez</w:t>
      </w:r>
      <w:r>
        <w:noBreakHyphen/>
        <w:t>vous à votre médecin, pharmacien ou infirmier/ère avant de commencer le traitement.</w:t>
      </w:r>
    </w:p>
    <w:p w14:paraId="25F43612" w14:textId="77777777" w:rsidR="00921FB9" w:rsidRPr="00D2126A" w:rsidRDefault="00921FB9" w:rsidP="00C93C76">
      <w:pPr>
        <w:pStyle w:val="Date"/>
      </w:pPr>
    </w:p>
    <w:p w14:paraId="05D5E7D7" w14:textId="77777777" w:rsidR="00036363" w:rsidRPr="00D2126A" w:rsidRDefault="000E5A86" w:rsidP="00477176">
      <w:pPr>
        <w:pStyle w:val="Date"/>
        <w:keepNext/>
      </w:pPr>
      <w:r>
        <w:t>À tout moment pendant ou après votre traitement, informez immédiatement votre médecin ou votre infirmier/ère si vous :</w:t>
      </w:r>
    </w:p>
    <w:p w14:paraId="008BB005" w14:textId="77777777" w:rsidR="00036363" w:rsidRPr="00D2126A" w:rsidRDefault="000E5A86" w:rsidP="00477176">
      <w:pPr>
        <w:pStyle w:val="StyleBullets"/>
        <w:keepNext/>
      </w:pPr>
      <w:r>
        <w:t>faites l’expérience d’une vision floue ou double, ou d’une perte de vision, d’une difficulté à parler, de faiblesse dans un bras ou une jambe, d’un changement dans la façon dont vous marchez ou de problèmes d’équilibre, d’un engourdissement persistant, d’une diminution ou d’une perte de sensation, d’une perte de mémoire ou de confusion. Tous ces symptômes peuvent être révélateurs d’une maladie du cerveau grave et potentiellement fatale connue sous le nom de leucoencéphalopathie multifocale progressive (LEMP). Si vous aviez ces symptômes avant le traitement par Revlimid, informez votre médecin de toute modification de ces symptômes.</w:t>
      </w:r>
    </w:p>
    <w:p w14:paraId="19F19C4F" w14:textId="0A32BF74" w:rsidR="00455742" w:rsidRPr="00D2126A" w:rsidRDefault="000E5A86" w:rsidP="00C93C76">
      <w:pPr>
        <w:pStyle w:val="StyleBullets"/>
      </w:pPr>
      <w:r>
        <w:t>faites l’expérience d’un essoufflement, d’une fatigue, d’étourdissements, d’une douleur thoracique, d’une accélération du rythme cardiaque ou d’un gonflement au niveau des jambes ou des chevilles. Ces symptômes peuvent être révélateurs d’une maladie grave appelée hypertension pulmonaire (voir rubrique 4).</w:t>
      </w:r>
    </w:p>
    <w:p w14:paraId="65064A7B" w14:textId="77777777" w:rsidR="003A13F2" w:rsidRPr="00D2126A" w:rsidRDefault="003A13F2" w:rsidP="00C93C76">
      <w:pPr>
        <w:pStyle w:val="Date"/>
      </w:pPr>
    </w:p>
    <w:p w14:paraId="3D642AF9" w14:textId="77777777" w:rsidR="00B52266" w:rsidRPr="00D2126A" w:rsidRDefault="000E5A86" w:rsidP="00C93C76">
      <w:pPr>
        <w:keepNext/>
        <w:rPr>
          <w:color w:val="000000"/>
        </w:rPr>
      </w:pPr>
      <w:r>
        <w:rPr>
          <w:b/>
          <w:color w:val="000000"/>
        </w:rPr>
        <w:t>Examens et contrôles</w:t>
      </w:r>
    </w:p>
    <w:p w14:paraId="4A1AA368" w14:textId="77777777" w:rsidR="00036363" w:rsidRPr="00D2126A" w:rsidRDefault="000E5A86" w:rsidP="00C93C76">
      <w:pPr>
        <w:keepNext/>
        <w:rPr>
          <w:color w:val="000000"/>
        </w:rPr>
      </w:pPr>
      <w:r>
        <w:rPr>
          <w:color w:val="000000"/>
        </w:rPr>
        <w:t>Avant et pendant le traitement par Revlimid, vous ferez régulièrement des analyses de sang car Revlimid peut faire chuter le nombre de cellules sanguines qui contribuent à lutter contre les infections (globules blancs) et de cellules qui font coaguler le sang (plaquettes).</w:t>
      </w:r>
    </w:p>
    <w:p w14:paraId="6A7F596D" w14:textId="09EC5236" w:rsidR="00B52266" w:rsidRPr="00D2126A" w:rsidRDefault="000E5A86" w:rsidP="00C93C76">
      <w:pPr>
        <w:rPr>
          <w:color w:val="000000"/>
        </w:rPr>
      </w:pPr>
      <w:r>
        <w:rPr>
          <w:color w:val="000000"/>
        </w:rPr>
        <w:t>Votre médecin vous demandera de faire réaliser une analyse de sang :</w:t>
      </w:r>
    </w:p>
    <w:p w14:paraId="21F09206" w14:textId="77777777" w:rsidR="00036363" w:rsidRPr="00D2126A" w:rsidRDefault="000E5A86" w:rsidP="00C93C76">
      <w:pPr>
        <w:pStyle w:val="StyleBullets"/>
      </w:pPr>
      <w:r>
        <w:t>avant le traitement</w:t>
      </w:r>
    </w:p>
    <w:p w14:paraId="57BBFC4F" w14:textId="7AFB9E30" w:rsidR="008D4EE6" w:rsidRPr="00D2126A" w:rsidRDefault="000E5A86" w:rsidP="00477176">
      <w:pPr>
        <w:pStyle w:val="StyleBullets"/>
        <w:keepNext/>
      </w:pPr>
      <w:r>
        <w:t>chaque semaine pendant les 8 premières semaines de traitement</w:t>
      </w:r>
    </w:p>
    <w:p w14:paraId="61CB4C7F" w14:textId="77777777" w:rsidR="00B52266" w:rsidRPr="00D2126A" w:rsidRDefault="000E5A86" w:rsidP="00C93C76">
      <w:pPr>
        <w:pStyle w:val="StyleBullets"/>
      </w:pPr>
      <w:r>
        <w:t>puis au moins une fois par mois par la suite</w:t>
      </w:r>
    </w:p>
    <w:p w14:paraId="4F429042" w14:textId="77777777" w:rsidR="00455742" w:rsidRPr="00D2126A" w:rsidRDefault="00455742" w:rsidP="00C93C76">
      <w:pPr>
        <w:pStyle w:val="Date"/>
        <w:rPr>
          <w:rFonts w:cs="Calibri"/>
          <w:u w:val="single"/>
        </w:rPr>
      </w:pPr>
    </w:p>
    <w:p w14:paraId="47A511F0" w14:textId="77777777" w:rsidR="00455742" w:rsidRPr="00D2126A" w:rsidRDefault="000E5A86" w:rsidP="00477176">
      <w:pPr>
        <w:pStyle w:val="Date"/>
        <w:rPr>
          <w:rFonts w:cs="Calibri"/>
        </w:rPr>
      </w:pPr>
      <w:r>
        <w:t>Vous pourriez être évalué(e) pour détecter des signes de problèmes cardiopulmonaires avant et pendant le traitement par lénalidomide.</w:t>
      </w:r>
    </w:p>
    <w:p w14:paraId="22ADF57D" w14:textId="77777777" w:rsidR="00455742" w:rsidRPr="00D2126A" w:rsidRDefault="00455742" w:rsidP="00C93C76"/>
    <w:p w14:paraId="06AF72F6" w14:textId="77777777" w:rsidR="00EE1406" w:rsidRPr="00D2126A" w:rsidRDefault="000E5A86" w:rsidP="00C93C76">
      <w:pPr>
        <w:pStyle w:val="Date"/>
        <w:keepNext/>
        <w:rPr>
          <w:rFonts w:cs="Calibri"/>
          <w:u w:val="single"/>
        </w:rPr>
      </w:pPr>
      <w:r>
        <w:rPr>
          <w:u w:val="single"/>
        </w:rPr>
        <w:t>Pour les patients présentant un syndrome myélodysplasique (SMD) et prenant Revlimid</w:t>
      </w:r>
    </w:p>
    <w:p w14:paraId="13DA03D6" w14:textId="77777777" w:rsidR="00EE1406" w:rsidRPr="00D2126A" w:rsidRDefault="000E5A86" w:rsidP="00477176">
      <w:r>
        <w:rPr>
          <w:color w:val="000000"/>
        </w:rPr>
        <w:t>Si vous présentez un SMD, vous pouvez avoir un risque plus élevé de développer une maladie plus avancée appelée leucémie aiguë myéloblastique (LAM). En outre, l’effet de Revlimid sur le risque de développer une LAM n’est pas connu. Votre médecin pourra donc demander des examens afin de rechercher des signes permettant de mieux prédire la probabilité que vous développiez une LAM pendant votre traitement par Revlimid.</w:t>
      </w:r>
    </w:p>
    <w:p w14:paraId="2DD1F29F" w14:textId="77777777" w:rsidR="00EE1406" w:rsidRPr="00D2126A" w:rsidRDefault="00EE1406" w:rsidP="00C93C76"/>
    <w:p w14:paraId="6A559B58" w14:textId="77777777" w:rsidR="0004156B" w:rsidRPr="00D2126A" w:rsidRDefault="000E5A86" w:rsidP="00477176">
      <w:pPr>
        <w:pStyle w:val="Date"/>
        <w:keepNext/>
        <w:rPr>
          <w:rFonts w:cs="Calibri"/>
          <w:u w:val="single"/>
        </w:rPr>
      </w:pPr>
      <w:r>
        <w:rPr>
          <w:u w:val="single"/>
        </w:rPr>
        <w:t>Pour les patients présentant un lymphome à cellules du manteau (LCM) et prenant Revlimid</w:t>
      </w:r>
    </w:p>
    <w:p w14:paraId="71357A26" w14:textId="77777777" w:rsidR="0004156B" w:rsidRPr="00D2126A" w:rsidRDefault="000E5A86" w:rsidP="006B7D29">
      <w:pPr>
        <w:keepNext/>
        <w:rPr>
          <w:color w:val="000000"/>
        </w:rPr>
      </w:pPr>
      <w:r>
        <w:rPr>
          <w:color w:val="000000"/>
        </w:rPr>
        <w:t>Votre médecin vous demandera de faire réaliser une analyse de sang :</w:t>
      </w:r>
    </w:p>
    <w:p w14:paraId="2B9BF553" w14:textId="77777777" w:rsidR="0004156B" w:rsidRPr="00D2126A" w:rsidRDefault="000E5A86" w:rsidP="00C93C76">
      <w:pPr>
        <w:pStyle w:val="StyleBullets"/>
      </w:pPr>
      <w:r>
        <w:t>avant le traitement ;</w:t>
      </w:r>
    </w:p>
    <w:p w14:paraId="191F2BD3" w14:textId="576686EC" w:rsidR="0004156B" w:rsidRPr="00D2126A" w:rsidRDefault="000E5A86" w:rsidP="00C93C76">
      <w:pPr>
        <w:pStyle w:val="StyleBullets"/>
      </w:pPr>
      <w:r>
        <w:t>chaque semaine pendant les 8 premières semaines de traitement (2 cycles) ;</w:t>
      </w:r>
    </w:p>
    <w:p w14:paraId="5BE0F9BE" w14:textId="7DF8EE3C" w:rsidR="0004156B" w:rsidRPr="00D2126A" w:rsidRDefault="000E5A86" w:rsidP="00C93C76">
      <w:pPr>
        <w:pStyle w:val="StyleBullets"/>
      </w:pPr>
      <w:r>
        <w:t>puis toutes les 2 semaines pendant les cycles 3 et 4 (voir rubrique 3 « Cycle de traitement » pour des informations plus détaillées) ;</w:t>
      </w:r>
    </w:p>
    <w:p w14:paraId="60D9E1C9" w14:textId="77777777" w:rsidR="0004156B" w:rsidRPr="00D2126A" w:rsidRDefault="000E5A86" w:rsidP="00477176">
      <w:pPr>
        <w:pStyle w:val="StyleBullets"/>
        <w:keepNext/>
      </w:pPr>
      <w:r>
        <w:t>l’analyse de sang sera ensuite effectuée au début de chaque cycle et ;</w:t>
      </w:r>
    </w:p>
    <w:p w14:paraId="21B7CE36" w14:textId="77777777" w:rsidR="008D4EE6" w:rsidRPr="00D2126A" w:rsidRDefault="000E5A86" w:rsidP="00C93C76">
      <w:pPr>
        <w:pStyle w:val="StyleBullets"/>
        <w:rPr>
          <w:szCs w:val="24"/>
        </w:rPr>
      </w:pPr>
      <w:r>
        <w:t>au minimum tous les mois</w:t>
      </w:r>
    </w:p>
    <w:p w14:paraId="236EC091" w14:textId="77777777" w:rsidR="0004156B" w:rsidRPr="00D2126A" w:rsidRDefault="0004156B" w:rsidP="00C93C76">
      <w:pPr>
        <w:pStyle w:val="Date"/>
      </w:pPr>
    </w:p>
    <w:p w14:paraId="6ADE3112" w14:textId="77777777" w:rsidR="000479A6" w:rsidRPr="00D2126A" w:rsidRDefault="000E5A86" w:rsidP="00477176">
      <w:pPr>
        <w:pStyle w:val="Date"/>
        <w:keepNext/>
        <w:rPr>
          <w:u w:val="single"/>
        </w:rPr>
      </w:pPr>
      <w:r>
        <w:rPr>
          <w:u w:val="single"/>
        </w:rPr>
        <w:t>Pour les patients présentant un lymphome folliculaire (LF) et prenant Revlimid</w:t>
      </w:r>
    </w:p>
    <w:p w14:paraId="690D7ACB" w14:textId="77777777" w:rsidR="000479A6" w:rsidRPr="00D2126A" w:rsidRDefault="000E5A86" w:rsidP="006B7D29">
      <w:pPr>
        <w:keepNext/>
        <w:rPr>
          <w:color w:val="000000"/>
        </w:rPr>
      </w:pPr>
      <w:r>
        <w:rPr>
          <w:color w:val="000000"/>
        </w:rPr>
        <w:t>Votre médecin vous demandera de faire réaliser une analyse de sang :</w:t>
      </w:r>
    </w:p>
    <w:p w14:paraId="246AAAD7" w14:textId="77777777" w:rsidR="00036363" w:rsidRPr="00D2126A" w:rsidRDefault="000E5A86" w:rsidP="00C93C76">
      <w:pPr>
        <w:pStyle w:val="StyleBullets"/>
      </w:pPr>
      <w:r>
        <w:t>avant le traitement ;</w:t>
      </w:r>
    </w:p>
    <w:p w14:paraId="5F5AB224" w14:textId="6EFA80D5" w:rsidR="000479A6" w:rsidRPr="00D2126A" w:rsidRDefault="000E5A86" w:rsidP="00C93C76">
      <w:pPr>
        <w:pStyle w:val="StyleBullets"/>
      </w:pPr>
      <w:r>
        <w:t>chaque semaine pendant les 3 premières semaines de traitement (1 cycle) ;</w:t>
      </w:r>
    </w:p>
    <w:p w14:paraId="3570E6D2" w14:textId="597004FD" w:rsidR="000479A6" w:rsidRPr="00D2126A" w:rsidRDefault="000E5A86" w:rsidP="00C93C76">
      <w:pPr>
        <w:pStyle w:val="StyleBullets"/>
      </w:pPr>
      <w:r>
        <w:t>puis toutes les 2 semaines pendant les cycles 2 à 4 (voir rubrique 3 « Cycle de traitement » pour des informations plus détaillées) ;</w:t>
      </w:r>
    </w:p>
    <w:p w14:paraId="4753D4AA" w14:textId="77777777" w:rsidR="000479A6" w:rsidRPr="00D2126A" w:rsidRDefault="000E5A86" w:rsidP="00477176">
      <w:pPr>
        <w:pStyle w:val="StyleBullets"/>
        <w:keepNext/>
      </w:pPr>
      <w:r>
        <w:t>l’analyse de sang sera ensuite effectuée au début de chaque cycle et ;</w:t>
      </w:r>
    </w:p>
    <w:p w14:paraId="76125772" w14:textId="77777777" w:rsidR="000479A6" w:rsidRPr="00D2126A" w:rsidRDefault="000E5A86" w:rsidP="00C93C76">
      <w:pPr>
        <w:pStyle w:val="StyleBullets"/>
      </w:pPr>
      <w:r>
        <w:t>au minimum tous les mois.</w:t>
      </w:r>
    </w:p>
    <w:p w14:paraId="38B19A83" w14:textId="77777777" w:rsidR="00AF5BB6" w:rsidRPr="00D2126A" w:rsidRDefault="00AF5BB6" w:rsidP="00C93C76"/>
    <w:p w14:paraId="5823FEEA" w14:textId="77777777" w:rsidR="00036363" w:rsidRPr="00D2126A" w:rsidRDefault="000E5A86" w:rsidP="00C93C76">
      <w:pPr>
        <w:pStyle w:val="Date"/>
        <w:rPr>
          <w:color w:val="000000"/>
        </w:rPr>
      </w:pPr>
      <w:r>
        <w:rPr>
          <w:color w:val="000000"/>
        </w:rPr>
        <w:t>Votre médecin pourra demander un examen afin de déterminer si vous avez une charge tumorale totale élevée dans tout le corps, y compris dans la moelle osseuse. Cela peut provoquer une maladie dans laquelle la destruction des cellules cancéreuses entraîne des taux anormaux de substances chimiques dans le sang, ce qui peut provoquer une insuffisance rénale (cette maladie est appelée « syndrome de lyse tumorale »).</w:t>
      </w:r>
    </w:p>
    <w:p w14:paraId="517AD92F" w14:textId="2B28D299" w:rsidR="008525E3" w:rsidRPr="00D2126A" w:rsidRDefault="008525E3" w:rsidP="00C93C76"/>
    <w:p w14:paraId="70EAB2DE" w14:textId="77777777" w:rsidR="00EE50FD" w:rsidRPr="00D2126A" w:rsidRDefault="000E5A86" w:rsidP="00C93C76">
      <w:pPr>
        <w:pStyle w:val="Date"/>
        <w:rPr>
          <w:rFonts w:cs="Calibri"/>
        </w:rPr>
      </w:pPr>
      <w:r>
        <w:t>Votre médecin pourra également vous examiner pour détecter des modifications de votre peau telles que des taches rouges ou des éruptions cutanées.</w:t>
      </w:r>
    </w:p>
    <w:p w14:paraId="76DCE3D5" w14:textId="77777777" w:rsidR="003A13F2" w:rsidRPr="00D2126A" w:rsidRDefault="003A13F2" w:rsidP="00C93C76"/>
    <w:p w14:paraId="131D65E2" w14:textId="77777777" w:rsidR="00B52266" w:rsidRPr="00D2126A" w:rsidRDefault="000E5A86" w:rsidP="00C93C76">
      <w:pPr>
        <w:rPr>
          <w:color w:val="000000"/>
        </w:rPr>
      </w:pPr>
      <w:r>
        <w:rPr>
          <w:color w:val="000000"/>
        </w:rPr>
        <w:t xml:space="preserve">Votre médecin peut décider d’ajuster la dose de Revlimid que vous prenez ou d’arrêter le traitement en fonction des résultats des analyses de sang et de votre état général. </w:t>
      </w:r>
      <w:r>
        <w:t>Si vous présentez un myélome multiple récemment diagnostiqué, votre médecin pourra également évaluer votre traitement en fonction de votre âge et des autres maladies que vous présentez déjà.</w:t>
      </w:r>
    </w:p>
    <w:p w14:paraId="69DA3A2F" w14:textId="77777777" w:rsidR="00B52266" w:rsidRPr="00D2126A" w:rsidRDefault="00B52266" w:rsidP="00C93C76">
      <w:pPr>
        <w:rPr>
          <w:color w:val="000000"/>
        </w:rPr>
      </w:pPr>
    </w:p>
    <w:p w14:paraId="73F707EB" w14:textId="77777777" w:rsidR="003A13F2" w:rsidRPr="00D2126A" w:rsidRDefault="000E5A86" w:rsidP="00477176">
      <w:pPr>
        <w:pStyle w:val="Date"/>
        <w:keepNext/>
        <w:rPr>
          <w:b/>
        </w:rPr>
      </w:pPr>
      <w:r>
        <w:rPr>
          <w:b/>
        </w:rPr>
        <w:t>Dons de sang</w:t>
      </w:r>
    </w:p>
    <w:p w14:paraId="66F7C352" w14:textId="08466F57" w:rsidR="003A13F2" w:rsidRPr="00D2126A" w:rsidRDefault="000E5A86" w:rsidP="00C93C76">
      <w:pPr>
        <w:rPr>
          <w:color w:val="000000"/>
        </w:rPr>
      </w:pPr>
      <w:r>
        <w:rPr>
          <w:color w:val="000000"/>
        </w:rPr>
        <w:t>Vous ne devez pas faire des dons de sang pendant le traitement et pendant au moins 7 jours après la fin du traitement.</w:t>
      </w:r>
    </w:p>
    <w:p w14:paraId="4A0D11DB" w14:textId="77777777" w:rsidR="00FC2303" w:rsidRPr="00D2126A" w:rsidRDefault="00FC2303" w:rsidP="00C93C76">
      <w:pPr>
        <w:rPr>
          <w:color w:val="000000"/>
        </w:rPr>
      </w:pPr>
    </w:p>
    <w:p w14:paraId="7272DC11" w14:textId="77777777" w:rsidR="00FC2303" w:rsidRPr="00D2126A" w:rsidRDefault="000E5A86" w:rsidP="00477176">
      <w:pPr>
        <w:keepNext/>
        <w:numPr>
          <w:ilvl w:val="12"/>
          <w:numId w:val="0"/>
        </w:numPr>
        <w:ind w:right="-2"/>
        <w:rPr>
          <w:b/>
          <w:color w:val="000000"/>
        </w:rPr>
      </w:pPr>
      <w:r>
        <w:rPr>
          <w:b/>
          <w:color w:val="000000"/>
        </w:rPr>
        <w:t>Enfants et adolescents</w:t>
      </w:r>
    </w:p>
    <w:p w14:paraId="3B716C64" w14:textId="1838CA77" w:rsidR="00FC2303" w:rsidRPr="00D2126A" w:rsidRDefault="000E5A86" w:rsidP="00C93C76">
      <w:pPr>
        <w:autoSpaceDE w:val="0"/>
        <w:autoSpaceDN w:val="0"/>
        <w:adjustRightInd w:val="0"/>
        <w:rPr>
          <w:color w:val="000000"/>
        </w:rPr>
      </w:pPr>
      <w:r>
        <w:rPr>
          <w:color w:val="000000"/>
        </w:rPr>
        <w:t>L’utilisation de Revlimid n’est pas recommandée chez les enfants et adolescents de moins de 18 ans.</w:t>
      </w:r>
    </w:p>
    <w:p w14:paraId="095807AE" w14:textId="77777777" w:rsidR="008D4EE6" w:rsidRPr="00D2126A" w:rsidRDefault="008D4EE6" w:rsidP="00C93C76">
      <w:pPr>
        <w:pStyle w:val="Date"/>
      </w:pPr>
    </w:p>
    <w:p w14:paraId="112B5F67" w14:textId="77777777" w:rsidR="008D4EE6" w:rsidRPr="00D2126A" w:rsidRDefault="000E5A86" w:rsidP="00477176">
      <w:pPr>
        <w:keepNext/>
        <w:numPr>
          <w:ilvl w:val="12"/>
          <w:numId w:val="0"/>
        </w:numPr>
        <w:ind w:right="-2"/>
        <w:rPr>
          <w:b/>
        </w:rPr>
      </w:pPr>
      <w:r>
        <w:rPr>
          <w:b/>
        </w:rPr>
        <w:t>Patients âgés et patients ayant des troubles rénaux</w:t>
      </w:r>
    </w:p>
    <w:p w14:paraId="47F7A6F1" w14:textId="65BD7A8F" w:rsidR="008D4EE6" w:rsidRPr="00D2126A" w:rsidRDefault="000E5A86" w:rsidP="00C93C76">
      <w:pPr>
        <w:pStyle w:val="Date"/>
      </w:pPr>
      <w:r>
        <w:t>Si vous êtes âgé(e) de 75 ans ou plus ou que vous avez des troubles rénaux modérés à sévères, votre médecin effectuera une évaluation attentive avant le début du traitement.</w:t>
      </w:r>
    </w:p>
    <w:p w14:paraId="02CC520F" w14:textId="77777777" w:rsidR="00FC2303" w:rsidRPr="00D2126A" w:rsidRDefault="00FC2303" w:rsidP="00C93C76">
      <w:pPr>
        <w:numPr>
          <w:ilvl w:val="12"/>
          <w:numId w:val="0"/>
        </w:numPr>
        <w:ind w:right="-2"/>
        <w:rPr>
          <w:color w:val="000000"/>
        </w:rPr>
      </w:pPr>
    </w:p>
    <w:p w14:paraId="7374A924" w14:textId="77777777" w:rsidR="00B52266" w:rsidRPr="00D2126A" w:rsidRDefault="000E5A86" w:rsidP="00477176">
      <w:pPr>
        <w:keepNext/>
        <w:numPr>
          <w:ilvl w:val="12"/>
          <w:numId w:val="0"/>
        </w:numPr>
        <w:rPr>
          <w:b/>
          <w:color w:val="000000"/>
        </w:rPr>
      </w:pPr>
      <w:r>
        <w:rPr>
          <w:b/>
          <w:color w:val="000000"/>
        </w:rPr>
        <w:t>Autres médicaments et Revlimid</w:t>
      </w:r>
    </w:p>
    <w:p w14:paraId="5D89C3EA" w14:textId="77777777" w:rsidR="00B52266" w:rsidRPr="00D2126A" w:rsidRDefault="000E5A86" w:rsidP="00C93C76">
      <w:pPr>
        <w:numPr>
          <w:ilvl w:val="12"/>
          <w:numId w:val="0"/>
        </w:numPr>
        <w:ind w:right="-2"/>
        <w:rPr>
          <w:bCs/>
          <w:color w:val="000000"/>
        </w:rPr>
      </w:pPr>
      <w:r>
        <w:rPr>
          <w:color w:val="000000"/>
        </w:rPr>
        <w:t>Informez votre médecin ou pharmacien si vous prenez, avez récemment pris ou pourriez prendre tout autre médicament, car Revlimid peut modifier la façon dont certains médicaments agissent. De même, certains autres médicaments peuvent modifier la façon dont Revlimid agit.</w:t>
      </w:r>
    </w:p>
    <w:p w14:paraId="092DBFE7" w14:textId="77777777" w:rsidR="00B52266" w:rsidRPr="00D2126A" w:rsidRDefault="00B52266" w:rsidP="00C93C76">
      <w:pPr>
        <w:numPr>
          <w:ilvl w:val="12"/>
          <w:numId w:val="0"/>
        </w:numPr>
        <w:ind w:right="-2"/>
        <w:rPr>
          <w:b/>
          <w:color w:val="000000"/>
        </w:rPr>
      </w:pPr>
    </w:p>
    <w:p w14:paraId="3B27B6DE" w14:textId="77777777" w:rsidR="00FC2303" w:rsidRPr="00D2126A" w:rsidRDefault="000E5A86" w:rsidP="00C93C76">
      <w:pPr>
        <w:keepNext/>
        <w:numPr>
          <w:ilvl w:val="12"/>
          <w:numId w:val="0"/>
        </w:numPr>
        <w:ind w:right="-2"/>
        <w:rPr>
          <w:noProof/>
          <w:color w:val="000000"/>
        </w:rPr>
      </w:pPr>
      <w:r>
        <w:rPr>
          <w:color w:val="000000"/>
        </w:rPr>
        <w:t>En particulier, prévenez votre médecin ou votre infirmier/ère si vous prenez l’un des médicaments suivants :</w:t>
      </w:r>
    </w:p>
    <w:p w14:paraId="7D9F3418" w14:textId="77777777" w:rsidR="00FC2303" w:rsidRPr="00D2126A" w:rsidRDefault="000E5A86" w:rsidP="00C93C76">
      <w:pPr>
        <w:pStyle w:val="StyleBullets"/>
      </w:pPr>
      <w:r>
        <w:t>certains médicaments utilisés pour éviter une grossesse tels que les contraceptifs oraux, car ils pourraient ne plus être efficaces</w:t>
      </w:r>
    </w:p>
    <w:p w14:paraId="5F9E6791" w14:textId="77777777" w:rsidR="00FC2303" w:rsidRPr="00D2126A" w:rsidRDefault="000E5A86" w:rsidP="00477176">
      <w:pPr>
        <w:pStyle w:val="StyleBullets"/>
        <w:keepNext/>
      </w:pPr>
      <w:r>
        <w:t>certains médicaments utilisés pour traiter les problèmes cardiaques, tels que la digoxine</w:t>
      </w:r>
    </w:p>
    <w:p w14:paraId="5AF8006A" w14:textId="77777777" w:rsidR="00FC2303" w:rsidRPr="00D2126A" w:rsidRDefault="000E5A86" w:rsidP="00C93C76">
      <w:pPr>
        <w:pStyle w:val="StyleBullets"/>
      </w:pPr>
      <w:r>
        <w:t>certains médicaments utilisés pour fluidifier le sang, tels que la warfarine</w:t>
      </w:r>
    </w:p>
    <w:p w14:paraId="7734BB12" w14:textId="77777777" w:rsidR="00FC2303" w:rsidRPr="00D2126A" w:rsidRDefault="00FC2303" w:rsidP="00C93C76">
      <w:pPr>
        <w:pStyle w:val="Date"/>
        <w:rPr>
          <w:color w:val="000000"/>
        </w:rPr>
      </w:pPr>
    </w:p>
    <w:p w14:paraId="3CF99634" w14:textId="77777777" w:rsidR="00B52266" w:rsidRPr="00D2126A" w:rsidRDefault="000E5A86" w:rsidP="00477176">
      <w:pPr>
        <w:keepNext/>
        <w:numPr>
          <w:ilvl w:val="12"/>
          <w:numId w:val="0"/>
        </w:numPr>
        <w:ind w:right="-2"/>
        <w:rPr>
          <w:b/>
          <w:color w:val="000000"/>
        </w:rPr>
      </w:pPr>
      <w:r>
        <w:rPr>
          <w:b/>
          <w:color w:val="000000"/>
        </w:rPr>
        <w:t>Grossesse, allaitement et contraception – Informations pour les femmes et les hommes</w:t>
      </w:r>
    </w:p>
    <w:p w14:paraId="4E041BB0" w14:textId="77777777" w:rsidR="008D4EE6" w:rsidRPr="00D2126A" w:rsidRDefault="008D4EE6" w:rsidP="00DF154F">
      <w:pPr>
        <w:keepNext/>
        <w:rPr>
          <w:b/>
          <w:color w:val="000000"/>
        </w:rPr>
      </w:pPr>
    </w:p>
    <w:p w14:paraId="60A6CBAD" w14:textId="77777777" w:rsidR="00036363" w:rsidRPr="00D2126A" w:rsidRDefault="000E5A86" w:rsidP="00DF154F">
      <w:pPr>
        <w:keepNext/>
        <w:rPr>
          <w:b/>
          <w:color w:val="000000"/>
        </w:rPr>
      </w:pPr>
      <w:r>
        <w:rPr>
          <w:b/>
          <w:color w:val="000000"/>
        </w:rPr>
        <w:t>Grossesse</w:t>
      </w:r>
    </w:p>
    <w:p w14:paraId="3761FEFA" w14:textId="77F72DD9" w:rsidR="00FC2303" w:rsidRPr="00D2126A" w:rsidRDefault="000E5A86" w:rsidP="00477176">
      <w:pPr>
        <w:keepNext/>
        <w:rPr>
          <w:color w:val="000000"/>
          <w:u w:val="single"/>
        </w:rPr>
      </w:pPr>
      <w:r>
        <w:rPr>
          <w:color w:val="000000"/>
          <w:u w:val="single"/>
        </w:rPr>
        <w:t>Pour les femmes prenant Revlimid</w:t>
      </w:r>
    </w:p>
    <w:p w14:paraId="371EEF78" w14:textId="77777777" w:rsidR="00036363" w:rsidRPr="00D2126A" w:rsidRDefault="000E5A86" w:rsidP="00C93C76">
      <w:pPr>
        <w:pStyle w:val="StyleBullets"/>
      </w:pPr>
      <w:r>
        <w:t>Vous ne devez pas prendre Revlimid si vous êtes enceinte, car un effet nocif de ce médicament est attendu pour l’enfant à naître.</w:t>
      </w:r>
    </w:p>
    <w:p w14:paraId="497ED1AE" w14:textId="79E090C6" w:rsidR="00FE3ADE" w:rsidRPr="00D2126A" w:rsidRDefault="000E5A86" w:rsidP="00477176">
      <w:pPr>
        <w:pStyle w:val="StyleBullets"/>
        <w:keepNext/>
        <w:rPr>
          <w:iCs/>
        </w:rPr>
      </w:pPr>
      <w:r>
        <w:t>Vous ne devez pas devenir enceinte pendant que vous prenez Revlimid. Vous devez donc utiliser un moyen de contraception efficace si vous êtes une femme en âge de devenir enceinte (voir la section « Contraception »).</w:t>
      </w:r>
    </w:p>
    <w:p w14:paraId="213EDEEC" w14:textId="77777777" w:rsidR="00B52266" w:rsidRPr="00D2126A" w:rsidRDefault="000E5A86" w:rsidP="00C93C76">
      <w:pPr>
        <w:pStyle w:val="StyleBullets"/>
        <w:rPr>
          <w:iCs/>
        </w:rPr>
      </w:pPr>
      <w:r>
        <w:t>En cas de grossesse pendant votre traitement par Revlimid, vous devez arrêter le traitement et informer immédiatement votre médecin.</w:t>
      </w:r>
    </w:p>
    <w:p w14:paraId="03FACDFE" w14:textId="77777777" w:rsidR="00B52266" w:rsidRPr="00D2126A" w:rsidRDefault="00B52266" w:rsidP="00C93C76">
      <w:pPr>
        <w:rPr>
          <w:b/>
          <w:color w:val="000000"/>
        </w:rPr>
      </w:pPr>
    </w:p>
    <w:p w14:paraId="47BD3CF9" w14:textId="77777777" w:rsidR="00FC2303" w:rsidRPr="00D2126A" w:rsidRDefault="000E5A86" w:rsidP="00C93C76">
      <w:pPr>
        <w:pStyle w:val="Date"/>
        <w:keepNext/>
        <w:rPr>
          <w:color w:val="000000"/>
          <w:u w:val="single"/>
        </w:rPr>
      </w:pPr>
      <w:r>
        <w:rPr>
          <w:color w:val="000000"/>
          <w:u w:val="single"/>
        </w:rPr>
        <w:t>Pour les hommes prenant Revlimid</w:t>
      </w:r>
    </w:p>
    <w:p w14:paraId="41D90309" w14:textId="77777777" w:rsidR="00B52266" w:rsidRPr="00D2126A" w:rsidRDefault="000E5A86" w:rsidP="00477176">
      <w:pPr>
        <w:pStyle w:val="StyleBullets"/>
        <w:keepNext/>
      </w:pPr>
      <w:r>
        <w:t>Si votre partenaire devient enceinte pendant que vous prenez Revlimid, vous devez informer votre médecin immédiatement. Il est recommandé que votre partenaire consulte un médecin.</w:t>
      </w:r>
    </w:p>
    <w:p w14:paraId="3D563D4C" w14:textId="77777777" w:rsidR="003A13F2" w:rsidRPr="00D2126A" w:rsidRDefault="000E5A86" w:rsidP="00C93C76">
      <w:pPr>
        <w:pStyle w:val="StyleBullets"/>
      </w:pPr>
      <w:r>
        <w:t>Vous devez également utiliser un moyen de contraception efficace (voir la section « Contraception »).</w:t>
      </w:r>
    </w:p>
    <w:p w14:paraId="307A5BF6" w14:textId="77777777" w:rsidR="00B52266" w:rsidRPr="00D2126A" w:rsidRDefault="00B52266" w:rsidP="00C93C76">
      <w:pPr>
        <w:numPr>
          <w:ilvl w:val="12"/>
          <w:numId w:val="0"/>
        </w:numPr>
        <w:ind w:right="-2"/>
        <w:rPr>
          <w:color w:val="000000"/>
        </w:rPr>
      </w:pPr>
    </w:p>
    <w:p w14:paraId="6126AD8E" w14:textId="77777777" w:rsidR="00B52266" w:rsidRPr="00D2126A" w:rsidRDefault="000E5A86" w:rsidP="00477176">
      <w:pPr>
        <w:keepNext/>
        <w:numPr>
          <w:ilvl w:val="12"/>
          <w:numId w:val="0"/>
        </w:numPr>
        <w:rPr>
          <w:b/>
          <w:color w:val="000000"/>
        </w:rPr>
      </w:pPr>
      <w:r>
        <w:rPr>
          <w:b/>
          <w:color w:val="000000"/>
        </w:rPr>
        <w:t>Allaitement</w:t>
      </w:r>
    </w:p>
    <w:p w14:paraId="23DCFB7A" w14:textId="77777777" w:rsidR="00B52266" w:rsidRPr="00D2126A" w:rsidRDefault="000E5A86" w:rsidP="00C93C76">
      <w:pPr>
        <w:numPr>
          <w:ilvl w:val="12"/>
          <w:numId w:val="0"/>
        </w:numPr>
        <w:rPr>
          <w:color w:val="000000"/>
        </w:rPr>
      </w:pPr>
      <w:r>
        <w:rPr>
          <w:color w:val="000000"/>
        </w:rPr>
        <w:t>Vous ne devez pas allaiter pendant que vous prenez Revlimid car on ignore si Revlimid passe dans le lait maternel.</w:t>
      </w:r>
    </w:p>
    <w:p w14:paraId="6FA83775" w14:textId="77777777" w:rsidR="00B52266" w:rsidRPr="00D2126A" w:rsidRDefault="00B52266" w:rsidP="00C93C76">
      <w:pPr>
        <w:numPr>
          <w:ilvl w:val="12"/>
          <w:numId w:val="0"/>
        </w:numPr>
        <w:rPr>
          <w:color w:val="000000"/>
        </w:rPr>
      </w:pPr>
    </w:p>
    <w:p w14:paraId="23646FED" w14:textId="77777777" w:rsidR="003A13F2" w:rsidRPr="00D2126A" w:rsidRDefault="000E5A86" w:rsidP="00477176">
      <w:pPr>
        <w:pStyle w:val="Date"/>
        <w:keepNext/>
        <w:rPr>
          <w:b/>
        </w:rPr>
      </w:pPr>
      <w:r>
        <w:rPr>
          <w:b/>
        </w:rPr>
        <w:t>Contraception</w:t>
      </w:r>
    </w:p>
    <w:p w14:paraId="5F26AAA4" w14:textId="77777777" w:rsidR="003A13F2" w:rsidRPr="00D2126A" w:rsidRDefault="000E5A86" w:rsidP="00477176">
      <w:pPr>
        <w:keepNext/>
        <w:rPr>
          <w:color w:val="000000"/>
          <w:u w:val="single"/>
        </w:rPr>
      </w:pPr>
      <w:r>
        <w:rPr>
          <w:color w:val="000000"/>
          <w:u w:val="single"/>
        </w:rPr>
        <w:t>Pour les femmes prenant Revlimid</w:t>
      </w:r>
    </w:p>
    <w:p w14:paraId="696D43B8" w14:textId="77777777" w:rsidR="003A13F2" w:rsidRPr="00D2126A" w:rsidRDefault="000E5A86" w:rsidP="00C93C76">
      <w:pPr>
        <w:rPr>
          <w:color w:val="000000"/>
        </w:rPr>
      </w:pPr>
      <w:r>
        <w:rPr>
          <w:color w:val="000000"/>
        </w:rPr>
        <w:t>Avant de débuter le traitement, vérifiez auprès de votre médecin si vous êtes en âge de devenir enceinte, même si cela vous semble improbable.</w:t>
      </w:r>
    </w:p>
    <w:p w14:paraId="1FCBEA7F" w14:textId="77777777" w:rsidR="003A13F2" w:rsidRPr="00D2126A" w:rsidRDefault="003A13F2" w:rsidP="00C93C76">
      <w:pPr>
        <w:rPr>
          <w:color w:val="000000"/>
        </w:rPr>
      </w:pPr>
    </w:p>
    <w:p w14:paraId="783575C9" w14:textId="77777777" w:rsidR="00036363" w:rsidRPr="00D2126A" w:rsidRDefault="000E5A86" w:rsidP="00477176">
      <w:pPr>
        <w:keepNext/>
        <w:rPr>
          <w:color w:val="000000"/>
        </w:rPr>
      </w:pPr>
      <w:r>
        <w:rPr>
          <w:color w:val="000000"/>
        </w:rPr>
        <w:t>Si vous êtes en âge de devenir enceinte :</w:t>
      </w:r>
    </w:p>
    <w:p w14:paraId="4954A7A4" w14:textId="38D5AC08" w:rsidR="003A13F2" w:rsidRPr="00D2126A" w:rsidRDefault="000E5A86" w:rsidP="00C93C76">
      <w:pPr>
        <w:pStyle w:val="StyleBullets"/>
      </w:pPr>
      <w:r>
        <w:t>vous devrez réaliser un test de grossesse sous le contrôle de votre médecin (avant le traitement, au moins toutes les 4 semaines pendant le traitement et au moins 4 semaines après la fin du traitement) sauf s’il est confirmé que les trompes de Fallope ont été sectionnées et oblitérées afin d’empêcher les ovules d’arriver dans l’utérus (stérilisation tubaire)</w:t>
      </w:r>
    </w:p>
    <w:p w14:paraId="4FB00F20" w14:textId="77777777" w:rsidR="003A13F2" w:rsidRPr="00D2126A" w:rsidRDefault="000E5A86" w:rsidP="00477176">
      <w:pPr>
        <w:keepNext/>
        <w:ind w:left="90" w:hanging="90"/>
        <w:rPr>
          <w:color w:val="000000"/>
        </w:rPr>
      </w:pPr>
      <w:r>
        <w:rPr>
          <w:color w:val="000000"/>
        </w:rPr>
        <w:t>ET</w:t>
      </w:r>
    </w:p>
    <w:p w14:paraId="30412295" w14:textId="77777777" w:rsidR="003A13F2" w:rsidRPr="00D2126A" w:rsidRDefault="000E5A86" w:rsidP="00C93C76">
      <w:pPr>
        <w:pStyle w:val="StyleBullets"/>
      </w:pPr>
      <w:r>
        <w:t>vous devrez utiliser une méthode de contraception efficace. Cette contraception doit être débutée au moins 4 semaines avant le début du traitement, poursuivie pendant toute la durée du traitement et durant au moins 4 semaines après l’arrêt du traitement. Votre médecin vous conseillera sur les moyens de contraception adaptés à votre cas</w:t>
      </w:r>
    </w:p>
    <w:p w14:paraId="4DD86D71" w14:textId="77777777" w:rsidR="003A13F2" w:rsidRPr="00D2126A" w:rsidRDefault="003A13F2" w:rsidP="00C93C76"/>
    <w:p w14:paraId="02EB748D" w14:textId="77777777" w:rsidR="008336DB" w:rsidRPr="00D2126A" w:rsidRDefault="000E5A86" w:rsidP="00C93C76">
      <w:pPr>
        <w:keepNext/>
        <w:autoSpaceDE w:val="0"/>
        <w:autoSpaceDN w:val="0"/>
        <w:adjustRightInd w:val="0"/>
        <w:rPr>
          <w:color w:val="000000"/>
          <w:u w:val="single"/>
        </w:rPr>
      </w:pPr>
      <w:r>
        <w:rPr>
          <w:color w:val="000000"/>
          <w:u w:val="single"/>
        </w:rPr>
        <w:t>Pour les hommes prenant Revlimid</w:t>
      </w:r>
    </w:p>
    <w:p w14:paraId="1DE2F94D" w14:textId="07819BFC" w:rsidR="008336DB" w:rsidRPr="00D2126A" w:rsidRDefault="000E5A86" w:rsidP="00477176">
      <w:pPr>
        <w:autoSpaceDE w:val="0"/>
        <w:autoSpaceDN w:val="0"/>
        <w:adjustRightInd w:val="0"/>
        <w:rPr>
          <w:color w:val="000000"/>
        </w:rPr>
      </w:pPr>
      <w:r>
        <w:rPr>
          <w:color w:val="000000"/>
        </w:rPr>
        <w:t>Revlimid passe dans le sperme humain. Si votre partenaire est enceinte ou susceptible de le devenir et qu’elle n’utilise pas un moyen de contraception efficace, vous devez utiliser des préservatifs pendant le traitement et pendant au moins 7 jours après la fin du traitement, même si vous avez subi une vasectomie. Vous ne devez pas faire des dons de sperme pendant le traitement et pendant au moins 7 jours après la fin du traitement.</w:t>
      </w:r>
    </w:p>
    <w:p w14:paraId="2782BBAB" w14:textId="77777777" w:rsidR="008336DB" w:rsidRPr="00D2126A" w:rsidRDefault="008336DB" w:rsidP="00C93C76"/>
    <w:p w14:paraId="5D665E8B" w14:textId="77777777" w:rsidR="00B52266" w:rsidRPr="00D2126A" w:rsidRDefault="000E5A86" w:rsidP="00C93C76">
      <w:pPr>
        <w:keepNext/>
        <w:numPr>
          <w:ilvl w:val="12"/>
          <w:numId w:val="0"/>
        </w:numPr>
        <w:ind w:right="-2"/>
        <w:rPr>
          <w:color w:val="000000"/>
        </w:rPr>
      </w:pPr>
      <w:r>
        <w:rPr>
          <w:b/>
          <w:color w:val="000000"/>
        </w:rPr>
        <w:t>Conduite de véhicules et utilisation de machines</w:t>
      </w:r>
    </w:p>
    <w:p w14:paraId="3B45E904" w14:textId="77777777" w:rsidR="00B52266" w:rsidRPr="00D2126A" w:rsidRDefault="000E5A86" w:rsidP="00C93C76">
      <w:pPr>
        <w:keepNext/>
        <w:numPr>
          <w:ilvl w:val="12"/>
          <w:numId w:val="0"/>
        </w:numPr>
        <w:ind w:right="-29"/>
        <w:rPr>
          <w:color w:val="000000"/>
        </w:rPr>
      </w:pPr>
      <w:r>
        <w:rPr>
          <w:color w:val="000000"/>
        </w:rPr>
        <w:t>Il est déconseillé de conduire ou d’utiliser des machines si vous ressentez des étourdissements, une fatigue, de la somnolence, des vertiges ou si votre vision est trouble après avoir pris Revlimid.</w:t>
      </w:r>
    </w:p>
    <w:p w14:paraId="04091539" w14:textId="77777777" w:rsidR="00B52266" w:rsidRPr="00D2126A" w:rsidRDefault="00B52266" w:rsidP="00C93C76">
      <w:pPr>
        <w:numPr>
          <w:ilvl w:val="12"/>
          <w:numId w:val="0"/>
        </w:numPr>
        <w:ind w:right="-29"/>
        <w:rPr>
          <w:bCs/>
          <w:iCs/>
          <w:color w:val="000000"/>
        </w:rPr>
      </w:pPr>
    </w:p>
    <w:p w14:paraId="6B7FEC38" w14:textId="77777777" w:rsidR="002371B7" w:rsidRPr="00D2126A" w:rsidRDefault="000E5A86" w:rsidP="00C93C76">
      <w:pPr>
        <w:keepNext/>
        <w:numPr>
          <w:ilvl w:val="12"/>
          <w:numId w:val="0"/>
        </w:numPr>
        <w:ind w:right="-28"/>
        <w:rPr>
          <w:b/>
          <w:color w:val="000000"/>
        </w:rPr>
      </w:pPr>
      <w:r>
        <w:rPr>
          <w:b/>
          <w:color w:val="000000"/>
        </w:rPr>
        <w:t>Revlimid contient du lactose</w:t>
      </w:r>
    </w:p>
    <w:p w14:paraId="2596093F" w14:textId="77777777" w:rsidR="00B52266" w:rsidRPr="00D2126A" w:rsidRDefault="000E5A86" w:rsidP="00C93C76">
      <w:pPr>
        <w:numPr>
          <w:ilvl w:val="12"/>
          <w:numId w:val="0"/>
        </w:numPr>
        <w:ind w:right="-29"/>
        <w:rPr>
          <w:color w:val="000000"/>
        </w:rPr>
      </w:pPr>
      <w:r>
        <w:rPr>
          <w:color w:val="000000"/>
        </w:rPr>
        <w:t>Revlimid contient du lactose. Si votre médecin vous a informé(e) d’une intolérance à certains sucres, contactez</w:t>
      </w:r>
      <w:r>
        <w:rPr>
          <w:color w:val="000000"/>
        </w:rPr>
        <w:noBreakHyphen/>
        <w:t>le avant de prendre ce médicament.</w:t>
      </w:r>
    </w:p>
    <w:p w14:paraId="07ED74C1" w14:textId="77777777" w:rsidR="00B52266" w:rsidRPr="00D2126A" w:rsidRDefault="00B52266" w:rsidP="00C93C76">
      <w:pPr>
        <w:numPr>
          <w:ilvl w:val="12"/>
          <w:numId w:val="0"/>
        </w:numPr>
        <w:ind w:right="-2"/>
        <w:rPr>
          <w:color w:val="000000"/>
        </w:rPr>
      </w:pPr>
    </w:p>
    <w:p w14:paraId="3BA4D2CD" w14:textId="77777777" w:rsidR="00B52266" w:rsidRPr="00D2126A" w:rsidRDefault="00B52266" w:rsidP="00C93C76">
      <w:pPr>
        <w:numPr>
          <w:ilvl w:val="12"/>
          <w:numId w:val="0"/>
        </w:numPr>
        <w:ind w:right="-2"/>
        <w:rPr>
          <w:color w:val="000000"/>
        </w:rPr>
      </w:pPr>
    </w:p>
    <w:p w14:paraId="3D37CF46" w14:textId="77777777" w:rsidR="00B52266" w:rsidRPr="00D2126A" w:rsidRDefault="000E5A86" w:rsidP="00C93C76">
      <w:pPr>
        <w:keepNext/>
        <w:numPr>
          <w:ilvl w:val="12"/>
          <w:numId w:val="0"/>
        </w:numPr>
        <w:ind w:left="567" w:hanging="567"/>
        <w:rPr>
          <w:color w:val="000000"/>
        </w:rPr>
      </w:pPr>
      <w:r>
        <w:rPr>
          <w:b/>
          <w:color w:val="000000"/>
        </w:rPr>
        <w:t>3.</w:t>
      </w:r>
      <w:r>
        <w:rPr>
          <w:b/>
          <w:color w:val="000000"/>
        </w:rPr>
        <w:tab/>
        <w:t>Comment prendre Revlimid</w:t>
      </w:r>
    </w:p>
    <w:p w14:paraId="2117913D" w14:textId="77777777" w:rsidR="00B52266" w:rsidRPr="00D2126A" w:rsidRDefault="00B52266" w:rsidP="00C93C76">
      <w:pPr>
        <w:keepNext/>
        <w:numPr>
          <w:ilvl w:val="12"/>
          <w:numId w:val="0"/>
        </w:numPr>
        <w:rPr>
          <w:color w:val="000000"/>
        </w:rPr>
      </w:pPr>
    </w:p>
    <w:p w14:paraId="202B9EB7" w14:textId="77777777" w:rsidR="00FC2303" w:rsidRPr="00D2126A" w:rsidRDefault="000E5A86" w:rsidP="00C93C76">
      <w:pPr>
        <w:keepNext/>
        <w:numPr>
          <w:ilvl w:val="12"/>
          <w:numId w:val="0"/>
        </w:numPr>
        <w:ind w:right="-2"/>
        <w:rPr>
          <w:color w:val="000000"/>
        </w:rPr>
      </w:pPr>
      <w:r>
        <w:rPr>
          <w:color w:val="000000"/>
        </w:rPr>
        <w:t>Revlimid doit vous être prescrit par un médecin expérimenté dans le traitement du myélome multiple, des SMD, du LCM ou du LF.</w:t>
      </w:r>
    </w:p>
    <w:p w14:paraId="03BC4794" w14:textId="77777777" w:rsidR="00036363" w:rsidRPr="00D2126A" w:rsidRDefault="000E5A86" w:rsidP="00C93C76">
      <w:pPr>
        <w:pStyle w:val="StyleBullets"/>
      </w:pPr>
      <w:r>
        <w:t>Dans le traitement des patients atteints de myélome multiple qui ne peuvent pas recevoir de greffe de moelle osseuse ou qui ont reçu d’autres traitements auparavant, Revlimid est utilisé avec d’autres médicaments (voir la rubrique 1 « Dans quels cas Revlimid est</w:t>
      </w:r>
      <w:r>
        <w:noBreakHyphen/>
        <w:t>il utilisé ? »).</w:t>
      </w:r>
    </w:p>
    <w:p w14:paraId="4540F9CE" w14:textId="35F499C7" w:rsidR="00AF5BB6" w:rsidRPr="00D2126A" w:rsidRDefault="000E5A86" w:rsidP="00477176">
      <w:pPr>
        <w:pStyle w:val="StyleBullets"/>
        <w:keepNext/>
      </w:pPr>
      <w:r>
        <w:t>Dans le traitement des patients atteints de myélome multiple qui ont reçu une greffe de moelle osseuse ou des patients atteints de SMD ou de LCM, Revlimid est utilisé seul.</w:t>
      </w:r>
    </w:p>
    <w:p w14:paraId="0EBF5D2B" w14:textId="77777777" w:rsidR="00036363" w:rsidRPr="00D2126A" w:rsidRDefault="000E5A86" w:rsidP="00C93C76">
      <w:pPr>
        <w:pStyle w:val="StyleBullets"/>
      </w:pPr>
      <w:r>
        <w:t>Dans le traitement des patients atteints de lymphome folliculaire, Revlimid est utilisé avec un autre médicament appelé « rituximab ».</w:t>
      </w:r>
    </w:p>
    <w:p w14:paraId="16BDF12F" w14:textId="6912BBE6" w:rsidR="003A13F2" w:rsidRPr="00D2126A" w:rsidRDefault="003A13F2" w:rsidP="00C93C76">
      <w:pPr>
        <w:rPr>
          <w:color w:val="000000"/>
        </w:rPr>
      </w:pPr>
    </w:p>
    <w:p w14:paraId="0FDA675A" w14:textId="77777777" w:rsidR="00B52266" w:rsidRPr="00D2126A" w:rsidRDefault="000E5A86" w:rsidP="00C93C76">
      <w:pPr>
        <w:rPr>
          <w:color w:val="000000"/>
        </w:rPr>
      </w:pPr>
      <w:r>
        <w:rPr>
          <w:color w:val="000000"/>
        </w:rPr>
        <w:t>Veillez toujours à prendre Revlimid en suivant exactement les indications de votre médecin. Vérifiez auprès de votre médecin ou pharmacien en cas de doute.</w:t>
      </w:r>
    </w:p>
    <w:p w14:paraId="48BBA1EA" w14:textId="77777777" w:rsidR="00B52266" w:rsidRPr="00D2126A" w:rsidRDefault="00B52266" w:rsidP="00C93C76">
      <w:pPr>
        <w:numPr>
          <w:ilvl w:val="12"/>
          <w:numId w:val="0"/>
        </w:numPr>
        <w:ind w:right="-2"/>
        <w:rPr>
          <w:color w:val="000000"/>
        </w:rPr>
      </w:pPr>
    </w:p>
    <w:p w14:paraId="613F6D04" w14:textId="77777777" w:rsidR="00B52266" w:rsidRPr="00D2126A" w:rsidRDefault="000E5A86" w:rsidP="00C93C76">
      <w:pPr>
        <w:numPr>
          <w:ilvl w:val="12"/>
          <w:numId w:val="0"/>
        </w:numPr>
        <w:ind w:right="-2"/>
      </w:pPr>
      <w:r>
        <w:t>Si vous prenez Revlimid en association avec d’autres médicaments, reportez</w:t>
      </w:r>
      <w:r>
        <w:noBreakHyphen/>
        <w:t>vous aux notices de ces médicaments pour plus d’informations sur leur utilisation et leurs effets.</w:t>
      </w:r>
    </w:p>
    <w:p w14:paraId="59461894" w14:textId="77777777" w:rsidR="003A13F2" w:rsidRPr="00D2126A" w:rsidRDefault="003A13F2" w:rsidP="00C93C76">
      <w:pPr>
        <w:pStyle w:val="Date"/>
      </w:pPr>
    </w:p>
    <w:p w14:paraId="7129D5B5" w14:textId="77777777" w:rsidR="003A13F2" w:rsidRPr="00D2126A" w:rsidRDefault="000E5A86" w:rsidP="00C93C76">
      <w:pPr>
        <w:pStyle w:val="Date"/>
        <w:keepNext/>
        <w:rPr>
          <w:b/>
        </w:rPr>
      </w:pPr>
      <w:r>
        <w:rPr>
          <w:b/>
        </w:rPr>
        <w:t>Cycle de traitement</w:t>
      </w:r>
    </w:p>
    <w:p w14:paraId="0A828331" w14:textId="6A5AFB22" w:rsidR="00036363" w:rsidRPr="00D2126A" w:rsidRDefault="000E5A86" w:rsidP="00C93C76">
      <w:pPr>
        <w:keepNext/>
      </w:pPr>
      <w:r>
        <w:t>Revlimid est pris certains jours de périodes de 3 semaines (21 jours).</w:t>
      </w:r>
    </w:p>
    <w:p w14:paraId="10DA7266" w14:textId="2487005D" w:rsidR="002D6AC4" w:rsidRPr="00D2126A" w:rsidRDefault="000E5A86" w:rsidP="00C93C76">
      <w:pPr>
        <w:pStyle w:val="StyleBullets"/>
      </w:pPr>
      <w:r>
        <w:t>Chaque période de 21 jours est appelée un « cycle de traitement »</w:t>
      </w:r>
    </w:p>
    <w:p w14:paraId="27635D64" w14:textId="77777777" w:rsidR="002D6AC4" w:rsidRPr="00D2126A" w:rsidRDefault="000E5A86" w:rsidP="00730E0B">
      <w:pPr>
        <w:pStyle w:val="StyleBullets"/>
        <w:keepNext/>
      </w:pPr>
      <w:r>
        <w:t>Selon le jour du cycle, vous prendrez un ou plusieurs médicaments. Certains jours toutefois, vous ne prendrez aucun des médicaments</w:t>
      </w:r>
    </w:p>
    <w:p w14:paraId="45C391D9" w14:textId="11F484E8" w:rsidR="00036363" w:rsidRPr="00D2126A" w:rsidRDefault="000E5A86" w:rsidP="00C93C76">
      <w:pPr>
        <w:pStyle w:val="StyleBullets"/>
      </w:pPr>
      <w:r>
        <w:t>Après avoir terminé chaque cycle de 21 jours, vous devrez commencer un nouveau « cycle » pendant les 21 jours suivants</w:t>
      </w:r>
    </w:p>
    <w:p w14:paraId="3F7BFEFF" w14:textId="4BEFB36F" w:rsidR="002D6AC4" w:rsidRPr="00D2126A" w:rsidRDefault="000E5A86" w:rsidP="00730E0B">
      <w:pPr>
        <w:keepNext/>
      </w:pPr>
      <w:r>
        <w:t>OU</w:t>
      </w:r>
    </w:p>
    <w:p w14:paraId="106B9D6C" w14:textId="22FDCDA5" w:rsidR="00036363" w:rsidRPr="00D2126A" w:rsidRDefault="000E5A86" w:rsidP="00730E0B">
      <w:pPr>
        <w:keepNext/>
      </w:pPr>
      <w:r>
        <w:t>Revlimid est pris certains jours de périodes de 4 semaines (28 jours).</w:t>
      </w:r>
    </w:p>
    <w:p w14:paraId="731518B5" w14:textId="53CFD98A" w:rsidR="003A13F2" w:rsidRPr="00D2126A" w:rsidRDefault="000E5A86" w:rsidP="00C93C76">
      <w:pPr>
        <w:pStyle w:val="StyleBullets"/>
      </w:pPr>
      <w:r>
        <w:t>Chaque période de 28 jours est appelée un « cycle de traitement »</w:t>
      </w:r>
    </w:p>
    <w:p w14:paraId="0B61DE54" w14:textId="77777777" w:rsidR="003A13F2" w:rsidRPr="00D2126A" w:rsidRDefault="000E5A86" w:rsidP="00F60594">
      <w:pPr>
        <w:pStyle w:val="StyleBullets"/>
        <w:keepNext/>
      </w:pPr>
      <w:r>
        <w:t>Selon le jour du cycle, vous prendrez un ou plusieurs médicaments. Certains jours toutefois, vous ne prendrez aucun des médicaments</w:t>
      </w:r>
    </w:p>
    <w:p w14:paraId="3C200E2E" w14:textId="1BDE6AF4" w:rsidR="00036363" w:rsidRPr="00D2126A" w:rsidRDefault="000E5A86" w:rsidP="00C93C76">
      <w:pPr>
        <w:pStyle w:val="StyleBullets"/>
      </w:pPr>
      <w:r>
        <w:t>Après avoir terminé chaque cycle de 28 jours, vous devrez commencer un nouveau « cycle » pendant les 28 jours suivants</w:t>
      </w:r>
    </w:p>
    <w:p w14:paraId="084325F2" w14:textId="0B83033E" w:rsidR="003A13F2" w:rsidRPr="00D2126A" w:rsidRDefault="003A13F2" w:rsidP="00C93C76">
      <w:pPr>
        <w:pStyle w:val="Date"/>
      </w:pPr>
    </w:p>
    <w:p w14:paraId="13137CA0" w14:textId="77777777" w:rsidR="003A13F2" w:rsidRPr="00D2126A" w:rsidRDefault="000E5A86" w:rsidP="00730E0B">
      <w:pPr>
        <w:keepNext/>
        <w:numPr>
          <w:ilvl w:val="12"/>
          <w:numId w:val="0"/>
        </w:numPr>
        <w:ind w:right="-2"/>
        <w:rPr>
          <w:b/>
        </w:rPr>
      </w:pPr>
      <w:r>
        <w:rPr>
          <w:b/>
        </w:rPr>
        <w:t>Dose de Revlimid</w:t>
      </w:r>
    </w:p>
    <w:p w14:paraId="6DA0B314" w14:textId="77777777" w:rsidR="003A13F2" w:rsidRPr="00D2126A" w:rsidRDefault="000E5A86" w:rsidP="00730E0B">
      <w:pPr>
        <w:keepNext/>
        <w:ind w:right="-2"/>
      </w:pPr>
      <w:r>
        <w:t>Avant le début du traitement, votre médecin vous dira :</w:t>
      </w:r>
    </w:p>
    <w:p w14:paraId="490305DE" w14:textId="77777777" w:rsidR="003A13F2" w:rsidRPr="00D2126A" w:rsidRDefault="000E5A86" w:rsidP="00C93C76">
      <w:pPr>
        <w:pStyle w:val="StyleBullets"/>
      </w:pPr>
      <w:r>
        <w:t>quelle dose de Revlimid vous devez prendre ;</w:t>
      </w:r>
    </w:p>
    <w:p w14:paraId="1404FC61" w14:textId="77777777" w:rsidR="003A13F2" w:rsidRPr="00D2126A" w:rsidRDefault="000E5A86" w:rsidP="00F60594">
      <w:pPr>
        <w:pStyle w:val="StyleBullets"/>
        <w:keepNext/>
      </w:pPr>
      <w:r>
        <w:t>quelle dose des autres médicaments vous devez prendre en association avec Revlimid le cas échéant</w:t>
      </w:r>
    </w:p>
    <w:p w14:paraId="1E52C9D7" w14:textId="77777777" w:rsidR="003A13F2" w:rsidRPr="00D2126A" w:rsidRDefault="000E5A86" w:rsidP="00C93C76">
      <w:pPr>
        <w:pStyle w:val="StyleBullets"/>
      </w:pPr>
      <w:r>
        <w:t>quels jours de votre cycle de traitement vous devez prendre chaque médicament.</w:t>
      </w:r>
    </w:p>
    <w:p w14:paraId="69160436" w14:textId="77777777" w:rsidR="005C7881" w:rsidRPr="00D2126A" w:rsidRDefault="005C7881" w:rsidP="00C93C76">
      <w:pPr>
        <w:pStyle w:val="Date"/>
        <w:rPr>
          <w:color w:val="000000"/>
        </w:rPr>
      </w:pPr>
    </w:p>
    <w:p w14:paraId="0CAC73EC" w14:textId="77777777" w:rsidR="00B52266" w:rsidRPr="00D2126A" w:rsidRDefault="000E5A86" w:rsidP="00730E0B">
      <w:pPr>
        <w:keepNext/>
        <w:numPr>
          <w:ilvl w:val="12"/>
          <w:numId w:val="0"/>
        </w:numPr>
        <w:ind w:right="-2"/>
        <w:rPr>
          <w:b/>
          <w:color w:val="000000"/>
        </w:rPr>
      </w:pPr>
      <w:r>
        <w:rPr>
          <w:b/>
          <w:color w:val="000000"/>
        </w:rPr>
        <w:t>Comment et quand prendre Revlimid ?</w:t>
      </w:r>
    </w:p>
    <w:p w14:paraId="327E65D3" w14:textId="77777777" w:rsidR="00036363" w:rsidRPr="00D2126A" w:rsidRDefault="000E5A86" w:rsidP="00C93C76">
      <w:pPr>
        <w:pStyle w:val="StyleBullets"/>
      </w:pPr>
      <w:r>
        <w:t>Vous devez avaler les gélules entières, de préférence avec de l’eau.</w:t>
      </w:r>
    </w:p>
    <w:p w14:paraId="2E786BA3" w14:textId="34CCDE71" w:rsidR="003A13F2" w:rsidRPr="00D2126A" w:rsidRDefault="000E5A86" w:rsidP="00C93C76">
      <w:pPr>
        <w:pStyle w:val="StyleBullets"/>
      </w:pPr>
      <w:r>
        <w:t>N’ouvrez pas les gélules, ne les cassez pas et ne les mâchez pas. Si la poudre d’une gélule de Revlimid ouverte entre en contact avec la peau, lavez immédiatement et abondamment la peau au savon et à l’eau.</w:t>
      </w:r>
    </w:p>
    <w:p w14:paraId="5CC61605" w14:textId="77777777" w:rsidR="002066FF" w:rsidRPr="00D2126A" w:rsidRDefault="000E5A86" w:rsidP="00C93C76">
      <w:pPr>
        <w:pStyle w:val="StyleBullets"/>
      </w:pPr>
      <w:r>
        <w:t>Les professionnels de santé, les aidants et les membres de la famille doivent porter des gants jetables pour manipuler la plaquette ou la gélule. Les gants doivent ensuite être retirés avec précaution afin d’éviter une exposition cutanée, placés dans un sac plastique en polyéthylène à fermeture hermétique et éliminés conformément à la réglementation en vigueur. Les mains doivent ensuite être soigneusement lavées au savon et à l’eau. Les femmes enceintes ou qui pensent l’être ne doivent pas manipuler la plaquette ou la gélule.</w:t>
      </w:r>
    </w:p>
    <w:p w14:paraId="3647946F" w14:textId="77777777" w:rsidR="00B52266" w:rsidRPr="00D2126A" w:rsidRDefault="000E5A86" w:rsidP="00F60594">
      <w:pPr>
        <w:pStyle w:val="StyleBullets"/>
        <w:keepNext/>
      </w:pPr>
      <w:r>
        <w:t>Les gélules peuvent être prises au cours ou en dehors des repas.</w:t>
      </w:r>
    </w:p>
    <w:p w14:paraId="73163F43" w14:textId="77777777" w:rsidR="00B52266" w:rsidRPr="00D2126A" w:rsidRDefault="000E5A86" w:rsidP="00C93C76">
      <w:pPr>
        <w:pStyle w:val="StyleBullets"/>
      </w:pPr>
      <w:r>
        <w:t>Vous devez prendre Revlimid à peu près à heure fixe les jours prévus de chaque cycle.</w:t>
      </w:r>
    </w:p>
    <w:p w14:paraId="3785DE7B" w14:textId="77777777" w:rsidR="00B52266" w:rsidRPr="00D2126A" w:rsidRDefault="00B52266" w:rsidP="00C93C76">
      <w:pPr>
        <w:numPr>
          <w:ilvl w:val="12"/>
          <w:numId w:val="0"/>
        </w:numPr>
        <w:ind w:right="-2"/>
        <w:rPr>
          <w:color w:val="000000"/>
        </w:rPr>
      </w:pPr>
    </w:p>
    <w:p w14:paraId="25B4F950" w14:textId="77777777" w:rsidR="00C85FB9" w:rsidRPr="00D2126A" w:rsidRDefault="000E5A86" w:rsidP="00730E0B">
      <w:pPr>
        <w:pStyle w:val="Date"/>
        <w:keepNext/>
        <w:shd w:val="clear" w:color="auto" w:fill="FFFFFF"/>
        <w:rPr>
          <w:b/>
        </w:rPr>
      </w:pPr>
      <w:r>
        <w:rPr>
          <w:b/>
        </w:rPr>
        <w:t>Comment prendre Revlimid ?</w:t>
      </w:r>
    </w:p>
    <w:p w14:paraId="2ACD49BB" w14:textId="77777777" w:rsidR="00C85FB9" w:rsidRPr="00D2126A" w:rsidRDefault="000E5A86" w:rsidP="00730E0B">
      <w:pPr>
        <w:keepNext/>
      </w:pPr>
      <w:r>
        <w:t>Pour sortir la gélule de la plaquette :</w:t>
      </w:r>
    </w:p>
    <w:p w14:paraId="20925258" w14:textId="77777777" w:rsidR="00C85FB9" w:rsidRPr="00D2126A" w:rsidRDefault="000E5A86" w:rsidP="00F60594">
      <w:pPr>
        <w:pStyle w:val="StyleBullets"/>
        <w:keepNext/>
      </w:pPr>
      <w:r>
        <w:t>appuyez seulement sur une extrémité de la gélule pour la pousser à travers la pellicule d’aluminium</w:t>
      </w:r>
    </w:p>
    <w:p w14:paraId="286DB16B" w14:textId="77777777" w:rsidR="00540730" w:rsidRPr="00D2126A" w:rsidRDefault="000E5A86" w:rsidP="00C93C76">
      <w:pPr>
        <w:pStyle w:val="StyleBullets"/>
      </w:pPr>
      <w:r>
        <w:t>n’exercez pas de pression sur le centre de la gélule car cela peut provoquer sa rupture</w:t>
      </w:r>
    </w:p>
    <w:p w14:paraId="133C193C" w14:textId="77777777" w:rsidR="002869C5" w:rsidRPr="00D2126A" w:rsidRDefault="002869C5" w:rsidP="00C93C76">
      <w:pPr>
        <w:pStyle w:val="Date"/>
      </w:pPr>
    </w:p>
    <w:p w14:paraId="03A0D197" w14:textId="3A31C32F" w:rsidR="002869C5" w:rsidRPr="00D2126A" w:rsidRDefault="005A5CBB" w:rsidP="00C93C76">
      <w:pPr>
        <w:pStyle w:val="Date"/>
      </w:pPr>
      <w:r>
        <w:pict w14:anchorId="154FC7EC">
          <v:shape id="Picture 5" o:spid="_x0000_i1028" type="#_x0000_t75" style="width:233.25pt;height:141.8pt;visibility:visible;mso-wrap-style:square">
            <v:imagedata r:id="rId15" o:title=""/>
          </v:shape>
        </w:pict>
      </w:r>
    </w:p>
    <w:p w14:paraId="4B954993" w14:textId="77777777" w:rsidR="006F7923" w:rsidRPr="00D2126A" w:rsidRDefault="006F7923" w:rsidP="00C93C76">
      <w:pPr>
        <w:numPr>
          <w:ilvl w:val="12"/>
          <w:numId w:val="0"/>
        </w:numPr>
        <w:ind w:right="-2"/>
      </w:pPr>
    </w:p>
    <w:p w14:paraId="39345D53" w14:textId="77777777" w:rsidR="00B52266" w:rsidRPr="00D2126A" w:rsidRDefault="000E5A86" w:rsidP="00730E0B">
      <w:pPr>
        <w:keepNext/>
        <w:numPr>
          <w:ilvl w:val="12"/>
          <w:numId w:val="0"/>
        </w:numPr>
        <w:rPr>
          <w:b/>
          <w:color w:val="000000"/>
        </w:rPr>
      </w:pPr>
      <w:r>
        <w:rPr>
          <w:b/>
          <w:color w:val="000000"/>
        </w:rPr>
        <w:t>Durée du traitement par Revlimid</w:t>
      </w:r>
    </w:p>
    <w:p w14:paraId="28ED1996" w14:textId="77777777" w:rsidR="00B52266" w:rsidRPr="00D2126A" w:rsidRDefault="000E5A86" w:rsidP="00C93C76">
      <w:pPr>
        <w:numPr>
          <w:ilvl w:val="12"/>
          <w:numId w:val="0"/>
        </w:numPr>
        <w:ind w:right="-2"/>
        <w:rPr>
          <w:color w:val="000000"/>
        </w:rPr>
      </w:pPr>
      <w:r>
        <w:rPr>
          <w:color w:val="000000"/>
        </w:rPr>
        <w:t>Revlimid est utilisé en suivant des cycles de traitement d’une durée de 21 ou 28 jours chacun (voir la section « Cycle de traitement » ci</w:t>
      </w:r>
      <w:r>
        <w:rPr>
          <w:color w:val="000000"/>
        </w:rPr>
        <w:noBreakHyphen/>
        <w:t>dessus). Vous devez poursuivre les cycles de traitement jusqu’à ce que votre médecin vous dise d’arrêter.</w:t>
      </w:r>
    </w:p>
    <w:p w14:paraId="2AFB6091" w14:textId="77777777" w:rsidR="00B52266" w:rsidRPr="00D2126A" w:rsidRDefault="00B52266" w:rsidP="00C93C76">
      <w:pPr>
        <w:numPr>
          <w:ilvl w:val="12"/>
          <w:numId w:val="0"/>
        </w:numPr>
        <w:ind w:right="-2"/>
        <w:rPr>
          <w:color w:val="000000"/>
        </w:rPr>
      </w:pPr>
    </w:p>
    <w:p w14:paraId="08B462B0" w14:textId="77777777" w:rsidR="00B52266" w:rsidRPr="00D2126A" w:rsidRDefault="000E5A86" w:rsidP="00730E0B">
      <w:pPr>
        <w:keepNext/>
        <w:numPr>
          <w:ilvl w:val="12"/>
          <w:numId w:val="0"/>
        </w:numPr>
        <w:ind w:right="-2"/>
        <w:rPr>
          <w:b/>
          <w:color w:val="000000"/>
        </w:rPr>
      </w:pPr>
      <w:r>
        <w:rPr>
          <w:b/>
          <w:color w:val="000000"/>
        </w:rPr>
        <w:t>Si vous avez pris plus de Revlimid que vous n’auriez dû</w:t>
      </w:r>
    </w:p>
    <w:p w14:paraId="0B3A9C68" w14:textId="77777777" w:rsidR="00B52266" w:rsidRPr="00D2126A" w:rsidRDefault="000E5A86" w:rsidP="00C93C76">
      <w:pPr>
        <w:numPr>
          <w:ilvl w:val="12"/>
          <w:numId w:val="0"/>
        </w:numPr>
        <w:ind w:right="-2"/>
        <w:rPr>
          <w:bCs/>
          <w:color w:val="000000"/>
        </w:rPr>
      </w:pPr>
      <w:r>
        <w:rPr>
          <w:color w:val="000000"/>
        </w:rPr>
        <w:t>Si vous avez pris plus de Revlimid que ce qui vous a été prescrit, prévenez immédiatement votre médecin.</w:t>
      </w:r>
    </w:p>
    <w:p w14:paraId="628F0A89" w14:textId="77777777" w:rsidR="00B52266" w:rsidRPr="00D2126A" w:rsidRDefault="00B52266" w:rsidP="00C93C76">
      <w:pPr>
        <w:numPr>
          <w:ilvl w:val="12"/>
          <w:numId w:val="0"/>
        </w:numPr>
        <w:ind w:right="-2"/>
        <w:rPr>
          <w:color w:val="000000"/>
        </w:rPr>
      </w:pPr>
    </w:p>
    <w:p w14:paraId="249411EC" w14:textId="77777777" w:rsidR="00B52266" w:rsidRPr="00D2126A" w:rsidRDefault="000E5A86" w:rsidP="00730E0B">
      <w:pPr>
        <w:keepNext/>
        <w:numPr>
          <w:ilvl w:val="12"/>
          <w:numId w:val="0"/>
        </w:numPr>
        <w:ind w:right="-2"/>
        <w:rPr>
          <w:color w:val="000000"/>
        </w:rPr>
      </w:pPr>
      <w:r>
        <w:rPr>
          <w:b/>
          <w:color w:val="000000"/>
        </w:rPr>
        <w:t>Si vous oubliez de prendre Revlimid</w:t>
      </w:r>
    </w:p>
    <w:p w14:paraId="5F8050A4" w14:textId="77777777" w:rsidR="00B52266" w:rsidRPr="00D2126A" w:rsidRDefault="000E5A86" w:rsidP="00730E0B">
      <w:pPr>
        <w:keepNext/>
        <w:numPr>
          <w:ilvl w:val="12"/>
          <w:numId w:val="0"/>
        </w:numPr>
        <w:ind w:right="-2"/>
        <w:rPr>
          <w:color w:val="000000"/>
        </w:rPr>
      </w:pPr>
      <w:r>
        <w:rPr>
          <w:color w:val="000000"/>
        </w:rPr>
        <w:t>Si vous avez oublié de prendre Revlimid à l’heure habituelle et</w:t>
      </w:r>
    </w:p>
    <w:p w14:paraId="58A28F79" w14:textId="77777777" w:rsidR="00B52266" w:rsidRPr="00D2126A" w:rsidRDefault="000E5A86" w:rsidP="00730E0B">
      <w:pPr>
        <w:pStyle w:val="StyleBullets"/>
        <w:keepNext/>
      </w:pPr>
      <w:r>
        <w:t>si moins de 12 heures se sont écoulées - prenez la gélule immédiatement.</w:t>
      </w:r>
    </w:p>
    <w:p w14:paraId="6F67045F" w14:textId="77777777" w:rsidR="00B52266" w:rsidRPr="00D2126A" w:rsidRDefault="000E5A86" w:rsidP="00C93C76">
      <w:pPr>
        <w:pStyle w:val="StyleBullets"/>
      </w:pPr>
      <w:r>
        <w:t>si plus de 12 heures se sont écoulées - ne prenez pas la gélule. Prenez la gélule suivante à l’heure habituelle, le lendemain.</w:t>
      </w:r>
    </w:p>
    <w:p w14:paraId="5E1FB489" w14:textId="77777777" w:rsidR="00B52266" w:rsidRPr="00D2126A" w:rsidRDefault="00B52266" w:rsidP="00C93C76">
      <w:pPr>
        <w:numPr>
          <w:ilvl w:val="12"/>
          <w:numId w:val="0"/>
        </w:numPr>
        <w:ind w:right="-2"/>
        <w:rPr>
          <w:color w:val="000000"/>
        </w:rPr>
      </w:pPr>
    </w:p>
    <w:p w14:paraId="015DC7B6" w14:textId="77777777" w:rsidR="00B52266" w:rsidRPr="00D2126A" w:rsidRDefault="000E5A86" w:rsidP="00C93C76">
      <w:pPr>
        <w:numPr>
          <w:ilvl w:val="12"/>
          <w:numId w:val="0"/>
        </w:numPr>
        <w:ind w:right="-2"/>
        <w:rPr>
          <w:color w:val="000000"/>
        </w:rPr>
      </w:pPr>
      <w:r>
        <w:rPr>
          <w:color w:val="000000"/>
        </w:rPr>
        <w:t>Si vous avez d’autres questions sur l’utilisation de ce médicament, demandez plus d’informations à votre médecin ou à votre pharmacien.</w:t>
      </w:r>
    </w:p>
    <w:p w14:paraId="05C33FBA" w14:textId="77777777" w:rsidR="00B52266" w:rsidRPr="00D2126A" w:rsidRDefault="00B52266" w:rsidP="00C93C76">
      <w:pPr>
        <w:numPr>
          <w:ilvl w:val="12"/>
          <w:numId w:val="0"/>
        </w:numPr>
        <w:ind w:right="-2"/>
        <w:rPr>
          <w:color w:val="000000"/>
        </w:rPr>
      </w:pPr>
    </w:p>
    <w:p w14:paraId="2E70754D" w14:textId="77777777" w:rsidR="00B52266" w:rsidRPr="00D2126A" w:rsidRDefault="00B52266" w:rsidP="00C93C76">
      <w:pPr>
        <w:numPr>
          <w:ilvl w:val="12"/>
          <w:numId w:val="0"/>
        </w:numPr>
        <w:ind w:right="-2"/>
        <w:rPr>
          <w:color w:val="000000"/>
        </w:rPr>
      </w:pPr>
    </w:p>
    <w:p w14:paraId="2B50C8D3" w14:textId="77777777" w:rsidR="00A33BC0" w:rsidRPr="00D2126A" w:rsidRDefault="000E5A86" w:rsidP="00730E0B">
      <w:pPr>
        <w:keepNext/>
        <w:numPr>
          <w:ilvl w:val="12"/>
          <w:numId w:val="0"/>
        </w:numPr>
        <w:ind w:left="567" w:right="-2" w:hanging="567"/>
        <w:rPr>
          <w:color w:val="000000"/>
        </w:rPr>
      </w:pPr>
      <w:r>
        <w:rPr>
          <w:b/>
          <w:color w:val="000000"/>
        </w:rPr>
        <w:t>4.</w:t>
      </w:r>
      <w:r>
        <w:rPr>
          <w:b/>
          <w:color w:val="000000"/>
        </w:rPr>
        <w:tab/>
        <w:t>Quels sont les effets indésirables éventuels ?</w:t>
      </w:r>
    </w:p>
    <w:p w14:paraId="55350388" w14:textId="77777777" w:rsidR="00A33BC0" w:rsidRPr="00D2126A" w:rsidRDefault="00A33BC0" w:rsidP="00730E0B">
      <w:pPr>
        <w:keepNext/>
        <w:numPr>
          <w:ilvl w:val="12"/>
          <w:numId w:val="0"/>
        </w:numPr>
        <w:ind w:right="-29"/>
        <w:rPr>
          <w:color w:val="000000"/>
        </w:rPr>
      </w:pPr>
    </w:p>
    <w:p w14:paraId="63CBE51E" w14:textId="77777777" w:rsidR="00036363" w:rsidRPr="00D2126A" w:rsidRDefault="000E5A86" w:rsidP="00C93C76">
      <w:pPr>
        <w:numPr>
          <w:ilvl w:val="12"/>
          <w:numId w:val="0"/>
        </w:numPr>
        <w:ind w:right="-2"/>
        <w:rPr>
          <w:color w:val="000000"/>
        </w:rPr>
      </w:pPr>
      <w:r>
        <w:rPr>
          <w:color w:val="000000"/>
        </w:rPr>
        <w:t>Comme tous les médicaments, Revlimid peut provoquer des effets indésirables, mais ils ne surviennent pas systématiquement chez tout le monde.</w:t>
      </w:r>
    </w:p>
    <w:p w14:paraId="2C3B3707" w14:textId="36152226" w:rsidR="00A33BC0" w:rsidRPr="00D2126A" w:rsidRDefault="00A33BC0" w:rsidP="00C93C76">
      <w:pPr>
        <w:numPr>
          <w:ilvl w:val="12"/>
          <w:numId w:val="0"/>
        </w:numPr>
        <w:ind w:right="-2"/>
        <w:rPr>
          <w:b/>
          <w:color w:val="000000"/>
        </w:rPr>
      </w:pPr>
    </w:p>
    <w:p w14:paraId="76BAC7E7" w14:textId="77777777" w:rsidR="00802054" w:rsidRPr="00D2126A" w:rsidRDefault="000E5A86" w:rsidP="00730E0B">
      <w:pPr>
        <w:keepNext/>
        <w:numPr>
          <w:ilvl w:val="12"/>
          <w:numId w:val="0"/>
        </w:numPr>
        <w:ind w:right="-2"/>
        <w:rPr>
          <w:b/>
          <w:color w:val="000000"/>
        </w:rPr>
      </w:pPr>
      <w:r>
        <w:rPr>
          <w:b/>
          <w:color w:val="000000"/>
        </w:rPr>
        <w:t>Arrêtez de prendre Revlimid et consultez immédiatement un médecin si vous remarquez l’un des effets indésirables graves suivants – un traitement médical d’urgence pourrait être nécessaire :</w:t>
      </w:r>
    </w:p>
    <w:p w14:paraId="7693EA3E" w14:textId="77777777" w:rsidR="00802054" w:rsidRPr="00D2126A" w:rsidRDefault="000E5A86" w:rsidP="00C93C76">
      <w:pPr>
        <w:pStyle w:val="StyleBullets"/>
      </w:pPr>
      <w:r>
        <w:t>Urticaire, éruptions cutanées, gonflement des yeux, de la bouche ou du visage, difficultés à respirer ou démangeaisons, qui peuvent être des symptômes de formes graves de réaction allergiques appelées angio</w:t>
      </w:r>
      <w:r>
        <w:noBreakHyphen/>
        <w:t>œdème et réaction anaphylactique.</w:t>
      </w:r>
    </w:p>
    <w:p w14:paraId="238E3A25" w14:textId="77777777" w:rsidR="00802054" w:rsidRPr="00D2126A" w:rsidRDefault="000E5A86" w:rsidP="00730E0B">
      <w:pPr>
        <w:pStyle w:val="StyleBullets"/>
        <w:keepNext/>
      </w:pPr>
      <w:r>
        <w:t>Réaction allergique grave qui peut débuter sous forme d’éruption cutanée sur une seule zone, mais qui progresse avec un décollement de la peau s’étendant à tout le corps (syndrome de Stevens</w:t>
      </w:r>
      <w:r>
        <w:noBreakHyphen/>
        <w:t>Johnson et/ou nécrolyse épidermique toxique).</w:t>
      </w:r>
    </w:p>
    <w:p w14:paraId="22596D64" w14:textId="5D1B9136" w:rsidR="00802054" w:rsidRPr="00D2126A" w:rsidRDefault="000E5A86" w:rsidP="00C93C76">
      <w:pPr>
        <w:pStyle w:val="StyleBullets"/>
      </w:pPr>
      <w:r>
        <w:t>Éruption cutanée étendue, fièvre élévée, augmentations des enzymes hépatiques, anomalies du sang (éosinophilie), augmentation du volume des ganglions lymphatiques et atteinte d’autres organes (réaction médicamenteuse accompagnée d’une éosinophilie et de symptômes systémiques, appelée également syndrome DRESS ou syndrome d’hypersensibilité médicamenteuse). Voir également la rubrique 2.</w:t>
      </w:r>
    </w:p>
    <w:p w14:paraId="5BC667E6" w14:textId="77777777" w:rsidR="00802054" w:rsidRPr="00D2126A" w:rsidRDefault="00802054" w:rsidP="00C93C76">
      <w:pPr>
        <w:pStyle w:val="Date"/>
      </w:pPr>
    </w:p>
    <w:p w14:paraId="658CC2D6" w14:textId="77777777" w:rsidR="002066FF" w:rsidRPr="00D2126A" w:rsidRDefault="000E5A86" w:rsidP="00730E0B">
      <w:pPr>
        <w:pStyle w:val="Date"/>
        <w:keepNext/>
      </w:pPr>
      <w:r>
        <w:rPr>
          <w:b/>
        </w:rPr>
        <w:t>Informez immédiatement votre médecin si vous remarquez l’un des effets indésirables graves suivants :</w:t>
      </w:r>
    </w:p>
    <w:p w14:paraId="641B753D" w14:textId="77777777" w:rsidR="00B52266" w:rsidRPr="00D2126A" w:rsidRDefault="000E5A86" w:rsidP="00C93C76">
      <w:pPr>
        <w:pStyle w:val="StyleBullets"/>
      </w:pPr>
      <w:r>
        <w:t>Fièvre, frissons, mal de gorge, toux, aphtes ou autres symptômes d’infection, y compris dans le sang (sepsis)</w:t>
      </w:r>
    </w:p>
    <w:p w14:paraId="0C6D9BC6" w14:textId="77777777" w:rsidR="00B52266" w:rsidRPr="00D2126A" w:rsidRDefault="000E5A86" w:rsidP="00C93C76">
      <w:pPr>
        <w:pStyle w:val="StyleBullets"/>
      </w:pPr>
      <w:r>
        <w:t>Saignement ou ecchymose (bleu) en l’absence de blessure</w:t>
      </w:r>
    </w:p>
    <w:p w14:paraId="63FDC302" w14:textId="77777777" w:rsidR="00B52266" w:rsidRPr="00D2126A" w:rsidRDefault="000E5A86" w:rsidP="00C93C76">
      <w:pPr>
        <w:pStyle w:val="StyleBullets"/>
      </w:pPr>
      <w:r>
        <w:t>Douleur dans la poitrine ou la jambe</w:t>
      </w:r>
    </w:p>
    <w:p w14:paraId="192F19E4" w14:textId="77777777" w:rsidR="005E275F" w:rsidRPr="00D2126A" w:rsidRDefault="000E5A86" w:rsidP="00730E0B">
      <w:pPr>
        <w:pStyle w:val="StyleBullets"/>
        <w:keepNext/>
      </w:pPr>
      <w:r>
        <w:t>Essoufflement</w:t>
      </w:r>
    </w:p>
    <w:p w14:paraId="44A4C731" w14:textId="77777777" w:rsidR="00036363" w:rsidRPr="00D2126A" w:rsidRDefault="000E5A86" w:rsidP="00C93C76">
      <w:pPr>
        <w:pStyle w:val="StyleBullets"/>
      </w:pPr>
      <w:r>
        <w:t>Douleurs osseuses, faiblesse musculaire, confusion ou fatigue pouvant être la conséquence d’un taux élevé de calcium dans le sang</w:t>
      </w:r>
    </w:p>
    <w:p w14:paraId="25150B65" w14:textId="20219D85" w:rsidR="00B52266" w:rsidRPr="00D2126A" w:rsidRDefault="00B52266" w:rsidP="00C93C76">
      <w:pPr>
        <w:ind w:right="-2"/>
        <w:rPr>
          <w:color w:val="000000"/>
        </w:rPr>
      </w:pPr>
    </w:p>
    <w:p w14:paraId="73EA49D2" w14:textId="77777777" w:rsidR="00036363" w:rsidRPr="00D2126A" w:rsidRDefault="000E5A86" w:rsidP="00C93C76">
      <w:pPr>
        <w:numPr>
          <w:ilvl w:val="12"/>
          <w:numId w:val="0"/>
        </w:numPr>
        <w:ind w:right="-2"/>
        <w:rPr>
          <w:color w:val="000000"/>
        </w:rPr>
      </w:pPr>
      <w:r>
        <w:rPr>
          <w:color w:val="000000"/>
        </w:rPr>
        <w:t>Revlimid peut diminuer le nombre des globules blancs qui sont des cellules luttant contre les infections, ainsi que celui des cellules sanguines qui contribuent à faire coaguler le sang (les plaquettes), ce qui peut entraîner des problèmes de saignements, comme des saignements de nez et des ecchymoses (« bleus »).</w:t>
      </w:r>
    </w:p>
    <w:p w14:paraId="73D4AA8E" w14:textId="007A6E68" w:rsidR="002066FF" w:rsidRPr="00D2126A" w:rsidRDefault="000E5A86" w:rsidP="00C93C76">
      <w:pPr>
        <w:numPr>
          <w:ilvl w:val="12"/>
          <w:numId w:val="0"/>
        </w:numPr>
        <w:ind w:right="-2"/>
        <w:rPr>
          <w:color w:val="000000"/>
        </w:rPr>
      </w:pPr>
      <w:r>
        <w:rPr>
          <w:color w:val="000000"/>
        </w:rPr>
        <w:t>Revlimid peut également entraîner la formation de caillots sanguins dans les veines (thrombose).</w:t>
      </w:r>
    </w:p>
    <w:p w14:paraId="409FFAE1" w14:textId="77777777" w:rsidR="002066FF" w:rsidRPr="00D2126A" w:rsidRDefault="002066FF" w:rsidP="00C93C76">
      <w:pPr>
        <w:pStyle w:val="Date"/>
      </w:pPr>
    </w:p>
    <w:p w14:paraId="546855CA" w14:textId="77777777" w:rsidR="00FC2303" w:rsidRPr="00D2126A" w:rsidRDefault="000E5A86" w:rsidP="00C93C76">
      <w:pPr>
        <w:pStyle w:val="Date"/>
        <w:keepNext/>
        <w:rPr>
          <w:b/>
          <w:color w:val="000000"/>
        </w:rPr>
      </w:pPr>
      <w:r>
        <w:rPr>
          <w:b/>
          <w:color w:val="000000"/>
        </w:rPr>
        <w:t>Autres effets indésirables</w:t>
      </w:r>
    </w:p>
    <w:p w14:paraId="41B00E3C" w14:textId="77777777" w:rsidR="00D353FA" w:rsidRPr="00D2126A" w:rsidRDefault="000E5A86" w:rsidP="00730E0B">
      <w:pPr>
        <w:pStyle w:val="Date"/>
        <w:rPr>
          <w:color w:val="000000"/>
        </w:rPr>
      </w:pPr>
      <w:r>
        <w:rPr>
          <w:color w:val="000000"/>
        </w:rPr>
        <w:t>Il est important de noter qu’un faible nombre de patients peut développer d’autres types de cancers et il est possible que ce risque soit majoré en cas de traitement par Revlimid. Par conséquent, votre médecin devra évaluer attentivement le bénéfice et le risque s’il vous prescrit Revlimid.</w:t>
      </w:r>
    </w:p>
    <w:p w14:paraId="1A1EE433" w14:textId="77777777" w:rsidR="00AF19A4" w:rsidRPr="00D2126A" w:rsidRDefault="00AF19A4" w:rsidP="00C93C76">
      <w:pPr>
        <w:rPr>
          <w:color w:val="000000"/>
        </w:rPr>
      </w:pPr>
    </w:p>
    <w:p w14:paraId="2E25282F" w14:textId="78C2FA26" w:rsidR="00B52266" w:rsidRPr="00D2126A" w:rsidRDefault="000E5A86" w:rsidP="00730E0B">
      <w:pPr>
        <w:keepNext/>
        <w:ind w:right="-2"/>
        <w:rPr>
          <w:color w:val="000000"/>
        </w:rPr>
      </w:pPr>
      <w:r>
        <w:rPr>
          <w:color w:val="000000"/>
        </w:rPr>
        <w:t xml:space="preserve">Effets indésirables </w:t>
      </w:r>
      <w:r>
        <w:rPr>
          <w:b/>
          <w:color w:val="000000"/>
        </w:rPr>
        <w:t>très fréquents</w:t>
      </w:r>
      <w:r>
        <w:rPr>
          <w:color w:val="000000"/>
        </w:rPr>
        <w:t xml:space="preserve"> (pouvant affecter plus de 1 patient sur 10) :</w:t>
      </w:r>
    </w:p>
    <w:p w14:paraId="62835AA1" w14:textId="77777777" w:rsidR="00B52266" w:rsidRPr="00D2126A" w:rsidRDefault="000E5A86" w:rsidP="00C93C76">
      <w:pPr>
        <w:pStyle w:val="StyleBullets"/>
      </w:pPr>
      <w:r>
        <w:t>chute du nombre de globules rouges, ce qui peut provoquer une anémie entraînant fatigue et faiblesse</w:t>
      </w:r>
    </w:p>
    <w:p w14:paraId="027A4FE5" w14:textId="77777777" w:rsidR="00036363" w:rsidRPr="00D2126A" w:rsidRDefault="000E5A86" w:rsidP="00C93C76">
      <w:pPr>
        <w:pStyle w:val="StyleBullets"/>
      </w:pPr>
      <w:r>
        <w:t>éruptions cutanées, démangeaions</w:t>
      </w:r>
    </w:p>
    <w:p w14:paraId="6FE6E547" w14:textId="7E1EE669" w:rsidR="00AF5BB6" w:rsidRPr="00D2126A" w:rsidRDefault="000E5A86" w:rsidP="00C93C76">
      <w:pPr>
        <w:pStyle w:val="StyleBullets"/>
      </w:pPr>
      <w:r>
        <w:t>crampes musculaires, faiblesse musculaire, douleurs musculaires, douleurs osseuses, douleurs articulaires, douleurs dorsales, douleurs dans les extrémités</w:t>
      </w:r>
    </w:p>
    <w:p w14:paraId="07F6BAB3" w14:textId="77777777" w:rsidR="00B52266" w:rsidRPr="00D2126A" w:rsidRDefault="000E5A86" w:rsidP="00C93C76">
      <w:pPr>
        <w:pStyle w:val="StyleBullets"/>
      </w:pPr>
      <w:r>
        <w:t>gonflement généralisé, y compris gonflement des bras et des jambes</w:t>
      </w:r>
    </w:p>
    <w:p w14:paraId="1F6519B4" w14:textId="77777777" w:rsidR="005957DE" w:rsidRPr="00D2126A" w:rsidRDefault="000E5A86" w:rsidP="00C93C76">
      <w:pPr>
        <w:pStyle w:val="StyleBullets"/>
      </w:pPr>
      <w:r>
        <w:t>faiblesse, fatigue</w:t>
      </w:r>
    </w:p>
    <w:p w14:paraId="0497DC78" w14:textId="77777777" w:rsidR="00BB2926" w:rsidRPr="00D2126A" w:rsidRDefault="000E5A86" w:rsidP="00C93C76">
      <w:pPr>
        <w:pStyle w:val="StyleBullets"/>
      </w:pPr>
      <w:r>
        <w:t>fièvre et symptômes grippaux, notamment fièvre, douleur musculaire, maux de tête, douleur dans l’oreille, toux et frissons</w:t>
      </w:r>
    </w:p>
    <w:p w14:paraId="50F1A569" w14:textId="77777777" w:rsidR="00761AA7" w:rsidRPr="00D2126A" w:rsidRDefault="000E5A86" w:rsidP="00C93C76">
      <w:pPr>
        <w:pStyle w:val="StyleBullets"/>
      </w:pPr>
      <w:r>
        <w:t>engourdissement, fourmillements ou sensation de brûlure de la peau, douleurs aux mains ou aux pieds, vertiges, tremblements</w:t>
      </w:r>
    </w:p>
    <w:p w14:paraId="6163815D" w14:textId="77777777" w:rsidR="00AF5BB6" w:rsidRPr="00D2126A" w:rsidRDefault="000E5A86" w:rsidP="00C93C76">
      <w:pPr>
        <w:pStyle w:val="StyleBullets"/>
      </w:pPr>
      <w:r>
        <w:t>diminution de l’appétit, modifications du goût</w:t>
      </w:r>
    </w:p>
    <w:p w14:paraId="4166ACEB" w14:textId="77777777" w:rsidR="005957DE" w:rsidRPr="00D2126A" w:rsidRDefault="000E5A86" w:rsidP="00C93C76">
      <w:pPr>
        <w:pStyle w:val="StyleBullets"/>
      </w:pPr>
      <w:r>
        <w:t>augmentation de la douleur, de la taille de la tumeur, ou rougeur autour de la tumeur</w:t>
      </w:r>
    </w:p>
    <w:p w14:paraId="1B048EF0" w14:textId="77777777" w:rsidR="00AF5BB6" w:rsidRPr="00D2126A" w:rsidRDefault="000E5A86" w:rsidP="00C93C76">
      <w:pPr>
        <w:pStyle w:val="StyleBullets"/>
      </w:pPr>
      <w:r>
        <w:t>perte de poids</w:t>
      </w:r>
    </w:p>
    <w:p w14:paraId="26811D89" w14:textId="77777777" w:rsidR="00036363" w:rsidRPr="00D2126A" w:rsidRDefault="000E5A86" w:rsidP="00C93C76">
      <w:pPr>
        <w:pStyle w:val="StyleBullets"/>
      </w:pPr>
      <w:r>
        <w:t>constipation, diarrhée, nausées, vomissements, douleur gastrique, brûlures d’estomac</w:t>
      </w:r>
    </w:p>
    <w:p w14:paraId="3A45CDC2" w14:textId="2957C083" w:rsidR="00BB2926" w:rsidRPr="00D2126A" w:rsidRDefault="000E5A86" w:rsidP="00C93C76">
      <w:pPr>
        <w:pStyle w:val="StyleBullets"/>
      </w:pPr>
      <w:r>
        <w:t>faible taux de potassium ou de calcium et/ou de sodium dans le sang</w:t>
      </w:r>
    </w:p>
    <w:p w14:paraId="22F36252" w14:textId="77777777" w:rsidR="005957DE" w:rsidRPr="00D2126A" w:rsidRDefault="000E5A86" w:rsidP="00C93C76">
      <w:pPr>
        <w:pStyle w:val="StyleBullets"/>
      </w:pPr>
      <w:r>
        <w:t>fonction thyroïdienne inférieure à ce qu’elle devrait être</w:t>
      </w:r>
    </w:p>
    <w:p w14:paraId="6E0FAB45" w14:textId="77777777" w:rsidR="00BB2926" w:rsidRPr="00D2126A" w:rsidRDefault="000E5A86" w:rsidP="00C93C76">
      <w:pPr>
        <w:pStyle w:val="StyleBullets"/>
      </w:pPr>
      <w:r>
        <w:t>douleur dans la jambe (pourrait être un signe de thrombose), douleur dans la poitrine ou essoufflement (peut être un signe de la présence de caillots de sang dans les poumons, appelée embolie pulmonaire)</w:t>
      </w:r>
    </w:p>
    <w:p w14:paraId="6A2A5AD8" w14:textId="77777777" w:rsidR="003820F1" w:rsidRPr="00D2126A" w:rsidRDefault="000E5A86" w:rsidP="00C93C76">
      <w:pPr>
        <w:pStyle w:val="StyleBullets"/>
      </w:pPr>
      <w:r>
        <w:t>infections de tous types, y compris infection des sinus qui entourent le nez, infection des poumons et des voies respiratoires supérieures</w:t>
      </w:r>
    </w:p>
    <w:p w14:paraId="75EBF625" w14:textId="77777777" w:rsidR="00A12EEA" w:rsidRPr="00D2126A" w:rsidRDefault="000E5A86" w:rsidP="00C93C76">
      <w:pPr>
        <w:pStyle w:val="StyleBullets"/>
      </w:pPr>
      <w:r>
        <w:t>essoufflement</w:t>
      </w:r>
    </w:p>
    <w:p w14:paraId="784ED5EF" w14:textId="77777777" w:rsidR="00BB2926" w:rsidRPr="00D2126A" w:rsidRDefault="000E5A86" w:rsidP="00C93C76">
      <w:pPr>
        <w:pStyle w:val="StyleBullets"/>
      </w:pPr>
      <w:r>
        <w:t>vision trouble</w:t>
      </w:r>
    </w:p>
    <w:p w14:paraId="037232A1" w14:textId="77777777" w:rsidR="005957DE" w:rsidRPr="00D2126A" w:rsidRDefault="000E5A86" w:rsidP="00C93C76">
      <w:pPr>
        <w:pStyle w:val="StyleBullets"/>
      </w:pPr>
      <w:r>
        <w:t>opacification de l’œil (cataracte)</w:t>
      </w:r>
    </w:p>
    <w:p w14:paraId="4F0D0741" w14:textId="77777777" w:rsidR="005957DE" w:rsidRPr="00D2126A" w:rsidRDefault="000E5A86" w:rsidP="00C93C76">
      <w:pPr>
        <w:pStyle w:val="StyleBullets"/>
      </w:pPr>
      <w:r>
        <w:t>problèmes rénaux incluant fonction rénale diminuée ou incapacité des reins à maintenir une fonction normale</w:t>
      </w:r>
    </w:p>
    <w:p w14:paraId="41DC2E5E" w14:textId="77777777" w:rsidR="00E26483" w:rsidRPr="00D2126A" w:rsidRDefault="000E5A86" w:rsidP="00C93C76">
      <w:pPr>
        <w:pStyle w:val="StyleBullets"/>
      </w:pPr>
      <w:r>
        <w:t>anomalies des analyses biologiques du foie</w:t>
      </w:r>
    </w:p>
    <w:p w14:paraId="36EB9940" w14:textId="77777777" w:rsidR="002D6AC4" w:rsidRPr="00D2126A" w:rsidRDefault="000E5A86" w:rsidP="00C93C76">
      <w:pPr>
        <w:pStyle w:val="StyleBullets"/>
      </w:pPr>
      <w:r>
        <w:t>augmentation des taux d’enzymes hépatiques</w:t>
      </w:r>
    </w:p>
    <w:p w14:paraId="07630292" w14:textId="77777777" w:rsidR="003A13F2" w:rsidRPr="00D2126A" w:rsidRDefault="000E5A86" w:rsidP="00C93C76">
      <w:pPr>
        <w:pStyle w:val="StyleBullets"/>
      </w:pPr>
      <w:r>
        <w:t>modification d’une protéine présente dans le sang qui peut provoquer un gonflement des artères (vascularite)</w:t>
      </w:r>
    </w:p>
    <w:p w14:paraId="7C66581A" w14:textId="77777777" w:rsidR="003A13F2" w:rsidRPr="00D2126A" w:rsidRDefault="000E5A86" w:rsidP="00C93C76">
      <w:pPr>
        <w:pStyle w:val="StyleBullets"/>
      </w:pPr>
      <w:r>
        <w:t>augmentation du taux de sucre dans le sang (diabète)</w:t>
      </w:r>
    </w:p>
    <w:p w14:paraId="7D4EDF11" w14:textId="77777777" w:rsidR="002D6AC4" w:rsidRPr="00D2126A" w:rsidRDefault="000E5A86" w:rsidP="00C93C76">
      <w:pPr>
        <w:pStyle w:val="StyleBullets"/>
      </w:pPr>
      <w:r>
        <w:t>diminution du taux de sucre dans le sang</w:t>
      </w:r>
    </w:p>
    <w:p w14:paraId="55D098AB" w14:textId="77777777" w:rsidR="00362821" w:rsidRPr="00D2126A" w:rsidRDefault="000E5A86" w:rsidP="00C93C76">
      <w:pPr>
        <w:pStyle w:val="StyleBullets"/>
      </w:pPr>
      <w:r>
        <w:t>maux de tête</w:t>
      </w:r>
    </w:p>
    <w:p w14:paraId="3E7DBDF3" w14:textId="77777777" w:rsidR="00E26483" w:rsidRPr="00D2126A" w:rsidRDefault="000E5A86" w:rsidP="00C93C76">
      <w:pPr>
        <w:pStyle w:val="StyleBullets"/>
      </w:pPr>
      <w:r>
        <w:t>saignements de nez</w:t>
      </w:r>
    </w:p>
    <w:p w14:paraId="78ECE758" w14:textId="77777777" w:rsidR="00362821" w:rsidRPr="00D2126A" w:rsidRDefault="000E5A86" w:rsidP="00C93C76">
      <w:pPr>
        <w:pStyle w:val="StyleBullets"/>
      </w:pPr>
      <w:r>
        <w:t>peau sèche</w:t>
      </w:r>
    </w:p>
    <w:p w14:paraId="33741388" w14:textId="77777777" w:rsidR="003A13F2" w:rsidRPr="00D2126A" w:rsidRDefault="000E5A86" w:rsidP="00C93C76">
      <w:pPr>
        <w:pStyle w:val="StyleBullets"/>
      </w:pPr>
      <w:r>
        <w:t>dépression, modifications de l’humeur, troubles du sommeil</w:t>
      </w:r>
    </w:p>
    <w:p w14:paraId="071E05ED" w14:textId="77777777" w:rsidR="002D6AC4" w:rsidRPr="00D2126A" w:rsidRDefault="000E5A86" w:rsidP="00C93C76">
      <w:pPr>
        <w:pStyle w:val="StyleBullets"/>
      </w:pPr>
      <w:r>
        <w:t>toux</w:t>
      </w:r>
    </w:p>
    <w:p w14:paraId="25D60D72" w14:textId="77777777" w:rsidR="002D6AC4" w:rsidRPr="00D2126A" w:rsidRDefault="000E5A86" w:rsidP="00C93C76">
      <w:pPr>
        <w:pStyle w:val="StyleBullets"/>
      </w:pPr>
      <w:r>
        <w:t>baisse de la pression artérielle</w:t>
      </w:r>
    </w:p>
    <w:p w14:paraId="1FCE98AC" w14:textId="77777777" w:rsidR="005957DE" w:rsidRPr="00D2126A" w:rsidRDefault="000E5A86" w:rsidP="00C93C76">
      <w:pPr>
        <w:pStyle w:val="StyleBullets"/>
      </w:pPr>
      <w:r>
        <w:t>vague sensation de gêne corporelle, sensation de mal</w:t>
      </w:r>
      <w:r>
        <w:noBreakHyphen/>
        <w:t>être</w:t>
      </w:r>
    </w:p>
    <w:p w14:paraId="53C3B22F" w14:textId="77777777" w:rsidR="002D6AC4" w:rsidRPr="00D2126A" w:rsidRDefault="000E5A86" w:rsidP="00730E0B">
      <w:pPr>
        <w:pStyle w:val="StyleBullets"/>
        <w:keepNext/>
      </w:pPr>
      <w:r>
        <w:t>ulcérations dans la bouche, bouche sèche</w:t>
      </w:r>
    </w:p>
    <w:p w14:paraId="15979BA7" w14:textId="77777777" w:rsidR="002D6AC4" w:rsidRPr="00D2126A" w:rsidRDefault="000E5A86" w:rsidP="00C93C76">
      <w:pPr>
        <w:pStyle w:val="StyleBullets"/>
      </w:pPr>
      <w:r>
        <w:t>déshydratation</w:t>
      </w:r>
    </w:p>
    <w:p w14:paraId="743B22B1" w14:textId="77777777" w:rsidR="006F4E32" w:rsidRPr="00D2126A" w:rsidRDefault="006F4E32" w:rsidP="00C93C76">
      <w:pPr>
        <w:rPr>
          <w:color w:val="000000"/>
        </w:rPr>
      </w:pPr>
    </w:p>
    <w:p w14:paraId="1BAED604" w14:textId="0E71BDA0" w:rsidR="00B52266" w:rsidRPr="00D2126A" w:rsidRDefault="000E5A86" w:rsidP="00C93C76">
      <w:pPr>
        <w:keepNext/>
        <w:numPr>
          <w:ilvl w:val="12"/>
          <w:numId w:val="0"/>
        </w:numPr>
        <w:ind w:right="-2"/>
        <w:rPr>
          <w:color w:val="000000"/>
        </w:rPr>
      </w:pPr>
      <w:r>
        <w:rPr>
          <w:color w:val="000000"/>
        </w:rPr>
        <w:t xml:space="preserve">Effets indésirables </w:t>
      </w:r>
      <w:r>
        <w:rPr>
          <w:b/>
          <w:color w:val="000000"/>
        </w:rPr>
        <w:t>fréquents</w:t>
      </w:r>
      <w:r>
        <w:rPr>
          <w:color w:val="000000"/>
        </w:rPr>
        <w:t xml:space="preserve"> (pouvant affecter jusqu’à 1 patient sur 10) :</w:t>
      </w:r>
    </w:p>
    <w:p w14:paraId="1AF1DA2A" w14:textId="77777777" w:rsidR="00036363" w:rsidRPr="00D2126A" w:rsidRDefault="000E5A86" w:rsidP="00C93C76">
      <w:pPr>
        <w:pStyle w:val="StyleBullets"/>
      </w:pPr>
      <w:r>
        <w:t>destruction des globules rouges (anémie hémolytique)</w:t>
      </w:r>
    </w:p>
    <w:p w14:paraId="64A20656" w14:textId="4256E73D" w:rsidR="005C5012" w:rsidRPr="00D2126A" w:rsidRDefault="000E5A86" w:rsidP="00C93C76">
      <w:pPr>
        <w:pStyle w:val="StyleBullets"/>
      </w:pPr>
      <w:r>
        <w:t>certains types de cancers de la peau</w:t>
      </w:r>
    </w:p>
    <w:p w14:paraId="36D9F3A0" w14:textId="77777777" w:rsidR="00BB2926" w:rsidRPr="00D2126A" w:rsidRDefault="000E5A86" w:rsidP="00C93C76">
      <w:pPr>
        <w:pStyle w:val="StyleBullets"/>
      </w:pPr>
      <w:r>
        <w:t>saignement des gencives, de l’estomac ou des intestins</w:t>
      </w:r>
    </w:p>
    <w:p w14:paraId="6264078E" w14:textId="77777777" w:rsidR="00B52266" w:rsidRPr="00D2126A" w:rsidRDefault="000E5A86" w:rsidP="00C93C76">
      <w:pPr>
        <w:pStyle w:val="StyleBullets"/>
      </w:pPr>
      <w:r>
        <w:t>augmentation de la pression artérielle, battements de cœur lents, rapides ou irréguliers</w:t>
      </w:r>
    </w:p>
    <w:p w14:paraId="3282C8E6" w14:textId="77777777" w:rsidR="005957DE" w:rsidRPr="00D2126A" w:rsidRDefault="000E5A86" w:rsidP="00C93C76">
      <w:pPr>
        <w:pStyle w:val="StyleBullets"/>
      </w:pPr>
      <w:r>
        <w:t>augmentation d’une substance provenant de la destruction normale ou anormale des globules rouges</w:t>
      </w:r>
    </w:p>
    <w:p w14:paraId="5E61F220" w14:textId="77777777" w:rsidR="005957DE" w:rsidRPr="00D2126A" w:rsidRDefault="000E5A86" w:rsidP="00C93C76">
      <w:pPr>
        <w:pStyle w:val="StyleBullets"/>
      </w:pPr>
      <w:r>
        <w:t>augmentation d’un type de protéine qui est un signe d’inflammation dans l’organisme</w:t>
      </w:r>
    </w:p>
    <w:p w14:paraId="6E9295E8" w14:textId="77777777" w:rsidR="00933BF3" w:rsidRPr="00D2126A" w:rsidRDefault="000E5A86" w:rsidP="00C93C76">
      <w:pPr>
        <w:pStyle w:val="StyleBullets"/>
      </w:pPr>
      <w:r>
        <w:t>coloration plus foncée de la peau, coloration anormale de la peau résultant des saignements se produisant sous la peau, généralement dus à des ecchymoses (bleus) ; formation de vésicules remplies de sang sur la peau ; ecchymoses (bleus)</w:t>
      </w:r>
    </w:p>
    <w:p w14:paraId="088DCEC9" w14:textId="77777777" w:rsidR="005957DE" w:rsidRPr="00D2126A" w:rsidRDefault="000E5A86" w:rsidP="00C93C76">
      <w:pPr>
        <w:pStyle w:val="StyleBullets"/>
      </w:pPr>
      <w:r>
        <w:t>augmentation du taux d’acide urique dans le sang</w:t>
      </w:r>
    </w:p>
    <w:p w14:paraId="43429EE8" w14:textId="77777777" w:rsidR="00933BF3" w:rsidRPr="00D2126A" w:rsidRDefault="000E5A86" w:rsidP="00C93C76">
      <w:pPr>
        <w:pStyle w:val="StyleBullets"/>
      </w:pPr>
      <w:r>
        <w:t>éruptions cutanées, rougeur de la peau, fissures sur la peau, présence de squames sur la peau ou peau qui pèle, urticaire</w:t>
      </w:r>
    </w:p>
    <w:p w14:paraId="6DD6F25C" w14:textId="77777777" w:rsidR="00933BF3" w:rsidRPr="00D2126A" w:rsidRDefault="000E5A86" w:rsidP="00C93C76">
      <w:pPr>
        <w:pStyle w:val="StyleBullets"/>
      </w:pPr>
      <w:r>
        <w:t>augmentation de la transpiration, sueurs nocturnes</w:t>
      </w:r>
    </w:p>
    <w:p w14:paraId="6A1CA995" w14:textId="77777777" w:rsidR="005957DE" w:rsidRPr="00D2126A" w:rsidRDefault="000E5A86" w:rsidP="00C93C76">
      <w:pPr>
        <w:pStyle w:val="StyleBullets"/>
      </w:pPr>
      <w:r>
        <w:t>difficulté à avaler, mal de gorge, altération de la qualité de la voix ou changements de voix</w:t>
      </w:r>
    </w:p>
    <w:p w14:paraId="68A2A433" w14:textId="77777777" w:rsidR="005957DE" w:rsidRPr="00D2126A" w:rsidRDefault="000E5A86" w:rsidP="00C93C76">
      <w:pPr>
        <w:pStyle w:val="StyleBullets"/>
      </w:pPr>
      <w:r>
        <w:t>nez qui coule</w:t>
      </w:r>
    </w:p>
    <w:p w14:paraId="23539786" w14:textId="77777777" w:rsidR="00036363" w:rsidRPr="00D2126A" w:rsidRDefault="000E5A86" w:rsidP="00C93C76">
      <w:pPr>
        <w:pStyle w:val="StyleBullets"/>
      </w:pPr>
      <w:r>
        <w:t>production d’urine plus importante ou plus faible qu’habituellement ou difficulté à contrôler les mictions</w:t>
      </w:r>
    </w:p>
    <w:p w14:paraId="16462C73" w14:textId="4B4B5047" w:rsidR="00B52266" w:rsidRPr="00D2126A" w:rsidRDefault="000E5A86" w:rsidP="00C93C76">
      <w:pPr>
        <w:pStyle w:val="StyleBullets"/>
      </w:pPr>
      <w:r>
        <w:t>présence de sang dans les urines</w:t>
      </w:r>
    </w:p>
    <w:p w14:paraId="1D23E915" w14:textId="77777777" w:rsidR="00933BF3" w:rsidRPr="00D2126A" w:rsidRDefault="000E5A86" w:rsidP="00C93C76">
      <w:pPr>
        <w:pStyle w:val="StyleBullets"/>
      </w:pPr>
      <w:r>
        <w:t>essoufflement, en particulier au moment de s’allonger (pouvant être le symptôme d’une insuffisance cardiaque)</w:t>
      </w:r>
    </w:p>
    <w:p w14:paraId="05B1920A" w14:textId="77777777" w:rsidR="00B52266" w:rsidRPr="00D2126A" w:rsidRDefault="000E5A86" w:rsidP="00C93C76">
      <w:pPr>
        <w:pStyle w:val="StyleBullets"/>
      </w:pPr>
      <w:r>
        <w:t>difficulté à avoir une érection</w:t>
      </w:r>
    </w:p>
    <w:p w14:paraId="083C4115" w14:textId="77777777" w:rsidR="00933BF3" w:rsidRPr="00D2126A" w:rsidRDefault="000E5A86" w:rsidP="00C93C76">
      <w:pPr>
        <w:pStyle w:val="StyleBullets"/>
      </w:pPr>
      <w:r>
        <w:t>accident vasculaire cérébral, évanouissement, vertige (problème au niveau de l’oreille interne, avec pour conséquence la sensation que tout tourne autour de soi), perte de connaissance temporaire</w:t>
      </w:r>
    </w:p>
    <w:p w14:paraId="0A9985FE" w14:textId="77777777" w:rsidR="005C5012" w:rsidRPr="00D2126A" w:rsidRDefault="000E5A86" w:rsidP="00C93C76">
      <w:pPr>
        <w:pStyle w:val="StyleBullets"/>
      </w:pPr>
      <w:r>
        <w:t>douleur dans la poitrine irradiant vers les bras, le cou, la mâchoire, le dos ou l’estomac, sueur et essoufflement, nausées ou vomissements, pouvant être les signes d’une crise cardiaque (infarctus du myocarde)</w:t>
      </w:r>
    </w:p>
    <w:p w14:paraId="3EB62010" w14:textId="77777777" w:rsidR="005C5012" w:rsidRPr="00D2126A" w:rsidRDefault="000E5A86" w:rsidP="00C93C76">
      <w:pPr>
        <w:pStyle w:val="StyleBullets"/>
      </w:pPr>
      <w:r>
        <w:t>faiblesse musculaire, manque d’énergie</w:t>
      </w:r>
    </w:p>
    <w:p w14:paraId="6BF8E7E4" w14:textId="77777777" w:rsidR="005C5012" w:rsidRPr="00D2126A" w:rsidRDefault="000E5A86" w:rsidP="00C93C76">
      <w:pPr>
        <w:pStyle w:val="StyleBullets"/>
      </w:pPr>
      <w:r>
        <w:t>douleur dans le cou, douleur dans la poitrine</w:t>
      </w:r>
    </w:p>
    <w:p w14:paraId="46E50D1D" w14:textId="77777777" w:rsidR="005C5012" w:rsidRPr="00D2126A" w:rsidRDefault="000E5A86" w:rsidP="00C93C76">
      <w:pPr>
        <w:pStyle w:val="StyleBullets"/>
      </w:pPr>
      <w:r>
        <w:t>frissons</w:t>
      </w:r>
    </w:p>
    <w:p w14:paraId="5C34F1F7" w14:textId="77777777" w:rsidR="00AE1353" w:rsidRPr="00D2126A" w:rsidRDefault="000E5A86" w:rsidP="00C93C76">
      <w:pPr>
        <w:pStyle w:val="StyleBullets"/>
      </w:pPr>
      <w:r>
        <w:t>gonflement des articulations</w:t>
      </w:r>
    </w:p>
    <w:p w14:paraId="7633882A" w14:textId="77777777" w:rsidR="005C5012" w:rsidRPr="00D2126A" w:rsidRDefault="000E5A86" w:rsidP="00C93C76">
      <w:pPr>
        <w:pStyle w:val="StyleBullets"/>
      </w:pPr>
      <w:r>
        <w:t>ralentissement ou blocage de l’écoulement de la bile à partir du foie</w:t>
      </w:r>
    </w:p>
    <w:p w14:paraId="31FBA1A1" w14:textId="77777777" w:rsidR="00933BF3" w:rsidRPr="00D2126A" w:rsidRDefault="000E5A86" w:rsidP="00C93C76">
      <w:pPr>
        <w:pStyle w:val="StyleBullets"/>
      </w:pPr>
      <w:r>
        <w:t>baisse des taux de phosphate ou de magnésium dans le sang</w:t>
      </w:r>
    </w:p>
    <w:p w14:paraId="1D746665" w14:textId="77777777" w:rsidR="002D6AC4" w:rsidRPr="00D2126A" w:rsidRDefault="000E5A86" w:rsidP="00C93C76">
      <w:pPr>
        <w:pStyle w:val="StyleBullets"/>
      </w:pPr>
      <w:r>
        <w:t>difficultés pour parler</w:t>
      </w:r>
    </w:p>
    <w:p w14:paraId="1589006B" w14:textId="77777777" w:rsidR="00933BF3" w:rsidRPr="00D2126A" w:rsidRDefault="000E5A86" w:rsidP="00C93C76">
      <w:pPr>
        <w:pStyle w:val="StyleBullets"/>
      </w:pPr>
      <w:r>
        <w:t>atteinte hépatique</w:t>
      </w:r>
    </w:p>
    <w:p w14:paraId="742BF4A2" w14:textId="77777777" w:rsidR="00036363" w:rsidRPr="00D2126A" w:rsidRDefault="000E5A86" w:rsidP="00C93C76">
      <w:pPr>
        <w:pStyle w:val="StyleBullets"/>
      </w:pPr>
      <w:r>
        <w:t>troubles de l’équilibre, difficulté à se mouvoir</w:t>
      </w:r>
    </w:p>
    <w:p w14:paraId="478A626A" w14:textId="58E8C074" w:rsidR="00933BF3" w:rsidRPr="00D2126A" w:rsidRDefault="000E5A86" w:rsidP="00C93C76">
      <w:pPr>
        <w:pStyle w:val="StyleBullets"/>
      </w:pPr>
      <w:r>
        <w:t>surdité, bourdonnements dans les oreilles (acouphènes)</w:t>
      </w:r>
    </w:p>
    <w:p w14:paraId="22EE64E3" w14:textId="77777777" w:rsidR="002D6AC4" w:rsidRPr="00D2126A" w:rsidRDefault="000E5A86" w:rsidP="00C93C76">
      <w:pPr>
        <w:pStyle w:val="StyleBullets"/>
      </w:pPr>
      <w:r>
        <w:t>douleurs d’origine neurologique, sensations anormales désagréables, en particulier au toucher</w:t>
      </w:r>
    </w:p>
    <w:p w14:paraId="2EA10CEB" w14:textId="77777777" w:rsidR="009C73AC" w:rsidRPr="00D2126A" w:rsidRDefault="000E5A86" w:rsidP="00C93C76">
      <w:pPr>
        <w:pStyle w:val="StyleBullets"/>
      </w:pPr>
      <w:r>
        <w:t>surcharge en fer</w:t>
      </w:r>
    </w:p>
    <w:p w14:paraId="73794C8A" w14:textId="77777777" w:rsidR="009C73AC" w:rsidRPr="00D2126A" w:rsidRDefault="000E5A86" w:rsidP="00C93C76">
      <w:pPr>
        <w:pStyle w:val="StyleBullets"/>
      </w:pPr>
      <w:r>
        <w:t>soif</w:t>
      </w:r>
    </w:p>
    <w:p w14:paraId="0F7A3AAE" w14:textId="77777777" w:rsidR="009C73AC" w:rsidRPr="00D2126A" w:rsidRDefault="000E5A86" w:rsidP="00C93C76">
      <w:pPr>
        <w:pStyle w:val="StyleBullets"/>
      </w:pPr>
      <w:r>
        <w:t>confusion</w:t>
      </w:r>
    </w:p>
    <w:p w14:paraId="5F29D217" w14:textId="77777777" w:rsidR="009C73AC" w:rsidRPr="00D2126A" w:rsidRDefault="000E5A86" w:rsidP="00730E0B">
      <w:pPr>
        <w:pStyle w:val="StyleBullets"/>
        <w:keepNext/>
      </w:pPr>
      <w:r>
        <w:t>mal de dents</w:t>
      </w:r>
    </w:p>
    <w:p w14:paraId="626DB4FD" w14:textId="77777777" w:rsidR="005957DE" w:rsidRPr="00D2126A" w:rsidRDefault="000E5A86" w:rsidP="00C93C76">
      <w:pPr>
        <w:pStyle w:val="StyleBullets"/>
      </w:pPr>
      <w:r>
        <w:t>chute pouvant être à l’origine de fractures</w:t>
      </w:r>
    </w:p>
    <w:p w14:paraId="25C538AF" w14:textId="77777777" w:rsidR="00B52266" w:rsidRPr="00D2126A" w:rsidRDefault="00B52266" w:rsidP="00C93C76">
      <w:pPr>
        <w:tabs>
          <w:tab w:val="left" w:pos="1701"/>
        </w:tabs>
        <w:ind w:left="1701" w:hanging="1701"/>
        <w:rPr>
          <w:color w:val="000000"/>
        </w:rPr>
      </w:pPr>
    </w:p>
    <w:p w14:paraId="1A1C6532" w14:textId="4143A047" w:rsidR="00B52266" w:rsidRPr="00D2126A" w:rsidRDefault="000E5A86" w:rsidP="00730E0B">
      <w:pPr>
        <w:keepNext/>
        <w:tabs>
          <w:tab w:val="left" w:pos="0"/>
        </w:tabs>
        <w:rPr>
          <w:color w:val="000000"/>
        </w:rPr>
      </w:pPr>
      <w:r>
        <w:rPr>
          <w:color w:val="000000"/>
        </w:rPr>
        <w:t xml:space="preserve">Effets indésirables </w:t>
      </w:r>
      <w:r>
        <w:rPr>
          <w:b/>
          <w:color w:val="000000"/>
        </w:rPr>
        <w:t>peu fréquents</w:t>
      </w:r>
      <w:r>
        <w:rPr>
          <w:color w:val="000000"/>
        </w:rPr>
        <w:t xml:space="preserve"> (pouvant affecter jusqu’à 1 patient sur 100) :</w:t>
      </w:r>
    </w:p>
    <w:p w14:paraId="35B62AAA" w14:textId="77777777" w:rsidR="00036363" w:rsidRPr="00D2126A" w:rsidRDefault="000E5A86" w:rsidP="00C93C76">
      <w:pPr>
        <w:pStyle w:val="StyleBullets"/>
      </w:pPr>
      <w:r>
        <w:t>saignements dans le crâne</w:t>
      </w:r>
    </w:p>
    <w:p w14:paraId="46B3D02D" w14:textId="5554EA87" w:rsidR="00933BF3" w:rsidRPr="00D2126A" w:rsidRDefault="000E5A86" w:rsidP="00C93C76">
      <w:pPr>
        <w:pStyle w:val="StyleBullets"/>
      </w:pPr>
      <w:r>
        <w:t>problèmes de circulation</w:t>
      </w:r>
    </w:p>
    <w:p w14:paraId="7B4623D6" w14:textId="77777777" w:rsidR="00B52266" w:rsidRPr="00D2126A" w:rsidRDefault="000E5A86" w:rsidP="00C93C76">
      <w:pPr>
        <w:pStyle w:val="StyleBullets"/>
      </w:pPr>
      <w:r>
        <w:t>perte de vision</w:t>
      </w:r>
    </w:p>
    <w:p w14:paraId="4CD9D29C" w14:textId="77777777" w:rsidR="00933BF3" w:rsidRPr="00D2126A" w:rsidRDefault="000E5A86" w:rsidP="00C93C76">
      <w:pPr>
        <w:pStyle w:val="StyleBullets"/>
      </w:pPr>
      <w:r>
        <w:t>perte de désir sexuel (libido)</w:t>
      </w:r>
    </w:p>
    <w:p w14:paraId="5B718CE7" w14:textId="77777777" w:rsidR="00635AE8" w:rsidRPr="00D2126A" w:rsidRDefault="000E5A86" w:rsidP="00C93C76">
      <w:pPr>
        <w:pStyle w:val="StyleBullets"/>
      </w:pPr>
      <w:r>
        <w:t>urine émise en quantité importante avec douleur osseuse et faiblesse, pouvant être des signes d’une maladie des reins (syndrome de Fanconi)</w:t>
      </w:r>
    </w:p>
    <w:p w14:paraId="2E3758C7" w14:textId="77777777" w:rsidR="00EC1B63" w:rsidRPr="00D2126A" w:rsidRDefault="000E5A86" w:rsidP="00C93C76">
      <w:pPr>
        <w:pStyle w:val="StyleBullets"/>
      </w:pPr>
      <w:r>
        <w:t>coloration jaune de la peau, des membranes ou des yeux (ictère ou « jaunisse »), selles claires, urines sombres, démangeaisons de la peau, éruption cutanée, douleur au niveau de l’estomac ou ballonnements, qui peuvent être des symptômes d’atteinte du foie (affection hépatique)</w:t>
      </w:r>
    </w:p>
    <w:p w14:paraId="1C55A27C" w14:textId="77777777" w:rsidR="003A13F2" w:rsidRPr="00D2126A" w:rsidRDefault="000E5A86" w:rsidP="00C93C76">
      <w:pPr>
        <w:pStyle w:val="StyleBullets"/>
      </w:pPr>
      <w:r>
        <w:t>douleur abdominale, ballonnement ou diarrhée, pouvant être des signes d’inflammation du gros intestin (appelée colite ou caecite)</w:t>
      </w:r>
    </w:p>
    <w:p w14:paraId="1C4740DF" w14:textId="77777777" w:rsidR="005957DE" w:rsidRPr="00D2126A" w:rsidRDefault="000E5A86" w:rsidP="00C93C76">
      <w:pPr>
        <w:pStyle w:val="StyleBullets"/>
      </w:pPr>
      <w:r>
        <w:t>atteinte des cellules rénales (appelée nécrose tubulaire rénale)</w:t>
      </w:r>
    </w:p>
    <w:p w14:paraId="74906BF9" w14:textId="77777777" w:rsidR="00933BF3" w:rsidRPr="00D2126A" w:rsidRDefault="000E5A86" w:rsidP="00C93C76">
      <w:pPr>
        <w:pStyle w:val="StyleBullets"/>
      </w:pPr>
      <w:r>
        <w:t>modifications de la couleur de la peau, sensibilité à la lumière du soleil</w:t>
      </w:r>
    </w:p>
    <w:p w14:paraId="638B1BCD" w14:textId="77777777" w:rsidR="00752E80" w:rsidRPr="00D2126A" w:rsidRDefault="000E5A86" w:rsidP="00730E0B">
      <w:pPr>
        <w:pStyle w:val="StyleBullets"/>
        <w:keepNext/>
      </w:pPr>
      <w:r>
        <w:t>syndrome de lyse tumorale – des complications métaboliques peuvent survenir pendant le traitement du cancer et même parfois sans traitement. Ces complications sont causées par les produits de dégradation des cellules cancéreuses qui sont détruites. Elles peuvent inclure : des modifications du bilan sanguin ; taux élevés de potassium, de phosphore, d’acide urique et faibles taux de calcium entraînant des modifications de la fonction rénale et du rythme cardiaque, des convulsions et dans certains cas le décès.</w:t>
      </w:r>
    </w:p>
    <w:p w14:paraId="6AB67A7C" w14:textId="77777777" w:rsidR="00752E80" w:rsidRPr="00D2126A" w:rsidRDefault="000E5A86" w:rsidP="00C93C76">
      <w:pPr>
        <w:pStyle w:val="StyleBullets"/>
      </w:pPr>
      <w:r>
        <w:t>Augmentation de la tension artérielle dans les vaisseaux sanguins qui alimentent les poumons (hypertension pulmonaire).</w:t>
      </w:r>
    </w:p>
    <w:p w14:paraId="7585E047" w14:textId="77777777" w:rsidR="00B52266" w:rsidRPr="00D2126A" w:rsidRDefault="00B52266" w:rsidP="00C93C76">
      <w:pPr>
        <w:pStyle w:val="Date"/>
        <w:rPr>
          <w:color w:val="000000"/>
        </w:rPr>
      </w:pPr>
    </w:p>
    <w:p w14:paraId="2BF9FFF3" w14:textId="77777777" w:rsidR="00E2269D" w:rsidRPr="00D2126A" w:rsidRDefault="000E5A86" w:rsidP="00C93C76">
      <w:pPr>
        <w:pStyle w:val="Date"/>
        <w:keepNext/>
        <w:rPr>
          <w:color w:val="000000"/>
        </w:rPr>
      </w:pPr>
      <w:r>
        <w:rPr>
          <w:b/>
          <w:color w:val="000000"/>
        </w:rPr>
        <w:t>Effets indésirables de fréquence indéterminée</w:t>
      </w:r>
      <w:r>
        <w:rPr>
          <w:color w:val="000000"/>
        </w:rPr>
        <w:t xml:space="preserve"> (la fréquence ne peut être estimée à partir des données disponibles) :</w:t>
      </w:r>
    </w:p>
    <w:p w14:paraId="30DCE65E" w14:textId="77777777" w:rsidR="00E2269D" w:rsidRPr="00D2126A" w:rsidRDefault="000E5A86" w:rsidP="00C93C76">
      <w:pPr>
        <w:pStyle w:val="StyleBullets"/>
      </w:pPr>
      <w:r>
        <w:t>Douleur soudaine ou douleur légère allant en s’intensifiant, dans le haut de l’estomac et (ou) dans le dos, persistant plusieurs jours et pouvant s’accompagner de nausées, vomissements, fièvre et d’un pouls rapide. Ces symptômes peuvent être dus à l’inflammation du pancréas.</w:t>
      </w:r>
    </w:p>
    <w:p w14:paraId="257E7CDE" w14:textId="77777777" w:rsidR="00E2269D" w:rsidRPr="00D2126A" w:rsidRDefault="000E5A86" w:rsidP="00C93C76">
      <w:pPr>
        <w:pStyle w:val="StyleBullets"/>
      </w:pPr>
      <w:r>
        <w:t>Respiration sifflante, essoufflement ou toux sèche, pouvant être le signe de l’inflammation du tissu pulmonaire.</w:t>
      </w:r>
    </w:p>
    <w:p w14:paraId="00890687" w14:textId="77777777" w:rsidR="00B61ED7" w:rsidRPr="00D2126A" w:rsidRDefault="000E5A86" w:rsidP="00C93C76">
      <w:pPr>
        <w:pStyle w:val="StyleBullets"/>
        <w:rPr>
          <w:rFonts w:cs="Verdana"/>
          <w:iCs/>
        </w:rPr>
      </w:pPr>
      <w:r>
        <w:t>De rares cas de destruction du tissu musculaire (douleur, faiblesse ou gonflement musculaires) pouvant entraîner des troubles rénaux (« rhabdomyolyse ») ont été observés, dont certains lorsque Revlimid est administré avec une statine (un type de médicament utilisé pour faire diminuer le taux de cholestérol).</w:t>
      </w:r>
    </w:p>
    <w:p w14:paraId="23CC0D29" w14:textId="77777777" w:rsidR="00B82504" w:rsidRPr="00D2126A" w:rsidRDefault="000E5A86" w:rsidP="00C93C76">
      <w:pPr>
        <w:pStyle w:val="StyleBullets"/>
      </w:pPr>
      <w:r>
        <w:t>Affection de la peau causée par l’inflammation de petits vaisseaux sanguins, accompagnée de douleurs articulaires et de fièvre (vascularite leucocytoclasique).</w:t>
      </w:r>
    </w:p>
    <w:p w14:paraId="6621A680" w14:textId="77777777" w:rsidR="008B232E" w:rsidRPr="00D2126A" w:rsidRDefault="000E5A86" w:rsidP="00C93C76">
      <w:pPr>
        <w:pStyle w:val="StyleBullets"/>
        <w:rPr>
          <w:bCs/>
          <w:iCs/>
        </w:rPr>
      </w:pPr>
      <w:r>
        <w:t>Perforation de la paroi de l’estomac ou de l’intestin. Cela peut entraîner une infection très grave. Informez votre médecin si vous présentez des douleurs d’estomac intenses, de la fièvre, des nausées, des vomissements, du sang dans les selles ou des modifications des selles.</w:t>
      </w:r>
    </w:p>
    <w:p w14:paraId="33FD6237" w14:textId="310D67C8" w:rsidR="00110889" w:rsidRPr="00D2126A" w:rsidRDefault="000E5A86" w:rsidP="00730E0B">
      <w:pPr>
        <w:pStyle w:val="StyleBullets"/>
        <w:keepNext/>
        <w:rPr>
          <w:bCs/>
          <w:iCs/>
        </w:rPr>
      </w:pPr>
      <w:r>
        <w:t>Infections virales, y compris zona (une maladie virale qui provoque une éruption cutanée douloureuse avec des vésicules) et récidive de l’hépatite B (qui peut provoquer un jaunissement de la peau et du blanc de l’œil, des urines foncées, des douleurs dans le côté droit de l’abdomen, une fièvre et des nausées ou vomissements).</w:t>
      </w:r>
    </w:p>
    <w:p w14:paraId="1AADB4BF" w14:textId="77777777" w:rsidR="00693CBF" w:rsidRPr="00D2126A" w:rsidRDefault="000E5A86" w:rsidP="00C93C76">
      <w:pPr>
        <w:pStyle w:val="StyleBullets"/>
        <w:rPr>
          <w:bCs/>
          <w:iCs/>
        </w:rPr>
      </w:pPr>
      <w:r>
        <w:t>Rejet du greffon après une transplantation d’organe (tel qu’un rein, le cœur).</w:t>
      </w:r>
    </w:p>
    <w:p w14:paraId="14FBB1EC" w14:textId="77777777" w:rsidR="00E2269D" w:rsidRPr="00D2126A" w:rsidRDefault="00E2269D" w:rsidP="00C93C76">
      <w:pPr>
        <w:rPr>
          <w:color w:val="000000"/>
        </w:rPr>
      </w:pPr>
    </w:p>
    <w:p w14:paraId="16E5567F" w14:textId="77777777" w:rsidR="00B20135" w:rsidRPr="00D2126A" w:rsidRDefault="000E5A86" w:rsidP="00730E0B">
      <w:pPr>
        <w:keepNext/>
        <w:rPr>
          <w:color w:val="000000"/>
        </w:rPr>
      </w:pPr>
      <w:r>
        <w:rPr>
          <w:b/>
        </w:rPr>
        <w:t>Déclaration des effets secondaires</w:t>
      </w:r>
    </w:p>
    <w:p w14:paraId="7733FC9B" w14:textId="57CD35B9" w:rsidR="00365D78" w:rsidRPr="00D2126A" w:rsidRDefault="000E5A86" w:rsidP="00C93C76">
      <w:pPr>
        <w:pStyle w:val="Date"/>
      </w:pPr>
      <w:r>
        <w:t>Si vous ressentez un quelconque effet indésirable, parlez</w:t>
      </w:r>
      <w:r>
        <w:noBreakHyphen/>
        <w:t xml:space="preserve">en à votre médecin, votre pharmacien ou à votre infirmier/ère. Ceci s’applique aussi à tout effet indésirable qui ne serait pas mentionné dans cette notice. Vous pouvez également déclarer les effets indésirables directement via </w:t>
      </w:r>
      <w:r>
        <w:rPr>
          <w:highlight w:val="lightGray"/>
        </w:rPr>
        <w:t xml:space="preserve">le système national de déclaration décrit en </w:t>
      </w:r>
      <w:hyperlink r:id="rId16" w:history="1">
        <w:r>
          <w:rPr>
            <w:rStyle w:val="Hyperlink"/>
            <w:highlight w:val="lightGray"/>
          </w:rPr>
          <w:t>Annexe V</w:t>
        </w:r>
      </w:hyperlink>
      <w:r>
        <w:t>. En signalant les effets indésirables, vous contribuez à fournir davantage d’informations sur la sécurité du médicament.</w:t>
      </w:r>
    </w:p>
    <w:p w14:paraId="206EC889" w14:textId="77777777" w:rsidR="00792F9F" w:rsidRPr="00D2126A" w:rsidRDefault="00792F9F" w:rsidP="00C93C76">
      <w:pPr>
        <w:pStyle w:val="Date"/>
        <w:rPr>
          <w:color w:val="000000"/>
        </w:rPr>
      </w:pPr>
    </w:p>
    <w:p w14:paraId="550FFDEB" w14:textId="77777777" w:rsidR="00C84A36" w:rsidRPr="00D2126A" w:rsidRDefault="00C84A36" w:rsidP="00C93C76"/>
    <w:p w14:paraId="618D0B84" w14:textId="77777777" w:rsidR="00B52266" w:rsidRPr="00D2126A" w:rsidRDefault="000E5A86" w:rsidP="00C93C76">
      <w:pPr>
        <w:keepNext/>
        <w:numPr>
          <w:ilvl w:val="12"/>
          <w:numId w:val="0"/>
        </w:numPr>
        <w:ind w:left="567" w:hanging="567"/>
        <w:rPr>
          <w:b/>
          <w:color w:val="000000"/>
        </w:rPr>
      </w:pPr>
      <w:r>
        <w:rPr>
          <w:b/>
          <w:color w:val="000000"/>
        </w:rPr>
        <w:t>5.</w:t>
      </w:r>
      <w:r>
        <w:rPr>
          <w:b/>
          <w:color w:val="000000"/>
        </w:rPr>
        <w:tab/>
        <w:t>Comment conserver Revlimid</w:t>
      </w:r>
    </w:p>
    <w:p w14:paraId="7AFFBD69" w14:textId="77777777" w:rsidR="00B52266" w:rsidRPr="00D2126A" w:rsidRDefault="00B52266" w:rsidP="00C93C76">
      <w:pPr>
        <w:keepNext/>
        <w:numPr>
          <w:ilvl w:val="12"/>
          <w:numId w:val="0"/>
        </w:numPr>
        <w:ind w:left="567" w:hanging="567"/>
        <w:rPr>
          <w:color w:val="000000"/>
        </w:rPr>
      </w:pPr>
    </w:p>
    <w:p w14:paraId="40126C04" w14:textId="77777777" w:rsidR="00B52266" w:rsidRPr="00D2126A" w:rsidRDefault="000E5A86" w:rsidP="00C93C76">
      <w:pPr>
        <w:pStyle w:val="StyleBullets"/>
      </w:pPr>
      <w:r>
        <w:t>Tenir ce médicament hors de la vue et de la portée des enfants.</w:t>
      </w:r>
    </w:p>
    <w:p w14:paraId="1DC6AD7F" w14:textId="77777777" w:rsidR="00B52266" w:rsidRPr="00D2126A" w:rsidRDefault="000E5A86" w:rsidP="00C93C76">
      <w:pPr>
        <w:pStyle w:val="StyleBullets"/>
      </w:pPr>
      <w:r>
        <w:t>N’utilisez pas ce médicament après la date de péremption indiquée sur l’emballage après « EXP ». La date de péremption fait référence au dernier jour de ce mois.</w:t>
      </w:r>
    </w:p>
    <w:p w14:paraId="69FAA505" w14:textId="77777777" w:rsidR="00A301DD" w:rsidRPr="00D2126A" w:rsidRDefault="000E5A86" w:rsidP="00C93C76">
      <w:pPr>
        <w:pStyle w:val="StyleBullets"/>
      </w:pPr>
      <w:r>
        <w:t>Ce médicament ne nécessite pas de précautions particulières de conservation.</w:t>
      </w:r>
    </w:p>
    <w:p w14:paraId="4F99A062" w14:textId="77777777" w:rsidR="00B52266" w:rsidRPr="00D2126A" w:rsidRDefault="000E5A86" w:rsidP="00730E0B">
      <w:pPr>
        <w:pStyle w:val="StyleBullets"/>
        <w:keepNext/>
      </w:pPr>
      <w:r>
        <w:t>N’utilisez pas ce médicament si vous remarquez que l’emballage est endommagé ou a été ouvert.</w:t>
      </w:r>
    </w:p>
    <w:p w14:paraId="53AABB33" w14:textId="77777777" w:rsidR="0028385A" w:rsidRPr="00D2126A" w:rsidRDefault="000E5A86" w:rsidP="00C93C76">
      <w:pPr>
        <w:pStyle w:val="StyleBullets"/>
        <w:rPr>
          <w:noProof/>
        </w:rPr>
      </w:pPr>
      <w:r>
        <w:t>Ne jetez aucun médicament au tout</w:t>
      </w:r>
      <w:r>
        <w:noBreakHyphen/>
        <w:t>à</w:t>
      </w:r>
      <w:r>
        <w:noBreakHyphen/>
        <w:t>l’égout ou avec les ordures ménagères. Rapportez les gélules non utilisées à votre pharmacien. Ces mesures contribueront à protéger l’environnement.</w:t>
      </w:r>
    </w:p>
    <w:p w14:paraId="57DC6712" w14:textId="77777777" w:rsidR="0028385A" w:rsidRPr="00D2126A" w:rsidRDefault="0028385A" w:rsidP="00C93C76">
      <w:pPr>
        <w:pStyle w:val="Date"/>
        <w:rPr>
          <w:color w:val="000000"/>
        </w:rPr>
      </w:pPr>
    </w:p>
    <w:p w14:paraId="3D6B0BAF" w14:textId="77777777" w:rsidR="00B52266" w:rsidRPr="00D2126A" w:rsidRDefault="00B52266" w:rsidP="00C93C76">
      <w:pPr>
        <w:numPr>
          <w:ilvl w:val="12"/>
          <w:numId w:val="0"/>
        </w:numPr>
        <w:ind w:right="-2"/>
        <w:rPr>
          <w:color w:val="000000"/>
        </w:rPr>
      </w:pPr>
    </w:p>
    <w:p w14:paraId="4EAC12DD" w14:textId="77777777" w:rsidR="00B52266" w:rsidRPr="00D2126A" w:rsidRDefault="000E5A86" w:rsidP="00C93C76">
      <w:pPr>
        <w:keepNext/>
        <w:numPr>
          <w:ilvl w:val="12"/>
          <w:numId w:val="0"/>
        </w:numPr>
        <w:ind w:left="567" w:hanging="567"/>
        <w:rPr>
          <w:b/>
          <w:color w:val="000000"/>
        </w:rPr>
      </w:pPr>
      <w:r>
        <w:rPr>
          <w:b/>
          <w:color w:val="000000"/>
        </w:rPr>
        <w:t>6.</w:t>
      </w:r>
      <w:r>
        <w:rPr>
          <w:b/>
          <w:color w:val="000000"/>
        </w:rPr>
        <w:tab/>
        <w:t>Contenu de l’emballage et autres informations</w:t>
      </w:r>
    </w:p>
    <w:p w14:paraId="3A5C7D68" w14:textId="77777777" w:rsidR="00B52266" w:rsidRPr="00D2126A" w:rsidRDefault="00B52266" w:rsidP="00C93C76">
      <w:pPr>
        <w:keepNext/>
        <w:numPr>
          <w:ilvl w:val="12"/>
          <w:numId w:val="0"/>
        </w:numPr>
        <w:rPr>
          <w:color w:val="000000"/>
        </w:rPr>
      </w:pPr>
    </w:p>
    <w:p w14:paraId="0943BF73" w14:textId="77777777" w:rsidR="00B52266" w:rsidRPr="00D2126A" w:rsidRDefault="000E5A86" w:rsidP="00C93C76">
      <w:pPr>
        <w:keepNext/>
        <w:numPr>
          <w:ilvl w:val="12"/>
          <w:numId w:val="0"/>
        </w:numPr>
        <w:rPr>
          <w:b/>
          <w:bCs/>
          <w:color w:val="000000"/>
        </w:rPr>
      </w:pPr>
      <w:r>
        <w:rPr>
          <w:b/>
          <w:color w:val="000000"/>
        </w:rPr>
        <w:t>Ce que contient Revlimid</w:t>
      </w:r>
    </w:p>
    <w:p w14:paraId="071448E4" w14:textId="77777777" w:rsidR="00B52266" w:rsidRPr="00D2126A" w:rsidRDefault="00B52266" w:rsidP="00730E0B">
      <w:pPr>
        <w:keepNext/>
        <w:numPr>
          <w:ilvl w:val="12"/>
          <w:numId w:val="0"/>
        </w:numPr>
        <w:rPr>
          <w:color w:val="000000"/>
          <w:u w:val="single"/>
        </w:rPr>
      </w:pPr>
    </w:p>
    <w:p w14:paraId="303D0974" w14:textId="77777777" w:rsidR="006C0E0C" w:rsidRPr="00D2126A" w:rsidRDefault="000E5A86" w:rsidP="00730E0B">
      <w:pPr>
        <w:keepNext/>
        <w:numPr>
          <w:ilvl w:val="12"/>
          <w:numId w:val="0"/>
        </w:numPr>
        <w:rPr>
          <w:color w:val="000000"/>
        </w:rPr>
      </w:pPr>
      <w:r>
        <w:rPr>
          <w:color w:val="000000"/>
        </w:rPr>
        <w:t>Revlimid 2,5 mg gélules :</w:t>
      </w:r>
    </w:p>
    <w:p w14:paraId="30A06A94" w14:textId="77777777" w:rsidR="006C0E0C" w:rsidRPr="00D2126A" w:rsidRDefault="000E5A86" w:rsidP="00C93C76">
      <w:pPr>
        <w:pStyle w:val="StyleBullets"/>
      </w:pPr>
      <w:r>
        <w:t>La substance active est le lénalidomide. Chaque gélule contient 2,5 mg de lénalidomide.</w:t>
      </w:r>
    </w:p>
    <w:p w14:paraId="15257587" w14:textId="77777777" w:rsidR="006C0E0C" w:rsidRPr="00D2126A" w:rsidRDefault="000E5A86" w:rsidP="00730E0B">
      <w:pPr>
        <w:pStyle w:val="StyleBullets"/>
        <w:keepNext/>
      </w:pPr>
      <w:r>
        <w:t>Les autres composants sont :</w:t>
      </w:r>
    </w:p>
    <w:p w14:paraId="591A73A3" w14:textId="31D598CE" w:rsidR="006C0E0C" w:rsidRPr="00D2126A" w:rsidRDefault="000E5A86" w:rsidP="00C93C76">
      <w:pPr>
        <w:numPr>
          <w:ilvl w:val="0"/>
          <w:numId w:val="23"/>
        </w:numPr>
        <w:tabs>
          <w:tab w:val="clear" w:pos="360"/>
          <w:tab w:val="left" w:pos="1134"/>
        </w:tabs>
        <w:ind w:left="1134" w:hanging="567"/>
        <w:rPr>
          <w:color w:val="000000"/>
        </w:rPr>
      </w:pPr>
      <w:r>
        <w:rPr>
          <w:color w:val="000000"/>
        </w:rPr>
        <w:t>contenu des gélules : lactose anhydre (voir rubrique 2), cellulose microcristalline, croscarmellose sodique et stéarate de magnésium</w:t>
      </w:r>
    </w:p>
    <w:p w14:paraId="66D32BE0" w14:textId="77777777" w:rsidR="006C0E0C" w:rsidRPr="00D2126A" w:rsidRDefault="000E5A86" w:rsidP="00730E0B">
      <w:pPr>
        <w:keepNext/>
        <w:numPr>
          <w:ilvl w:val="0"/>
          <w:numId w:val="23"/>
        </w:numPr>
        <w:tabs>
          <w:tab w:val="clear" w:pos="360"/>
          <w:tab w:val="left" w:pos="1134"/>
        </w:tabs>
        <w:ind w:left="1134" w:hanging="567"/>
        <w:rPr>
          <w:color w:val="000000"/>
        </w:rPr>
      </w:pPr>
      <w:r>
        <w:rPr>
          <w:color w:val="000000"/>
        </w:rPr>
        <w:t>enveloppe des gélules : gélatine, dioxyde de titane (E171), carmin indigo (E132) et oxyde de fer jaune (E172)</w:t>
      </w:r>
    </w:p>
    <w:p w14:paraId="4E470D49" w14:textId="77777777" w:rsidR="006C0E0C" w:rsidRPr="00D2126A" w:rsidRDefault="000E5A86" w:rsidP="00C93C76">
      <w:pPr>
        <w:numPr>
          <w:ilvl w:val="0"/>
          <w:numId w:val="23"/>
        </w:numPr>
        <w:tabs>
          <w:tab w:val="clear" w:pos="360"/>
          <w:tab w:val="left" w:pos="1134"/>
        </w:tabs>
        <w:ind w:left="1134" w:hanging="567"/>
        <w:rPr>
          <w:color w:val="000000"/>
        </w:rPr>
      </w:pPr>
      <w:r>
        <w:rPr>
          <w:color w:val="000000"/>
        </w:rPr>
        <w:t>encre d’impression : gomme laque, propylèneglycol (E1520), hydroxyde de potassium et oxyde de fer noir (E172).</w:t>
      </w:r>
    </w:p>
    <w:p w14:paraId="16D58C5A" w14:textId="77777777" w:rsidR="006C0E0C" w:rsidRPr="00D2126A" w:rsidRDefault="006C0E0C" w:rsidP="00C93C76">
      <w:pPr>
        <w:pStyle w:val="Date"/>
        <w:rPr>
          <w:color w:val="000000"/>
        </w:rPr>
      </w:pPr>
    </w:p>
    <w:p w14:paraId="19762294" w14:textId="77777777" w:rsidR="00346F7A" w:rsidRPr="00D2126A" w:rsidRDefault="000E5A86" w:rsidP="00C93C76">
      <w:pPr>
        <w:keepNext/>
        <w:numPr>
          <w:ilvl w:val="12"/>
          <w:numId w:val="0"/>
        </w:numPr>
        <w:rPr>
          <w:color w:val="000000"/>
        </w:rPr>
      </w:pPr>
      <w:r>
        <w:rPr>
          <w:color w:val="000000"/>
        </w:rPr>
        <w:t>Revlimid 5 mg gélules :</w:t>
      </w:r>
    </w:p>
    <w:p w14:paraId="64193EFC" w14:textId="77777777" w:rsidR="00346F7A" w:rsidRPr="00D2126A" w:rsidRDefault="000E5A86" w:rsidP="00C93C76">
      <w:pPr>
        <w:pStyle w:val="StyleBullets"/>
      </w:pPr>
      <w:r>
        <w:t>La substance active est le lénalidomide. Chaque gélule contient 5 mg de lénalidomide.</w:t>
      </w:r>
    </w:p>
    <w:p w14:paraId="379244BB" w14:textId="77777777" w:rsidR="00346F7A" w:rsidRPr="00D2126A" w:rsidRDefault="000E5A86" w:rsidP="00730E0B">
      <w:pPr>
        <w:pStyle w:val="StyleBullets"/>
        <w:keepNext/>
      </w:pPr>
      <w:r>
        <w:t>Les autres composants sont :</w:t>
      </w:r>
    </w:p>
    <w:p w14:paraId="01638517" w14:textId="307E9772" w:rsidR="00346F7A" w:rsidRPr="00D2126A" w:rsidRDefault="000E5A86" w:rsidP="00C93C76">
      <w:pPr>
        <w:numPr>
          <w:ilvl w:val="0"/>
          <w:numId w:val="23"/>
        </w:numPr>
        <w:tabs>
          <w:tab w:val="clear" w:pos="360"/>
          <w:tab w:val="left" w:pos="1134"/>
        </w:tabs>
        <w:ind w:left="1134" w:hanging="567"/>
        <w:rPr>
          <w:color w:val="000000"/>
        </w:rPr>
      </w:pPr>
      <w:r>
        <w:rPr>
          <w:color w:val="000000"/>
        </w:rPr>
        <w:t>contenu des gélules : lactose anhydre (voir rubrique 2), cellulose microcristalline, croscarmellose sodique et stéarate de magnésium</w:t>
      </w:r>
    </w:p>
    <w:p w14:paraId="61F57DF3" w14:textId="77777777" w:rsidR="00346F7A" w:rsidRPr="00D2126A" w:rsidRDefault="000E5A86" w:rsidP="00730E0B">
      <w:pPr>
        <w:keepNext/>
        <w:numPr>
          <w:ilvl w:val="0"/>
          <w:numId w:val="23"/>
        </w:numPr>
        <w:tabs>
          <w:tab w:val="clear" w:pos="360"/>
          <w:tab w:val="left" w:pos="1134"/>
        </w:tabs>
        <w:ind w:left="1134" w:hanging="567"/>
        <w:rPr>
          <w:color w:val="000000"/>
        </w:rPr>
      </w:pPr>
      <w:r>
        <w:rPr>
          <w:color w:val="000000"/>
        </w:rPr>
        <w:t>enveloppe des gélules : gélatine et dioxyde de titane (E171)</w:t>
      </w:r>
    </w:p>
    <w:p w14:paraId="21EDAEC5" w14:textId="77777777" w:rsidR="00346F7A" w:rsidRPr="00D2126A" w:rsidRDefault="000E5A86" w:rsidP="00C93C76">
      <w:pPr>
        <w:numPr>
          <w:ilvl w:val="0"/>
          <w:numId w:val="23"/>
        </w:numPr>
        <w:tabs>
          <w:tab w:val="clear" w:pos="360"/>
          <w:tab w:val="left" w:pos="1134"/>
        </w:tabs>
        <w:ind w:left="1134" w:hanging="567"/>
        <w:rPr>
          <w:color w:val="000000"/>
        </w:rPr>
      </w:pPr>
      <w:r>
        <w:rPr>
          <w:color w:val="000000"/>
        </w:rPr>
        <w:t>encre d’impression : gomme laque, propylèneglycol (E1520), hydroxyde de potassium et oxyde de fer noir (E172).</w:t>
      </w:r>
    </w:p>
    <w:p w14:paraId="36567231" w14:textId="77777777" w:rsidR="003A13F2" w:rsidRPr="00D2126A" w:rsidRDefault="003A13F2" w:rsidP="00C93C76">
      <w:pPr>
        <w:pStyle w:val="Date"/>
      </w:pPr>
    </w:p>
    <w:p w14:paraId="2D67853D" w14:textId="77777777" w:rsidR="003A13F2" w:rsidRPr="00D2126A" w:rsidRDefault="000E5A86" w:rsidP="00C93C76">
      <w:pPr>
        <w:keepNext/>
        <w:numPr>
          <w:ilvl w:val="12"/>
          <w:numId w:val="0"/>
        </w:numPr>
        <w:rPr>
          <w:color w:val="000000"/>
        </w:rPr>
      </w:pPr>
      <w:r>
        <w:rPr>
          <w:color w:val="000000"/>
        </w:rPr>
        <w:t>Revlimid 7,5 mg gélules :</w:t>
      </w:r>
    </w:p>
    <w:p w14:paraId="776F3AEA" w14:textId="77777777" w:rsidR="003A13F2" w:rsidRPr="00D2126A" w:rsidRDefault="000E5A86" w:rsidP="00730E0B">
      <w:pPr>
        <w:pStyle w:val="StyleBullets"/>
      </w:pPr>
      <w:r>
        <w:t>La substance active est le lénalidomide. Chaque gélule contient 7,5 mg de lénalidomide.</w:t>
      </w:r>
    </w:p>
    <w:p w14:paraId="01342756" w14:textId="77777777" w:rsidR="003A13F2" w:rsidRPr="00D2126A" w:rsidRDefault="000E5A86" w:rsidP="00730E0B">
      <w:pPr>
        <w:pStyle w:val="StyleBullets"/>
        <w:keepNext/>
      </w:pPr>
      <w:r>
        <w:t>Les autres composants sont :</w:t>
      </w:r>
    </w:p>
    <w:p w14:paraId="48D5B953" w14:textId="14DD78FE" w:rsidR="003A13F2" w:rsidRPr="00D2126A" w:rsidRDefault="000E5A86" w:rsidP="00C93C76">
      <w:pPr>
        <w:numPr>
          <w:ilvl w:val="0"/>
          <w:numId w:val="23"/>
        </w:numPr>
        <w:tabs>
          <w:tab w:val="clear" w:pos="360"/>
          <w:tab w:val="left" w:pos="1134"/>
        </w:tabs>
        <w:ind w:left="1134" w:hanging="567"/>
        <w:rPr>
          <w:color w:val="000000"/>
        </w:rPr>
      </w:pPr>
      <w:r>
        <w:rPr>
          <w:color w:val="000000"/>
        </w:rPr>
        <w:t>contenu des gélules : lactose anhydre (voir rubrique 2), cellulose microcristalline, croscarmellose sodique et stéarate de magnésium</w:t>
      </w:r>
    </w:p>
    <w:p w14:paraId="4A339000" w14:textId="77777777" w:rsidR="003A13F2" w:rsidRPr="00D2126A" w:rsidRDefault="000E5A86" w:rsidP="00730E0B">
      <w:pPr>
        <w:keepNext/>
        <w:numPr>
          <w:ilvl w:val="0"/>
          <w:numId w:val="23"/>
        </w:numPr>
        <w:tabs>
          <w:tab w:val="clear" w:pos="360"/>
          <w:tab w:val="left" w:pos="1134"/>
        </w:tabs>
        <w:ind w:left="1134" w:hanging="567"/>
        <w:rPr>
          <w:color w:val="000000"/>
        </w:rPr>
      </w:pPr>
      <w:r>
        <w:rPr>
          <w:color w:val="000000"/>
        </w:rPr>
        <w:t>enveloppe des gélules : gélatine, dioxyde de titane (E171) et oxyde de fer jaune (E172)</w:t>
      </w:r>
    </w:p>
    <w:p w14:paraId="3728360E" w14:textId="77777777" w:rsidR="00346F7A" w:rsidRPr="00D2126A" w:rsidRDefault="000E5A86" w:rsidP="00C93C76">
      <w:pPr>
        <w:numPr>
          <w:ilvl w:val="0"/>
          <w:numId w:val="23"/>
        </w:numPr>
        <w:tabs>
          <w:tab w:val="clear" w:pos="360"/>
          <w:tab w:val="left" w:pos="1134"/>
        </w:tabs>
        <w:ind w:left="1134" w:hanging="567"/>
        <w:rPr>
          <w:color w:val="000000"/>
        </w:rPr>
      </w:pPr>
      <w:r>
        <w:rPr>
          <w:color w:val="000000"/>
        </w:rPr>
        <w:t>encre d’impression : gomme laque, propylèneglycol (E1520), hydroxyde de potassium et oxyde de fer noir (E172).</w:t>
      </w:r>
    </w:p>
    <w:p w14:paraId="1CAE79B3" w14:textId="77777777" w:rsidR="003A13F2" w:rsidRPr="00D2126A" w:rsidRDefault="003A13F2" w:rsidP="00C93C76"/>
    <w:p w14:paraId="6C7F8DDC" w14:textId="77777777" w:rsidR="00346F7A" w:rsidRPr="00D2126A" w:rsidRDefault="000E5A86" w:rsidP="00730E0B">
      <w:pPr>
        <w:keepNext/>
        <w:numPr>
          <w:ilvl w:val="12"/>
          <w:numId w:val="0"/>
        </w:numPr>
        <w:rPr>
          <w:color w:val="000000"/>
        </w:rPr>
      </w:pPr>
      <w:r>
        <w:rPr>
          <w:color w:val="000000"/>
        </w:rPr>
        <w:t>Revlimid 10 mg gélules :</w:t>
      </w:r>
    </w:p>
    <w:p w14:paraId="747215D9" w14:textId="77777777" w:rsidR="00346F7A" w:rsidRPr="00D2126A" w:rsidRDefault="000E5A86" w:rsidP="00C93C76">
      <w:pPr>
        <w:pStyle w:val="StyleBullets"/>
      </w:pPr>
      <w:r>
        <w:t>La substance active est le lénalidomide. Chaque gélule contient 10 mg de lénalidomide.</w:t>
      </w:r>
    </w:p>
    <w:p w14:paraId="57BD1972" w14:textId="77777777" w:rsidR="00346F7A" w:rsidRPr="00D2126A" w:rsidRDefault="000E5A86" w:rsidP="00730E0B">
      <w:pPr>
        <w:pStyle w:val="StyleBullets"/>
        <w:keepNext/>
      </w:pPr>
      <w:r>
        <w:t>Les autres composants sont :</w:t>
      </w:r>
    </w:p>
    <w:p w14:paraId="0C860EBF" w14:textId="70D6C89E" w:rsidR="00346F7A" w:rsidRPr="00D2126A" w:rsidRDefault="000E5A86" w:rsidP="00C93C76">
      <w:pPr>
        <w:numPr>
          <w:ilvl w:val="0"/>
          <w:numId w:val="23"/>
        </w:numPr>
        <w:tabs>
          <w:tab w:val="clear" w:pos="360"/>
          <w:tab w:val="num" w:pos="1134"/>
        </w:tabs>
        <w:ind w:left="1134" w:hanging="567"/>
        <w:rPr>
          <w:color w:val="000000"/>
        </w:rPr>
      </w:pPr>
      <w:r>
        <w:rPr>
          <w:color w:val="000000"/>
        </w:rPr>
        <w:t>contenu des gélules : lactose anhydre (voir rubrique 2), cellulose microcristalline, croscarmellose sodique et stéarate de magnésium</w:t>
      </w:r>
    </w:p>
    <w:p w14:paraId="0DF0712F" w14:textId="77777777" w:rsidR="00346F7A" w:rsidRPr="00D2126A" w:rsidRDefault="000E5A86" w:rsidP="00730E0B">
      <w:pPr>
        <w:keepNext/>
        <w:numPr>
          <w:ilvl w:val="0"/>
          <w:numId w:val="23"/>
        </w:numPr>
        <w:tabs>
          <w:tab w:val="clear" w:pos="360"/>
          <w:tab w:val="num" w:pos="1134"/>
        </w:tabs>
        <w:ind w:left="1134" w:hanging="567"/>
        <w:rPr>
          <w:color w:val="000000"/>
        </w:rPr>
      </w:pPr>
      <w:r>
        <w:rPr>
          <w:color w:val="000000"/>
        </w:rPr>
        <w:t>enveloppe des gélules : gélatine, dioxyde de titane (E171), carmin indigo (E132) et oxyde fer jaune (E172)</w:t>
      </w:r>
    </w:p>
    <w:p w14:paraId="5C32C99A" w14:textId="77777777" w:rsidR="00346F7A" w:rsidRPr="00D2126A" w:rsidRDefault="000E5A86" w:rsidP="00C93C76">
      <w:pPr>
        <w:numPr>
          <w:ilvl w:val="0"/>
          <w:numId w:val="23"/>
        </w:numPr>
        <w:tabs>
          <w:tab w:val="clear" w:pos="360"/>
          <w:tab w:val="num" w:pos="1134"/>
        </w:tabs>
        <w:ind w:left="1134" w:hanging="567"/>
        <w:rPr>
          <w:color w:val="000000"/>
        </w:rPr>
      </w:pPr>
      <w:r>
        <w:rPr>
          <w:color w:val="000000"/>
        </w:rPr>
        <w:t>encre d’impression : gomme laque, propylèneglycol (E1520), hydroxyde de potassium et oxyde de fer noir (E172).</w:t>
      </w:r>
    </w:p>
    <w:p w14:paraId="236CF542" w14:textId="77777777" w:rsidR="003A13F2" w:rsidRPr="00D2126A" w:rsidRDefault="003A13F2" w:rsidP="00C93C76">
      <w:pPr>
        <w:numPr>
          <w:ilvl w:val="12"/>
          <w:numId w:val="0"/>
        </w:numPr>
        <w:ind w:right="-2"/>
        <w:rPr>
          <w:color w:val="000000"/>
        </w:rPr>
      </w:pPr>
    </w:p>
    <w:p w14:paraId="2609B66D" w14:textId="77777777" w:rsidR="003A13F2" w:rsidRPr="00D2126A" w:rsidRDefault="000E5A86" w:rsidP="00730E0B">
      <w:pPr>
        <w:keepNext/>
        <w:numPr>
          <w:ilvl w:val="12"/>
          <w:numId w:val="0"/>
        </w:numPr>
        <w:rPr>
          <w:color w:val="000000"/>
        </w:rPr>
      </w:pPr>
      <w:r>
        <w:rPr>
          <w:color w:val="000000"/>
        </w:rPr>
        <w:t>Revlimid 15 mg gélules :</w:t>
      </w:r>
    </w:p>
    <w:p w14:paraId="5DA83815" w14:textId="77777777" w:rsidR="003A13F2" w:rsidRPr="00D2126A" w:rsidRDefault="000E5A86" w:rsidP="00C93C76">
      <w:pPr>
        <w:numPr>
          <w:ilvl w:val="0"/>
          <w:numId w:val="22"/>
        </w:numPr>
        <w:rPr>
          <w:color w:val="000000"/>
        </w:rPr>
      </w:pPr>
      <w:r>
        <w:rPr>
          <w:color w:val="000000"/>
        </w:rPr>
        <w:t>La substance active est le lénalidomide. Chaque gélule contient 15 mg de lénalidomide.</w:t>
      </w:r>
    </w:p>
    <w:p w14:paraId="197C5838" w14:textId="77777777" w:rsidR="003A13F2" w:rsidRPr="00D2126A" w:rsidRDefault="000E5A86" w:rsidP="00730E0B">
      <w:pPr>
        <w:keepNext/>
        <w:numPr>
          <w:ilvl w:val="0"/>
          <w:numId w:val="22"/>
        </w:numPr>
        <w:rPr>
          <w:color w:val="000000"/>
        </w:rPr>
      </w:pPr>
      <w:r>
        <w:rPr>
          <w:color w:val="000000"/>
        </w:rPr>
        <w:t>Les autres composants sont :</w:t>
      </w:r>
    </w:p>
    <w:p w14:paraId="525126F9" w14:textId="4A5EB2E7" w:rsidR="003A13F2" w:rsidRPr="00D2126A" w:rsidRDefault="000E5A86" w:rsidP="00C93C76">
      <w:pPr>
        <w:numPr>
          <w:ilvl w:val="0"/>
          <w:numId w:val="23"/>
        </w:numPr>
        <w:tabs>
          <w:tab w:val="clear" w:pos="360"/>
          <w:tab w:val="num" w:pos="1134"/>
        </w:tabs>
        <w:ind w:left="1134" w:hanging="567"/>
        <w:rPr>
          <w:color w:val="000000"/>
        </w:rPr>
      </w:pPr>
      <w:r>
        <w:rPr>
          <w:color w:val="000000"/>
        </w:rPr>
        <w:t>contenu des gélules : lactose anhydre (voir rubrique 2), cellulose microcristalline, croscarmellose sodique et stéarate de magnésium</w:t>
      </w:r>
    </w:p>
    <w:p w14:paraId="0E50F501"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enveloppe des gélules : gélatine, dioxyde de titane (E171) et carmin indigo (E132)</w:t>
      </w:r>
    </w:p>
    <w:p w14:paraId="52D3D2F9"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encre d’impression : gomme laque, propylèneglycol (E1520), hydroxyde de potassium et oxyde de fer noir (E172).</w:t>
      </w:r>
    </w:p>
    <w:p w14:paraId="2351695C" w14:textId="77777777" w:rsidR="003A13F2" w:rsidRPr="00D2126A" w:rsidRDefault="003A13F2" w:rsidP="00730E0B">
      <w:pPr>
        <w:tabs>
          <w:tab w:val="left" w:pos="993"/>
        </w:tabs>
        <w:rPr>
          <w:color w:val="000000"/>
        </w:rPr>
      </w:pPr>
    </w:p>
    <w:p w14:paraId="0543AC2B" w14:textId="77777777" w:rsidR="003A13F2" w:rsidRPr="00D2126A" w:rsidRDefault="000E5A86" w:rsidP="00730E0B">
      <w:pPr>
        <w:keepNext/>
        <w:numPr>
          <w:ilvl w:val="12"/>
          <w:numId w:val="0"/>
        </w:numPr>
      </w:pPr>
      <w:r>
        <w:t>Revlimid 20 mg gélules :</w:t>
      </w:r>
    </w:p>
    <w:p w14:paraId="10309483" w14:textId="77777777" w:rsidR="003A13F2" w:rsidRPr="00D2126A" w:rsidRDefault="000E5A86" w:rsidP="00C93C76">
      <w:pPr>
        <w:numPr>
          <w:ilvl w:val="0"/>
          <w:numId w:val="22"/>
        </w:numPr>
      </w:pPr>
      <w:r>
        <w:t>La substance active est le lénalidomide. Chaque gélule contient 20 mg de lénalidomide.</w:t>
      </w:r>
    </w:p>
    <w:p w14:paraId="32BE237B" w14:textId="77777777" w:rsidR="003A13F2" w:rsidRPr="00D2126A" w:rsidRDefault="000E5A86" w:rsidP="00730E0B">
      <w:pPr>
        <w:keepNext/>
        <w:numPr>
          <w:ilvl w:val="0"/>
          <w:numId w:val="22"/>
        </w:numPr>
      </w:pPr>
      <w:r>
        <w:t>Les autres composants sont :</w:t>
      </w:r>
    </w:p>
    <w:p w14:paraId="436400DF" w14:textId="23F55438" w:rsidR="003A13F2" w:rsidRPr="00D2126A" w:rsidRDefault="000E5A86" w:rsidP="00C93C76">
      <w:pPr>
        <w:numPr>
          <w:ilvl w:val="0"/>
          <w:numId w:val="23"/>
        </w:numPr>
        <w:tabs>
          <w:tab w:val="clear" w:pos="360"/>
          <w:tab w:val="num" w:pos="1134"/>
        </w:tabs>
        <w:ind w:left="1134" w:hanging="567"/>
        <w:rPr>
          <w:color w:val="000000"/>
        </w:rPr>
      </w:pPr>
      <w:r>
        <w:rPr>
          <w:color w:val="000000"/>
        </w:rPr>
        <w:t>contenu des gélules : lactose anhydre (voir rubrique 2), cellulose microcristalline, croscarmellose sodique et stéarate de magnésium</w:t>
      </w:r>
    </w:p>
    <w:p w14:paraId="6E824705"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enveloppe des gélules : gélatine, dioxyde de titane (E171), carmin indigo (E132) et oxyde de fer jaune (E172)</w:t>
      </w:r>
    </w:p>
    <w:p w14:paraId="16EB8D1F"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encre d’impression : gomme laque, propylèneglycol (E1520), hydroxyde de potassium et oxyde de fer noir (E172).</w:t>
      </w:r>
    </w:p>
    <w:p w14:paraId="65918CF1" w14:textId="77777777" w:rsidR="003A13F2" w:rsidRPr="00D2126A" w:rsidRDefault="003A13F2" w:rsidP="00C93C76">
      <w:pPr>
        <w:numPr>
          <w:ilvl w:val="12"/>
          <w:numId w:val="0"/>
        </w:numPr>
        <w:rPr>
          <w:color w:val="000000"/>
        </w:rPr>
      </w:pPr>
    </w:p>
    <w:p w14:paraId="1BD8D99D" w14:textId="77777777" w:rsidR="003A13F2" w:rsidRPr="00D2126A" w:rsidRDefault="000E5A86" w:rsidP="00C93C76">
      <w:pPr>
        <w:keepNext/>
        <w:numPr>
          <w:ilvl w:val="12"/>
          <w:numId w:val="0"/>
        </w:numPr>
        <w:rPr>
          <w:color w:val="000000"/>
        </w:rPr>
      </w:pPr>
      <w:r>
        <w:rPr>
          <w:color w:val="000000"/>
        </w:rPr>
        <w:t>Revlimid 25 mg gélules :</w:t>
      </w:r>
    </w:p>
    <w:p w14:paraId="69210A44" w14:textId="77777777" w:rsidR="003A13F2" w:rsidRPr="00D2126A" w:rsidRDefault="000E5A86" w:rsidP="00730E0B">
      <w:pPr>
        <w:numPr>
          <w:ilvl w:val="0"/>
          <w:numId w:val="22"/>
        </w:numPr>
        <w:rPr>
          <w:color w:val="000000"/>
        </w:rPr>
      </w:pPr>
      <w:r>
        <w:rPr>
          <w:color w:val="000000"/>
        </w:rPr>
        <w:t>La substance active est le lénalidomide. Chaque gélule contient 25 mg de lénalidomide.</w:t>
      </w:r>
    </w:p>
    <w:p w14:paraId="3393AF51" w14:textId="77777777" w:rsidR="003A13F2" w:rsidRPr="00D2126A" w:rsidRDefault="000E5A86" w:rsidP="00C93C76">
      <w:pPr>
        <w:keepNext/>
        <w:numPr>
          <w:ilvl w:val="0"/>
          <w:numId w:val="22"/>
        </w:numPr>
        <w:rPr>
          <w:color w:val="000000"/>
        </w:rPr>
      </w:pPr>
      <w:r>
        <w:rPr>
          <w:color w:val="000000"/>
        </w:rPr>
        <w:t>Les autres composants sont :</w:t>
      </w:r>
    </w:p>
    <w:p w14:paraId="43B97D62" w14:textId="1B4CC8AB" w:rsidR="003A13F2" w:rsidRPr="00D2126A" w:rsidRDefault="000E5A86" w:rsidP="00C93C76">
      <w:pPr>
        <w:numPr>
          <w:ilvl w:val="0"/>
          <w:numId w:val="23"/>
        </w:numPr>
        <w:tabs>
          <w:tab w:val="clear" w:pos="360"/>
          <w:tab w:val="num" w:pos="1134"/>
        </w:tabs>
        <w:ind w:left="1134" w:hanging="567"/>
        <w:rPr>
          <w:color w:val="000000"/>
        </w:rPr>
      </w:pPr>
      <w:r>
        <w:rPr>
          <w:color w:val="000000"/>
        </w:rPr>
        <w:t>contenu des gélules : lactose anhydre (voir rubrique 2), cellulose microcristalline, croscarmellose sodique et stéarate de magnésium</w:t>
      </w:r>
    </w:p>
    <w:p w14:paraId="3E0BF2F7"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enveloppe des gélules : gélatine et dioxyde de titane (E171)</w:t>
      </w:r>
    </w:p>
    <w:p w14:paraId="6B74C9D1"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encre d’impression : gomme laque, propylèneglycol (E1520), hydroxyde de potassium et oxyde de fer noir (E172).</w:t>
      </w:r>
    </w:p>
    <w:p w14:paraId="7A6F39D4" w14:textId="77777777" w:rsidR="003A13F2" w:rsidRPr="00D2126A" w:rsidRDefault="003A13F2" w:rsidP="00C93C76">
      <w:pPr>
        <w:numPr>
          <w:ilvl w:val="12"/>
          <w:numId w:val="0"/>
        </w:numPr>
        <w:ind w:right="-2"/>
        <w:rPr>
          <w:bCs/>
          <w:color w:val="000000"/>
        </w:rPr>
      </w:pPr>
    </w:p>
    <w:p w14:paraId="180A713B" w14:textId="77777777" w:rsidR="00B52266" w:rsidRPr="00D2126A" w:rsidRDefault="000E5A86" w:rsidP="00C93C76">
      <w:pPr>
        <w:keepNext/>
        <w:numPr>
          <w:ilvl w:val="12"/>
          <w:numId w:val="0"/>
        </w:numPr>
        <w:ind w:right="-2"/>
        <w:rPr>
          <w:b/>
          <w:bCs/>
          <w:color w:val="000000"/>
        </w:rPr>
      </w:pPr>
      <w:r>
        <w:rPr>
          <w:b/>
          <w:color w:val="000000"/>
        </w:rPr>
        <w:t>Comment se présente Revlimid et contenu de l’emballage extérieur</w:t>
      </w:r>
    </w:p>
    <w:p w14:paraId="63A6979C" w14:textId="77777777" w:rsidR="00B52266" w:rsidRPr="00D2126A" w:rsidRDefault="00B52266" w:rsidP="00C93C76">
      <w:pPr>
        <w:keepNext/>
        <w:numPr>
          <w:ilvl w:val="12"/>
          <w:numId w:val="0"/>
        </w:numPr>
        <w:ind w:right="-2"/>
        <w:rPr>
          <w:bCs/>
          <w:color w:val="000000"/>
        </w:rPr>
      </w:pPr>
    </w:p>
    <w:p w14:paraId="091317D6" w14:textId="01EDD041" w:rsidR="00120F5F" w:rsidRPr="00D2126A" w:rsidRDefault="000E5A86" w:rsidP="00730E0B">
      <w:pPr>
        <w:pStyle w:val="Date"/>
        <w:keepNext/>
        <w:rPr>
          <w:color w:val="000000"/>
        </w:rPr>
      </w:pPr>
      <w:r>
        <w:rPr>
          <w:color w:val="000000"/>
        </w:rPr>
        <w:t>Les gélules de 2,5 mg de Revlimid sont bleu</w:t>
      </w:r>
      <w:r>
        <w:rPr>
          <w:color w:val="000000"/>
        </w:rPr>
        <w:noBreakHyphen/>
        <w:t>vert/blanches et portent l’inscription « REV 2.5 mg ».</w:t>
      </w:r>
    </w:p>
    <w:p w14:paraId="3C863041" w14:textId="77777777" w:rsidR="00C30998" w:rsidRPr="00D2126A" w:rsidRDefault="000E5A86" w:rsidP="00C93C76">
      <w:pPr>
        <w:numPr>
          <w:ilvl w:val="12"/>
          <w:numId w:val="0"/>
        </w:numPr>
        <w:ind w:right="-2"/>
        <w:rPr>
          <w:color w:val="000000"/>
        </w:rPr>
      </w:pPr>
      <w:r>
        <w:rPr>
          <w:color w:val="000000"/>
        </w:rPr>
        <w:t>Les gélules sont fournies dans des boîtes. Chaque boîte contient une ou trois plaquette(s) contenant chacune sept gélules, soit un total de 7 ou 21 gélules par boîte.</w:t>
      </w:r>
    </w:p>
    <w:p w14:paraId="02F5FA58" w14:textId="77777777" w:rsidR="00C30998" w:rsidRPr="00D2126A" w:rsidRDefault="00C30998" w:rsidP="00C93C76">
      <w:pPr>
        <w:numPr>
          <w:ilvl w:val="12"/>
          <w:numId w:val="0"/>
        </w:numPr>
        <w:ind w:right="-2"/>
        <w:rPr>
          <w:color w:val="000000"/>
        </w:rPr>
      </w:pPr>
    </w:p>
    <w:p w14:paraId="3191B572" w14:textId="0DAD1C61" w:rsidR="00346F7A" w:rsidRPr="00D2126A" w:rsidRDefault="000E5A86" w:rsidP="00C93C76">
      <w:pPr>
        <w:keepNext/>
        <w:numPr>
          <w:ilvl w:val="12"/>
          <w:numId w:val="0"/>
        </w:numPr>
        <w:rPr>
          <w:color w:val="000000"/>
        </w:rPr>
      </w:pPr>
      <w:r>
        <w:rPr>
          <w:color w:val="000000"/>
        </w:rPr>
        <w:t>Les gélules de 5 mg de Revlimid sont blanches et portent l’inscription « REV 5 mg ».</w:t>
      </w:r>
    </w:p>
    <w:p w14:paraId="3DEAA817" w14:textId="77777777" w:rsidR="00C30998" w:rsidRPr="00D2126A" w:rsidRDefault="000E5A86" w:rsidP="00C93C76">
      <w:pPr>
        <w:numPr>
          <w:ilvl w:val="12"/>
          <w:numId w:val="0"/>
        </w:numPr>
        <w:ind w:right="-2"/>
        <w:rPr>
          <w:color w:val="000000"/>
        </w:rPr>
      </w:pPr>
      <w:r>
        <w:rPr>
          <w:color w:val="000000"/>
        </w:rPr>
        <w:t>Les gélules sont fournies dans des boîtes. Chaque boîte contient une ou trois plaquette(s) contenant chacune sept gélules, soit un total de 7 ou 21 gélules par boîte.</w:t>
      </w:r>
    </w:p>
    <w:p w14:paraId="6E3F4462" w14:textId="77777777" w:rsidR="00C30998" w:rsidRPr="00D2126A" w:rsidRDefault="00C30998" w:rsidP="00C93C76">
      <w:pPr>
        <w:numPr>
          <w:ilvl w:val="12"/>
          <w:numId w:val="0"/>
        </w:numPr>
        <w:ind w:right="-2"/>
        <w:rPr>
          <w:color w:val="000000"/>
        </w:rPr>
      </w:pPr>
    </w:p>
    <w:p w14:paraId="0C2F4F21" w14:textId="6BF0F8A5" w:rsidR="003A13F2" w:rsidRPr="00D2126A" w:rsidRDefault="000E5A86" w:rsidP="00730E0B">
      <w:pPr>
        <w:keepNext/>
        <w:numPr>
          <w:ilvl w:val="12"/>
          <w:numId w:val="0"/>
        </w:numPr>
        <w:ind w:right="-2"/>
        <w:rPr>
          <w:color w:val="000000"/>
        </w:rPr>
      </w:pPr>
      <w:r>
        <w:rPr>
          <w:color w:val="000000"/>
        </w:rPr>
        <w:t>Les gélules de 7,5 mg de Revlimid sont jaune pâle/blanches et portent l’inscription « REV 7.5 mg ».</w:t>
      </w:r>
    </w:p>
    <w:p w14:paraId="0DFB4B48" w14:textId="77777777" w:rsidR="003A13F2" w:rsidRPr="00D2126A" w:rsidRDefault="000E5A86" w:rsidP="00C93C76">
      <w:pPr>
        <w:pStyle w:val="Date"/>
        <w:rPr>
          <w:color w:val="000000"/>
        </w:rPr>
      </w:pPr>
      <w:r>
        <w:rPr>
          <w:color w:val="000000"/>
        </w:rPr>
        <w:t>Les gélules sont fournies dans des boîtes. Chaque boîte contient une ou trois plaquette(s) contenant chacune sept gélules, soit un total de 7 ou 21 gélules par boîte.</w:t>
      </w:r>
    </w:p>
    <w:p w14:paraId="7C83B5A9" w14:textId="77777777" w:rsidR="003A13F2" w:rsidRPr="00D2126A" w:rsidRDefault="003A13F2" w:rsidP="00C93C76"/>
    <w:p w14:paraId="63DD108D" w14:textId="3CF07254" w:rsidR="00346F7A" w:rsidRPr="00D2126A" w:rsidRDefault="000E5A86" w:rsidP="00730E0B">
      <w:pPr>
        <w:keepNext/>
        <w:numPr>
          <w:ilvl w:val="12"/>
          <w:numId w:val="0"/>
        </w:numPr>
        <w:rPr>
          <w:color w:val="000000"/>
        </w:rPr>
      </w:pPr>
      <w:r>
        <w:rPr>
          <w:color w:val="000000"/>
        </w:rPr>
        <w:t>Les gélules de 10 mg de Revlimid sont bleu</w:t>
      </w:r>
      <w:r>
        <w:rPr>
          <w:color w:val="000000"/>
        </w:rPr>
        <w:noBreakHyphen/>
        <w:t>vert/jaune pâle et portent l’inscription « REV 10 mg ».</w:t>
      </w:r>
    </w:p>
    <w:p w14:paraId="32D0CA50" w14:textId="77777777" w:rsidR="00B52266" w:rsidRPr="00D2126A" w:rsidRDefault="000E5A86" w:rsidP="00C93C76">
      <w:pPr>
        <w:numPr>
          <w:ilvl w:val="12"/>
          <w:numId w:val="0"/>
        </w:numPr>
        <w:ind w:right="-2"/>
        <w:rPr>
          <w:color w:val="000000"/>
        </w:rPr>
      </w:pPr>
      <w:r>
        <w:rPr>
          <w:color w:val="000000"/>
        </w:rPr>
        <w:t>Les gélules sont fournies dans des boîtes. Chaque boîte contient une ou trois plaquette(s) contenant chacune sept gélules, soit un total de 7 ou 21 gélules par boîte.</w:t>
      </w:r>
    </w:p>
    <w:p w14:paraId="0EEE37C8" w14:textId="77777777" w:rsidR="00B52266" w:rsidRPr="00D2126A" w:rsidRDefault="00B52266" w:rsidP="00C93C76">
      <w:pPr>
        <w:numPr>
          <w:ilvl w:val="12"/>
          <w:numId w:val="0"/>
        </w:numPr>
        <w:ind w:right="-2"/>
        <w:rPr>
          <w:color w:val="000000"/>
        </w:rPr>
      </w:pPr>
    </w:p>
    <w:p w14:paraId="63DEA987" w14:textId="25A0BE96" w:rsidR="003A13F2" w:rsidRPr="00D2126A" w:rsidRDefault="000E5A86" w:rsidP="00AE2ECF">
      <w:pPr>
        <w:keepNext/>
        <w:numPr>
          <w:ilvl w:val="12"/>
          <w:numId w:val="0"/>
        </w:numPr>
        <w:ind w:right="-2"/>
        <w:rPr>
          <w:color w:val="000000"/>
        </w:rPr>
      </w:pPr>
      <w:r>
        <w:rPr>
          <w:color w:val="000000"/>
        </w:rPr>
        <w:t>Les gélules de 15 mg de Revlimid sont bleu pâle/blanches et portent l’inscription « REV 15 mg ».</w:t>
      </w:r>
    </w:p>
    <w:p w14:paraId="701A90E2" w14:textId="77777777" w:rsidR="003A13F2" w:rsidRPr="00D2126A" w:rsidRDefault="000E5A86" w:rsidP="00C93C76">
      <w:pPr>
        <w:pStyle w:val="Date"/>
        <w:rPr>
          <w:color w:val="000000"/>
        </w:rPr>
      </w:pPr>
      <w:r>
        <w:rPr>
          <w:color w:val="000000"/>
        </w:rPr>
        <w:t>Les gélules sont fournies dans des boîtes. Chaque boîte contient une ou trois plaquette(s) contenant chacune sept gélules, soit un total de 7 ou 21 gélules par boîte.</w:t>
      </w:r>
    </w:p>
    <w:p w14:paraId="46351D12" w14:textId="77777777" w:rsidR="003A13F2" w:rsidRPr="00D2126A" w:rsidRDefault="003A13F2" w:rsidP="00C93C76"/>
    <w:p w14:paraId="7EA915D3" w14:textId="2A6A3406" w:rsidR="003A13F2" w:rsidRPr="00D2126A" w:rsidRDefault="000E5A86" w:rsidP="00730E0B">
      <w:pPr>
        <w:keepNext/>
        <w:numPr>
          <w:ilvl w:val="12"/>
          <w:numId w:val="0"/>
        </w:numPr>
        <w:ind w:right="-2"/>
      </w:pPr>
      <w:r>
        <w:t>Les gélules de 20 mg de Revlimid sont bleu</w:t>
      </w:r>
      <w:r>
        <w:noBreakHyphen/>
        <w:t>vert/bleu pâle et portent l’inscription « REV 20 mg ».</w:t>
      </w:r>
    </w:p>
    <w:p w14:paraId="37B73B23" w14:textId="77777777" w:rsidR="003A13F2" w:rsidRPr="00D2126A" w:rsidRDefault="000E5A86" w:rsidP="00C93C76">
      <w:pPr>
        <w:pStyle w:val="Date"/>
      </w:pPr>
      <w:r>
        <w:t>Les gélules sont fournies dans des boîtes. Chaque boîte contient une ou trois plaquette(s) contenant chacune sept gélules, soit un total de 7 ou 21 gélules par boîte.</w:t>
      </w:r>
    </w:p>
    <w:p w14:paraId="0B646E62" w14:textId="77777777" w:rsidR="003A13F2" w:rsidRPr="00D2126A" w:rsidRDefault="003A13F2" w:rsidP="00C93C76">
      <w:pPr>
        <w:pStyle w:val="Date"/>
      </w:pPr>
    </w:p>
    <w:p w14:paraId="26EB4FB7" w14:textId="79D7B68E" w:rsidR="003A13F2" w:rsidRPr="00D2126A" w:rsidRDefault="000E5A86" w:rsidP="00730E0B">
      <w:pPr>
        <w:keepNext/>
        <w:numPr>
          <w:ilvl w:val="12"/>
          <w:numId w:val="0"/>
        </w:numPr>
        <w:ind w:right="-2"/>
        <w:rPr>
          <w:color w:val="000000"/>
        </w:rPr>
      </w:pPr>
      <w:r>
        <w:rPr>
          <w:color w:val="000000"/>
        </w:rPr>
        <w:t>Les gélules de 25 mg de Revlimid sont blanches et portent l’inscription « REV 25 mg ».</w:t>
      </w:r>
    </w:p>
    <w:p w14:paraId="2C5DD61B" w14:textId="77777777" w:rsidR="003A13F2" w:rsidRPr="00D2126A" w:rsidRDefault="000E5A86" w:rsidP="00C93C76">
      <w:pPr>
        <w:pStyle w:val="Date"/>
        <w:rPr>
          <w:color w:val="000000"/>
        </w:rPr>
      </w:pPr>
      <w:r>
        <w:rPr>
          <w:color w:val="000000"/>
        </w:rPr>
        <w:t>Les gélules sont fournies dans des boîtes. Chaque boîte contient une ou trois plaquette(s) contenant chacune sept gélules, soit un total de 7 ou 21 gélules par boîte.</w:t>
      </w:r>
    </w:p>
    <w:p w14:paraId="26EB8D3F" w14:textId="77777777" w:rsidR="003A13F2" w:rsidRPr="00D2126A" w:rsidRDefault="003A13F2" w:rsidP="00C93C76">
      <w:pPr>
        <w:pStyle w:val="Date"/>
      </w:pPr>
    </w:p>
    <w:p w14:paraId="6745EAE6" w14:textId="77777777" w:rsidR="00B52266" w:rsidRPr="00D2126A" w:rsidRDefault="000E5A86" w:rsidP="00C93C76">
      <w:pPr>
        <w:keepNext/>
        <w:numPr>
          <w:ilvl w:val="12"/>
          <w:numId w:val="0"/>
        </w:numPr>
        <w:ind w:right="-2"/>
        <w:rPr>
          <w:b/>
          <w:bCs/>
          <w:color w:val="000000"/>
        </w:rPr>
      </w:pPr>
      <w:r>
        <w:rPr>
          <w:b/>
          <w:color w:val="000000"/>
        </w:rPr>
        <w:t>Titulaire de l’Autorisation de mise sur le marché</w:t>
      </w:r>
    </w:p>
    <w:p w14:paraId="00517138" w14:textId="77777777" w:rsidR="00CB3D9F" w:rsidRPr="00AB0414" w:rsidRDefault="000E5A86" w:rsidP="00C93C76">
      <w:pPr>
        <w:pStyle w:val="EMEAAddress"/>
        <w:keepNext/>
        <w:rPr>
          <w:lang w:val="en-US"/>
        </w:rPr>
      </w:pPr>
      <w:r w:rsidRPr="00AB0414">
        <w:rPr>
          <w:lang w:val="en-US"/>
        </w:rPr>
        <w:t>Bristol</w:t>
      </w:r>
      <w:r w:rsidRPr="00AB0414">
        <w:rPr>
          <w:lang w:val="en-US"/>
        </w:rPr>
        <w:noBreakHyphen/>
        <w:t>Myers Squibb Pharma EEIG</w:t>
      </w:r>
    </w:p>
    <w:p w14:paraId="4F7127E4" w14:textId="77777777" w:rsidR="00CB3D9F" w:rsidRPr="00AB0414" w:rsidRDefault="000E5A86" w:rsidP="00C93C76">
      <w:pPr>
        <w:pStyle w:val="EMEAAddress"/>
        <w:keepNext/>
        <w:rPr>
          <w:lang w:val="en-US"/>
        </w:rPr>
      </w:pPr>
      <w:r w:rsidRPr="00AB0414">
        <w:rPr>
          <w:lang w:val="en-US"/>
        </w:rPr>
        <w:t>Plaza 254</w:t>
      </w:r>
    </w:p>
    <w:p w14:paraId="431438A9" w14:textId="77777777" w:rsidR="00CB3D9F" w:rsidRPr="00AB0414" w:rsidRDefault="000E5A86" w:rsidP="00C93C76">
      <w:pPr>
        <w:pStyle w:val="EMEAAddress"/>
        <w:keepNext/>
        <w:rPr>
          <w:lang w:val="en-US"/>
        </w:rPr>
      </w:pPr>
      <w:r w:rsidRPr="00AB0414">
        <w:rPr>
          <w:lang w:val="en-US"/>
        </w:rPr>
        <w:t>Blanchardstown Corporate Park 2</w:t>
      </w:r>
    </w:p>
    <w:p w14:paraId="79CE83A8" w14:textId="77777777" w:rsidR="00CB3D9F" w:rsidRPr="00AB0414" w:rsidRDefault="000E5A86" w:rsidP="00C93C76">
      <w:pPr>
        <w:pStyle w:val="EMEAAddress"/>
        <w:keepNext/>
        <w:rPr>
          <w:lang w:val="en-US"/>
        </w:rPr>
      </w:pPr>
      <w:r w:rsidRPr="00AB0414">
        <w:rPr>
          <w:lang w:val="en-US"/>
        </w:rPr>
        <w:t>Dublin 15, D15 T867</w:t>
      </w:r>
    </w:p>
    <w:p w14:paraId="029DC330" w14:textId="32463378" w:rsidR="0073192A" w:rsidRPr="00D2126A" w:rsidRDefault="000E5A86" w:rsidP="00C93C76">
      <w:pPr>
        <w:keepNext/>
        <w:numPr>
          <w:ilvl w:val="12"/>
          <w:numId w:val="0"/>
        </w:numPr>
        <w:ind w:right="-2"/>
        <w:rPr>
          <w:bCs/>
          <w:color w:val="000000"/>
        </w:rPr>
      </w:pPr>
      <w:r>
        <w:t>Irlande</w:t>
      </w:r>
    </w:p>
    <w:p w14:paraId="7955C55A" w14:textId="77777777" w:rsidR="00B52266" w:rsidRPr="00D2126A" w:rsidRDefault="00B52266" w:rsidP="00C93C76">
      <w:pPr>
        <w:numPr>
          <w:ilvl w:val="12"/>
          <w:numId w:val="0"/>
        </w:numPr>
        <w:ind w:right="-2"/>
        <w:rPr>
          <w:color w:val="000000"/>
        </w:rPr>
      </w:pPr>
    </w:p>
    <w:p w14:paraId="6A810162" w14:textId="77777777" w:rsidR="00B52266" w:rsidRPr="00D2126A" w:rsidRDefault="000E5A86" w:rsidP="00C93C76">
      <w:pPr>
        <w:keepNext/>
        <w:numPr>
          <w:ilvl w:val="12"/>
          <w:numId w:val="0"/>
        </w:numPr>
        <w:ind w:left="562" w:hanging="562"/>
        <w:rPr>
          <w:b/>
          <w:bCs/>
          <w:color w:val="000000"/>
        </w:rPr>
      </w:pPr>
      <w:r>
        <w:rPr>
          <w:b/>
          <w:color w:val="000000"/>
        </w:rPr>
        <w:t>Fabricant</w:t>
      </w:r>
    </w:p>
    <w:p w14:paraId="721F0EE6" w14:textId="77777777" w:rsidR="003C60F0" w:rsidRPr="00D2126A" w:rsidRDefault="000E5A86" w:rsidP="00C93C76">
      <w:pPr>
        <w:keepNext/>
      </w:pPr>
      <w:r>
        <w:t>Celgene Distribution B.V.</w:t>
      </w:r>
    </w:p>
    <w:p w14:paraId="25EC9175" w14:textId="77777777" w:rsidR="00036363" w:rsidRPr="00D2126A" w:rsidRDefault="000E5A86" w:rsidP="00C93C76">
      <w:pPr>
        <w:keepNext/>
      </w:pPr>
      <w:r>
        <w:t>Orteliuslaan 1000</w:t>
      </w:r>
    </w:p>
    <w:p w14:paraId="105004A0" w14:textId="77777777" w:rsidR="00036363" w:rsidRPr="00D2126A" w:rsidRDefault="000E5A86" w:rsidP="00C93C76">
      <w:pPr>
        <w:keepNext/>
      </w:pPr>
      <w:r>
        <w:t>3528 BD Utrecht</w:t>
      </w:r>
    </w:p>
    <w:p w14:paraId="64F1F10A" w14:textId="7F94F38A" w:rsidR="003C60F0" w:rsidRPr="00D2126A" w:rsidRDefault="000E5A86" w:rsidP="00C93C76">
      <w:pPr>
        <w:pStyle w:val="Date"/>
        <w:keepNext/>
      </w:pPr>
      <w:r>
        <w:t>Pays</w:t>
      </w:r>
      <w:r>
        <w:noBreakHyphen/>
        <w:t>Bas</w:t>
      </w:r>
    </w:p>
    <w:p w14:paraId="30B906FE" w14:textId="77777777" w:rsidR="00B52266" w:rsidRDefault="00B52266" w:rsidP="00C93C76">
      <w:pPr>
        <w:ind w:right="-449"/>
        <w:rPr>
          <w:ins w:id="20" w:author="BMS"/>
          <w:color w:val="000000"/>
        </w:rPr>
      </w:pPr>
    </w:p>
    <w:p w14:paraId="0B1DA178" w14:textId="77777777" w:rsidR="007D0119" w:rsidRPr="0037015A" w:rsidRDefault="007D0119" w:rsidP="007D0119">
      <w:pPr>
        <w:numPr>
          <w:ilvl w:val="12"/>
          <w:numId w:val="0"/>
        </w:numPr>
        <w:tabs>
          <w:tab w:val="left" w:pos="720"/>
        </w:tabs>
        <w:ind w:right="-2"/>
        <w:rPr>
          <w:ins w:id="21" w:author="BMS"/>
          <w:szCs w:val="20"/>
          <w:lang w:eastAsia="fr-FR"/>
        </w:rPr>
      </w:pPr>
      <w:ins w:id="22" w:author="BMS">
        <w:r w:rsidRPr="0037015A">
          <w:t>Pour toute information complémentaire concernant ce médicament, veuillez prendre contact avec le représentant local du titulaire de l’autorisation de mise sur le marché :</w:t>
        </w:r>
      </w:ins>
    </w:p>
    <w:p w14:paraId="62773F96" w14:textId="77777777" w:rsidR="00EB238F" w:rsidRPr="0037015A" w:rsidRDefault="00EB238F" w:rsidP="0013261D">
      <w:pPr>
        <w:pStyle w:val="Date"/>
        <w:rPr>
          <w:ins w:id="23" w:author="BMS"/>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EB238F" w:rsidRPr="0037015A" w14:paraId="67F4D663" w14:textId="77777777" w:rsidTr="00FA4EE8">
        <w:trPr>
          <w:cantSplit/>
          <w:trHeight w:val="904"/>
          <w:ins w:id="24" w:author="BMS"/>
        </w:trPr>
        <w:tc>
          <w:tcPr>
            <w:tcW w:w="4536" w:type="dxa"/>
          </w:tcPr>
          <w:p w14:paraId="3A81BE1C" w14:textId="77777777" w:rsidR="00EB238F" w:rsidRPr="0037015A" w:rsidRDefault="00EB238F" w:rsidP="00FA4EE8">
            <w:pPr>
              <w:pStyle w:val="EMEABodyText"/>
              <w:rPr>
                <w:ins w:id="25" w:author="BMS"/>
                <w:b/>
                <w:color w:val="000000"/>
                <w:szCs w:val="22"/>
              </w:rPr>
            </w:pPr>
            <w:bookmarkStart w:id="26" w:name="_Hlk146273900"/>
            <w:ins w:id="27" w:author="BMS">
              <w:r w:rsidRPr="0037015A">
                <w:rPr>
                  <w:b/>
                  <w:color w:val="000000"/>
                  <w:szCs w:val="22"/>
                </w:rPr>
                <w:t>Belgique/België/Belgien</w:t>
              </w:r>
            </w:ins>
          </w:p>
          <w:p w14:paraId="1E67014E" w14:textId="77777777" w:rsidR="00EB238F" w:rsidRPr="0037015A" w:rsidRDefault="00EB238F" w:rsidP="00FA4EE8">
            <w:pPr>
              <w:pStyle w:val="EMEABodyText"/>
              <w:rPr>
                <w:ins w:id="28" w:author="BMS"/>
                <w:color w:val="000000"/>
                <w:szCs w:val="22"/>
              </w:rPr>
            </w:pPr>
            <w:ins w:id="29" w:author="BMS">
              <w:r w:rsidRPr="0037015A">
                <w:rPr>
                  <w:color w:val="000000"/>
                  <w:szCs w:val="22"/>
                </w:rPr>
                <w:t>N.V. Bristol-Myers Squibb Belgium S.A.</w:t>
              </w:r>
            </w:ins>
          </w:p>
          <w:p w14:paraId="70A9CB99" w14:textId="77777777" w:rsidR="00EB238F" w:rsidRPr="0037015A" w:rsidRDefault="00EB238F" w:rsidP="00FA4EE8">
            <w:pPr>
              <w:pStyle w:val="EMEABodyText"/>
              <w:rPr>
                <w:ins w:id="30" w:author="BMS"/>
                <w:color w:val="000000"/>
                <w:szCs w:val="22"/>
                <w:lang w:val="es-ES"/>
              </w:rPr>
            </w:pPr>
            <w:ins w:id="31" w:author="BMS">
              <w:r w:rsidRPr="0037015A">
                <w:rPr>
                  <w:color w:val="000000"/>
                  <w:szCs w:val="22"/>
                  <w:lang w:val="es-ES"/>
                </w:rPr>
                <w:t>Tél/Tel: + 32 2 352 76 11</w:t>
              </w:r>
            </w:ins>
          </w:p>
          <w:p w14:paraId="3CF4AA9D" w14:textId="77777777" w:rsidR="00EB238F" w:rsidRPr="0037015A" w:rsidRDefault="00EB238F" w:rsidP="00FA4EE8">
            <w:pPr>
              <w:pStyle w:val="EMEABodyText"/>
              <w:rPr>
                <w:ins w:id="32" w:author="BMS"/>
                <w:color w:val="000000"/>
                <w:szCs w:val="22"/>
                <w:lang w:val="es-ES"/>
              </w:rPr>
            </w:pPr>
            <w:ins w:id="33" w:author="BMS">
              <w:r w:rsidRPr="0037015A">
                <w:rPr>
                  <w:color w:val="000000"/>
                  <w:szCs w:val="22"/>
                  <w:lang w:val="es-ES"/>
                </w:rPr>
                <w:t>medicalinfo.belgium@bms.com</w:t>
              </w:r>
            </w:ins>
          </w:p>
          <w:p w14:paraId="11421098" w14:textId="77777777" w:rsidR="00EB238F" w:rsidRPr="0037015A" w:rsidRDefault="00EB238F" w:rsidP="00FA4EE8">
            <w:pPr>
              <w:pStyle w:val="EMEABodyText"/>
              <w:rPr>
                <w:ins w:id="34" w:author="BMS"/>
                <w:color w:val="000000"/>
                <w:szCs w:val="22"/>
                <w:lang w:val="es-ES"/>
              </w:rPr>
            </w:pPr>
          </w:p>
        </w:tc>
        <w:tc>
          <w:tcPr>
            <w:tcW w:w="4536" w:type="dxa"/>
          </w:tcPr>
          <w:p w14:paraId="2E835C9B" w14:textId="77777777" w:rsidR="00EB238F" w:rsidRPr="0037015A" w:rsidRDefault="00EB238F" w:rsidP="00FA4EE8">
            <w:pPr>
              <w:pStyle w:val="EMEABodyText"/>
              <w:rPr>
                <w:ins w:id="35" w:author="BMS"/>
                <w:color w:val="000000"/>
                <w:szCs w:val="22"/>
              </w:rPr>
            </w:pPr>
            <w:ins w:id="36" w:author="BMS">
              <w:r w:rsidRPr="0037015A">
                <w:rPr>
                  <w:b/>
                  <w:color w:val="000000"/>
                  <w:szCs w:val="22"/>
                </w:rPr>
                <w:t>Lietuva</w:t>
              </w:r>
            </w:ins>
          </w:p>
          <w:p w14:paraId="0084616E" w14:textId="77777777" w:rsidR="00EB238F" w:rsidRPr="0037015A" w:rsidRDefault="00EB238F" w:rsidP="00FA4EE8">
            <w:pPr>
              <w:pStyle w:val="EMEABodyText"/>
              <w:rPr>
                <w:ins w:id="37" w:author="BMS"/>
                <w:color w:val="000000"/>
                <w:szCs w:val="22"/>
              </w:rPr>
            </w:pPr>
            <w:ins w:id="38" w:author="BMS">
              <w:r w:rsidRPr="0037015A">
                <w:rPr>
                  <w:color w:val="000000"/>
                  <w:szCs w:val="22"/>
                </w:rPr>
                <w:t>Swixx Biopharma UAB</w:t>
              </w:r>
            </w:ins>
          </w:p>
          <w:p w14:paraId="719A787F" w14:textId="77777777" w:rsidR="00EB238F" w:rsidRPr="0037015A" w:rsidRDefault="00EB238F" w:rsidP="00FA4EE8">
            <w:pPr>
              <w:pStyle w:val="EMEABodyText"/>
              <w:rPr>
                <w:ins w:id="39" w:author="BMS"/>
                <w:szCs w:val="22"/>
              </w:rPr>
            </w:pPr>
            <w:ins w:id="40" w:author="BMS">
              <w:r w:rsidRPr="0037015A">
                <w:rPr>
                  <w:szCs w:val="22"/>
                </w:rPr>
                <w:t>Tel: + 370 52 369140</w:t>
              </w:r>
            </w:ins>
          </w:p>
          <w:p w14:paraId="4E0DA18A" w14:textId="77777777" w:rsidR="00EB238F" w:rsidRPr="0037015A" w:rsidRDefault="00EB238F" w:rsidP="00FA4EE8">
            <w:pPr>
              <w:pStyle w:val="EMEABodyText"/>
              <w:rPr>
                <w:ins w:id="41" w:author="BMS"/>
                <w:color w:val="000000"/>
                <w:szCs w:val="22"/>
              </w:rPr>
            </w:pPr>
            <w:ins w:id="42" w:author="BMS">
              <w:r w:rsidRPr="0037015A">
                <w:rPr>
                  <w:color w:val="000000"/>
                  <w:szCs w:val="22"/>
                </w:rPr>
                <w:t>medinfo.lithuania@swixxbiopharma.com</w:t>
              </w:r>
            </w:ins>
          </w:p>
          <w:p w14:paraId="7BFB04D2" w14:textId="77777777" w:rsidR="00EB238F" w:rsidRPr="0037015A" w:rsidRDefault="00EB238F" w:rsidP="00FA4EE8">
            <w:pPr>
              <w:pStyle w:val="EMEABodyText"/>
              <w:rPr>
                <w:ins w:id="43" w:author="BMS"/>
                <w:color w:val="000000"/>
                <w:szCs w:val="22"/>
              </w:rPr>
            </w:pPr>
          </w:p>
        </w:tc>
      </w:tr>
      <w:tr w:rsidR="00EB238F" w:rsidRPr="0037015A" w14:paraId="04F006F9" w14:textId="77777777" w:rsidTr="00FA4EE8">
        <w:trPr>
          <w:cantSplit/>
          <w:trHeight w:val="892"/>
          <w:ins w:id="44" w:author="BMS"/>
        </w:trPr>
        <w:tc>
          <w:tcPr>
            <w:tcW w:w="4536" w:type="dxa"/>
          </w:tcPr>
          <w:p w14:paraId="36D17599" w14:textId="77777777" w:rsidR="00EB238F" w:rsidRPr="00AB0414" w:rsidRDefault="00EB238F" w:rsidP="00FA4EE8">
            <w:pPr>
              <w:pStyle w:val="EMEABodyText"/>
              <w:rPr>
                <w:ins w:id="45" w:author="BMS"/>
                <w:b/>
                <w:color w:val="000000"/>
                <w:szCs w:val="22"/>
                <w:lang w:val="fr-FR"/>
              </w:rPr>
            </w:pPr>
            <w:ins w:id="46" w:author="BMS">
              <w:r w:rsidRPr="0037015A">
                <w:rPr>
                  <w:b/>
                  <w:color w:val="000000"/>
                  <w:szCs w:val="22"/>
                </w:rPr>
                <w:t>България</w:t>
              </w:r>
            </w:ins>
          </w:p>
          <w:p w14:paraId="1C993C0F" w14:textId="77777777" w:rsidR="00EB238F" w:rsidRPr="00AB0414" w:rsidRDefault="00EB238F" w:rsidP="00FA4EE8">
            <w:pPr>
              <w:pStyle w:val="EMEABodyText"/>
              <w:rPr>
                <w:ins w:id="47" w:author="BMS"/>
                <w:color w:val="000000"/>
                <w:szCs w:val="22"/>
                <w:lang w:val="fr-FR"/>
              </w:rPr>
            </w:pPr>
            <w:ins w:id="48" w:author="BMS">
              <w:r w:rsidRPr="00AB0414">
                <w:rPr>
                  <w:color w:val="000000"/>
                  <w:szCs w:val="22"/>
                  <w:lang w:val="fr-FR"/>
                </w:rPr>
                <w:t>Swixx Biopharma EOOD</w:t>
              </w:r>
            </w:ins>
          </w:p>
          <w:p w14:paraId="3DA1DE3F" w14:textId="77777777" w:rsidR="00EB238F" w:rsidRPr="00AB0414" w:rsidRDefault="00EB238F" w:rsidP="00FA4EE8">
            <w:pPr>
              <w:pStyle w:val="EMEABodyText"/>
              <w:rPr>
                <w:ins w:id="49" w:author="BMS"/>
                <w:color w:val="000000"/>
                <w:szCs w:val="22"/>
                <w:lang w:val="fr-FR"/>
              </w:rPr>
            </w:pPr>
            <w:ins w:id="50" w:author="BMS">
              <w:r w:rsidRPr="00AB0414">
                <w:rPr>
                  <w:color w:val="000000"/>
                  <w:szCs w:val="22"/>
                  <w:lang w:val="fr-FR"/>
                </w:rPr>
                <w:t>Te</w:t>
              </w:r>
              <w:r w:rsidRPr="0037015A">
                <w:rPr>
                  <w:color w:val="000000"/>
                  <w:szCs w:val="22"/>
                </w:rPr>
                <w:t>л</w:t>
              </w:r>
              <w:r w:rsidRPr="00AB0414">
                <w:rPr>
                  <w:color w:val="000000"/>
                  <w:szCs w:val="22"/>
                  <w:lang w:val="fr-FR"/>
                </w:rPr>
                <w:t>.: + 359 2 4942 480</w:t>
              </w:r>
            </w:ins>
          </w:p>
          <w:p w14:paraId="05D7E5B7" w14:textId="77777777" w:rsidR="00EB238F" w:rsidRPr="0037015A" w:rsidRDefault="00EB238F" w:rsidP="00FA4EE8">
            <w:pPr>
              <w:pStyle w:val="EMEABodyText"/>
              <w:rPr>
                <w:ins w:id="51" w:author="BMS"/>
                <w:color w:val="000000"/>
                <w:szCs w:val="22"/>
              </w:rPr>
            </w:pPr>
            <w:ins w:id="52" w:author="BMS">
              <w:r w:rsidRPr="0037015A">
                <w:rPr>
                  <w:color w:val="000000"/>
                  <w:szCs w:val="22"/>
                </w:rPr>
                <w:t>medinfo.bulgaria@swixxbiopharma.com</w:t>
              </w:r>
            </w:ins>
          </w:p>
          <w:p w14:paraId="46945441" w14:textId="77777777" w:rsidR="00EB238F" w:rsidRPr="0037015A" w:rsidRDefault="00EB238F" w:rsidP="00FA4EE8">
            <w:pPr>
              <w:pStyle w:val="EMEABodyText"/>
              <w:rPr>
                <w:ins w:id="53" w:author="BMS"/>
                <w:color w:val="000000"/>
                <w:szCs w:val="22"/>
              </w:rPr>
            </w:pPr>
          </w:p>
        </w:tc>
        <w:tc>
          <w:tcPr>
            <w:tcW w:w="4536" w:type="dxa"/>
          </w:tcPr>
          <w:p w14:paraId="437112FC" w14:textId="77777777" w:rsidR="00EB238F" w:rsidRPr="0037015A" w:rsidRDefault="00EB238F" w:rsidP="00FA4EE8">
            <w:pPr>
              <w:pStyle w:val="EMEABodyText"/>
              <w:rPr>
                <w:ins w:id="54" w:author="BMS"/>
                <w:color w:val="000000"/>
                <w:szCs w:val="22"/>
                <w:lang w:val="de-DE"/>
              </w:rPr>
            </w:pPr>
            <w:ins w:id="55" w:author="BMS">
              <w:r w:rsidRPr="0037015A">
                <w:rPr>
                  <w:b/>
                  <w:color w:val="000000"/>
                  <w:szCs w:val="22"/>
                  <w:lang w:val="de-DE"/>
                </w:rPr>
                <w:t>Luxembourg/Luxemburg</w:t>
              </w:r>
            </w:ins>
          </w:p>
          <w:p w14:paraId="63F2316D" w14:textId="77777777" w:rsidR="00EB238F" w:rsidRPr="0037015A" w:rsidRDefault="00EB238F" w:rsidP="00FA4EE8">
            <w:pPr>
              <w:pStyle w:val="EMEABodyText"/>
              <w:rPr>
                <w:ins w:id="56" w:author="BMS"/>
                <w:color w:val="000000"/>
                <w:szCs w:val="22"/>
                <w:lang w:val="de-DE"/>
              </w:rPr>
            </w:pPr>
            <w:ins w:id="57" w:author="BMS">
              <w:r w:rsidRPr="0037015A">
                <w:rPr>
                  <w:color w:val="000000"/>
                  <w:szCs w:val="22"/>
                  <w:lang w:val="de-DE"/>
                </w:rPr>
                <w:t>N.V. Bristol-Myers Squibb Belgium S.A.</w:t>
              </w:r>
            </w:ins>
          </w:p>
          <w:p w14:paraId="5D5F014E" w14:textId="77777777" w:rsidR="00EB238F" w:rsidRPr="0037015A" w:rsidRDefault="00EB238F" w:rsidP="00FA4EE8">
            <w:pPr>
              <w:pStyle w:val="EMEABodyText"/>
              <w:rPr>
                <w:ins w:id="58" w:author="BMS"/>
                <w:color w:val="000000"/>
                <w:szCs w:val="22"/>
                <w:lang w:val="es-ES"/>
              </w:rPr>
            </w:pPr>
            <w:ins w:id="59" w:author="BMS">
              <w:r w:rsidRPr="0037015A">
                <w:rPr>
                  <w:color w:val="000000"/>
                  <w:szCs w:val="22"/>
                  <w:lang w:val="es-ES"/>
                </w:rPr>
                <w:t>Tél/Tel: + 32 2 352 76 11</w:t>
              </w:r>
            </w:ins>
          </w:p>
          <w:p w14:paraId="20C1FDF5" w14:textId="77777777" w:rsidR="00EB238F" w:rsidRPr="0037015A" w:rsidRDefault="00EB238F" w:rsidP="00FA4EE8">
            <w:pPr>
              <w:pStyle w:val="EMEABodyText"/>
              <w:rPr>
                <w:ins w:id="60" w:author="BMS"/>
                <w:color w:val="000000"/>
                <w:szCs w:val="22"/>
                <w:lang w:val="es-ES"/>
              </w:rPr>
            </w:pPr>
            <w:ins w:id="61" w:author="BMS">
              <w:r w:rsidRPr="0037015A">
                <w:rPr>
                  <w:color w:val="000000"/>
                  <w:szCs w:val="22"/>
                  <w:lang w:val="es-ES"/>
                </w:rPr>
                <w:t>medicalinfo.belgium@bms.com</w:t>
              </w:r>
            </w:ins>
          </w:p>
          <w:p w14:paraId="4D3853B4" w14:textId="77777777" w:rsidR="00EB238F" w:rsidRPr="0037015A" w:rsidRDefault="00EB238F" w:rsidP="00FA4EE8">
            <w:pPr>
              <w:pStyle w:val="EMEABodyText"/>
              <w:rPr>
                <w:ins w:id="62" w:author="BMS"/>
                <w:color w:val="000000"/>
                <w:szCs w:val="22"/>
                <w:lang w:val="es-ES"/>
              </w:rPr>
            </w:pPr>
          </w:p>
        </w:tc>
      </w:tr>
      <w:tr w:rsidR="00EB238F" w:rsidRPr="0037015A" w14:paraId="466088A9" w14:textId="77777777" w:rsidTr="00FA4EE8">
        <w:trPr>
          <w:cantSplit/>
          <w:trHeight w:val="1246"/>
          <w:ins w:id="63" w:author="BMS"/>
        </w:trPr>
        <w:tc>
          <w:tcPr>
            <w:tcW w:w="4536" w:type="dxa"/>
          </w:tcPr>
          <w:p w14:paraId="07482520" w14:textId="77777777" w:rsidR="00EB238F" w:rsidRPr="0037015A" w:rsidRDefault="00EB238F" w:rsidP="00FA4EE8">
            <w:pPr>
              <w:pStyle w:val="EMEABodyText"/>
              <w:rPr>
                <w:ins w:id="64" w:author="BMS"/>
                <w:b/>
                <w:color w:val="000000"/>
                <w:szCs w:val="22"/>
              </w:rPr>
            </w:pPr>
            <w:bookmarkStart w:id="65" w:name="_Hlk147154704"/>
            <w:bookmarkEnd w:id="26"/>
            <w:ins w:id="66" w:author="BMS">
              <w:r w:rsidRPr="0037015A">
                <w:rPr>
                  <w:b/>
                  <w:color w:val="000000"/>
                  <w:szCs w:val="22"/>
                </w:rPr>
                <w:t>Česká republika</w:t>
              </w:r>
            </w:ins>
          </w:p>
          <w:p w14:paraId="75C4E59C" w14:textId="77777777" w:rsidR="00EB238F" w:rsidRPr="0037015A" w:rsidRDefault="00EB238F" w:rsidP="00FA4EE8">
            <w:pPr>
              <w:pStyle w:val="EMEABodyText"/>
              <w:rPr>
                <w:ins w:id="67" w:author="BMS"/>
                <w:color w:val="000000"/>
                <w:szCs w:val="22"/>
              </w:rPr>
            </w:pPr>
            <w:ins w:id="68" w:author="BMS">
              <w:r w:rsidRPr="0037015A">
                <w:rPr>
                  <w:color w:val="000000"/>
                  <w:szCs w:val="22"/>
                </w:rPr>
                <w:t>Bristol-Myers Squibb spol. s r.o.</w:t>
              </w:r>
            </w:ins>
          </w:p>
          <w:p w14:paraId="1DA9793A" w14:textId="77777777" w:rsidR="00EB238F" w:rsidRPr="0037015A" w:rsidRDefault="00EB238F" w:rsidP="00FA4EE8">
            <w:pPr>
              <w:pStyle w:val="EMEABodyText"/>
              <w:rPr>
                <w:ins w:id="69" w:author="BMS"/>
                <w:color w:val="000000"/>
                <w:szCs w:val="22"/>
              </w:rPr>
            </w:pPr>
            <w:ins w:id="70" w:author="BMS">
              <w:r w:rsidRPr="0037015A">
                <w:rPr>
                  <w:color w:val="000000"/>
                  <w:szCs w:val="22"/>
                </w:rPr>
                <w:t>Tel: + 420 221 016 111</w:t>
              </w:r>
            </w:ins>
          </w:p>
          <w:p w14:paraId="099C5AC0" w14:textId="77777777" w:rsidR="00EB238F" w:rsidRPr="0037015A" w:rsidRDefault="00EB238F" w:rsidP="00FA4EE8">
            <w:pPr>
              <w:pStyle w:val="EMEABodyText"/>
              <w:rPr>
                <w:ins w:id="71" w:author="BMS"/>
                <w:color w:val="000000"/>
                <w:szCs w:val="22"/>
              </w:rPr>
            </w:pPr>
            <w:ins w:id="72" w:author="BMS">
              <w:r w:rsidRPr="0037015A">
                <w:rPr>
                  <w:color w:val="000000"/>
                  <w:szCs w:val="22"/>
                </w:rPr>
                <w:t>medinfo.czech@bms.com</w:t>
              </w:r>
            </w:ins>
          </w:p>
          <w:p w14:paraId="4E521F76" w14:textId="77777777" w:rsidR="00EB238F" w:rsidRPr="0037015A" w:rsidRDefault="00EB238F" w:rsidP="00FA4EE8">
            <w:pPr>
              <w:pStyle w:val="EMEABodyText"/>
              <w:rPr>
                <w:ins w:id="73" w:author="BMS"/>
                <w:color w:val="000000"/>
                <w:szCs w:val="22"/>
              </w:rPr>
            </w:pPr>
          </w:p>
        </w:tc>
        <w:tc>
          <w:tcPr>
            <w:tcW w:w="4536" w:type="dxa"/>
          </w:tcPr>
          <w:p w14:paraId="3F8DD60C" w14:textId="77777777" w:rsidR="00EB238F" w:rsidRPr="0037015A" w:rsidRDefault="00EB238F" w:rsidP="00FA4EE8">
            <w:pPr>
              <w:pStyle w:val="EMEABodyText"/>
              <w:rPr>
                <w:ins w:id="74" w:author="BMS"/>
                <w:b/>
                <w:color w:val="000000"/>
                <w:szCs w:val="22"/>
              </w:rPr>
            </w:pPr>
            <w:ins w:id="75" w:author="BMS">
              <w:r w:rsidRPr="0037015A">
                <w:rPr>
                  <w:b/>
                  <w:color w:val="000000"/>
                  <w:szCs w:val="22"/>
                </w:rPr>
                <w:t>Magyarország</w:t>
              </w:r>
            </w:ins>
          </w:p>
          <w:p w14:paraId="3F595E94" w14:textId="77777777" w:rsidR="00EB238F" w:rsidRPr="0037015A" w:rsidRDefault="00EB238F" w:rsidP="00FA4EE8">
            <w:pPr>
              <w:pStyle w:val="EMEABodyText"/>
              <w:rPr>
                <w:ins w:id="76" w:author="BMS"/>
                <w:color w:val="000000"/>
                <w:szCs w:val="22"/>
              </w:rPr>
            </w:pPr>
            <w:ins w:id="77" w:author="BMS">
              <w:r w:rsidRPr="0037015A">
                <w:rPr>
                  <w:color w:val="000000"/>
                  <w:szCs w:val="22"/>
                </w:rPr>
                <w:t>Bristol-Myers Squibb Kft.</w:t>
              </w:r>
            </w:ins>
          </w:p>
          <w:p w14:paraId="628E33E6" w14:textId="77777777" w:rsidR="00EB238F" w:rsidRPr="0037015A" w:rsidRDefault="00EB238F" w:rsidP="00FA4EE8">
            <w:pPr>
              <w:pStyle w:val="EMEABodyText"/>
              <w:rPr>
                <w:ins w:id="78" w:author="BMS"/>
                <w:color w:val="000000"/>
                <w:szCs w:val="22"/>
              </w:rPr>
            </w:pPr>
            <w:ins w:id="79" w:author="BMS">
              <w:r w:rsidRPr="0037015A">
                <w:rPr>
                  <w:color w:val="000000"/>
                  <w:szCs w:val="22"/>
                </w:rPr>
                <w:t>Tel.: + 36 1 301 9797</w:t>
              </w:r>
            </w:ins>
          </w:p>
          <w:p w14:paraId="0469DA1F" w14:textId="77777777" w:rsidR="00EB238F" w:rsidRPr="0037015A" w:rsidRDefault="00EB238F" w:rsidP="00FA4EE8">
            <w:pPr>
              <w:pStyle w:val="EMEABodyText"/>
              <w:rPr>
                <w:ins w:id="80" w:author="BMS"/>
                <w:color w:val="000000"/>
                <w:szCs w:val="22"/>
              </w:rPr>
            </w:pPr>
            <w:ins w:id="81" w:author="BMS">
              <w:r w:rsidRPr="0037015A">
                <w:rPr>
                  <w:color w:val="000000"/>
                  <w:szCs w:val="22"/>
                </w:rPr>
                <w:t>Medinfo.hungary@bms.com</w:t>
              </w:r>
            </w:ins>
          </w:p>
          <w:p w14:paraId="6BE18963" w14:textId="77777777" w:rsidR="00EB238F" w:rsidRPr="0037015A" w:rsidRDefault="00EB238F" w:rsidP="00FA4EE8">
            <w:pPr>
              <w:pStyle w:val="EMEABodyText"/>
              <w:rPr>
                <w:ins w:id="82" w:author="BMS"/>
                <w:color w:val="000000"/>
                <w:szCs w:val="22"/>
              </w:rPr>
            </w:pPr>
          </w:p>
        </w:tc>
      </w:tr>
      <w:bookmarkEnd w:id="65"/>
      <w:tr w:rsidR="00EB238F" w:rsidRPr="0037015A" w14:paraId="6C059659" w14:textId="77777777" w:rsidTr="00FA4EE8">
        <w:trPr>
          <w:cantSplit/>
          <w:trHeight w:val="904"/>
          <w:ins w:id="83" w:author="BMS"/>
        </w:trPr>
        <w:tc>
          <w:tcPr>
            <w:tcW w:w="4536" w:type="dxa"/>
          </w:tcPr>
          <w:p w14:paraId="0067923E" w14:textId="77777777" w:rsidR="00EB238F" w:rsidRPr="0037015A" w:rsidRDefault="00EB238F" w:rsidP="00FA4EE8">
            <w:pPr>
              <w:pStyle w:val="EMEABodyText"/>
              <w:rPr>
                <w:ins w:id="84" w:author="BMS"/>
                <w:b/>
                <w:color w:val="000000"/>
                <w:szCs w:val="22"/>
              </w:rPr>
            </w:pPr>
            <w:ins w:id="85" w:author="BMS">
              <w:r w:rsidRPr="0037015A">
                <w:rPr>
                  <w:b/>
                  <w:color w:val="000000"/>
                  <w:szCs w:val="22"/>
                </w:rPr>
                <w:t>Danmark</w:t>
              </w:r>
            </w:ins>
          </w:p>
          <w:p w14:paraId="2061F5A5" w14:textId="77777777" w:rsidR="00EB238F" w:rsidRPr="0037015A" w:rsidRDefault="00EB238F" w:rsidP="00FA4EE8">
            <w:pPr>
              <w:pStyle w:val="EMEABodyText"/>
              <w:rPr>
                <w:ins w:id="86" w:author="BMS"/>
                <w:color w:val="000000"/>
                <w:szCs w:val="22"/>
              </w:rPr>
            </w:pPr>
            <w:ins w:id="87" w:author="BMS">
              <w:r w:rsidRPr="0037015A">
                <w:rPr>
                  <w:color w:val="000000"/>
                  <w:szCs w:val="22"/>
                </w:rPr>
                <w:t>Bristol-Myers Squibb Denmark</w:t>
              </w:r>
            </w:ins>
          </w:p>
          <w:p w14:paraId="6919795B" w14:textId="77777777" w:rsidR="00EB238F" w:rsidRPr="0037015A" w:rsidRDefault="00EB238F" w:rsidP="00FA4EE8">
            <w:pPr>
              <w:pStyle w:val="EMEABodyText"/>
              <w:rPr>
                <w:ins w:id="88" w:author="BMS"/>
                <w:color w:val="000000"/>
                <w:szCs w:val="22"/>
              </w:rPr>
            </w:pPr>
            <w:ins w:id="89" w:author="BMS">
              <w:r w:rsidRPr="0037015A">
                <w:rPr>
                  <w:color w:val="000000"/>
                  <w:szCs w:val="22"/>
                </w:rPr>
                <w:t>Tlf: + 45 45 93 05 06</w:t>
              </w:r>
            </w:ins>
          </w:p>
          <w:p w14:paraId="11518C0D" w14:textId="77777777" w:rsidR="00EB238F" w:rsidRPr="0037015A" w:rsidRDefault="00EB238F" w:rsidP="00FA4EE8">
            <w:pPr>
              <w:pStyle w:val="EMEABodyText"/>
              <w:rPr>
                <w:ins w:id="90" w:author="BMS"/>
                <w:color w:val="000000"/>
                <w:szCs w:val="22"/>
              </w:rPr>
            </w:pPr>
            <w:ins w:id="91" w:author="BMS">
              <w:r w:rsidRPr="0037015A">
                <w:rPr>
                  <w:color w:val="000000"/>
                  <w:szCs w:val="22"/>
                </w:rPr>
                <w:t>medinfo.denmark@bms.com</w:t>
              </w:r>
            </w:ins>
          </w:p>
          <w:p w14:paraId="00768919" w14:textId="77777777" w:rsidR="00EB238F" w:rsidRPr="0037015A" w:rsidRDefault="00EB238F" w:rsidP="00FA4EE8">
            <w:pPr>
              <w:pStyle w:val="EMEABodyText"/>
              <w:rPr>
                <w:ins w:id="92" w:author="BMS"/>
                <w:color w:val="000000"/>
                <w:szCs w:val="22"/>
              </w:rPr>
            </w:pPr>
          </w:p>
        </w:tc>
        <w:tc>
          <w:tcPr>
            <w:tcW w:w="4536" w:type="dxa"/>
          </w:tcPr>
          <w:p w14:paraId="5E76244D" w14:textId="77777777" w:rsidR="00EB238F" w:rsidRPr="0037015A" w:rsidRDefault="00EB238F" w:rsidP="00FA4EE8">
            <w:pPr>
              <w:pStyle w:val="EMEABodyText"/>
              <w:rPr>
                <w:ins w:id="93" w:author="BMS"/>
                <w:b/>
                <w:color w:val="000000"/>
                <w:szCs w:val="22"/>
              </w:rPr>
            </w:pPr>
            <w:ins w:id="94" w:author="BMS">
              <w:r w:rsidRPr="0037015A">
                <w:rPr>
                  <w:b/>
                  <w:color w:val="000000"/>
                  <w:szCs w:val="22"/>
                </w:rPr>
                <w:t>Malta</w:t>
              </w:r>
            </w:ins>
          </w:p>
          <w:p w14:paraId="755B7BDB" w14:textId="77777777" w:rsidR="00EB238F" w:rsidRPr="0037015A" w:rsidRDefault="00EB238F" w:rsidP="00FA4EE8">
            <w:pPr>
              <w:pStyle w:val="EMEABodyText"/>
              <w:rPr>
                <w:ins w:id="95" w:author="BMS"/>
                <w:color w:val="000000"/>
                <w:szCs w:val="22"/>
              </w:rPr>
            </w:pPr>
            <w:ins w:id="96" w:author="BMS">
              <w:r w:rsidRPr="0037015A">
                <w:rPr>
                  <w:color w:val="000000"/>
                  <w:szCs w:val="22"/>
                </w:rPr>
                <w:t>A.M. Mangion Ltd</w:t>
              </w:r>
            </w:ins>
          </w:p>
          <w:p w14:paraId="51AB7CB7" w14:textId="77777777" w:rsidR="00EB238F" w:rsidRPr="0037015A" w:rsidRDefault="00EB238F" w:rsidP="00FA4EE8">
            <w:pPr>
              <w:pStyle w:val="EMEABodyText"/>
              <w:rPr>
                <w:ins w:id="97" w:author="BMS"/>
                <w:szCs w:val="22"/>
              </w:rPr>
            </w:pPr>
            <w:ins w:id="98" w:author="BMS">
              <w:r w:rsidRPr="0037015A">
                <w:rPr>
                  <w:color w:val="000000"/>
                  <w:szCs w:val="22"/>
                </w:rPr>
                <w:t xml:space="preserve">Tel: + </w:t>
              </w:r>
              <w:r w:rsidRPr="0037015A">
                <w:rPr>
                  <w:szCs w:val="22"/>
                </w:rPr>
                <w:t>356 23976333</w:t>
              </w:r>
            </w:ins>
          </w:p>
          <w:p w14:paraId="3ADC5192" w14:textId="77777777" w:rsidR="00EB238F" w:rsidRPr="0037015A" w:rsidRDefault="00EB238F" w:rsidP="00FA4EE8">
            <w:pPr>
              <w:pStyle w:val="EMEABodyText"/>
              <w:rPr>
                <w:ins w:id="99" w:author="BMS"/>
                <w:color w:val="000000"/>
                <w:szCs w:val="22"/>
              </w:rPr>
            </w:pPr>
            <w:ins w:id="100" w:author="BMS">
              <w:r w:rsidRPr="0037015A">
                <w:rPr>
                  <w:color w:val="000000"/>
                  <w:szCs w:val="22"/>
                </w:rPr>
                <w:t>pv@ammangion.com</w:t>
              </w:r>
            </w:ins>
          </w:p>
          <w:p w14:paraId="313226C1" w14:textId="77777777" w:rsidR="00EB238F" w:rsidRPr="0037015A" w:rsidRDefault="00EB238F" w:rsidP="00FA4EE8">
            <w:pPr>
              <w:pStyle w:val="EMEABodyText"/>
              <w:rPr>
                <w:ins w:id="101" w:author="BMS"/>
                <w:color w:val="000000"/>
                <w:szCs w:val="22"/>
              </w:rPr>
            </w:pPr>
          </w:p>
        </w:tc>
      </w:tr>
      <w:tr w:rsidR="00EB238F" w:rsidRPr="0037015A" w14:paraId="1CF5DF2B" w14:textId="77777777" w:rsidTr="00FA4EE8">
        <w:trPr>
          <w:cantSplit/>
          <w:trHeight w:val="892"/>
          <w:ins w:id="102" w:author="BMS"/>
        </w:trPr>
        <w:tc>
          <w:tcPr>
            <w:tcW w:w="4536" w:type="dxa"/>
          </w:tcPr>
          <w:p w14:paraId="2D65C52D" w14:textId="77777777" w:rsidR="00EB238F" w:rsidRPr="0037015A" w:rsidRDefault="00EB238F" w:rsidP="00FA4EE8">
            <w:pPr>
              <w:pStyle w:val="EMEABodyText"/>
              <w:rPr>
                <w:ins w:id="103" w:author="BMS"/>
                <w:color w:val="000000"/>
                <w:szCs w:val="22"/>
              </w:rPr>
            </w:pPr>
            <w:ins w:id="104" w:author="BMS">
              <w:r w:rsidRPr="0037015A">
                <w:rPr>
                  <w:b/>
                  <w:color w:val="000000"/>
                  <w:szCs w:val="22"/>
                </w:rPr>
                <w:t>Deutschland</w:t>
              </w:r>
            </w:ins>
          </w:p>
          <w:p w14:paraId="344A181B" w14:textId="77777777" w:rsidR="00EB238F" w:rsidRPr="0037015A" w:rsidRDefault="00EB238F" w:rsidP="00FA4EE8">
            <w:pPr>
              <w:pStyle w:val="EMEABodyText"/>
              <w:rPr>
                <w:ins w:id="105" w:author="BMS"/>
                <w:color w:val="000000"/>
                <w:szCs w:val="22"/>
              </w:rPr>
            </w:pPr>
            <w:ins w:id="106" w:author="BMS">
              <w:r w:rsidRPr="0037015A">
                <w:rPr>
                  <w:color w:val="000000"/>
                  <w:szCs w:val="22"/>
                </w:rPr>
                <w:t>Bristol-Myers Squibb GmbH &amp; Co. KGaA</w:t>
              </w:r>
            </w:ins>
          </w:p>
          <w:p w14:paraId="198B8599" w14:textId="77777777" w:rsidR="00EB238F" w:rsidRPr="0037015A" w:rsidRDefault="00EB238F" w:rsidP="00FA4EE8">
            <w:pPr>
              <w:pStyle w:val="EMEABodyText"/>
              <w:rPr>
                <w:ins w:id="107" w:author="BMS"/>
                <w:color w:val="000000"/>
                <w:szCs w:val="22"/>
              </w:rPr>
            </w:pPr>
            <w:ins w:id="108" w:author="BMS">
              <w:r w:rsidRPr="0037015A">
                <w:rPr>
                  <w:color w:val="000000"/>
                  <w:szCs w:val="22"/>
                </w:rPr>
                <w:t>Tel: 0800 0752002 (+ 49 89 121 42 350)</w:t>
              </w:r>
            </w:ins>
          </w:p>
          <w:p w14:paraId="1891047E" w14:textId="77777777" w:rsidR="00EB238F" w:rsidRPr="0037015A" w:rsidRDefault="00EB238F" w:rsidP="00FA4EE8">
            <w:pPr>
              <w:pStyle w:val="EMEABodyText"/>
              <w:rPr>
                <w:ins w:id="109" w:author="BMS"/>
                <w:color w:val="000000"/>
                <w:szCs w:val="22"/>
              </w:rPr>
            </w:pPr>
            <w:ins w:id="110" w:author="BMS">
              <w:r w:rsidRPr="0037015A">
                <w:rPr>
                  <w:color w:val="000000"/>
                  <w:szCs w:val="22"/>
                </w:rPr>
                <w:t>medwiss.info@bms.com</w:t>
              </w:r>
            </w:ins>
          </w:p>
          <w:p w14:paraId="0E661B4F" w14:textId="77777777" w:rsidR="00EB238F" w:rsidRPr="0037015A" w:rsidRDefault="00EB238F" w:rsidP="00FA4EE8">
            <w:pPr>
              <w:pStyle w:val="EMEABodyText"/>
              <w:rPr>
                <w:ins w:id="111" w:author="BMS"/>
                <w:color w:val="000000"/>
                <w:szCs w:val="22"/>
              </w:rPr>
            </w:pPr>
          </w:p>
        </w:tc>
        <w:tc>
          <w:tcPr>
            <w:tcW w:w="4536" w:type="dxa"/>
          </w:tcPr>
          <w:p w14:paraId="7E326EC0" w14:textId="77777777" w:rsidR="00EB238F" w:rsidRPr="0037015A" w:rsidRDefault="00EB238F" w:rsidP="00FA4EE8">
            <w:pPr>
              <w:pStyle w:val="EMEABodyText"/>
              <w:rPr>
                <w:ins w:id="112" w:author="BMS"/>
                <w:color w:val="000000"/>
                <w:szCs w:val="22"/>
              </w:rPr>
            </w:pPr>
            <w:ins w:id="113" w:author="BMS">
              <w:r w:rsidRPr="0037015A">
                <w:rPr>
                  <w:b/>
                  <w:color w:val="000000"/>
                  <w:szCs w:val="22"/>
                </w:rPr>
                <w:t>Nederland</w:t>
              </w:r>
            </w:ins>
          </w:p>
          <w:p w14:paraId="6FCFBFC5" w14:textId="77777777" w:rsidR="00EB238F" w:rsidRPr="0037015A" w:rsidRDefault="00EB238F" w:rsidP="00FA4EE8">
            <w:pPr>
              <w:pStyle w:val="EMEABodyText"/>
              <w:rPr>
                <w:ins w:id="114" w:author="BMS"/>
                <w:color w:val="000000"/>
                <w:szCs w:val="22"/>
              </w:rPr>
            </w:pPr>
            <w:ins w:id="115" w:author="BMS">
              <w:r w:rsidRPr="0037015A">
                <w:rPr>
                  <w:color w:val="000000"/>
                  <w:szCs w:val="22"/>
                </w:rPr>
                <w:t>Bristol-Myers Squibb B.V.</w:t>
              </w:r>
            </w:ins>
          </w:p>
          <w:p w14:paraId="0FFCEADF" w14:textId="77777777" w:rsidR="00EB238F" w:rsidRPr="0037015A" w:rsidRDefault="00EB238F" w:rsidP="00FA4EE8">
            <w:pPr>
              <w:pStyle w:val="EMEABodyText"/>
              <w:rPr>
                <w:ins w:id="116" w:author="BMS"/>
                <w:color w:val="000000"/>
                <w:szCs w:val="22"/>
              </w:rPr>
            </w:pPr>
            <w:ins w:id="117" w:author="BMS">
              <w:r w:rsidRPr="0037015A">
                <w:rPr>
                  <w:color w:val="000000"/>
                  <w:szCs w:val="22"/>
                </w:rPr>
                <w:t>Tel: + 31 (0)30 300 2222</w:t>
              </w:r>
            </w:ins>
          </w:p>
          <w:p w14:paraId="74CB1BB0" w14:textId="77777777" w:rsidR="00EB238F" w:rsidRPr="0037015A" w:rsidRDefault="00EB238F" w:rsidP="00FA4EE8">
            <w:pPr>
              <w:pStyle w:val="EMEABodyText"/>
              <w:rPr>
                <w:ins w:id="118" w:author="BMS"/>
                <w:color w:val="000000"/>
                <w:szCs w:val="22"/>
              </w:rPr>
            </w:pPr>
            <w:ins w:id="119" w:author="BMS">
              <w:r w:rsidRPr="0037015A">
                <w:rPr>
                  <w:color w:val="000000"/>
                  <w:szCs w:val="22"/>
                </w:rPr>
                <w:t>medischeafdeling@bms.com</w:t>
              </w:r>
            </w:ins>
          </w:p>
          <w:p w14:paraId="2EF2355C" w14:textId="77777777" w:rsidR="00EB238F" w:rsidRPr="0037015A" w:rsidRDefault="00EB238F" w:rsidP="00FA4EE8">
            <w:pPr>
              <w:pStyle w:val="EMEABodyText"/>
              <w:rPr>
                <w:ins w:id="120" w:author="BMS"/>
                <w:color w:val="000000"/>
                <w:szCs w:val="22"/>
              </w:rPr>
            </w:pPr>
          </w:p>
        </w:tc>
      </w:tr>
      <w:tr w:rsidR="00EB238F" w:rsidRPr="0037015A" w14:paraId="4E6D0076" w14:textId="77777777" w:rsidTr="00FA4EE8">
        <w:trPr>
          <w:cantSplit/>
          <w:trHeight w:val="880"/>
          <w:ins w:id="121" w:author="BMS"/>
        </w:trPr>
        <w:tc>
          <w:tcPr>
            <w:tcW w:w="4536" w:type="dxa"/>
          </w:tcPr>
          <w:p w14:paraId="1F7F38CF" w14:textId="77777777" w:rsidR="00EB238F" w:rsidRPr="0037015A" w:rsidRDefault="00EB238F" w:rsidP="00FA4EE8">
            <w:pPr>
              <w:pStyle w:val="EMEABodyText"/>
              <w:rPr>
                <w:ins w:id="122" w:author="BMS"/>
                <w:color w:val="000000"/>
                <w:szCs w:val="22"/>
              </w:rPr>
            </w:pPr>
            <w:ins w:id="123" w:author="BMS">
              <w:r w:rsidRPr="0037015A">
                <w:rPr>
                  <w:b/>
                  <w:color w:val="000000"/>
                  <w:szCs w:val="22"/>
                </w:rPr>
                <w:t>Eesti</w:t>
              </w:r>
            </w:ins>
          </w:p>
          <w:p w14:paraId="6EB31BE9" w14:textId="77777777" w:rsidR="00EB238F" w:rsidRPr="0037015A" w:rsidRDefault="00EB238F" w:rsidP="00FA4EE8">
            <w:pPr>
              <w:pStyle w:val="EMEABodyText"/>
              <w:rPr>
                <w:ins w:id="124" w:author="BMS"/>
                <w:color w:val="000000"/>
                <w:szCs w:val="22"/>
              </w:rPr>
            </w:pPr>
            <w:ins w:id="125" w:author="BMS">
              <w:r w:rsidRPr="0037015A">
                <w:rPr>
                  <w:color w:val="000000"/>
                  <w:szCs w:val="22"/>
                </w:rPr>
                <w:t>Swixx Biopharma OÜ</w:t>
              </w:r>
            </w:ins>
          </w:p>
          <w:p w14:paraId="6842BB1E" w14:textId="77777777" w:rsidR="00EB238F" w:rsidRPr="0037015A" w:rsidRDefault="00EB238F" w:rsidP="00FA4EE8">
            <w:pPr>
              <w:pStyle w:val="EMEABodyText"/>
              <w:rPr>
                <w:ins w:id="126" w:author="BMS"/>
                <w:szCs w:val="22"/>
              </w:rPr>
            </w:pPr>
            <w:ins w:id="127" w:author="BMS">
              <w:r w:rsidRPr="0037015A">
                <w:rPr>
                  <w:szCs w:val="22"/>
                </w:rPr>
                <w:t>Tel: + 372 640 1030</w:t>
              </w:r>
            </w:ins>
          </w:p>
          <w:p w14:paraId="6311694E" w14:textId="77777777" w:rsidR="00EB238F" w:rsidRPr="0037015A" w:rsidRDefault="00EB238F" w:rsidP="00FA4EE8">
            <w:pPr>
              <w:pStyle w:val="EMEABodyText"/>
              <w:rPr>
                <w:ins w:id="128" w:author="BMS"/>
                <w:color w:val="000000"/>
                <w:szCs w:val="22"/>
              </w:rPr>
            </w:pPr>
            <w:ins w:id="129" w:author="BMS">
              <w:r w:rsidRPr="0037015A">
                <w:rPr>
                  <w:color w:val="000000"/>
                  <w:szCs w:val="22"/>
                </w:rPr>
                <w:t>medinfo.estonia@swixxbiopharma.com</w:t>
              </w:r>
            </w:ins>
          </w:p>
          <w:p w14:paraId="2E01B565" w14:textId="77777777" w:rsidR="00EB238F" w:rsidRPr="0037015A" w:rsidRDefault="00EB238F" w:rsidP="00FA4EE8">
            <w:pPr>
              <w:pStyle w:val="EMEABodyText"/>
              <w:rPr>
                <w:ins w:id="130" w:author="BMS"/>
                <w:color w:val="000000"/>
                <w:szCs w:val="22"/>
              </w:rPr>
            </w:pPr>
          </w:p>
        </w:tc>
        <w:tc>
          <w:tcPr>
            <w:tcW w:w="4536" w:type="dxa"/>
          </w:tcPr>
          <w:p w14:paraId="1298B84A" w14:textId="77777777" w:rsidR="00EB238F" w:rsidRPr="0037015A" w:rsidRDefault="00EB238F" w:rsidP="00FA4EE8">
            <w:pPr>
              <w:pStyle w:val="EMEABodyText"/>
              <w:rPr>
                <w:ins w:id="131" w:author="BMS"/>
                <w:b/>
                <w:color w:val="000000"/>
                <w:szCs w:val="22"/>
              </w:rPr>
            </w:pPr>
            <w:ins w:id="132" w:author="BMS">
              <w:r w:rsidRPr="0037015A">
                <w:rPr>
                  <w:b/>
                  <w:color w:val="000000"/>
                  <w:szCs w:val="22"/>
                </w:rPr>
                <w:t>Norge</w:t>
              </w:r>
            </w:ins>
          </w:p>
          <w:p w14:paraId="07E2A522" w14:textId="77777777" w:rsidR="00EB238F" w:rsidRPr="0037015A" w:rsidRDefault="00EB238F" w:rsidP="00FA4EE8">
            <w:pPr>
              <w:pStyle w:val="EMEABodyText"/>
              <w:rPr>
                <w:ins w:id="133" w:author="BMS"/>
                <w:color w:val="000000"/>
                <w:szCs w:val="22"/>
              </w:rPr>
            </w:pPr>
            <w:ins w:id="134" w:author="BMS">
              <w:r w:rsidRPr="0037015A">
                <w:rPr>
                  <w:color w:val="000000"/>
                  <w:szCs w:val="22"/>
                </w:rPr>
                <w:t>Bristol-Myers Squibb Norway AS</w:t>
              </w:r>
            </w:ins>
          </w:p>
          <w:p w14:paraId="1CE5D050" w14:textId="77777777" w:rsidR="00EB238F" w:rsidRPr="0037015A" w:rsidRDefault="00EB238F" w:rsidP="00FA4EE8">
            <w:pPr>
              <w:pStyle w:val="EMEABodyText"/>
              <w:rPr>
                <w:ins w:id="135" w:author="BMS"/>
                <w:color w:val="000000"/>
                <w:szCs w:val="22"/>
              </w:rPr>
            </w:pPr>
            <w:ins w:id="136" w:author="BMS">
              <w:r w:rsidRPr="0037015A">
                <w:rPr>
                  <w:color w:val="000000"/>
                  <w:szCs w:val="22"/>
                </w:rPr>
                <w:t>Tlf: + 47 67 55 53 50</w:t>
              </w:r>
            </w:ins>
          </w:p>
          <w:p w14:paraId="37754110" w14:textId="77777777" w:rsidR="00EB238F" w:rsidRPr="0037015A" w:rsidRDefault="00EB238F" w:rsidP="00FA4EE8">
            <w:pPr>
              <w:pStyle w:val="EMEABodyText"/>
              <w:rPr>
                <w:ins w:id="137" w:author="BMS"/>
                <w:color w:val="000000"/>
                <w:szCs w:val="22"/>
              </w:rPr>
            </w:pPr>
            <w:ins w:id="138" w:author="BMS">
              <w:r w:rsidRPr="0037015A">
                <w:rPr>
                  <w:color w:val="000000"/>
                  <w:szCs w:val="22"/>
                </w:rPr>
                <w:t>medinfo.norway@bms.com</w:t>
              </w:r>
            </w:ins>
          </w:p>
          <w:p w14:paraId="284DDEE7" w14:textId="77777777" w:rsidR="00EB238F" w:rsidRPr="0037015A" w:rsidRDefault="00EB238F" w:rsidP="00FA4EE8">
            <w:pPr>
              <w:pStyle w:val="EMEABodyText"/>
              <w:rPr>
                <w:ins w:id="139" w:author="BMS"/>
                <w:color w:val="000000"/>
                <w:szCs w:val="22"/>
              </w:rPr>
            </w:pPr>
          </w:p>
        </w:tc>
      </w:tr>
      <w:tr w:rsidR="00EB238F" w:rsidRPr="0037015A" w14:paraId="379E6154" w14:textId="77777777" w:rsidTr="00FA4EE8">
        <w:trPr>
          <w:cantSplit/>
          <w:trHeight w:val="952"/>
          <w:ins w:id="140" w:author="BMS"/>
        </w:trPr>
        <w:tc>
          <w:tcPr>
            <w:tcW w:w="4536" w:type="dxa"/>
          </w:tcPr>
          <w:p w14:paraId="46B77FB7" w14:textId="77777777" w:rsidR="00EB238F" w:rsidRPr="0037015A" w:rsidRDefault="00EB238F" w:rsidP="00FA4EE8">
            <w:pPr>
              <w:pStyle w:val="EMEABodyText"/>
              <w:rPr>
                <w:ins w:id="141" w:author="BMS"/>
                <w:color w:val="000000"/>
                <w:szCs w:val="22"/>
              </w:rPr>
            </w:pPr>
            <w:ins w:id="142" w:author="BMS">
              <w:r w:rsidRPr="0037015A">
                <w:rPr>
                  <w:b/>
                  <w:color w:val="000000"/>
                  <w:szCs w:val="22"/>
                </w:rPr>
                <w:t>Ελλάδα</w:t>
              </w:r>
            </w:ins>
          </w:p>
          <w:p w14:paraId="08AB68F3" w14:textId="77777777" w:rsidR="00EB238F" w:rsidRPr="0037015A" w:rsidRDefault="00EB238F" w:rsidP="00FA4EE8">
            <w:pPr>
              <w:pStyle w:val="EMEABodyText"/>
              <w:rPr>
                <w:ins w:id="143" w:author="BMS"/>
                <w:color w:val="000000"/>
                <w:szCs w:val="22"/>
              </w:rPr>
            </w:pPr>
            <w:ins w:id="144" w:author="BMS">
              <w:r w:rsidRPr="0037015A">
                <w:rPr>
                  <w:color w:val="000000"/>
                  <w:szCs w:val="22"/>
                </w:rPr>
                <w:t>Bristol-Myers Squibb A.E.</w:t>
              </w:r>
            </w:ins>
          </w:p>
          <w:p w14:paraId="32E5E11C" w14:textId="77777777" w:rsidR="00EB238F" w:rsidRPr="0037015A" w:rsidRDefault="00EB238F" w:rsidP="00FA4EE8">
            <w:pPr>
              <w:pStyle w:val="EMEABodyText"/>
              <w:rPr>
                <w:ins w:id="145" w:author="BMS"/>
                <w:color w:val="000000"/>
                <w:szCs w:val="22"/>
              </w:rPr>
            </w:pPr>
            <w:ins w:id="146" w:author="BMS">
              <w:r w:rsidRPr="0037015A">
                <w:rPr>
                  <w:color w:val="000000"/>
                  <w:szCs w:val="22"/>
                </w:rPr>
                <w:t>Τηλ: + 30 210 6074300</w:t>
              </w:r>
            </w:ins>
          </w:p>
          <w:p w14:paraId="37F9B6CE" w14:textId="77777777" w:rsidR="00EB238F" w:rsidRPr="0037015A" w:rsidRDefault="00EB238F" w:rsidP="00FA4EE8">
            <w:pPr>
              <w:pStyle w:val="EMEABodyText"/>
              <w:rPr>
                <w:ins w:id="147" w:author="BMS"/>
                <w:color w:val="000000"/>
                <w:szCs w:val="22"/>
              </w:rPr>
            </w:pPr>
            <w:ins w:id="148" w:author="BMS">
              <w:r w:rsidRPr="0037015A">
                <w:rPr>
                  <w:color w:val="000000"/>
                  <w:szCs w:val="22"/>
                </w:rPr>
                <w:t>medinfo.greece@bms.com</w:t>
              </w:r>
            </w:ins>
          </w:p>
          <w:p w14:paraId="01E6C931" w14:textId="77777777" w:rsidR="00EB238F" w:rsidRPr="0037015A" w:rsidRDefault="00EB238F" w:rsidP="00FA4EE8">
            <w:pPr>
              <w:pStyle w:val="EMEABodyText"/>
              <w:rPr>
                <w:ins w:id="149" w:author="BMS"/>
                <w:color w:val="000000"/>
                <w:szCs w:val="22"/>
              </w:rPr>
            </w:pPr>
          </w:p>
        </w:tc>
        <w:tc>
          <w:tcPr>
            <w:tcW w:w="4536" w:type="dxa"/>
          </w:tcPr>
          <w:p w14:paraId="0DC113CD" w14:textId="77777777" w:rsidR="00EB238F" w:rsidRPr="0037015A" w:rsidRDefault="00EB238F" w:rsidP="00FA4EE8">
            <w:pPr>
              <w:pStyle w:val="EMEABodyText"/>
              <w:rPr>
                <w:ins w:id="150" w:author="BMS"/>
                <w:color w:val="000000"/>
                <w:szCs w:val="22"/>
                <w:lang w:val="de-DE"/>
              </w:rPr>
            </w:pPr>
            <w:ins w:id="151" w:author="BMS">
              <w:r w:rsidRPr="0037015A">
                <w:rPr>
                  <w:b/>
                  <w:color w:val="000000"/>
                  <w:szCs w:val="22"/>
                  <w:lang w:val="de-DE"/>
                </w:rPr>
                <w:t>Österreich</w:t>
              </w:r>
            </w:ins>
          </w:p>
          <w:p w14:paraId="43215F64" w14:textId="77777777" w:rsidR="00EB238F" w:rsidRPr="0037015A" w:rsidRDefault="00EB238F" w:rsidP="00FA4EE8">
            <w:pPr>
              <w:pStyle w:val="EMEABodyText"/>
              <w:rPr>
                <w:ins w:id="152" w:author="BMS"/>
                <w:color w:val="000000"/>
                <w:szCs w:val="22"/>
                <w:lang w:val="de-DE"/>
              </w:rPr>
            </w:pPr>
            <w:ins w:id="153" w:author="BMS">
              <w:r w:rsidRPr="0037015A">
                <w:rPr>
                  <w:color w:val="000000"/>
                  <w:szCs w:val="22"/>
                  <w:lang w:val="de-DE"/>
                </w:rPr>
                <w:t>Bristol-Myers Squibb GesmbH</w:t>
              </w:r>
            </w:ins>
          </w:p>
          <w:p w14:paraId="7255477B" w14:textId="77777777" w:rsidR="00EB238F" w:rsidRPr="0037015A" w:rsidRDefault="00EB238F" w:rsidP="00FA4EE8">
            <w:pPr>
              <w:pStyle w:val="EMEABodyText"/>
              <w:rPr>
                <w:ins w:id="154" w:author="BMS"/>
                <w:color w:val="000000"/>
                <w:szCs w:val="22"/>
                <w:lang w:val="de-DE"/>
              </w:rPr>
            </w:pPr>
            <w:ins w:id="155" w:author="BMS">
              <w:r w:rsidRPr="0037015A">
                <w:rPr>
                  <w:color w:val="000000"/>
                  <w:szCs w:val="22"/>
                  <w:lang w:val="de-DE"/>
                </w:rPr>
                <w:t>Tel: + 43 1 60 14 30</w:t>
              </w:r>
            </w:ins>
          </w:p>
          <w:p w14:paraId="4CA436D0" w14:textId="77777777" w:rsidR="00EB238F" w:rsidRPr="0037015A" w:rsidRDefault="00EB238F" w:rsidP="00FA4EE8">
            <w:pPr>
              <w:pStyle w:val="EMEABodyText"/>
              <w:rPr>
                <w:ins w:id="156" w:author="BMS"/>
                <w:color w:val="000000"/>
                <w:szCs w:val="22"/>
                <w:lang w:val="de-DE"/>
              </w:rPr>
            </w:pPr>
            <w:ins w:id="157" w:author="BMS">
              <w:r w:rsidRPr="0037015A">
                <w:rPr>
                  <w:color w:val="000000"/>
                  <w:szCs w:val="22"/>
                  <w:lang w:val="de-DE"/>
                </w:rPr>
                <w:t>medinfo.austria@bms.com</w:t>
              </w:r>
            </w:ins>
          </w:p>
          <w:p w14:paraId="52D7B097" w14:textId="77777777" w:rsidR="00EB238F" w:rsidRPr="0037015A" w:rsidRDefault="00EB238F" w:rsidP="00FA4EE8">
            <w:pPr>
              <w:pStyle w:val="EMEABodyText"/>
              <w:rPr>
                <w:ins w:id="158" w:author="BMS"/>
                <w:color w:val="000000"/>
                <w:szCs w:val="22"/>
                <w:lang w:val="de-DE"/>
              </w:rPr>
            </w:pPr>
          </w:p>
        </w:tc>
      </w:tr>
      <w:tr w:rsidR="00EB238F" w:rsidRPr="0037015A" w14:paraId="2D387CD6" w14:textId="77777777" w:rsidTr="00FA4EE8">
        <w:trPr>
          <w:cantSplit/>
          <w:trHeight w:val="1111"/>
          <w:ins w:id="159" w:author="BMS"/>
        </w:trPr>
        <w:tc>
          <w:tcPr>
            <w:tcW w:w="4536" w:type="dxa"/>
          </w:tcPr>
          <w:p w14:paraId="5208B080" w14:textId="77777777" w:rsidR="00EB238F" w:rsidRPr="0037015A" w:rsidRDefault="00EB238F" w:rsidP="00FA4EE8">
            <w:pPr>
              <w:pStyle w:val="EMEABodyText"/>
              <w:rPr>
                <w:ins w:id="160" w:author="BMS"/>
                <w:color w:val="000000"/>
                <w:szCs w:val="22"/>
              </w:rPr>
            </w:pPr>
            <w:ins w:id="161" w:author="BMS">
              <w:r w:rsidRPr="0037015A">
                <w:rPr>
                  <w:b/>
                  <w:color w:val="000000"/>
                  <w:szCs w:val="22"/>
                </w:rPr>
                <w:t>España</w:t>
              </w:r>
            </w:ins>
          </w:p>
          <w:p w14:paraId="3268084D" w14:textId="77777777" w:rsidR="00EB238F" w:rsidRPr="0037015A" w:rsidRDefault="00EB238F" w:rsidP="00FA4EE8">
            <w:pPr>
              <w:pStyle w:val="EMEABodyText"/>
              <w:rPr>
                <w:ins w:id="162" w:author="BMS"/>
                <w:color w:val="000000"/>
                <w:szCs w:val="22"/>
              </w:rPr>
            </w:pPr>
            <w:ins w:id="163" w:author="BMS">
              <w:r w:rsidRPr="0037015A">
                <w:rPr>
                  <w:color w:val="000000"/>
                  <w:szCs w:val="22"/>
                </w:rPr>
                <w:t>Bristol-Myers Squibb, S.A.</w:t>
              </w:r>
            </w:ins>
          </w:p>
          <w:p w14:paraId="5C1337BB" w14:textId="77777777" w:rsidR="00EB238F" w:rsidRPr="0037015A" w:rsidRDefault="00EB238F" w:rsidP="00FA4EE8">
            <w:pPr>
              <w:pStyle w:val="EMEABodyText"/>
              <w:rPr>
                <w:ins w:id="164" w:author="BMS"/>
                <w:color w:val="000000"/>
                <w:szCs w:val="22"/>
              </w:rPr>
            </w:pPr>
            <w:ins w:id="165" w:author="BMS">
              <w:r w:rsidRPr="0037015A">
                <w:rPr>
                  <w:color w:val="000000"/>
                  <w:szCs w:val="22"/>
                </w:rPr>
                <w:t>Tel: + 34 91 456 53 00</w:t>
              </w:r>
            </w:ins>
          </w:p>
          <w:p w14:paraId="684DDEE4" w14:textId="77777777" w:rsidR="00EB238F" w:rsidRPr="0037015A" w:rsidRDefault="00EB238F" w:rsidP="00FA4EE8">
            <w:pPr>
              <w:pStyle w:val="EMEABodyText"/>
              <w:rPr>
                <w:ins w:id="166" w:author="BMS"/>
                <w:color w:val="000000"/>
                <w:szCs w:val="22"/>
              </w:rPr>
            </w:pPr>
            <w:ins w:id="167" w:author="BMS">
              <w:r w:rsidRPr="0037015A">
                <w:rPr>
                  <w:color w:val="000000"/>
                  <w:szCs w:val="22"/>
                </w:rPr>
                <w:t>informacion.medica@bms.com</w:t>
              </w:r>
            </w:ins>
          </w:p>
          <w:p w14:paraId="0E6CC87E" w14:textId="77777777" w:rsidR="00EB238F" w:rsidRPr="0037015A" w:rsidRDefault="00EB238F" w:rsidP="00FA4EE8">
            <w:pPr>
              <w:pStyle w:val="EMEABodyText"/>
              <w:rPr>
                <w:ins w:id="168" w:author="BMS"/>
                <w:color w:val="000000"/>
                <w:szCs w:val="22"/>
              </w:rPr>
            </w:pPr>
          </w:p>
        </w:tc>
        <w:tc>
          <w:tcPr>
            <w:tcW w:w="4536" w:type="dxa"/>
          </w:tcPr>
          <w:p w14:paraId="7E544051" w14:textId="77777777" w:rsidR="00EB238F" w:rsidRPr="0037015A" w:rsidRDefault="00EB238F" w:rsidP="00FA4EE8">
            <w:pPr>
              <w:pStyle w:val="EMEABodyText"/>
              <w:rPr>
                <w:ins w:id="169" w:author="BMS"/>
                <w:color w:val="000000"/>
                <w:szCs w:val="22"/>
              </w:rPr>
            </w:pPr>
            <w:ins w:id="170" w:author="BMS">
              <w:r w:rsidRPr="0037015A">
                <w:rPr>
                  <w:b/>
                  <w:color w:val="000000"/>
                  <w:szCs w:val="22"/>
                </w:rPr>
                <w:t>Polska</w:t>
              </w:r>
            </w:ins>
          </w:p>
          <w:p w14:paraId="01346CA0" w14:textId="77777777" w:rsidR="00EB238F" w:rsidRPr="0037015A" w:rsidRDefault="00EB238F" w:rsidP="00FA4EE8">
            <w:pPr>
              <w:pStyle w:val="EMEABodyText"/>
              <w:rPr>
                <w:ins w:id="171" w:author="BMS"/>
                <w:color w:val="000000"/>
                <w:szCs w:val="22"/>
              </w:rPr>
            </w:pPr>
            <w:ins w:id="172" w:author="BMS">
              <w:r w:rsidRPr="0037015A">
                <w:rPr>
                  <w:color w:val="000000"/>
                  <w:szCs w:val="22"/>
                </w:rPr>
                <w:t>Bristol-Myers Squibb Polska Sp. z o.o.</w:t>
              </w:r>
            </w:ins>
          </w:p>
          <w:p w14:paraId="5337D9B7" w14:textId="77777777" w:rsidR="00EB238F" w:rsidRPr="0037015A" w:rsidRDefault="00EB238F" w:rsidP="00FA4EE8">
            <w:pPr>
              <w:pStyle w:val="EMEABodyText"/>
              <w:rPr>
                <w:ins w:id="173" w:author="BMS"/>
                <w:color w:val="000000"/>
                <w:szCs w:val="22"/>
              </w:rPr>
            </w:pPr>
            <w:ins w:id="174" w:author="BMS">
              <w:r w:rsidRPr="0037015A">
                <w:rPr>
                  <w:color w:val="000000"/>
                  <w:szCs w:val="22"/>
                </w:rPr>
                <w:t>Tel.: + 48 22 2606400</w:t>
              </w:r>
            </w:ins>
          </w:p>
          <w:p w14:paraId="20A8260A" w14:textId="77777777" w:rsidR="00EB238F" w:rsidRPr="0037015A" w:rsidRDefault="00EB238F" w:rsidP="00FA4EE8">
            <w:pPr>
              <w:pStyle w:val="EMEABodyText"/>
              <w:rPr>
                <w:ins w:id="175" w:author="BMS"/>
                <w:color w:val="000000"/>
                <w:szCs w:val="22"/>
              </w:rPr>
            </w:pPr>
            <w:ins w:id="176" w:author="BMS">
              <w:r w:rsidRPr="0037015A">
                <w:rPr>
                  <w:color w:val="000000"/>
                  <w:szCs w:val="22"/>
                </w:rPr>
                <w:t>informacja.medyczna@bms.com</w:t>
              </w:r>
            </w:ins>
          </w:p>
          <w:p w14:paraId="6DC8036E" w14:textId="77777777" w:rsidR="00EB238F" w:rsidRPr="0037015A" w:rsidRDefault="00EB238F" w:rsidP="00FA4EE8">
            <w:pPr>
              <w:pStyle w:val="EMEABodyText"/>
              <w:rPr>
                <w:ins w:id="177" w:author="BMS"/>
                <w:color w:val="000000"/>
                <w:szCs w:val="22"/>
              </w:rPr>
            </w:pPr>
          </w:p>
        </w:tc>
      </w:tr>
      <w:tr w:rsidR="00EB238F" w:rsidRPr="0037015A" w14:paraId="407080FA" w14:textId="77777777" w:rsidTr="00FA4EE8">
        <w:trPr>
          <w:cantSplit/>
          <w:trHeight w:val="892"/>
          <w:ins w:id="178" w:author="BMS"/>
        </w:trPr>
        <w:tc>
          <w:tcPr>
            <w:tcW w:w="4536" w:type="dxa"/>
          </w:tcPr>
          <w:p w14:paraId="6B19EA8B" w14:textId="77777777" w:rsidR="00EB238F" w:rsidRPr="0037015A" w:rsidRDefault="00EB238F" w:rsidP="00FA4EE8">
            <w:pPr>
              <w:pStyle w:val="EMEABodyText"/>
              <w:rPr>
                <w:ins w:id="179" w:author="BMS"/>
                <w:color w:val="000000"/>
                <w:szCs w:val="22"/>
              </w:rPr>
            </w:pPr>
            <w:ins w:id="180" w:author="BMS">
              <w:r w:rsidRPr="0037015A">
                <w:rPr>
                  <w:b/>
                  <w:color w:val="000000"/>
                  <w:szCs w:val="22"/>
                </w:rPr>
                <w:t>France</w:t>
              </w:r>
            </w:ins>
          </w:p>
          <w:p w14:paraId="5C47B74D" w14:textId="77777777" w:rsidR="00EB238F" w:rsidRPr="0037015A" w:rsidRDefault="00EB238F" w:rsidP="00FA4EE8">
            <w:pPr>
              <w:pStyle w:val="EMEABodyText"/>
              <w:rPr>
                <w:ins w:id="181" w:author="BMS"/>
                <w:color w:val="000000"/>
                <w:szCs w:val="22"/>
              </w:rPr>
            </w:pPr>
            <w:ins w:id="182" w:author="BMS">
              <w:r w:rsidRPr="0037015A">
                <w:rPr>
                  <w:color w:val="000000"/>
                  <w:szCs w:val="22"/>
                </w:rPr>
                <w:t>Bristol-Myers Squibb SAS</w:t>
              </w:r>
            </w:ins>
          </w:p>
          <w:p w14:paraId="464FF8E3" w14:textId="77777777" w:rsidR="00EB238F" w:rsidRPr="0037015A" w:rsidRDefault="00EB238F" w:rsidP="00FA4EE8">
            <w:pPr>
              <w:pStyle w:val="EMEATableLeft"/>
              <w:keepNext w:val="0"/>
              <w:keepLines w:val="0"/>
              <w:widowControl w:val="0"/>
              <w:rPr>
                <w:ins w:id="183" w:author="BMS"/>
                <w:szCs w:val="22"/>
              </w:rPr>
            </w:pPr>
            <w:ins w:id="184" w:author="BMS">
              <w:r w:rsidRPr="0037015A">
                <w:rPr>
                  <w:szCs w:val="22"/>
                </w:rPr>
                <w:t>Tél: + 33 (0)1 58 83 84 96</w:t>
              </w:r>
            </w:ins>
          </w:p>
          <w:p w14:paraId="050BF63C" w14:textId="77777777" w:rsidR="00EB238F" w:rsidRPr="0037015A" w:rsidRDefault="00EB238F" w:rsidP="00FA4EE8">
            <w:pPr>
              <w:pStyle w:val="EMEATableLeft"/>
              <w:keepNext w:val="0"/>
              <w:keepLines w:val="0"/>
              <w:widowControl w:val="0"/>
              <w:rPr>
                <w:ins w:id="185" w:author="BMS"/>
                <w:szCs w:val="22"/>
              </w:rPr>
            </w:pPr>
            <w:ins w:id="186" w:author="BMS">
              <w:r w:rsidRPr="0037015A">
                <w:rPr>
                  <w:szCs w:val="22"/>
                </w:rPr>
                <w:t>infomed@bms.com</w:t>
              </w:r>
            </w:ins>
          </w:p>
          <w:p w14:paraId="36F20023" w14:textId="77777777" w:rsidR="00EB238F" w:rsidRPr="0037015A" w:rsidRDefault="00EB238F" w:rsidP="00FA4EE8">
            <w:pPr>
              <w:pStyle w:val="EMEABodyText"/>
              <w:rPr>
                <w:ins w:id="187" w:author="BMS"/>
                <w:color w:val="000000"/>
                <w:szCs w:val="22"/>
              </w:rPr>
            </w:pPr>
          </w:p>
        </w:tc>
        <w:tc>
          <w:tcPr>
            <w:tcW w:w="4536" w:type="dxa"/>
          </w:tcPr>
          <w:p w14:paraId="7CFC1C39" w14:textId="77777777" w:rsidR="00EB238F" w:rsidRPr="0037015A" w:rsidRDefault="00EB238F" w:rsidP="00FA4EE8">
            <w:pPr>
              <w:pStyle w:val="EMEABodyText"/>
              <w:rPr>
                <w:ins w:id="188" w:author="BMS"/>
                <w:color w:val="000000"/>
                <w:szCs w:val="22"/>
                <w:lang w:val="es-ES"/>
              </w:rPr>
            </w:pPr>
            <w:ins w:id="189" w:author="BMS">
              <w:r w:rsidRPr="0037015A">
                <w:rPr>
                  <w:b/>
                  <w:color w:val="000000"/>
                  <w:szCs w:val="22"/>
                  <w:lang w:val="es-ES"/>
                </w:rPr>
                <w:t>Portugal</w:t>
              </w:r>
            </w:ins>
          </w:p>
          <w:p w14:paraId="6ED3AAEB" w14:textId="77777777" w:rsidR="00EB238F" w:rsidRPr="0037015A" w:rsidRDefault="00EB238F" w:rsidP="00FA4EE8">
            <w:pPr>
              <w:pStyle w:val="EMEABodyText"/>
              <w:rPr>
                <w:ins w:id="190" w:author="BMS"/>
                <w:color w:val="000000"/>
                <w:szCs w:val="22"/>
                <w:lang w:val="es-ES"/>
              </w:rPr>
            </w:pPr>
            <w:ins w:id="191" w:author="BMS">
              <w:r w:rsidRPr="0037015A">
                <w:rPr>
                  <w:color w:val="000000"/>
                  <w:szCs w:val="22"/>
                  <w:lang w:val="es-ES"/>
                </w:rPr>
                <w:t>Bristol-Myers Squibb Farmacêutica Portuguesa, S.A.</w:t>
              </w:r>
            </w:ins>
          </w:p>
          <w:p w14:paraId="4950EF15" w14:textId="77777777" w:rsidR="00EB238F" w:rsidRPr="0037015A" w:rsidRDefault="00EB238F" w:rsidP="00FA4EE8">
            <w:pPr>
              <w:pStyle w:val="EMEABodyText"/>
              <w:rPr>
                <w:ins w:id="192" w:author="BMS"/>
                <w:color w:val="000000"/>
                <w:szCs w:val="22"/>
                <w:lang w:val="es-ES"/>
              </w:rPr>
            </w:pPr>
            <w:ins w:id="193" w:author="BMS">
              <w:r w:rsidRPr="0037015A">
                <w:rPr>
                  <w:color w:val="000000"/>
                  <w:szCs w:val="22"/>
                  <w:lang w:val="es-ES"/>
                </w:rPr>
                <w:t>Tel: + 351 21 440 70 00</w:t>
              </w:r>
            </w:ins>
          </w:p>
          <w:p w14:paraId="40F0E041" w14:textId="77777777" w:rsidR="00EB238F" w:rsidRPr="0037015A" w:rsidRDefault="00EB238F" w:rsidP="00FA4EE8">
            <w:pPr>
              <w:pStyle w:val="EMEABodyText"/>
              <w:rPr>
                <w:ins w:id="194" w:author="BMS"/>
                <w:color w:val="000000"/>
                <w:szCs w:val="22"/>
              </w:rPr>
            </w:pPr>
            <w:ins w:id="195" w:author="BMS">
              <w:r w:rsidRPr="0037015A">
                <w:rPr>
                  <w:color w:val="000000"/>
                  <w:szCs w:val="22"/>
                </w:rPr>
                <w:t>portugal.medinfo@bms.com</w:t>
              </w:r>
            </w:ins>
          </w:p>
          <w:p w14:paraId="73D7FF77" w14:textId="77777777" w:rsidR="00EB238F" w:rsidRPr="0037015A" w:rsidRDefault="00EB238F" w:rsidP="00FA4EE8">
            <w:pPr>
              <w:pStyle w:val="EMEABodyText"/>
              <w:rPr>
                <w:ins w:id="196" w:author="BMS"/>
                <w:color w:val="000000"/>
                <w:szCs w:val="22"/>
              </w:rPr>
            </w:pPr>
          </w:p>
        </w:tc>
      </w:tr>
      <w:tr w:rsidR="00EB238F" w:rsidRPr="0037015A" w14:paraId="1D7DE7C6" w14:textId="77777777" w:rsidTr="00FA4EE8">
        <w:trPr>
          <w:cantSplit/>
          <w:trHeight w:val="892"/>
          <w:ins w:id="197" w:author="BMS"/>
        </w:trPr>
        <w:tc>
          <w:tcPr>
            <w:tcW w:w="4536" w:type="dxa"/>
          </w:tcPr>
          <w:p w14:paraId="3710BD54" w14:textId="77777777" w:rsidR="00EB238F" w:rsidRPr="00AB0414" w:rsidRDefault="00EB238F" w:rsidP="00FA4EE8">
            <w:pPr>
              <w:pStyle w:val="EMEABodyText"/>
              <w:rPr>
                <w:ins w:id="198" w:author="BMS"/>
                <w:color w:val="000000"/>
                <w:szCs w:val="22"/>
                <w:lang w:val="fr-FR"/>
              </w:rPr>
            </w:pPr>
            <w:ins w:id="199" w:author="BMS">
              <w:r w:rsidRPr="00AB0414">
                <w:rPr>
                  <w:b/>
                  <w:color w:val="000000"/>
                  <w:szCs w:val="22"/>
                  <w:lang w:val="fr-FR"/>
                </w:rPr>
                <w:t>Hrvatska</w:t>
              </w:r>
            </w:ins>
          </w:p>
          <w:p w14:paraId="183C166F" w14:textId="77777777" w:rsidR="00EB238F" w:rsidRPr="00AB0414" w:rsidRDefault="00EB238F" w:rsidP="00FA4EE8">
            <w:pPr>
              <w:pStyle w:val="EMEABodyText"/>
              <w:rPr>
                <w:ins w:id="200" w:author="BMS"/>
                <w:rStyle w:val="cf01"/>
                <w:szCs w:val="22"/>
                <w:lang w:val="fr-FR"/>
              </w:rPr>
            </w:pPr>
            <w:ins w:id="201" w:author="BMS">
              <w:r w:rsidRPr="00AB0414">
                <w:rPr>
                  <w:rStyle w:val="cf01"/>
                  <w:szCs w:val="22"/>
                  <w:lang w:val="fr-FR"/>
                </w:rPr>
                <w:t>Swixx Biopharma d.o.o.</w:t>
              </w:r>
            </w:ins>
          </w:p>
          <w:p w14:paraId="54356EC6" w14:textId="77777777" w:rsidR="00EB238F" w:rsidRPr="0037015A" w:rsidRDefault="00EB238F" w:rsidP="00FA4EE8">
            <w:pPr>
              <w:pStyle w:val="EMEABodyText"/>
              <w:rPr>
                <w:ins w:id="202" w:author="BMS"/>
                <w:rStyle w:val="cf01"/>
                <w:szCs w:val="22"/>
              </w:rPr>
            </w:pPr>
            <w:ins w:id="203" w:author="BMS">
              <w:r w:rsidRPr="0037015A">
                <w:rPr>
                  <w:rStyle w:val="cf01"/>
                  <w:szCs w:val="22"/>
                </w:rPr>
                <w:t>Tel: + 385 1 2078 500</w:t>
              </w:r>
            </w:ins>
          </w:p>
          <w:p w14:paraId="20E78297" w14:textId="77777777" w:rsidR="00EB238F" w:rsidRPr="0037015A" w:rsidRDefault="00EB238F" w:rsidP="00FA4EE8">
            <w:pPr>
              <w:pStyle w:val="EMEABodyText"/>
              <w:rPr>
                <w:ins w:id="204" w:author="BMS"/>
                <w:color w:val="000000"/>
                <w:szCs w:val="22"/>
              </w:rPr>
            </w:pPr>
            <w:ins w:id="205" w:author="BMS">
              <w:r w:rsidRPr="0037015A">
                <w:rPr>
                  <w:color w:val="000000"/>
                  <w:szCs w:val="22"/>
                </w:rPr>
                <w:t>medinfo.croatia@swixxbiopharma.com</w:t>
              </w:r>
            </w:ins>
          </w:p>
          <w:p w14:paraId="6C899A78" w14:textId="77777777" w:rsidR="00EB238F" w:rsidRPr="0037015A" w:rsidRDefault="00EB238F" w:rsidP="00FA4EE8">
            <w:pPr>
              <w:pStyle w:val="EMEABodyText"/>
              <w:rPr>
                <w:ins w:id="206" w:author="BMS"/>
                <w:b/>
                <w:color w:val="000000"/>
                <w:szCs w:val="22"/>
              </w:rPr>
            </w:pPr>
          </w:p>
        </w:tc>
        <w:tc>
          <w:tcPr>
            <w:tcW w:w="4536" w:type="dxa"/>
          </w:tcPr>
          <w:p w14:paraId="75F7CF99" w14:textId="77777777" w:rsidR="00EB238F" w:rsidRPr="0037015A" w:rsidRDefault="00EB238F" w:rsidP="00FA4EE8">
            <w:pPr>
              <w:pStyle w:val="EMEABodyText"/>
              <w:rPr>
                <w:ins w:id="207" w:author="BMS"/>
                <w:b/>
                <w:color w:val="000000"/>
                <w:szCs w:val="22"/>
              </w:rPr>
            </w:pPr>
            <w:ins w:id="208" w:author="BMS">
              <w:r w:rsidRPr="0037015A">
                <w:rPr>
                  <w:b/>
                  <w:color w:val="000000"/>
                  <w:szCs w:val="22"/>
                </w:rPr>
                <w:t>România</w:t>
              </w:r>
            </w:ins>
          </w:p>
          <w:p w14:paraId="3EE410E6" w14:textId="77777777" w:rsidR="00EB238F" w:rsidRPr="0037015A" w:rsidRDefault="00EB238F" w:rsidP="00FA4EE8">
            <w:pPr>
              <w:pStyle w:val="EMEABodyText"/>
              <w:rPr>
                <w:ins w:id="209" w:author="BMS"/>
                <w:color w:val="000000"/>
                <w:szCs w:val="22"/>
              </w:rPr>
            </w:pPr>
            <w:ins w:id="210" w:author="BMS">
              <w:r w:rsidRPr="0037015A">
                <w:rPr>
                  <w:color w:val="000000"/>
                  <w:szCs w:val="22"/>
                </w:rPr>
                <w:t>Bristol-Myers Squibb Marketing Services S.R.L.</w:t>
              </w:r>
            </w:ins>
          </w:p>
          <w:p w14:paraId="4E692C2F" w14:textId="77777777" w:rsidR="00EB238F" w:rsidRPr="0037015A" w:rsidRDefault="00EB238F" w:rsidP="00FA4EE8">
            <w:pPr>
              <w:pStyle w:val="EMEABodyText"/>
              <w:rPr>
                <w:ins w:id="211" w:author="BMS"/>
                <w:color w:val="000000"/>
                <w:szCs w:val="22"/>
              </w:rPr>
            </w:pPr>
            <w:ins w:id="212" w:author="BMS">
              <w:r w:rsidRPr="0037015A">
                <w:rPr>
                  <w:color w:val="000000"/>
                  <w:szCs w:val="22"/>
                </w:rPr>
                <w:t>Tel: + 40 (0)21 272 16 19</w:t>
              </w:r>
            </w:ins>
          </w:p>
          <w:p w14:paraId="33D0DEBE" w14:textId="77777777" w:rsidR="00EB238F" w:rsidRPr="0037015A" w:rsidRDefault="00EB238F" w:rsidP="00FA4EE8">
            <w:pPr>
              <w:pStyle w:val="EMEABodyText"/>
              <w:rPr>
                <w:ins w:id="213" w:author="BMS"/>
                <w:color w:val="000000"/>
                <w:szCs w:val="22"/>
              </w:rPr>
            </w:pPr>
            <w:ins w:id="214" w:author="BMS">
              <w:r w:rsidRPr="0037015A">
                <w:rPr>
                  <w:color w:val="000000"/>
                  <w:szCs w:val="22"/>
                </w:rPr>
                <w:t>medinfo.romania@bms.com</w:t>
              </w:r>
            </w:ins>
          </w:p>
          <w:p w14:paraId="6EFDE66D" w14:textId="77777777" w:rsidR="00EB238F" w:rsidRPr="0037015A" w:rsidRDefault="00EB238F" w:rsidP="00FA4EE8">
            <w:pPr>
              <w:pStyle w:val="EMEABodyText"/>
              <w:rPr>
                <w:ins w:id="215" w:author="BMS"/>
                <w:color w:val="000000"/>
                <w:szCs w:val="22"/>
              </w:rPr>
            </w:pPr>
          </w:p>
        </w:tc>
      </w:tr>
      <w:tr w:rsidR="00EB238F" w:rsidRPr="0037015A" w14:paraId="05298B37" w14:textId="77777777" w:rsidTr="00FA4EE8">
        <w:trPr>
          <w:cantSplit/>
          <w:trHeight w:val="892"/>
          <w:ins w:id="216" w:author="BMS"/>
        </w:trPr>
        <w:tc>
          <w:tcPr>
            <w:tcW w:w="4536" w:type="dxa"/>
          </w:tcPr>
          <w:p w14:paraId="02315A4B" w14:textId="77777777" w:rsidR="00EB238F" w:rsidRPr="0037015A" w:rsidRDefault="00EB238F" w:rsidP="00FA4EE8">
            <w:pPr>
              <w:pStyle w:val="EMEABodyText"/>
              <w:rPr>
                <w:ins w:id="217" w:author="BMS"/>
                <w:color w:val="000000"/>
                <w:szCs w:val="22"/>
              </w:rPr>
            </w:pPr>
            <w:ins w:id="218" w:author="BMS">
              <w:r w:rsidRPr="0037015A">
                <w:rPr>
                  <w:b/>
                  <w:color w:val="000000"/>
                  <w:szCs w:val="22"/>
                </w:rPr>
                <w:t>Ireland</w:t>
              </w:r>
            </w:ins>
          </w:p>
          <w:p w14:paraId="3A61AE09" w14:textId="77777777" w:rsidR="00EB238F" w:rsidRPr="0037015A" w:rsidRDefault="00EB238F" w:rsidP="00FA4EE8">
            <w:pPr>
              <w:pStyle w:val="EMEABodyText"/>
              <w:rPr>
                <w:ins w:id="219" w:author="BMS"/>
                <w:color w:val="000000"/>
                <w:szCs w:val="22"/>
              </w:rPr>
            </w:pPr>
            <w:ins w:id="220" w:author="BMS">
              <w:r w:rsidRPr="0037015A">
                <w:rPr>
                  <w:color w:val="000000"/>
                  <w:szCs w:val="22"/>
                </w:rPr>
                <w:t>Bristol-Myers Squibb Pharmaceuticals uc</w:t>
              </w:r>
            </w:ins>
          </w:p>
          <w:p w14:paraId="505E715A" w14:textId="77777777" w:rsidR="00EB238F" w:rsidRPr="0037015A" w:rsidRDefault="00EB238F" w:rsidP="00FA4EE8">
            <w:pPr>
              <w:pStyle w:val="EMEABodyText"/>
              <w:rPr>
                <w:ins w:id="221" w:author="BMS"/>
                <w:color w:val="000000"/>
                <w:szCs w:val="22"/>
              </w:rPr>
            </w:pPr>
            <w:ins w:id="222" w:author="BMS">
              <w:r w:rsidRPr="0037015A">
                <w:rPr>
                  <w:color w:val="000000"/>
                  <w:szCs w:val="22"/>
                </w:rPr>
                <w:t>Tel: 1 800 749 749 (+ 353 (0)1 483 3625)</w:t>
              </w:r>
            </w:ins>
          </w:p>
          <w:p w14:paraId="522F719F" w14:textId="77777777" w:rsidR="00EB238F" w:rsidRPr="0037015A" w:rsidRDefault="00EB238F" w:rsidP="00FA4EE8">
            <w:pPr>
              <w:pStyle w:val="EMEABodyText"/>
              <w:rPr>
                <w:ins w:id="223" w:author="BMS"/>
                <w:color w:val="000000"/>
                <w:szCs w:val="22"/>
              </w:rPr>
            </w:pPr>
            <w:ins w:id="224" w:author="BMS">
              <w:r w:rsidRPr="0037015A">
                <w:rPr>
                  <w:color w:val="000000"/>
                  <w:szCs w:val="22"/>
                </w:rPr>
                <w:t>medical.information@bms.com</w:t>
              </w:r>
            </w:ins>
          </w:p>
          <w:p w14:paraId="0126B822" w14:textId="77777777" w:rsidR="00EB238F" w:rsidRPr="0037015A" w:rsidRDefault="00EB238F" w:rsidP="00FA4EE8">
            <w:pPr>
              <w:pStyle w:val="EMEABodyText"/>
              <w:rPr>
                <w:ins w:id="225" w:author="BMS"/>
                <w:color w:val="000000"/>
                <w:szCs w:val="22"/>
              </w:rPr>
            </w:pPr>
          </w:p>
        </w:tc>
        <w:tc>
          <w:tcPr>
            <w:tcW w:w="4536" w:type="dxa"/>
          </w:tcPr>
          <w:p w14:paraId="45729BE3" w14:textId="77777777" w:rsidR="00EB238F" w:rsidRPr="0037015A" w:rsidRDefault="00EB238F" w:rsidP="00FA4EE8">
            <w:pPr>
              <w:pStyle w:val="EMEABodyText"/>
              <w:rPr>
                <w:ins w:id="226" w:author="BMS"/>
                <w:color w:val="000000"/>
                <w:szCs w:val="22"/>
              </w:rPr>
            </w:pPr>
            <w:ins w:id="227" w:author="BMS">
              <w:r w:rsidRPr="0037015A">
                <w:rPr>
                  <w:b/>
                  <w:color w:val="000000"/>
                  <w:szCs w:val="22"/>
                </w:rPr>
                <w:t>Slovenija</w:t>
              </w:r>
            </w:ins>
          </w:p>
          <w:p w14:paraId="58D31B65" w14:textId="77777777" w:rsidR="00EB238F" w:rsidRPr="0037015A" w:rsidRDefault="00EB238F" w:rsidP="00FA4EE8">
            <w:pPr>
              <w:pStyle w:val="EMEABodyText"/>
              <w:rPr>
                <w:ins w:id="228" w:author="BMS"/>
                <w:color w:val="000000"/>
                <w:szCs w:val="22"/>
              </w:rPr>
            </w:pPr>
            <w:ins w:id="229" w:author="BMS">
              <w:r w:rsidRPr="0037015A">
                <w:rPr>
                  <w:rStyle w:val="cf01"/>
                  <w:szCs w:val="22"/>
                </w:rPr>
                <w:t>Swixx Biopharma d.o.o.</w:t>
              </w:r>
            </w:ins>
          </w:p>
          <w:p w14:paraId="35CEE562" w14:textId="77777777" w:rsidR="00EB238F" w:rsidRPr="0037015A" w:rsidRDefault="00EB238F" w:rsidP="00FA4EE8">
            <w:pPr>
              <w:pStyle w:val="EMEABodyText"/>
              <w:rPr>
                <w:ins w:id="230" w:author="BMS"/>
                <w:szCs w:val="22"/>
              </w:rPr>
            </w:pPr>
            <w:ins w:id="231" w:author="BMS">
              <w:r w:rsidRPr="0037015A">
                <w:rPr>
                  <w:szCs w:val="22"/>
                </w:rPr>
                <w:t>Tel: + 386 1 2355 100</w:t>
              </w:r>
            </w:ins>
          </w:p>
          <w:p w14:paraId="5D42A576" w14:textId="77777777" w:rsidR="00EB238F" w:rsidRPr="0037015A" w:rsidRDefault="00EB238F" w:rsidP="00FA4EE8">
            <w:pPr>
              <w:pStyle w:val="EMEABodyText"/>
              <w:rPr>
                <w:ins w:id="232" w:author="BMS"/>
                <w:color w:val="000000"/>
                <w:szCs w:val="22"/>
              </w:rPr>
            </w:pPr>
            <w:ins w:id="233" w:author="BMS">
              <w:r w:rsidRPr="0037015A">
                <w:rPr>
                  <w:color w:val="000000"/>
                  <w:szCs w:val="22"/>
                </w:rPr>
                <w:t>medinfo.slovenia@swixxbiopharma.com</w:t>
              </w:r>
            </w:ins>
          </w:p>
          <w:p w14:paraId="60D276EF" w14:textId="77777777" w:rsidR="00EB238F" w:rsidRPr="0037015A" w:rsidRDefault="00EB238F" w:rsidP="00FA4EE8">
            <w:pPr>
              <w:tabs>
                <w:tab w:val="left" w:pos="1152"/>
              </w:tabs>
              <w:rPr>
                <w:ins w:id="234" w:author="BMS"/>
              </w:rPr>
            </w:pPr>
          </w:p>
        </w:tc>
      </w:tr>
      <w:tr w:rsidR="00EB238F" w:rsidRPr="0037015A" w14:paraId="63EAF8DB" w14:textId="77777777" w:rsidTr="00FA4EE8">
        <w:trPr>
          <w:cantSplit/>
          <w:trHeight w:val="904"/>
          <w:ins w:id="235" w:author="BMS"/>
        </w:trPr>
        <w:tc>
          <w:tcPr>
            <w:tcW w:w="4536" w:type="dxa"/>
          </w:tcPr>
          <w:p w14:paraId="25CE6F09" w14:textId="77777777" w:rsidR="00EB238F" w:rsidRPr="0037015A" w:rsidRDefault="00EB238F" w:rsidP="00FA4EE8">
            <w:pPr>
              <w:pStyle w:val="EMEABodyText"/>
              <w:rPr>
                <w:ins w:id="236" w:author="BMS"/>
                <w:color w:val="000000"/>
                <w:szCs w:val="22"/>
              </w:rPr>
            </w:pPr>
            <w:ins w:id="237" w:author="BMS">
              <w:r w:rsidRPr="0037015A">
                <w:rPr>
                  <w:b/>
                  <w:color w:val="000000"/>
                  <w:szCs w:val="22"/>
                </w:rPr>
                <w:t>Ísland</w:t>
              </w:r>
            </w:ins>
          </w:p>
          <w:p w14:paraId="7B866CA1" w14:textId="4FA22B6D" w:rsidR="00EB238F" w:rsidRPr="0037015A" w:rsidRDefault="00EB238F" w:rsidP="00FA4EE8">
            <w:pPr>
              <w:pStyle w:val="EMEABodyText"/>
              <w:rPr>
                <w:ins w:id="238" w:author="BMS"/>
                <w:color w:val="000000"/>
                <w:szCs w:val="22"/>
              </w:rPr>
            </w:pPr>
            <w:ins w:id="239" w:author="BMS">
              <w:r w:rsidRPr="0037015A">
                <w:rPr>
                  <w:color w:val="000000"/>
                  <w:szCs w:val="22"/>
                  <w:lang w:val="is-IS"/>
                </w:rPr>
                <w:t xml:space="preserve">Vistor </w:t>
              </w:r>
              <w:r w:rsidR="007330BE">
                <w:rPr>
                  <w:color w:val="000000"/>
                  <w:szCs w:val="22"/>
                  <w:lang w:val="is-IS"/>
                </w:rPr>
                <w:t>e</w:t>
              </w:r>
              <w:r w:rsidRPr="0037015A">
                <w:rPr>
                  <w:color w:val="000000"/>
                  <w:szCs w:val="22"/>
                  <w:lang w:val="is-IS"/>
                </w:rPr>
                <w:t>hf.</w:t>
              </w:r>
            </w:ins>
          </w:p>
          <w:p w14:paraId="6F025DD0" w14:textId="77777777" w:rsidR="00EB238F" w:rsidRPr="0037015A" w:rsidRDefault="00EB238F" w:rsidP="00FA4EE8">
            <w:pPr>
              <w:pStyle w:val="EMEABodyText"/>
              <w:rPr>
                <w:ins w:id="240" w:author="BMS"/>
                <w:color w:val="000000"/>
                <w:szCs w:val="22"/>
                <w:lang w:val="es-ES"/>
              </w:rPr>
            </w:pPr>
            <w:ins w:id="241" w:author="BMS">
              <w:r w:rsidRPr="0037015A">
                <w:rPr>
                  <w:color w:val="000000"/>
                  <w:szCs w:val="22"/>
                  <w:lang w:val="es-ES"/>
                </w:rPr>
                <w:t>Sími: + 354 535 7000</w:t>
              </w:r>
            </w:ins>
          </w:p>
          <w:p w14:paraId="48D5E22F" w14:textId="3BD41EEE" w:rsidR="00EB238F" w:rsidRPr="0037015A" w:rsidDel="007330BE" w:rsidRDefault="00EB238F" w:rsidP="00FA4EE8">
            <w:pPr>
              <w:pStyle w:val="EMEABodyText"/>
              <w:rPr>
                <w:ins w:id="242" w:author="BMS"/>
                <w:del w:id="243" w:author="BMS"/>
                <w:color w:val="000000"/>
                <w:szCs w:val="22"/>
                <w:lang w:val="es-ES"/>
              </w:rPr>
            </w:pPr>
            <w:ins w:id="244" w:author="BMS">
              <w:del w:id="245" w:author="BMS">
                <w:r w:rsidRPr="0037015A" w:rsidDel="007330BE">
                  <w:rPr>
                    <w:color w:val="000000"/>
                    <w:szCs w:val="22"/>
                    <w:lang w:val="es-ES"/>
                  </w:rPr>
                  <w:delText>vistor@vistor.is</w:delText>
                </w:r>
              </w:del>
            </w:ins>
          </w:p>
          <w:p w14:paraId="5052F506" w14:textId="77777777" w:rsidR="00EB238F" w:rsidRPr="0037015A" w:rsidRDefault="00EB238F" w:rsidP="00FA4EE8">
            <w:pPr>
              <w:pStyle w:val="EMEABodyText"/>
              <w:rPr>
                <w:ins w:id="246" w:author="BMS"/>
                <w:color w:val="000000"/>
                <w:szCs w:val="22"/>
                <w:lang w:val="es-ES"/>
              </w:rPr>
            </w:pPr>
            <w:ins w:id="247" w:author="BMS">
              <w:r w:rsidRPr="0037015A">
                <w:rPr>
                  <w:color w:val="000000"/>
                  <w:szCs w:val="22"/>
                  <w:lang w:val="es-ES"/>
                </w:rPr>
                <w:t>medical.information@bms.com</w:t>
              </w:r>
            </w:ins>
          </w:p>
          <w:p w14:paraId="198EB9C1" w14:textId="77777777" w:rsidR="00EB238F" w:rsidRPr="0037015A" w:rsidRDefault="00EB238F" w:rsidP="00FA4EE8">
            <w:pPr>
              <w:pStyle w:val="EMEABodyText"/>
              <w:rPr>
                <w:ins w:id="248" w:author="BMS"/>
                <w:color w:val="000000"/>
                <w:szCs w:val="22"/>
                <w:lang w:val="es-ES"/>
              </w:rPr>
            </w:pPr>
          </w:p>
        </w:tc>
        <w:tc>
          <w:tcPr>
            <w:tcW w:w="4536" w:type="dxa"/>
          </w:tcPr>
          <w:p w14:paraId="1378DB09" w14:textId="77777777" w:rsidR="00EB238F" w:rsidRPr="0037015A" w:rsidRDefault="00EB238F" w:rsidP="00FA4EE8">
            <w:pPr>
              <w:pStyle w:val="EMEABodyText"/>
              <w:rPr>
                <w:ins w:id="249" w:author="BMS"/>
                <w:color w:val="000000"/>
                <w:szCs w:val="22"/>
              </w:rPr>
            </w:pPr>
            <w:ins w:id="250" w:author="BMS">
              <w:r w:rsidRPr="0037015A">
                <w:rPr>
                  <w:b/>
                  <w:color w:val="000000"/>
                  <w:szCs w:val="22"/>
                </w:rPr>
                <w:t>Slovenská republika</w:t>
              </w:r>
            </w:ins>
          </w:p>
          <w:p w14:paraId="1E77AB68" w14:textId="77777777" w:rsidR="00EB238F" w:rsidRPr="0037015A" w:rsidRDefault="00EB238F" w:rsidP="00FA4EE8">
            <w:pPr>
              <w:pStyle w:val="EMEABodyText"/>
              <w:rPr>
                <w:ins w:id="251" w:author="BMS"/>
                <w:color w:val="000000"/>
                <w:szCs w:val="22"/>
              </w:rPr>
            </w:pPr>
            <w:ins w:id="252" w:author="BMS">
              <w:r w:rsidRPr="0037015A">
                <w:rPr>
                  <w:rStyle w:val="cf01"/>
                  <w:szCs w:val="22"/>
                </w:rPr>
                <w:t>Swixx Biopharma s.r.o.</w:t>
              </w:r>
            </w:ins>
          </w:p>
          <w:p w14:paraId="6FF78507" w14:textId="77777777" w:rsidR="00EB238F" w:rsidRPr="0037015A" w:rsidRDefault="00EB238F" w:rsidP="00FA4EE8">
            <w:pPr>
              <w:pStyle w:val="EMEABodyText"/>
              <w:rPr>
                <w:ins w:id="253" w:author="BMS"/>
                <w:color w:val="000000"/>
                <w:szCs w:val="22"/>
              </w:rPr>
            </w:pPr>
            <w:ins w:id="254" w:author="BMS">
              <w:r w:rsidRPr="0037015A">
                <w:rPr>
                  <w:color w:val="000000"/>
                  <w:szCs w:val="22"/>
                </w:rPr>
                <w:t>Tel: + 421 2 20833 600</w:t>
              </w:r>
            </w:ins>
          </w:p>
          <w:p w14:paraId="05B74BFE" w14:textId="77777777" w:rsidR="00EB238F" w:rsidRPr="0037015A" w:rsidRDefault="00EB238F" w:rsidP="00FA4EE8">
            <w:pPr>
              <w:pStyle w:val="EMEABodyText"/>
              <w:rPr>
                <w:ins w:id="255" w:author="BMS"/>
                <w:color w:val="000000"/>
                <w:szCs w:val="22"/>
              </w:rPr>
            </w:pPr>
            <w:ins w:id="256" w:author="BMS">
              <w:r w:rsidRPr="0037015A">
                <w:fldChar w:fldCharType="begin"/>
              </w:r>
              <w:r w:rsidRPr="0037015A">
                <w:instrText>HYPERLINK "mailto:medinfo.slovakia@swixxbiopharma.com"</w:instrText>
              </w:r>
              <w:r w:rsidRPr="0037015A">
                <w:fldChar w:fldCharType="separate"/>
              </w:r>
              <w:r w:rsidRPr="0037015A">
                <w:rPr>
                  <w:color w:val="000000"/>
                  <w:szCs w:val="22"/>
                </w:rPr>
                <w:t>medinfo.slovakia@swixxbiopharma.com</w:t>
              </w:r>
              <w:r w:rsidRPr="0037015A">
                <w:rPr>
                  <w:color w:val="000000"/>
                  <w:szCs w:val="22"/>
                </w:rPr>
                <w:fldChar w:fldCharType="end"/>
              </w:r>
              <w:r w:rsidRPr="0037015A">
                <w:rPr>
                  <w:rStyle w:val="cf01"/>
                  <w:szCs w:val="22"/>
                </w:rPr>
                <w:t xml:space="preserve"> </w:t>
              </w:r>
            </w:ins>
          </w:p>
        </w:tc>
      </w:tr>
      <w:tr w:rsidR="00EB238F" w:rsidRPr="0037015A" w14:paraId="33D04B87" w14:textId="77777777" w:rsidTr="00FA4EE8">
        <w:trPr>
          <w:cantSplit/>
          <w:trHeight w:val="892"/>
          <w:ins w:id="257" w:author="BMS"/>
        </w:trPr>
        <w:tc>
          <w:tcPr>
            <w:tcW w:w="4536" w:type="dxa"/>
          </w:tcPr>
          <w:p w14:paraId="4859E27E" w14:textId="77777777" w:rsidR="00EB238F" w:rsidRPr="0037015A" w:rsidRDefault="00EB238F" w:rsidP="00FA4EE8">
            <w:pPr>
              <w:pStyle w:val="EMEABodyText"/>
              <w:rPr>
                <w:ins w:id="258" w:author="BMS"/>
                <w:color w:val="000000"/>
                <w:szCs w:val="22"/>
              </w:rPr>
            </w:pPr>
            <w:ins w:id="259" w:author="BMS">
              <w:r w:rsidRPr="0037015A">
                <w:rPr>
                  <w:b/>
                  <w:color w:val="000000"/>
                  <w:szCs w:val="22"/>
                </w:rPr>
                <w:t>Italia</w:t>
              </w:r>
            </w:ins>
          </w:p>
          <w:p w14:paraId="3B52DC0F" w14:textId="77777777" w:rsidR="00EB238F" w:rsidRPr="0037015A" w:rsidRDefault="00EB238F" w:rsidP="00FA4EE8">
            <w:pPr>
              <w:pStyle w:val="EMEABodyText"/>
              <w:rPr>
                <w:ins w:id="260" w:author="BMS"/>
                <w:color w:val="000000"/>
                <w:szCs w:val="22"/>
              </w:rPr>
            </w:pPr>
            <w:ins w:id="261" w:author="BMS">
              <w:r w:rsidRPr="0037015A">
                <w:rPr>
                  <w:color w:val="000000"/>
                  <w:szCs w:val="22"/>
                </w:rPr>
                <w:t>Bristol-Myers Squibb S.r.l.</w:t>
              </w:r>
            </w:ins>
          </w:p>
          <w:p w14:paraId="74D0EE95" w14:textId="77777777" w:rsidR="00EB238F" w:rsidRPr="0037015A" w:rsidRDefault="00EB238F" w:rsidP="00FA4EE8">
            <w:pPr>
              <w:pStyle w:val="EMEABodyText"/>
              <w:rPr>
                <w:ins w:id="262" w:author="BMS"/>
                <w:color w:val="000000"/>
                <w:szCs w:val="22"/>
              </w:rPr>
            </w:pPr>
            <w:ins w:id="263" w:author="BMS">
              <w:r w:rsidRPr="0037015A">
                <w:rPr>
                  <w:color w:val="000000"/>
                  <w:szCs w:val="22"/>
                </w:rPr>
                <w:t>Tel: + 39 06 50 39 61</w:t>
              </w:r>
            </w:ins>
          </w:p>
          <w:p w14:paraId="0E5DC0BE" w14:textId="77777777" w:rsidR="00EB238F" w:rsidRPr="0037015A" w:rsidRDefault="00EB238F" w:rsidP="00FA4EE8">
            <w:pPr>
              <w:pStyle w:val="EMEABodyText"/>
              <w:rPr>
                <w:ins w:id="264" w:author="BMS"/>
                <w:color w:val="000000"/>
                <w:szCs w:val="22"/>
              </w:rPr>
            </w:pPr>
            <w:ins w:id="265" w:author="BMS">
              <w:r w:rsidRPr="0037015A">
                <w:rPr>
                  <w:color w:val="000000"/>
                  <w:szCs w:val="22"/>
                </w:rPr>
                <w:t>medicalinformation.italia@bms.com</w:t>
              </w:r>
            </w:ins>
          </w:p>
          <w:p w14:paraId="3DB8012E" w14:textId="77777777" w:rsidR="00EB238F" w:rsidRPr="0037015A" w:rsidRDefault="00EB238F" w:rsidP="00FA4EE8">
            <w:pPr>
              <w:pStyle w:val="EMEABodyText"/>
              <w:rPr>
                <w:ins w:id="266" w:author="BMS"/>
                <w:color w:val="000000"/>
                <w:szCs w:val="22"/>
              </w:rPr>
            </w:pPr>
          </w:p>
        </w:tc>
        <w:tc>
          <w:tcPr>
            <w:tcW w:w="4536" w:type="dxa"/>
          </w:tcPr>
          <w:p w14:paraId="5712187A" w14:textId="77777777" w:rsidR="00EB238F" w:rsidRPr="0037015A" w:rsidRDefault="00EB238F" w:rsidP="00FA4EE8">
            <w:pPr>
              <w:pStyle w:val="EMEABodyText"/>
              <w:rPr>
                <w:ins w:id="267" w:author="BMS"/>
                <w:color w:val="000000"/>
                <w:szCs w:val="22"/>
              </w:rPr>
            </w:pPr>
            <w:ins w:id="268" w:author="BMS">
              <w:r w:rsidRPr="0037015A">
                <w:rPr>
                  <w:b/>
                  <w:color w:val="000000"/>
                  <w:szCs w:val="22"/>
                </w:rPr>
                <w:t>Suomi/Finland</w:t>
              </w:r>
            </w:ins>
          </w:p>
          <w:p w14:paraId="6C41E732" w14:textId="77777777" w:rsidR="00EB238F" w:rsidRPr="0037015A" w:rsidRDefault="00EB238F" w:rsidP="00FA4EE8">
            <w:pPr>
              <w:pStyle w:val="EMEABodyText"/>
              <w:rPr>
                <w:ins w:id="269" w:author="BMS"/>
                <w:color w:val="000000"/>
                <w:szCs w:val="22"/>
              </w:rPr>
            </w:pPr>
            <w:ins w:id="270" w:author="BMS">
              <w:r w:rsidRPr="0037015A">
                <w:rPr>
                  <w:color w:val="000000"/>
                  <w:szCs w:val="22"/>
                </w:rPr>
                <w:t>Oy Bristol-Myers Squibb (Finland) Ab</w:t>
              </w:r>
            </w:ins>
          </w:p>
          <w:p w14:paraId="374F5211" w14:textId="77777777" w:rsidR="00EB238F" w:rsidRPr="0037015A" w:rsidRDefault="00EB238F" w:rsidP="00FA4EE8">
            <w:pPr>
              <w:pStyle w:val="EMEABodyText"/>
              <w:rPr>
                <w:ins w:id="271" w:author="BMS"/>
                <w:color w:val="000000"/>
                <w:szCs w:val="22"/>
              </w:rPr>
            </w:pPr>
            <w:ins w:id="272" w:author="BMS">
              <w:r w:rsidRPr="0037015A">
                <w:rPr>
                  <w:color w:val="000000"/>
                  <w:szCs w:val="22"/>
                </w:rPr>
                <w:t>Puh/Tel: + 358 9 251 21 230</w:t>
              </w:r>
            </w:ins>
          </w:p>
          <w:p w14:paraId="790C150A" w14:textId="77777777" w:rsidR="00EB238F" w:rsidRPr="0037015A" w:rsidRDefault="00EB238F" w:rsidP="00FA4EE8">
            <w:pPr>
              <w:pStyle w:val="EMEABodyText"/>
              <w:rPr>
                <w:ins w:id="273" w:author="BMS"/>
                <w:color w:val="000000"/>
                <w:szCs w:val="22"/>
              </w:rPr>
            </w:pPr>
            <w:ins w:id="274" w:author="BMS">
              <w:r w:rsidRPr="0037015A">
                <w:rPr>
                  <w:szCs w:val="22"/>
                </w:rPr>
                <w:t>medinfo.finland@bms.com</w:t>
              </w:r>
            </w:ins>
          </w:p>
          <w:p w14:paraId="5F9009AE" w14:textId="77777777" w:rsidR="00EB238F" w:rsidRPr="0037015A" w:rsidRDefault="00EB238F" w:rsidP="00FA4EE8">
            <w:pPr>
              <w:pStyle w:val="EMEABodyText"/>
              <w:rPr>
                <w:ins w:id="275" w:author="BMS"/>
                <w:color w:val="000000"/>
                <w:szCs w:val="22"/>
              </w:rPr>
            </w:pPr>
          </w:p>
        </w:tc>
      </w:tr>
      <w:tr w:rsidR="00EB238F" w:rsidRPr="0037015A" w14:paraId="4F43BBEA" w14:textId="77777777" w:rsidTr="00FA4EE8">
        <w:trPr>
          <w:cantSplit/>
          <w:trHeight w:val="772"/>
          <w:ins w:id="276" w:author="BMS"/>
        </w:trPr>
        <w:tc>
          <w:tcPr>
            <w:tcW w:w="4536" w:type="dxa"/>
          </w:tcPr>
          <w:p w14:paraId="58EE426C" w14:textId="77777777" w:rsidR="00EB238F" w:rsidRPr="0037015A" w:rsidRDefault="00EB238F" w:rsidP="00FA4EE8">
            <w:pPr>
              <w:pStyle w:val="EMEABodyText"/>
              <w:rPr>
                <w:ins w:id="277" w:author="BMS"/>
                <w:color w:val="000000"/>
                <w:szCs w:val="22"/>
              </w:rPr>
            </w:pPr>
            <w:ins w:id="278" w:author="BMS">
              <w:r w:rsidRPr="0037015A">
                <w:rPr>
                  <w:b/>
                  <w:color w:val="000000"/>
                  <w:szCs w:val="22"/>
                </w:rPr>
                <w:t>Κύπρος</w:t>
              </w:r>
            </w:ins>
          </w:p>
          <w:p w14:paraId="477714E8" w14:textId="77777777" w:rsidR="00EB238F" w:rsidRPr="0037015A" w:rsidRDefault="00EB238F" w:rsidP="00FA4EE8">
            <w:pPr>
              <w:pStyle w:val="EMEABodyText"/>
              <w:rPr>
                <w:ins w:id="279" w:author="BMS"/>
                <w:color w:val="000000"/>
                <w:szCs w:val="22"/>
              </w:rPr>
            </w:pPr>
            <w:ins w:id="280" w:author="BMS">
              <w:r w:rsidRPr="0037015A">
                <w:rPr>
                  <w:color w:val="000000"/>
                  <w:szCs w:val="22"/>
                </w:rPr>
                <w:t>Bristol-Myers Squibb A.E.</w:t>
              </w:r>
            </w:ins>
          </w:p>
          <w:p w14:paraId="3E69E2CC" w14:textId="77777777" w:rsidR="00EB238F" w:rsidRPr="0037015A" w:rsidRDefault="00EB238F" w:rsidP="00FA4EE8">
            <w:pPr>
              <w:pStyle w:val="EMEABodyText"/>
              <w:rPr>
                <w:ins w:id="281" w:author="BMS"/>
                <w:color w:val="000000"/>
                <w:szCs w:val="22"/>
              </w:rPr>
            </w:pPr>
            <w:ins w:id="282" w:author="BMS">
              <w:r w:rsidRPr="0037015A">
                <w:rPr>
                  <w:color w:val="000000"/>
                  <w:szCs w:val="22"/>
                </w:rPr>
                <w:t>Τηλ:  800 92666 (+ 30 210 6074300)</w:t>
              </w:r>
            </w:ins>
          </w:p>
          <w:p w14:paraId="7F2E6FC4" w14:textId="77777777" w:rsidR="00EB238F" w:rsidRPr="0037015A" w:rsidRDefault="00EB238F" w:rsidP="00FA4EE8">
            <w:pPr>
              <w:pStyle w:val="EMEABodyText"/>
              <w:rPr>
                <w:ins w:id="283" w:author="BMS"/>
                <w:color w:val="000000"/>
                <w:szCs w:val="22"/>
              </w:rPr>
            </w:pPr>
            <w:ins w:id="284" w:author="BMS">
              <w:r w:rsidRPr="0037015A">
                <w:rPr>
                  <w:color w:val="000000"/>
                  <w:szCs w:val="22"/>
                </w:rPr>
                <w:t>medinfo.greece@bms.com</w:t>
              </w:r>
            </w:ins>
          </w:p>
          <w:p w14:paraId="3382B33B" w14:textId="77777777" w:rsidR="00EB238F" w:rsidRPr="0037015A" w:rsidRDefault="00EB238F" w:rsidP="00FA4EE8">
            <w:pPr>
              <w:pStyle w:val="EMEABodyText"/>
              <w:rPr>
                <w:ins w:id="285" w:author="BMS"/>
                <w:color w:val="000000"/>
                <w:szCs w:val="22"/>
              </w:rPr>
            </w:pPr>
          </w:p>
        </w:tc>
        <w:tc>
          <w:tcPr>
            <w:tcW w:w="4536" w:type="dxa"/>
          </w:tcPr>
          <w:p w14:paraId="3822B02E" w14:textId="77777777" w:rsidR="00EB238F" w:rsidRPr="0037015A" w:rsidRDefault="00EB238F" w:rsidP="00FA4EE8">
            <w:pPr>
              <w:pStyle w:val="EMEABodyText"/>
              <w:rPr>
                <w:ins w:id="286" w:author="BMS"/>
                <w:color w:val="000000"/>
                <w:szCs w:val="22"/>
                <w:lang w:val="de-DE"/>
              </w:rPr>
            </w:pPr>
            <w:ins w:id="287" w:author="BMS">
              <w:r w:rsidRPr="0037015A">
                <w:rPr>
                  <w:b/>
                  <w:color w:val="000000"/>
                  <w:szCs w:val="22"/>
                  <w:lang w:val="de-DE"/>
                </w:rPr>
                <w:t>Sverige</w:t>
              </w:r>
            </w:ins>
          </w:p>
          <w:p w14:paraId="25CDB512" w14:textId="77777777" w:rsidR="00EB238F" w:rsidRPr="0037015A" w:rsidRDefault="00EB238F" w:rsidP="00FA4EE8">
            <w:pPr>
              <w:pStyle w:val="EMEABodyText"/>
              <w:rPr>
                <w:ins w:id="288" w:author="BMS"/>
                <w:color w:val="000000"/>
                <w:szCs w:val="22"/>
                <w:lang w:val="de-DE"/>
              </w:rPr>
            </w:pPr>
            <w:ins w:id="289" w:author="BMS">
              <w:r w:rsidRPr="0037015A">
                <w:rPr>
                  <w:color w:val="000000"/>
                  <w:szCs w:val="22"/>
                  <w:lang w:val="de-DE"/>
                </w:rPr>
                <w:t>Bristol-Myers Squibb Aktiebolag</w:t>
              </w:r>
            </w:ins>
          </w:p>
          <w:p w14:paraId="5FA83DA4" w14:textId="77777777" w:rsidR="00EB238F" w:rsidRPr="0037015A" w:rsidRDefault="00EB238F" w:rsidP="00FA4EE8">
            <w:pPr>
              <w:pStyle w:val="EMEABodyText"/>
              <w:rPr>
                <w:ins w:id="290" w:author="BMS"/>
                <w:color w:val="000000"/>
                <w:szCs w:val="22"/>
                <w:lang w:val="de-DE"/>
              </w:rPr>
            </w:pPr>
            <w:ins w:id="291" w:author="BMS">
              <w:r w:rsidRPr="0037015A">
                <w:rPr>
                  <w:color w:val="000000"/>
                  <w:szCs w:val="22"/>
                  <w:lang w:val="de-DE"/>
                </w:rPr>
                <w:t>Tel: + 46 8 704 71 00</w:t>
              </w:r>
            </w:ins>
          </w:p>
          <w:p w14:paraId="5451AF11" w14:textId="77777777" w:rsidR="00EB238F" w:rsidRPr="0037015A" w:rsidRDefault="00EB238F" w:rsidP="00FA4EE8">
            <w:pPr>
              <w:pStyle w:val="EMEABodyText"/>
              <w:rPr>
                <w:ins w:id="292" w:author="BMS"/>
                <w:color w:val="000000"/>
                <w:szCs w:val="22"/>
                <w:lang w:val="de-DE"/>
              </w:rPr>
            </w:pPr>
            <w:ins w:id="293" w:author="BMS">
              <w:r w:rsidRPr="0037015A">
                <w:rPr>
                  <w:color w:val="000000"/>
                  <w:szCs w:val="22"/>
                  <w:lang w:val="de-DE"/>
                </w:rPr>
                <w:t>medinfo.sweden@bms.com</w:t>
              </w:r>
            </w:ins>
          </w:p>
          <w:p w14:paraId="5CB60DFE" w14:textId="77777777" w:rsidR="00EB238F" w:rsidRPr="0037015A" w:rsidRDefault="00EB238F" w:rsidP="00FA4EE8">
            <w:pPr>
              <w:pStyle w:val="EMEABodyText"/>
              <w:rPr>
                <w:ins w:id="294" w:author="BMS"/>
                <w:color w:val="000000"/>
                <w:szCs w:val="22"/>
                <w:lang w:val="de-DE"/>
              </w:rPr>
            </w:pPr>
          </w:p>
        </w:tc>
      </w:tr>
      <w:tr w:rsidR="00EB238F" w:rsidRPr="0085378C" w14:paraId="56D78D81" w14:textId="77777777" w:rsidTr="00FA4EE8">
        <w:trPr>
          <w:cantSplit/>
          <w:trHeight w:val="1219"/>
          <w:ins w:id="295" w:author="BMS"/>
        </w:trPr>
        <w:tc>
          <w:tcPr>
            <w:tcW w:w="4536" w:type="dxa"/>
          </w:tcPr>
          <w:p w14:paraId="748CD666" w14:textId="77777777" w:rsidR="00EB238F" w:rsidRPr="0037015A" w:rsidRDefault="00EB238F" w:rsidP="00FA4EE8">
            <w:pPr>
              <w:pStyle w:val="EMEABodyText"/>
              <w:rPr>
                <w:ins w:id="296" w:author="BMS"/>
                <w:color w:val="000000"/>
                <w:szCs w:val="22"/>
                <w:lang w:val="de-DE"/>
              </w:rPr>
            </w:pPr>
            <w:bookmarkStart w:id="297" w:name="_Hlk146274011"/>
            <w:ins w:id="298" w:author="BMS">
              <w:r w:rsidRPr="0037015A">
                <w:rPr>
                  <w:b/>
                  <w:color w:val="000000"/>
                  <w:szCs w:val="22"/>
                  <w:lang w:val="de-DE"/>
                </w:rPr>
                <w:t>Latvija</w:t>
              </w:r>
            </w:ins>
          </w:p>
          <w:p w14:paraId="5A09F174" w14:textId="77777777" w:rsidR="00EB238F" w:rsidRPr="0037015A" w:rsidRDefault="00EB238F" w:rsidP="00FA4EE8">
            <w:pPr>
              <w:pStyle w:val="EMEABodyText"/>
              <w:rPr>
                <w:ins w:id="299" w:author="BMS"/>
                <w:color w:val="000000"/>
                <w:szCs w:val="22"/>
                <w:lang w:val="de-DE"/>
              </w:rPr>
            </w:pPr>
            <w:ins w:id="300" w:author="BMS">
              <w:r w:rsidRPr="0037015A">
                <w:rPr>
                  <w:color w:val="000000"/>
                  <w:szCs w:val="22"/>
                  <w:lang w:val="es-ES"/>
                </w:rPr>
                <w:t>Swixx Biopharma SIA</w:t>
              </w:r>
            </w:ins>
          </w:p>
          <w:p w14:paraId="4A80C648" w14:textId="77777777" w:rsidR="00EB238F" w:rsidRPr="0037015A" w:rsidRDefault="00EB238F" w:rsidP="00FA4EE8">
            <w:pPr>
              <w:pStyle w:val="EMEABodyText"/>
              <w:rPr>
                <w:ins w:id="301" w:author="BMS"/>
                <w:szCs w:val="22"/>
                <w:lang w:val="es-ES"/>
              </w:rPr>
            </w:pPr>
            <w:ins w:id="302" w:author="BMS">
              <w:r w:rsidRPr="0037015A">
                <w:rPr>
                  <w:szCs w:val="22"/>
                  <w:lang w:val="es-ES"/>
                </w:rPr>
                <w:t>Tel: + 371 66164750</w:t>
              </w:r>
            </w:ins>
          </w:p>
          <w:p w14:paraId="49439B83" w14:textId="77777777" w:rsidR="00EB238F" w:rsidRPr="0037015A" w:rsidRDefault="00EB238F" w:rsidP="00FA4EE8">
            <w:pPr>
              <w:pStyle w:val="EMEABodyText"/>
              <w:rPr>
                <w:ins w:id="303" w:author="BMS"/>
                <w:color w:val="000000"/>
                <w:szCs w:val="22"/>
              </w:rPr>
            </w:pPr>
            <w:ins w:id="304" w:author="BMS">
              <w:r w:rsidRPr="0037015A">
                <w:rPr>
                  <w:color w:val="000000"/>
                  <w:szCs w:val="22"/>
                </w:rPr>
                <w:t>medinfo.latvia@swixxbiopharma.com</w:t>
              </w:r>
            </w:ins>
          </w:p>
          <w:p w14:paraId="41B1C4E2" w14:textId="77777777" w:rsidR="00EB238F" w:rsidRPr="0037015A" w:rsidRDefault="00EB238F" w:rsidP="00FA4EE8">
            <w:pPr>
              <w:pStyle w:val="EMEABodyText"/>
              <w:rPr>
                <w:ins w:id="305" w:author="BMS"/>
                <w:color w:val="000000"/>
                <w:szCs w:val="22"/>
              </w:rPr>
            </w:pPr>
          </w:p>
        </w:tc>
        <w:tc>
          <w:tcPr>
            <w:tcW w:w="4536" w:type="dxa"/>
          </w:tcPr>
          <w:p w14:paraId="352E9359" w14:textId="20240213" w:rsidR="00EB238F" w:rsidRPr="0085378C" w:rsidRDefault="00EB238F" w:rsidP="00FA4EE8">
            <w:pPr>
              <w:pStyle w:val="EMEABodyText"/>
              <w:rPr>
                <w:ins w:id="306" w:author="BMS"/>
                <w:color w:val="000000"/>
                <w:szCs w:val="22"/>
                <w:lang w:val="fr-BE"/>
              </w:rPr>
            </w:pPr>
          </w:p>
        </w:tc>
      </w:tr>
      <w:bookmarkEnd w:id="297"/>
    </w:tbl>
    <w:p w14:paraId="29BA989E" w14:textId="77777777" w:rsidR="00EB238F" w:rsidRPr="00EB238F" w:rsidRDefault="00EB238F" w:rsidP="00EB238F">
      <w:pPr>
        <w:ind w:right="-449"/>
        <w:rPr>
          <w:color w:val="000000"/>
        </w:rPr>
      </w:pPr>
    </w:p>
    <w:p w14:paraId="454E1723" w14:textId="77777777" w:rsidR="00B52266" w:rsidRPr="00D2126A" w:rsidRDefault="000E5A86" w:rsidP="00730E0B">
      <w:pPr>
        <w:keepNext/>
        <w:numPr>
          <w:ilvl w:val="12"/>
          <w:numId w:val="0"/>
        </w:numPr>
        <w:ind w:right="-2"/>
        <w:rPr>
          <w:color w:val="000000"/>
        </w:rPr>
      </w:pPr>
      <w:r>
        <w:rPr>
          <w:b/>
          <w:color w:val="000000"/>
        </w:rPr>
        <w:t>La dernière date à laquelle cette notice a été révisée est</w:t>
      </w:r>
    </w:p>
    <w:p w14:paraId="5FDA83E3" w14:textId="77777777" w:rsidR="00B52266" w:rsidRPr="00D2126A" w:rsidRDefault="00B52266" w:rsidP="00730E0B">
      <w:pPr>
        <w:keepNext/>
        <w:ind w:right="-449"/>
        <w:rPr>
          <w:color w:val="000000"/>
        </w:rPr>
      </w:pPr>
    </w:p>
    <w:p w14:paraId="5D028410" w14:textId="77777777" w:rsidR="0028385A" w:rsidRPr="00D2126A" w:rsidRDefault="000E5A86" w:rsidP="00C93C76">
      <w:pPr>
        <w:keepNext/>
        <w:numPr>
          <w:ilvl w:val="12"/>
          <w:numId w:val="0"/>
        </w:numPr>
        <w:ind w:right="-2"/>
        <w:rPr>
          <w:b/>
          <w:iCs/>
          <w:noProof/>
          <w:color w:val="000000"/>
        </w:rPr>
      </w:pPr>
      <w:r>
        <w:rPr>
          <w:b/>
          <w:color w:val="000000"/>
        </w:rPr>
        <w:t>Autres sources d’information</w:t>
      </w:r>
    </w:p>
    <w:p w14:paraId="44914988" w14:textId="77777777" w:rsidR="0028385A" w:rsidRPr="00D2126A" w:rsidRDefault="0028385A" w:rsidP="00C93C76">
      <w:pPr>
        <w:keepNext/>
        <w:ind w:right="-2"/>
        <w:rPr>
          <w:iCs/>
          <w:noProof/>
          <w:color w:val="000000"/>
        </w:rPr>
      </w:pPr>
    </w:p>
    <w:p w14:paraId="14BEB994" w14:textId="6F588729" w:rsidR="00B52266" w:rsidRPr="00D2126A" w:rsidRDefault="000E5A86" w:rsidP="00AD65A7">
      <w:r>
        <w:t xml:space="preserve">Des informations détaillées sur ce médicament sont disponibles sur le site internet de l’Agence européenne des médicaments </w:t>
      </w:r>
      <w:hyperlink r:id="rId17" w:history="1">
        <w:r>
          <w:rPr>
            <w:rStyle w:val="Hyperlink"/>
          </w:rPr>
          <w:t>http://www.ema.europa.eu</w:t>
        </w:r>
      </w:hyperlink>
      <w:r>
        <w:t>.</w:t>
      </w:r>
    </w:p>
    <w:p w14:paraId="73E22E11" w14:textId="77777777" w:rsidR="003A13F2" w:rsidRPr="00D2126A" w:rsidRDefault="003A13F2" w:rsidP="00730E0B">
      <w:pPr>
        <w:pStyle w:val="Date"/>
        <w:keepNext/>
      </w:pPr>
    </w:p>
    <w:p w14:paraId="470E3112" w14:textId="77777777" w:rsidR="00001442" w:rsidRPr="00D2126A" w:rsidRDefault="000E5A86" w:rsidP="00730E0B">
      <w:pPr>
        <w:keepNext/>
        <w:rPr>
          <w:noProof/>
          <w:color w:val="000000"/>
        </w:rPr>
      </w:pPr>
      <w:r>
        <w:rPr>
          <w:color w:val="000000"/>
        </w:rPr>
        <w:t>Il existe aussi des liens vers d’autres sites concernant les maladies rares et leur traitement.</w:t>
      </w:r>
    </w:p>
    <w:p w14:paraId="11D095E7" w14:textId="77777777" w:rsidR="00AB5E0B" w:rsidRPr="00D2126A" w:rsidRDefault="00AB5E0B" w:rsidP="00AB5E0B">
      <w:pPr>
        <w:tabs>
          <w:tab w:val="left" w:pos="-1440"/>
          <w:tab w:val="left" w:pos="-720"/>
        </w:tabs>
        <w:jc w:val="center"/>
        <w:rPr>
          <w:ins w:id="307" w:author="BMS"/>
          <w:noProof/>
          <w:color w:val="000000"/>
        </w:rPr>
      </w:pPr>
      <w:ins w:id="308" w:author="BMS">
        <w:r>
          <w:br w:type="page"/>
        </w:r>
      </w:ins>
    </w:p>
    <w:p w14:paraId="0A138774" w14:textId="77777777" w:rsidR="00AB5E0B" w:rsidRPr="00D2126A" w:rsidRDefault="00AB5E0B" w:rsidP="00AB5E0B">
      <w:pPr>
        <w:pStyle w:val="Date"/>
        <w:jc w:val="center"/>
        <w:rPr>
          <w:ins w:id="309" w:author="BMS"/>
        </w:rPr>
      </w:pPr>
    </w:p>
    <w:p w14:paraId="2A401A06" w14:textId="77777777" w:rsidR="00AB5E0B" w:rsidRPr="00D2126A" w:rsidRDefault="00AB5E0B" w:rsidP="00AB5E0B">
      <w:pPr>
        <w:jc w:val="center"/>
        <w:rPr>
          <w:ins w:id="310" w:author="BMS"/>
        </w:rPr>
      </w:pPr>
    </w:p>
    <w:p w14:paraId="78332A73" w14:textId="77777777" w:rsidR="00AB5E0B" w:rsidRPr="00D2126A" w:rsidRDefault="00AB5E0B" w:rsidP="00AB5E0B">
      <w:pPr>
        <w:pStyle w:val="Date"/>
        <w:jc w:val="center"/>
        <w:rPr>
          <w:ins w:id="311" w:author="BMS"/>
        </w:rPr>
      </w:pPr>
    </w:p>
    <w:p w14:paraId="5DF0688C" w14:textId="77777777" w:rsidR="00AB5E0B" w:rsidRPr="00D2126A" w:rsidRDefault="00AB5E0B" w:rsidP="00AB5E0B">
      <w:pPr>
        <w:jc w:val="center"/>
        <w:rPr>
          <w:ins w:id="312" w:author="BMS"/>
        </w:rPr>
      </w:pPr>
    </w:p>
    <w:p w14:paraId="6AE7BCEA" w14:textId="77777777" w:rsidR="00AB5E0B" w:rsidRPr="00D2126A" w:rsidRDefault="00AB5E0B" w:rsidP="00AB5E0B">
      <w:pPr>
        <w:pStyle w:val="Date"/>
        <w:jc w:val="center"/>
        <w:rPr>
          <w:ins w:id="313" w:author="BMS"/>
        </w:rPr>
      </w:pPr>
    </w:p>
    <w:p w14:paraId="57475917" w14:textId="77777777" w:rsidR="00AB5E0B" w:rsidRPr="00D2126A" w:rsidRDefault="00AB5E0B" w:rsidP="00AB5E0B">
      <w:pPr>
        <w:jc w:val="center"/>
        <w:rPr>
          <w:ins w:id="314" w:author="BMS"/>
        </w:rPr>
      </w:pPr>
    </w:p>
    <w:p w14:paraId="67319966" w14:textId="77777777" w:rsidR="00AB5E0B" w:rsidRPr="00D2126A" w:rsidRDefault="00AB5E0B" w:rsidP="00AB5E0B">
      <w:pPr>
        <w:pStyle w:val="Date"/>
        <w:jc w:val="center"/>
        <w:rPr>
          <w:ins w:id="315" w:author="BMS"/>
        </w:rPr>
      </w:pPr>
    </w:p>
    <w:p w14:paraId="74D6DA48" w14:textId="77777777" w:rsidR="00AB5E0B" w:rsidRPr="00D2126A" w:rsidRDefault="00AB5E0B" w:rsidP="00AB5E0B">
      <w:pPr>
        <w:jc w:val="center"/>
        <w:rPr>
          <w:ins w:id="316" w:author="BMS"/>
        </w:rPr>
      </w:pPr>
    </w:p>
    <w:p w14:paraId="71810280" w14:textId="77777777" w:rsidR="00AB5E0B" w:rsidRPr="00D2126A" w:rsidRDefault="00AB5E0B" w:rsidP="00AB5E0B">
      <w:pPr>
        <w:pStyle w:val="Date"/>
        <w:jc w:val="center"/>
        <w:rPr>
          <w:ins w:id="317" w:author="BMS"/>
        </w:rPr>
      </w:pPr>
    </w:p>
    <w:p w14:paraId="7D49DC8F" w14:textId="77777777" w:rsidR="00AB5E0B" w:rsidRPr="00D2126A" w:rsidRDefault="00AB5E0B" w:rsidP="00AB5E0B">
      <w:pPr>
        <w:jc w:val="center"/>
        <w:rPr>
          <w:ins w:id="318" w:author="BMS"/>
        </w:rPr>
      </w:pPr>
    </w:p>
    <w:p w14:paraId="159F6817" w14:textId="77777777" w:rsidR="00AB5E0B" w:rsidRPr="00D2126A" w:rsidRDefault="00AB5E0B" w:rsidP="00AB5E0B">
      <w:pPr>
        <w:pStyle w:val="Date"/>
        <w:jc w:val="center"/>
        <w:rPr>
          <w:ins w:id="319" w:author="BMS"/>
        </w:rPr>
      </w:pPr>
    </w:p>
    <w:p w14:paraId="1F6903DD" w14:textId="77777777" w:rsidR="00AB5E0B" w:rsidRPr="00D2126A" w:rsidRDefault="00AB5E0B" w:rsidP="00AB5E0B">
      <w:pPr>
        <w:jc w:val="center"/>
        <w:rPr>
          <w:ins w:id="320" w:author="BMS"/>
        </w:rPr>
      </w:pPr>
    </w:p>
    <w:p w14:paraId="1AC5F008" w14:textId="77777777" w:rsidR="00AB5E0B" w:rsidRPr="00D2126A" w:rsidRDefault="00AB5E0B" w:rsidP="00AB5E0B">
      <w:pPr>
        <w:pStyle w:val="Date"/>
        <w:jc w:val="center"/>
        <w:rPr>
          <w:ins w:id="321" w:author="BMS"/>
        </w:rPr>
      </w:pPr>
    </w:p>
    <w:p w14:paraId="369625F8" w14:textId="77777777" w:rsidR="00AB5E0B" w:rsidRPr="00D2126A" w:rsidRDefault="00AB5E0B" w:rsidP="00AB5E0B">
      <w:pPr>
        <w:jc w:val="center"/>
        <w:rPr>
          <w:ins w:id="322" w:author="BMS"/>
        </w:rPr>
      </w:pPr>
    </w:p>
    <w:p w14:paraId="393B6460" w14:textId="77777777" w:rsidR="00AB5E0B" w:rsidRPr="00D2126A" w:rsidRDefault="00AB5E0B" w:rsidP="00AB5E0B">
      <w:pPr>
        <w:pStyle w:val="Date"/>
        <w:jc w:val="center"/>
        <w:rPr>
          <w:ins w:id="323" w:author="BMS"/>
        </w:rPr>
      </w:pPr>
    </w:p>
    <w:p w14:paraId="36868314" w14:textId="77777777" w:rsidR="00AB5E0B" w:rsidRPr="00D2126A" w:rsidRDefault="00AB5E0B" w:rsidP="00AB5E0B">
      <w:pPr>
        <w:jc w:val="center"/>
        <w:rPr>
          <w:ins w:id="324" w:author="BMS"/>
        </w:rPr>
      </w:pPr>
    </w:p>
    <w:p w14:paraId="615F65B0" w14:textId="77777777" w:rsidR="00AB5E0B" w:rsidRPr="00D2126A" w:rsidRDefault="00AB5E0B" w:rsidP="00AB5E0B">
      <w:pPr>
        <w:pStyle w:val="Date"/>
        <w:jc w:val="center"/>
        <w:rPr>
          <w:ins w:id="325" w:author="BMS"/>
        </w:rPr>
      </w:pPr>
    </w:p>
    <w:p w14:paraId="23CCFF75" w14:textId="77777777" w:rsidR="00AB5E0B" w:rsidRPr="00D2126A" w:rsidRDefault="00AB5E0B" w:rsidP="00AB5E0B">
      <w:pPr>
        <w:pStyle w:val="Date"/>
        <w:jc w:val="center"/>
        <w:rPr>
          <w:ins w:id="326" w:author="BMS"/>
          <w:color w:val="000000"/>
        </w:rPr>
      </w:pPr>
    </w:p>
    <w:p w14:paraId="0A710246" w14:textId="77777777" w:rsidR="00AB5E0B" w:rsidRPr="00D2126A" w:rsidRDefault="00AB5E0B" w:rsidP="00AB5E0B">
      <w:pPr>
        <w:jc w:val="center"/>
        <w:rPr>
          <w:ins w:id="327" w:author="BMS"/>
        </w:rPr>
      </w:pPr>
    </w:p>
    <w:p w14:paraId="2C70F7F2" w14:textId="77777777" w:rsidR="00AB5E0B" w:rsidRPr="00D2126A" w:rsidRDefault="00AB5E0B" w:rsidP="00AB5E0B">
      <w:pPr>
        <w:pStyle w:val="Date"/>
        <w:jc w:val="center"/>
        <w:rPr>
          <w:ins w:id="328" w:author="BMS"/>
        </w:rPr>
      </w:pPr>
    </w:p>
    <w:p w14:paraId="04E4C174" w14:textId="77777777" w:rsidR="00AB5E0B" w:rsidRPr="00D2126A" w:rsidRDefault="00AB5E0B" w:rsidP="00AB5E0B">
      <w:pPr>
        <w:jc w:val="center"/>
        <w:rPr>
          <w:ins w:id="329" w:author="BMS"/>
          <w:color w:val="000000"/>
        </w:rPr>
      </w:pPr>
    </w:p>
    <w:p w14:paraId="56DE3E01" w14:textId="77777777" w:rsidR="00AB5E0B" w:rsidRPr="00D2126A" w:rsidRDefault="00AB5E0B" w:rsidP="00AB5E0B">
      <w:pPr>
        <w:jc w:val="center"/>
        <w:rPr>
          <w:ins w:id="330" w:author="BMS"/>
          <w:color w:val="000000"/>
        </w:rPr>
      </w:pPr>
    </w:p>
    <w:p w14:paraId="26FD956A" w14:textId="634052A4" w:rsidR="00AB5E0B" w:rsidRPr="00D2126A" w:rsidRDefault="00AB5E0B" w:rsidP="00AB5E0B">
      <w:pPr>
        <w:jc w:val="center"/>
        <w:rPr>
          <w:ins w:id="331" w:author="BMS"/>
          <w:b/>
          <w:color w:val="000000"/>
        </w:rPr>
      </w:pPr>
      <w:ins w:id="332" w:author="BMS">
        <w:r w:rsidRPr="00D2126A">
          <w:rPr>
            <w:b/>
            <w:color w:val="000000"/>
          </w:rPr>
          <w:t>ANNEX</w:t>
        </w:r>
        <w:r>
          <w:rPr>
            <w:b/>
            <w:color w:val="000000"/>
          </w:rPr>
          <w:t>E</w:t>
        </w:r>
        <w:r w:rsidRPr="00D2126A">
          <w:rPr>
            <w:b/>
            <w:color w:val="000000"/>
          </w:rPr>
          <w:t xml:space="preserve"> I</w:t>
        </w:r>
        <w:r>
          <w:rPr>
            <w:b/>
            <w:color w:val="000000"/>
          </w:rPr>
          <w:t>V</w:t>
        </w:r>
      </w:ins>
    </w:p>
    <w:p w14:paraId="6959D04F" w14:textId="77777777" w:rsidR="00AB5E0B" w:rsidRPr="00D2126A" w:rsidRDefault="00AB5E0B" w:rsidP="00AB5E0B">
      <w:pPr>
        <w:jc w:val="center"/>
        <w:rPr>
          <w:ins w:id="333" w:author="BMS"/>
          <w:b/>
          <w:color w:val="000000"/>
        </w:rPr>
      </w:pPr>
    </w:p>
    <w:p w14:paraId="5FFCA1CD" w14:textId="25B63167" w:rsidR="00AB5E0B" w:rsidRPr="00F24C8A" w:rsidRDefault="00AB5E0B" w:rsidP="00085084">
      <w:pPr>
        <w:pStyle w:val="TitleA"/>
        <w:outlineLvl w:val="0"/>
        <w:rPr>
          <w:ins w:id="334" w:author="BMS"/>
        </w:rPr>
      </w:pPr>
      <w:ins w:id="335" w:author="BMS">
        <w:r w:rsidRPr="00F24C8A">
          <w:t>CONCLUSIONS SCIENTIFIQUES ET MOTIFS DE LA MODIFICATION</w:t>
        </w:r>
      </w:ins>
      <w:r w:rsidR="00F24C8A">
        <w:t xml:space="preserve"> </w:t>
      </w:r>
      <w:ins w:id="336" w:author="BMS">
        <w:r w:rsidRPr="00F24C8A">
          <w:t>DES TERMES DES AUTORISATIONS DE MISE SUR LE MARCHÉ</w:t>
        </w:r>
      </w:ins>
    </w:p>
    <w:p w14:paraId="545913C7" w14:textId="77777777" w:rsidR="00AB5E0B" w:rsidRPr="00AB5E0B" w:rsidRDefault="00AB5E0B" w:rsidP="00AB5E0B">
      <w:pPr>
        <w:widowControl w:val="0"/>
        <w:autoSpaceDE w:val="0"/>
        <w:autoSpaceDN w:val="0"/>
        <w:adjustRightInd w:val="0"/>
        <w:ind w:left="125" w:right="119"/>
        <w:rPr>
          <w:ins w:id="337" w:author="BMS"/>
          <w:rFonts w:cs="Verdana"/>
          <w:color w:val="000000"/>
        </w:rPr>
      </w:pPr>
    </w:p>
    <w:p w14:paraId="7858930E" w14:textId="0D5B47B9" w:rsidR="00AB5E0B" w:rsidRPr="00AB5E0B" w:rsidRDefault="00AB5E0B" w:rsidP="00AB5E0B">
      <w:pPr>
        <w:widowControl w:val="0"/>
        <w:autoSpaceDE w:val="0"/>
        <w:autoSpaceDN w:val="0"/>
        <w:adjustRightInd w:val="0"/>
        <w:ind w:right="119"/>
        <w:rPr>
          <w:ins w:id="338" w:author="BMS"/>
          <w:rFonts w:cs="Verdana"/>
          <w:b/>
          <w:bCs/>
          <w:color w:val="000000"/>
        </w:rPr>
      </w:pPr>
      <w:ins w:id="339" w:author="BMS">
        <w:r w:rsidRPr="00AB5E0B">
          <w:rPr>
            <w:rFonts w:cs="Verdana"/>
            <w:color w:val="000000"/>
          </w:rPr>
          <w:br w:type="page"/>
        </w:r>
        <w:r w:rsidRPr="00AB0414">
          <w:rPr>
            <w:rFonts w:cs="Verdana"/>
            <w:b/>
            <w:bCs/>
            <w:color w:val="000000"/>
          </w:rPr>
          <w:t>Conclusions scientifiques</w:t>
        </w:r>
      </w:ins>
    </w:p>
    <w:p w14:paraId="790E7126" w14:textId="77777777" w:rsidR="00AB5E0B" w:rsidRPr="00AB5E0B" w:rsidRDefault="00AB5E0B" w:rsidP="00AB5E0B">
      <w:pPr>
        <w:pStyle w:val="Date"/>
        <w:rPr>
          <w:ins w:id="340" w:author="BMS"/>
        </w:rPr>
      </w:pPr>
    </w:p>
    <w:p w14:paraId="3C973B02" w14:textId="585FDFBB" w:rsidR="00AB5E0B" w:rsidRDefault="00AB5E0B" w:rsidP="00AB5E0B">
      <w:pPr>
        <w:pStyle w:val="Date"/>
        <w:rPr>
          <w:ins w:id="341" w:author="BMS"/>
          <w:rFonts w:cs="Verdana"/>
          <w:color w:val="000000"/>
        </w:rPr>
      </w:pPr>
      <w:ins w:id="342" w:author="BMS">
        <w:r>
          <w:rPr>
            <w:rFonts w:cs="Verdana"/>
            <w:color w:val="000000"/>
          </w:rPr>
          <w:t>Compte tenu</w:t>
        </w:r>
        <w:r w:rsidRPr="00AB5E0B">
          <w:rPr>
            <w:rFonts w:cs="Verdana"/>
            <w:color w:val="000000"/>
          </w:rPr>
          <w:t xml:space="preserve"> du rapport d'évaluation du PRAC pour le rapport final de l'étude PASS imposée non interventionnelle pour le(s) médicament(s) mentionné(s) ci-dessus, les conclusions scientifiques du CHMP sont les suivantes :</w:t>
        </w:r>
      </w:ins>
    </w:p>
    <w:p w14:paraId="57BA8236" w14:textId="77777777" w:rsidR="00AB5E0B" w:rsidRPr="00AB5E0B" w:rsidRDefault="00AB5E0B" w:rsidP="00AB0414">
      <w:pPr>
        <w:rPr>
          <w:ins w:id="343" w:author="BMS"/>
        </w:rPr>
      </w:pPr>
    </w:p>
    <w:p w14:paraId="79A02A4E" w14:textId="6203EB7A" w:rsidR="00AB5E0B" w:rsidRPr="00AB0414" w:rsidRDefault="00AB5E0B" w:rsidP="00AB5E0B">
      <w:pPr>
        <w:pStyle w:val="Date"/>
        <w:rPr>
          <w:ins w:id="344" w:author="BMS"/>
          <w:rFonts w:cs="Verdana"/>
          <w:color w:val="000000"/>
        </w:rPr>
      </w:pPr>
      <w:ins w:id="345" w:author="BMS">
        <w:r w:rsidRPr="00AB0414">
          <w:rPr>
            <w:rFonts w:cs="Verdana"/>
            <w:color w:val="000000"/>
          </w:rPr>
          <w:t>L'étude CC-5013-MDS-012 était une condition de l'autorisation de mise sur le marché et l'</w:t>
        </w:r>
        <w:r>
          <w:rPr>
            <w:rFonts w:cs="Verdana"/>
            <w:color w:val="000000"/>
          </w:rPr>
          <w:t>A</w:t>
        </w:r>
        <w:r w:rsidRPr="00AB0414">
          <w:rPr>
            <w:rFonts w:cs="Verdana"/>
            <w:color w:val="000000"/>
          </w:rPr>
          <w:t xml:space="preserve">nnexe II doit donc être mise à jour, car l'étude </w:t>
        </w:r>
        <w:del w:id="346" w:author="BMS">
          <w:r w:rsidRPr="00AB0414" w:rsidDel="00B54A37">
            <w:rPr>
              <w:rFonts w:cs="Verdana"/>
              <w:color w:val="000000"/>
            </w:rPr>
            <w:delText>a été complétée</w:delText>
          </w:r>
        </w:del>
        <w:r w:rsidR="00B54A37">
          <w:rPr>
            <w:rFonts w:cs="Verdana"/>
            <w:color w:val="000000"/>
          </w:rPr>
          <w:t>est terminée</w:t>
        </w:r>
        <w:r w:rsidRPr="00AB0414">
          <w:rPr>
            <w:rFonts w:cs="Verdana"/>
            <w:color w:val="000000"/>
          </w:rPr>
          <w:t>.</w:t>
        </w:r>
      </w:ins>
    </w:p>
    <w:p w14:paraId="1083EA73" w14:textId="77777777" w:rsidR="00AB5E0B" w:rsidRPr="00AB0414" w:rsidRDefault="00AB5E0B" w:rsidP="00AB5E0B">
      <w:pPr>
        <w:pStyle w:val="Date"/>
        <w:rPr>
          <w:ins w:id="347" w:author="BMS"/>
          <w:rFonts w:cs="Verdana"/>
          <w:color w:val="000000"/>
        </w:rPr>
      </w:pPr>
    </w:p>
    <w:p w14:paraId="2FC5F7D9" w14:textId="77777777" w:rsidR="00AB5E0B" w:rsidRPr="00AB0414" w:rsidRDefault="00AB5E0B" w:rsidP="00AB5E0B">
      <w:pPr>
        <w:pStyle w:val="Date"/>
        <w:rPr>
          <w:ins w:id="348" w:author="BMS"/>
          <w:rFonts w:cs="Verdana"/>
          <w:color w:val="000000"/>
        </w:rPr>
      </w:pPr>
      <w:ins w:id="349" w:author="BMS">
        <w:r w:rsidRPr="00AB0414">
          <w:rPr>
            <w:rFonts w:cs="Verdana"/>
            <w:color w:val="000000"/>
          </w:rPr>
          <w:t>Par conséquent, au vu des données disponibles concernant le rapport final de l'étude PASS, le PRAC a estimé que des modifications aux conditions de l'autorisation de mise sur le marché étaient justifiées.</w:t>
        </w:r>
      </w:ins>
    </w:p>
    <w:p w14:paraId="58C210E7" w14:textId="77777777" w:rsidR="00AB5E0B" w:rsidRPr="00AB0414" w:rsidRDefault="00AB5E0B" w:rsidP="00AB5E0B">
      <w:pPr>
        <w:pStyle w:val="Date"/>
        <w:rPr>
          <w:ins w:id="350" w:author="BMS"/>
          <w:rFonts w:cs="Verdana"/>
          <w:color w:val="000000"/>
        </w:rPr>
      </w:pPr>
    </w:p>
    <w:p w14:paraId="68FBDCBF" w14:textId="079C3522" w:rsidR="00AB5E0B" w:rsidRDefault="00AB5E0B" w:rsidP="00AB5E0B">
      <w:pPr>
        <w:pStyle w:val="Date"/>
        <w:rPr>
          <w:ins w:id="351" w:author="BMS"/>
          <w:rFonts w:cs="Verdana"/>
          <w:color w:val="000000"/>
        </w:rPr>
      </w:pPr>
      <w:ins w:id="352" w:author="BMS">
        <w:r w:rsidRPr="00AB0414">
          <w:rPr>
            <w:rFonts w:cs="Verdana"/>
            <w:color w:val="000000"/>
          </w:rPr>
          <w:t>Le PRAC a considéré que le PGR mis à jour était acceptable.</w:t>
        </w:r>
      </w:ins>
    </w:p>
    <w:p w14:paraId="7F569DE8" w14:textId="77777777" w:rsidR="00AB5E0B" w:rsidRPr="00AB5E0B" w:rsidRDefault="00AB5E0B" w:rsidP="00AB0414">
      <w:pPr>
        <w:rPr>
          <w:ins w:id="353" w:author="BMS"/>
        </w:rPr>
      </w:pPr>
    </w:p>
    <w:p w14:paraId="2A4CEE6D" w14:textId="4AB7E3B2" w:rsidR="00AB5E0B" w:rsidRDefault="00AB5E0B" w:rsidP="00AB5E0B">
      <w:pPr>
        <w:widowControl w:val="0"/>
        <w:autoSpaceDE w:val="0"/>
        <w:autoSpaceDN w:val="0"/>
        <w:adjustRightInd w:val="0"/>
        <w:ind w:right="119"/>
        <w:rPr>
          <w:ins w:id="354" w:author="BMS"/>
          <w:rFonts w:cs="Verdana"/>
          <w:color w:val="000000"/>
        </w:rPr>
      </w:pPr>
      <w:ins w:id="355" w:author="BMS">
        <w:del w:id="356" w:author="BMS">
          <w:r w:rsidRPr="00AB0414" w:rsidDel="00B54A37">
            <w:rPr>
              <w:rFonts w:cs="Verdana"/>
              <w:color w:val="000000"/>
            </w:rPr>
            <w:delText>Après examen de la recommandation du PRAC, l</w:delText>
          </w:r>
        </w:del>
        <w:r w:rsidR="00B54A37">
          <w:rPr>
            <w:rFonts w:cs="Verdana"/>
            <w:color w:val="000000"/>
          </w:rPr>
          <w:t>L</w:t>
        </w:r>
        <w:r w:rsidRPr="00AB0414">
          <w:rPr>
            <w:rFonts w:cs="Verdana"/>
            <w:color w:val="000000"/>
          </w:rPr>
          <w:t xml:space="preserve">e CHMP approuve les conclusions </w:t>
        </w:r>
        <w:del w:id="357" w:author="BMS">
          <w:r w:rsidRPr="00AB0414" w:rsidDel="00B54A37">
            <w:rPr>
              <w:rFonts w:cs="Verdana"/>
              <w:color w:val="000000"/>
            </w:rPr>
            <w:delText>générales</w:delText>
          </w:r>
        </w:del>
        <w:r w:rsidR="00B54A37">
          <w:rPr>
            <w:rFonts w:cs="Verdana"/>
            <w:color w:val="000000"/>
          </w:rPr>
          <w:t>scientifiques</w:t>
        </w:r>
        <w:r w:rsidRPr="00AB0414">
          <w:rPr>
            <w:rFonts w:cs="Verdana"/>
            <w:color w:val="000000"/>
          </w:rPr>
          <w:t xml:space="preserve"> du PRAC</w:t>
        </w:r>
        <w:del w:id="358" w:author="BMS">
          <w:r w:rsidRPr="00AB0414" w:rsidDel="00B54A37">
            <w:rPr>
              <w:rFonts w:cs="Verdana"/>
              <w:color w:val="000000"/>
            </w:rPr>
            <w:delText xml:space="preserve"> et les motifs de sa recommandation</w:delText>
          </w:r>
        </w:del>
        <w:r>
          <w:rPr>
            <w:rFonts w:cs="Verdana"/>
            <w:color w:val="000000"/>
          </w:rPr>
          <w:t>.</w:t>
        </w:r>
      </w:ins>
    </w:p>
    <w:p w14:paraId="18127BD1" w14:textId="77777777" w:rsidR="00AB5E0B" w:rsidRPr="00AB0414" w:rsidRDefault="00AB5E0B" w:rsidP="00AB0414">
      <w:pPr>
        <w:pStyle w:val="Date"/>
        <w:rPr>
          <w:ins w:id="359" w:author="BMS"/>
        </w:rPr>
      </w:pPr>
    </w:p>
    <w:p w14:paraId="64638ECE" w14:textId="5EE411F7" w:rsidR="00AB5E0B" w:rsidRPr="00AB5E0B" w:rsidRDefault="00AB5E0B" w:rsidP="00AB5E0B">
      <w:pPr>
        <w:keepNext/>
        <w:widowControl w:val="0"/>
        <w:autoSpaceDE w:val="0"/>
        <w:autoSpaceDN w:val="0"/>
        <w:adjustRightInd w:val="0"/>
        <w:ind w:right="120"/>
        <w:rPr>
          <w:ins w:id="360" w:author="BMS"/>
          <w:rFonts w:cs="Verdana"/>
          <w:b/>
          <w:bCs/>
          <w:color w:val="000000"/>
        </w:rPr>
      </w:pPr>
      <w:ins w:id="361" w:author="BMS">
        <w:r w:rsidRPr="00AB0414">
          <w:rPr>
            <w:rFonts w:cs="Verdana"/>
            <w:b/>
            <w:bCs/>
            <w:color w:val="000000"/>
          </w:rPr>
          <w:t>Motifs de la modification des termes de la/des autorisation(s) de mise sur le marché</w:t>
        </w:r>
      </w:ins>
    </w:p>
    <w:p w14:paraId="5A6A726A" w14:textId="77777777" w:rsidR="00AB5E0B" w:rsidRPr="00AB5E0B" w:rsidRDefault="00AB5E0B" w:rsidP="00AB5E0B">
      <w:pPr>
        <w:pStyle w:val="Date"/>
        <w:rPr>
          <w:ins w:id="362" w:author="BMS"/>
        </w:rPr>
      </w:pPr>
    </w:p>
    <w:p w14:paraId="5CA8598D" w14:textId="00447B27" w:rsidR="00AB5E0B" w:rsidRDefault="00AB5E0B" w:rsidP="00AB5E0B">
      <w:pPr>
        <w:pStyle w:val="Date"/>
        <w:rPr>
          <w:ins w:id="363" w:author="BMS"/>
          <w:rFonts w:cs="Verdana"/>
          <w:color w:val="000000"/>
        </w:rPr>
      </w:pPr>
      <w:ins w:id="364" w:author="BMS">
        <w:r w:rsidRPr="00AB0414">
          <w:rPr>
            <w:rFonts w:cs="Verdana"/>
            <w:color w:val="000000"/>
          </w:rPr>
          <w:t xml:space="preserve">Sur la base des conclusions scientifiques </w:t>
        </w:r>
        <w:r>
          <w:rPr>
            <w:rFonts w:cs="Verdana"/>
            <w:color w:val="000000"/>
          </w:rPr>
          <w:t>relatives aux</w:t>
        </w:r>
        <w:r w:rsidRPr="00AB0414">
          <w:rPr>
            <w:rFonts w:cs="Verdana"/>
            <w:color w:val="000000"/>
          </w:rPr>
          <w:t xml:space="preserve"> résultats de l'étude pour le(s) médicament(s) mentionné(s) ci-dessus, le CHMP </w:t>
        </w:r>
        <w:r>
          <w:rPr>
            <w:rFonts w:cs="Verdana"/>
            <w:color w:val="000000"/>
          </w:rPr>
          <w:t>estime</w:t>
        </w:r>
        <w:r w:rsidRPr="00AB0414">
          <w:rPr>
            <w:rFonts w:cs="Verdana"/>
            <w:color w:val="000000"/>
          </w:rPr>
          <w:t xml:space="preserve"> que le rapport bénéfice-risque d</w:t>
        </w:r>
        <w:r>
          <w:rPr>
            <w:rFonts w:cs="Verdana"/>
            <w:color w:val="000000"/>
          </w:rPr>
          <w:t>u/des</w:t>
        </w:r>
        <w:r w:rsidRPr="00AB0414">
          <w:rPr>
            <w:rFonts w:cs="Verdana"/>
            <w:color w:val="000000"/>
          </w:rPr>
          <w:t xml:space="preserve"> médicament(s) </w:t>
        </w:r>
        <w:r>
          <w:rPr>
            <w:rFonts w:cs="Verdana"/>
            <w:color w:val="000000"/>
          </w:rPr>
          <w:t>demeure</w:t>
        </w:r>
        <w:r w:rsidRPr="00AB0414">
          <w:rPr>
            <w:rFonts w:cs="Verdana"/>
            <w:color w:val="000000"/>
          </w:rPr>
          <w:t xml:space="preserve"> inchangé, sous réserve des modifications proposées aux informations sur le produit.</w:t>
        </w:r>
      </w:ins>
    </w:p>
    <w:p w14:paraId="665B1665" w14:textId="77777777" w:rsidR="00AB5E0B" w:rsidRPr="00AB5E0B" w:rsidRDefault="00AB5E0B" w:rsidP="00AB0414">
      <w:pPr>
        <w:rPr>
          <w:ins w:id="365" w:author="BMS"/>
        </w:rPr>
      </w:pPr>
    </w:p>
    <w:p w14:paraId="067D52CA" w14:textId="2D248AE0" w:rsidR="00813A2F" w:rsidRPr="00AB5E0B" w:rsidRDefault="00AB5E0B" w:rsidP="00C93C76">
      <w:pPr>
        <w:pStyle w:val="Date"/>
      </w:pPr>
      <w:ins w:id="366" w:author="BMS">
        <w:r w:rsidRPr="00AB0414">
          <w:rPr>
            <w:rFonts w:cs="Verdana"/>
            <w:color w:val="000000"/>
          </w:rPr>
          <w:t>Le CHMP recommande que les termes de la/des autorisation(s) de mise sur le marché soient modifiés.</w:t>
        </w:r>
      </w:ins>
    </w:p>
    <w:sectPr w:rsidR="00813A2F" w:rsidRPr="00AB5E0B" w:rsidSect="00AC5DBD">
      <w:footerReference w:type="even" r:id="rId18"/>
      <w:footerReference w:type="default" r:id="rId19"/>
      <w:footerReference w:type="first" r:id="rId20"/>
      <w:type w:val="continuous"/>
      <w:pgSz w:w="11906" w:h="16838"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ED3C7" w14:textId="77777777" w:rsidR="00AC00A0" w:rsidRDefault="00AC00A0">
      <w:r>
        <w:separator/>
      </w:r>
    </w:p>
  </w:endnote>
  <w:endnote w:type="continuationSeparator" w:id="0">
    <w:p w14:paraId="53B0D2B8" w14:textId="77777777" w:rsidR="00AC00A0" w:rsidRDefault="00AC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AB9E" w14:textId="77777777" w:rsidR="001F0904" w:rsidRDefault="000E5A86" w:rsidP="00F3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E52B2D4" w14:textId="77777777" w:rsidR="001F0904" w:rsidRDefault="001F0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F956" w14:textId="006CAE22" w:rsidR="00FD34F3" w:rsidRDefault="00FD34F3">
    <w:pPr>
      <w:pStyle w:val="Footer"/>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310E" w14:textId="51662EFE" w:rsidR="001F0904" w:rsidRDefault="00B52CEE" w:rsidP="00B52CEE">
    <w:pPr>
      <w:pStyle w:val="Footer"/>
      <w:jc w:val="center"/>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BE99F" w14:textId="77777777" w:rsidR="00AC00A0" w:rsidRDefault="00AC00A0">
      <w:r>
        <w:separator/>
      </w:r>
    </w:p>
  </w:footnote>
  <w:footnote w:type="continuationSeparator" w:id="0">
    <w:p w14:paraId="4BF86725" w14:textId="77777777" w:rsidR="00AC00A0" w:rsidRDefault="00AC0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05pt;height:13.4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E7061"/>
    <w:multiLevelType w:val="hybridMultilevel"/>
    <w:tmpl w:val="E410E45C"/>
    <w:lvl w:ilvl="0" w:tplc="CD7A5304">
      <w:start w:val="1"/>
      <w:numFmt w:val="bullet"/>
      <w:lvlText w:val=""/>
      <w:lvlJc w:val="left"/>
      <w:pPr>
        <w:tabs>
          <w:tab w:val="num" w:pos="720"/>
        </w:tabs>
        <w:ind w:left="720" w:hanging="360"/>
      </w:pPr>
      <w:rPr>
        <w:rFonts w:ascii="Symbol" w:hAnsi="Symbol" w:hint="default"/>
      </w:rPr>
    </w:lvl>
    <w:lvl w:ilvl="1" w:tplc="3F3AE98A">
      <w:start w:val="1"/>
      <w:numFmt w:val="bullet"/>
      <w:lvlText w:val=""/>
      <w:lvlJc w:val="left"/>
      <w:pPr>
        <w:ind w:left="1440" w:hanging="360"/>
      </w:pPr>
      <w:rPr>
        <w:rFonts w:ascii="Symbol" w:hAnsi="Symbol" w:hint="default"/>
      </w:rPr>
    </w:lvl>
    <w:lvl w:ilvl="2" w:tplc="EEC80160">
      <w:start w:val="1"/>
      <w:numFmt w:val="bullet"/>
      <w:lvlText w:val=""/>
      <w:lvlJc w:val="left"/>
      <w:pPr>
        <w:tabs>
          <w:tab w:val="num" w:pos="2160"/>
        </w:tabs>
        <w:ind w:left="2160" w:hanging="360"/>
      </w:pPr>
      <w:rPr>
        <w:rFonts w:ascii="Wingdings" w:hAnsi="Wingdings" w:hint="default"/>
      </w:rPr>
    </w:lvl>
    <w:lvl w:ilvl="3" w:tplc="15FCD1C6" w:tentative="1">
      <w:start w:val="1"/>
      <w:numFmt w:val="bullet"/>
      <w:lvlText w:val=""/>
      <w:lvlJc w:val="left"/>
      <w:pPr>
        <w:tabs>
          <w:tab w:val="num" w:pos="2880"/>
        </w:tabs>
        <w:ind w:left="2880" w:hanging="360"/>
      </w:pPr>
      <w:rPr>
        <w:rFonts w:ascii="Symbol" w:hAnsi="Symbol" w:hint="default"/>
      </w:rPr>
    </w:lvl>
    <w:lvl w:ilvl="4" w:tplc="19705F6E" w:tentative="1">
      <w:start w:val="1"/>
      <w:numFmt w:val="bullet"/>
      <w:lvlText w:val="o"/>
      <w:lvlJc w:val="left"/>
      <w:pPr>
        <w:tabs>
          <w:tab w:val="num" w:pos="3600"/>
        </w:tabs>
        <w:ind w:left="3600" w:hanging="360"/>
      </w:pPr>
      <w:rPr>
        <w:rFonts w:ascii="Courier New" w:hAnsi="Courier New" w:cs="Courier New" w:hint="default"/>
      </w:rPr>
    </w:lvl>
    <w:lvl w:ilvl="5" w:tplc="62AAB35C" w:tentative="1">
      <w:start w:val="1"/>
      <w:numFmt w:val="bullet"/>
      <w:lvlText w:val=""/>
      <w:lvlJc w:val="left"/>
      <w:pPr>
        <w:tabs>
          <w:tab w:val="num" w:pos="4320"/>
        </w:tabs>
        <w:ind w:left="4320" w:hanging="360"/>
      </w:pPr>
      <w:rPr>
        <w:rFonts w:ascii="Wingdings" w:hAnsi="Wingdings" w:hint="default"/>
      </w:rPr>
    </w:lvl>
    <w:lvl w:ilvl="6" w:tplc="81A4D6D0" w:tentative="1">
      <w:start w:val="1"/>
      <w:numFmt w:val="bullet"/>
      <w:lvlText w:val=""/>
      <w:lvlJc w:val="left"/>
      <w:pPr>
        <w:tabs>
          <w:tab w:val="num" w:pos="5040"/>
        </w:tabs>
        <w:ind w:left="5040" w:hanging="360"/>
      </w:pPr>
      <w:rPr>
        <w:rFonts w:ascii="Symbol" w:hAnsi="Symbol" w:hint="default"/>
      </w:rPr>
    </w:lvl>
    <w:lvl w:ilvl="7" w:tplc="84EA7C8C" w:tentative="1">
      <w:start w:val="1"/>
      <w:numFmt w:val="bullet"/>
      <w:lvlText w:val="o"/>
      <w:lvlJc w:val="left"/>
      <w:pPr>
        <w:tabs>
          <w:tab w:val="num" w:pos="5760"/>
        </w:tabs>
        <w:ind w:left="5760" w:hanging="360"/>
      </w:pPr>
      <w:rPr>
        <w:rFonts w:ascii="Courier New" w:hAnsi="Courier New" w:cs="Courier New" w:hint="default"/>
      </w:rPr>
    </w:lvl>
    <w:lvl w:ilvl="8" w:tplc="75DC1A2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B4030"/>
    <w:multiLevelType w:val="hybridMultilevel"/>
    <w:tmpl w:val="E778683A"/>
    <w:lvl w:ilvl="0" w:tplc="65F2924C">
      <w:start w:val="1"/>
      <w:numFmt w:val="bullet"/>
      <w:lvlText w:val=""/>
      <w:lvlJc w:val="left"/>
      <w:pPr>
        <w:tabs>
          <w:tab w:val="num" w:pos="720"/>
        </w:tabs>
        <w:ind w:left="720" w:hanging="360"/>
      </w:pPr>
      <w:rPr>
        <w:rFonts w:ascii="Symbol" w:hAnsi="Symbol" w:hint="default"/>
      </w:rPr>
    </w:lvl>
    <w:lvl w:ilvl="1" w:tplc="FE629840" w:tentative="1">
      <w:start w:val="1"/>
      <w:numFmt w:val="bullet"/>
      <w:lvlText w:val="o"/>
      <w:lvlJc w:val="left"/>
      <w:pPr>
        <w:tabs>
          <w:tab w:val="num" w:pos="1440"/>
        </w:tabs>
        <w:ind w:left="1440" w:hanging="360"/>
      </w:pPr>
      <w:rPr>
        <w:rFonts w:ascii="Courier New" w:hAnsi="Courier New" w:cs="Courier New" w:hint="default"/>
      </w:rPr>
    </w:lvl>
    <w:lvl w:ilvl="2" w:tplc="7052548C" w:tentative="1">
      <w:start w:val="1"/>
      <w:numFmt w:val="bullet"/>
      <w:lvlText w:val=""/>
      <w:lvlJc w:val="left"/>
      <w:pPr>
        <w:tabs>
          <w:tab w:val="num" w:pos="2160"/>
        </w:tabs>
        <w:ind w:left="2160" w:hanging="360"/>
      </w:pPr>
      <w:rPr>
        <w:rFonts w:ascii="Wingdings" w:hAnsi="Wingdings" w:hint="default"/>
      </w:rPr>
    </w:lvl>
    <w:lvl w:ilvl="3" w:tplc="11D0B740" w:tentative="1">
      <w:start w:val="1"/>
      <w:numFmt w:val="bullet"/>
      <w:lvlText w:val=""/>
      <w:lvlJc w:val="left"/>
      <w:pPr>
        <w:tabs>
          <w:tab w:val="num" w:pos="2880"/>
        </w:tabs>
        <w:ind w:left="2880" w:hanging="360"/>
      </w:pPr>
      <w:rPr>
        <w:rFonts w:ascii="Symbol" w:hAnsi="Symbol" w:hint="default"/>
      </w:rPr>
    </w:lvl>
    <w:lvl w:ilvl="4" w:tplc="818A06B6" w:tentative="1">
      <w:start w:val="1"/>
      <w:numFmt w:val="bullet"/>
      <w:lvlText w:val="o"/>
      <w:lvlJc w:val="left"/>
      <w:pPr>
        <w:tabs>
          <w:tab w:val="num" w:pos="3600"/>
        </w:tabs>
        <w:ind w:left="3600" w:hanging="360"/>
      </w:pPr>
      <w:rPr>
        <w:rFonts w:ascii="Courier New" w:hAnsi="Courier New" w:cs="Courier New" w:hint="default"/>
      </w:rPr>
    </w:lvl>
    <w:lvl w:ilvl="5" w:tplc="F80457AA" w:tentative="1">
      <w:start w:val="1"/>
      <w:numFmt w:val="bullet"/>
      <w:lvlText w:val=""/>
      <w:lvlJc w:val="left"/>
      <w:pPr>
        <w:tabs>
          <w:tab w:val="num" w:pos="4320"/>
        </w:tabs>
        <w:ind w:left="4320" w:hanging="360"/>
      </w:pPr>
      <w:rPr>
        <w:rFonts w:ascii="Wingdings" w:hAnsi="Wingdings" w:hint="default"/>
      </w:rPr>
    </w:lvl>
    <w:lvl w:ilvl="6" w:tplc="7B26ECC4" w:tentative="1">
      <w:start w:val="1"/>
      <w:numFmt w:val="bullet"/>
      <w:lvlText w:val=""/>
      <w:lvlJc w:val="left"/>
      <w:pPr>
        <w:tabs>
          <w:tab w:val="num" w:pos="5040"/>
        </w:tabs>
        <w:ind w:left="5040" w:hanging="360"/>
      </w:pPr>
      <w:rPr>
        <w:rFonts w:ascii="Symbol" w:hAnsi="Symbol" w:hint="default"/>
      </w:rPr>
    </w:lvl>
    <w:lvl w:ilvl="7" w:tplc="DBB89FB8" w:tentative="1">
      <w:start w:val="1"/>
      <w:numFmt w:val="bullet"/>
      <w:lvlText w:val="o"/>
      <w:lvlJc w:val="left"/>
      <w:pPr>
        <w:tabs>
          <w:tab w:val="num" w:pos="5760"/>
        </w:tabs>
        <w:ind w:left="5760" w:hanging="360"/>
      </w:pPr>
      <w:rPr>
        <w:rFonts w:ascii="Courier New" w:hAnsi="Courier New" w:cs="Courier New" w:hint="default"/>
      </w:rPr>
    </w:lvl>
    <w:lvl w:ilvl="8" w:tplc="C882BB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72D7C"/>
    <w:multiLevelType w:val="hybridMultilevel"/>
    <w:tmpl w:val="417814D6"/>
    <w:lvl w:ilvl="0" w:tplc="4018534C">
      <w:start w:val="1"/>
      <w:numFmt w:val="bullet"/>
      <w:lvlText w:val=""/>
      <w:lvlJc w:val="left"/>
      <w:pPr>
        <w:ind w:left="720" w:hanging="360"/>
      </w:pPr>
      <w:rPr>
        <w:rFonts w:ascii="Symbol" w:hAnsi="Symbol" w:hint="default"/>
      </w:rPr>
    </w:lvl>
    <w:lvl w:ilvl="1" w:tplc="024C69D8">
      <w:start w:val="1"/>
      <w:numFmt w:val="bullet"/>
      <w:lvlText w:val="o"/>
      <w:lvlJc w:val="left"/>
      <w:pPr>
        <w:ind w:left="1440" w:hanging="360"/>
      </w:pPr>
      <w:rPr>
        <w:rFonts w:ascii="Courier New" w:hAnsi="Courier New" w:cs="Courier New" w:hint="default"/>
      </w:rPr>
    </w:lvl>
    <w:lvl w:ilvl="2" w:tplc="E0A23C08" w:tentative="1">
      <w:start w:val="1"/>
      <w:numFmt w:val="bullet"/>
      <w:lvlText w:val=""/>
      <w:lvlJc w:val="left"/>
      <w:pPr>
        <w:ind w:left="2160" w:hanging="360"/>
      </w:pPr>
      <w:rPr>
        <w:rFonts w:ascii="Wingdings" w:hAnsi="Wingdings" w:hint="default"/>
      </w:rPr>
    </w:lvl>
    <w:lvl w:ilvl="3" w:tplc="55063DEA" w:tentative="1">
      <w:start w:val="1"/>
      <w:numFmt w:val="bullet"/>
      <w:lvlText w:val=""/>
      <w:lvlJc w:val="left"/>
      <w:pPr>
        <w:ind w:left="2880" w:hanging="360"/>
      </w:pPr>
      <w:rPr>
        <w:rFonts w:ascii="Symbol" w:hAnsi="Symbol" w:hint="default"/>
      </w:rPr>
    </w:lvl>
    <w:lvl w:ilvl="4" w:tplc="BF20C888" w:tentative="1">
      <w:start w:val="1"/>
      <w:numFmt w:val="bullet"/>
      <w:lvlText w:val="o"/>
      <w:lvlJc w:val="left"/>
      <w:pPr>
        <w:ind w:left="3600" w:hanging="360"/>
      </w:pPr>
      <w:rPr>
        <w:rFonts w:ascii="Courier New" w:hAnsi="Courier New" w:cs="Courier New" w:hint="default"/>
      </w:rPr>
    </w:lvl>
    <w:lvl w:ilvl="5" w:tplc="AAFC06D2" w:tentative="1">
      <w:start w:val="1"/>
      <w:numFmt w:val="bullet"/>
      <w:lvlText w:val=""/>
      <w:lvlJc w:val="left"/>
      <w:pPr>
        <w:ind w:left="4320" w:hanging="360"/>
      </w:pPr>
      <w:rPr>
        <w:rFonts w:ascii="Wingdings" w:hAnsi="Wingdings" w:hint="default"/>
      </w:rPr>
    </w:lvl>
    <w:lvl w:ilvl="6" w:tplc="21C2777A" w:tentative="1">
      <w:start w:val="1"/>
      <w:numFmt w:val="bullet"/>
      <w:lvlText w:val=""/>
      <w:lvlJc w:val="left"/>
      <w:pPr>
        <w:ind w:left="5040" w:hanging="360"/>
      </w:pPr>
      <w:rPr>
        <w:rFonts w:ascii="Symbol" w:hAnsi="Symbol" w:hint="default"/>
      </w:rPr>
    </w:lvl>
    <w:lvl w:ilvl="7" w:tplc="E996C688" w:tentative="1">
      <w:start w:val="1"/>
      <w:numFmt w:val="bullet"/>
      <w:lvlText w:val="o"/>
      <w:lvlJc w:val="left"/>
      <w:pPr>
        <w:ind w:left="5760" w:hanging="360"/>
      </w:pPr>
      <w:rPr>
        <w:rFonts w:ascii="Courier New" w:hAnsi="Courier New" w:cs="Courier New" w:hint="default"/>
      </w:rPr>
    </w:lvl>
    <w:lvl w:ilvl="8" w:tplc="EA16CFDA" w:tentative="1">
      <w:start w:val="1"/>
      <w:numFmt w:val="bullet"/>
      <w:lvlText w:val=""/>
      <w:lvlJc w:val="left"/>
      <w:pPr>
        <w:ind w:left="6480" w:hanging="360"/>
      </w:pPr>
      <w:rPr>
        <w:rFonts w:ascii="Wingdings" w:hAnsi="Wingdings" w:hint="default"/>
      </w:rPr>
    </w:lvl>
  </w:abstractNum>
  <w:abstractNum w:abstractNumId="4" w15:restartNumberingAfterBreak="0">
    <w:nsid w:val="09BD35A4"/>
    <w:multiLevelType w:val="hybridMultilevel"/>
    <w:tmpl w:val="3CC6D55A"/>
    <w:lvl w:ilvl="0" w:tplc="6BA65C8C">
      <w:start w:val="1"/>
      <w:numFmt w:val="bullet"/>
      <w:lvlText w:val=""/>
      <w:lvlJc w:val="left"/>
      <w:pPr>
        <w:ind w:left="720" w:hanging="360"/>
      </w:pPr>
      <w:rPr>
        <w:rFonts w:ascii="Symbol" w:hAnsi="Symbol" w:hint="default"/>
      </w:rPr>
    </w:lvl>
    <w:lvl w:ilvl="1" w:tplc="DBF0377E">
      <w:start w:val="1"/>
      <w:numFmt w:val="bullet"/>
      <w:lvlText w:val="o"/>
      <w:lvlJc w:val="left"/>
      <w:pPr>
        <w:ind w:left="1440" w:hanging="360"/>
      </w:pPr>
      <w:rPr>
        <w:rFonts w:ascii="Courier New" w:hAnsi="Courier New" w:cs="Courier New" w:hint="default"/>
      </w:rPr>
    </w:lvl>
    <w:lvl w:ilvl="2" w:tplc="239A50E2" w:tentative="1">
      <w:start w:val="1"/>
      <w:numFmt w:val="bullet"/>
      <w:lvlText w:val=""/>
      <w:lvlJc w:val="left"/>
      <w:pPr>
        <w:ind w:left="2160" w:hanging="360"/>
      </w:pPr>
      <w:rPr>
        <w:rFonts w:ascii="Wingdings" w:hAnsi="Wingdings" w:hint="default"/>
      </w:rPr>
    </w:lvl>
    <w:lvl w:ilvl="3" w:tplc="5ABC7946" w:tentative="1">
      <w:start w:val="1"/>
      <w:numFmt w:val="bullet"/>
      <w:lvlText w:val=""/>
      <w:lvlJc w:val="left"/>
      <w:pPr>
        <w:ind w:left="2880" w:hanging="360"/>
      </w:pPr>
      <w:rPr>
        <w:rFonts w:ascii="Symbol" w:hAnsi="Symbol" w:hint="default"/>
      </w:rPr>
    </w:lvl>
    <w:lvl w:ilvl="4" w:tplc="ED48970C" w:tentative="1">
      <w:start w:val="1"/>
      <w:numFmt w:val="bullet"/>
      <w:lvlText w:val="o"/>
      <w:lvlJc w:val="left"/>
      <w:pPr>
        <w:ind w:left="3600" w:hanging="360"/>
      </w:pPr>
      <w:rPr>
        <w:rFonts w:ascii="Courier New" w:hAnsi="Courier New" w:cs="Courier New" w:hint="default"/>
      </w:rPr>
    </w:lvl>
    <w:lvl w:ilvl="5" w:tplc="18DE5180" w:tentative="1">
      <w:start w:val="1"/>
      <w:numFmt w:val="bullet"/>
      <w:lvlText w:val=""/>
      <w:lvlJc w:val="left"/>
      <w:pPr>
        <w:ind w:left="4320" w:hanging="360"/>
      </w:pPr>
      <w:rPr>
        <w:rFonts w:ascii="Wingdings" w:hAnsi="Wingdings" w:hint="default"/>
      </w:rPr>
    </w:lvl>
    <w:lvl w:ilvl="6" w:tplc="1AB0343C" w:tentative="1">
      <w:start w:val="1"/>
      <w:numFmt w:val="bullet"/>
      <w:lvlText w:val=""/>
      <w:lvlJc w:val="left"/>
      <w:pPr>
        <w:ind w:left="5040" w:hanging="360"/>
      </w:pPr>
      <w:rPr>
        <w:rFonts w:ascii="Symbol" w:hAnsi="Symbol" w:hint="default"/>
      </w:rPr>
    </w:lvl>
    <w:lvl w:ilvl="7" w:tplc="729C2680" w:tentative="1">
      <w:start w:val="1"/>
      <w:numFmt w:val="bullet"/>
      <w:lvlText w:val="o"/>
      <w:lvlJc w:val="left"/>
      <w:pPr>
        <w:ind w:left="5760" w:hanging="360"/>
      </w:pPr>
      <w:rPr>
        <w:rFonts w:ascii="Courier New" w:hAnsi="Courier New" w:cs="Courier New" w:hint="default"/>
      </w:rPr>
    </w:lvl>
    <w:lvl w:ilvl="8" w:tplc="4470FFE6" w:tentative="1">
      <w:start w:val="1"/>
      <w:numFmt w:val="bullet"/>
      <w:lvlText w:val=""/>
      <w:lvlJc w:val="left"/>
      <w:pPr>
        <w:ind w:left="6480" w:hanging="360"/>
      </w:pPr>
      <w:rPr>
        <w:rFonts w:ascii="Wingdings" w:hAnsi="Wingdings" w:hint="default"/>
      </w:rPr>
    </w:lvl>
  </w:abstractNum>
  <w:abstractNum w:abstractNumId="5" w15:restartNumberingAfterBreak="0">
    <w:nsid w:val="0A0C146C"/>
    <w:multiLevelType w:val="hybridMultilevel"/>
    <w:tmpl w:val="532ADFE2"/>
    <w:lvl w:ilvl="0" w:tplc="A17A5EA0">
      <w:start w:val="1"/>
      <w:numFmt w:val="bullet"/>
      <w:lvlText w:val=""/>
      <w:lvlJc w:val="left"/>
      <w:pPr>
        <w:ind w:left="720" w:hanging="360"/>
      </w:pPr>
      <w:rPr>
        <w:rFonts w:ascii="Symbol" w:hAnsi="Symbol" w:hint="default"/>
      </w:rPr>
    </w:lvl>
    <w:lvl w:ilvl="1" w:tplc="BECACA22" w:tentative="1">
      <w:start w:val="1"/>
      <w:numFmt w:val="bullet"/>
      <w:lvlText w:val="o"/>
      <w:lvlJc w:val="left"/>
      <w:pPr>
        <w:ind w:left="1440" w:hanging="360"/>
      </w:pPr>
      <w:rPr>
        <w:rFonts w:ascii="Courier New" w:hAnsi="Courier New" w:cs="Courier New" w:hint="default"/>
      </w:rPr>
    </w:lvl>
    <w:lvl w:ilvl="2" w:tplc="374248DA" w:tentative="1">
      <w:start w:val="1"/>
      <w:numFmt w:val="bullet"/>
      <w:lvlText w:val=""/>
      <w:lvlJc w:val="left"/>
      <w:pPr>
        <w:ind w:left="2160" w:hanging="360"/>
      </w:pPr>
      <w:rPr>
        <w:rFonts w:ascii="Wingdings" w:hAnsi="Wingdings" w:hint="default"/>
      </w:rPr>
    </w:lvl>
    <w:lvl w:ilvl="3" w:tplc="3B140032" w:tentative="1">
      <w:start w:val="1"/>
      <w:numFmt w:val="bullet"/>
      <w:lvlText w:val=""/>
      <w:lvlJc w:val="left"/>
      <w:pPr>
        <w:ind w:left="2880" w:hanging="360"/>
      </w:pPr>
      <w:rPr>
        <w:rFonts w:ascii="Symbol" w:hAnsi="Symbol" w:hint="default"/>
      </w:rPr>
    </w:lvl>
    <w:lvl w:ilvl="4" w:tplc="DB00132A" w:tentative="1">
      <w:start w:val="1"/>
      <w:numFmt w:val="bullet"/>
      <w:lvlText w:val="o"/>
      <w:lvlJc w:val="left"/>
      <w:pPr>
        <w:ind w:left="3600" w:hanging="360"/>
      </w:pPr>
      <w:rPr>
        <w:rFonts w:ascii="Courier New" w:hAnsi="Courier New" w:cs="Courier New" w:hint="default"/>
      </w:rPr>
    </w:lvl>
    <w:lvl w:ilvl="5" w:tplc="71B80A92" w:tentative="1">
      <w:start w:val="1"/>
      <w:numFmt w:val="bullet"/>
      <w:lvlText w:val=""/>
      <w:lvlJc w:val="left"/>
      <w:pPr>
        <w:ind w:left="4320" w:hanging="360"/>
      </w:pPr>
      <w:rPr>
        <w:rFonts w:ascii="Wingdings" w:hAnsi="Wingdings" w:hint="default"/>
      </w:rPr>
    </w:lvl>
    <w:lvl w:ilvl="6" w:tplc="C7743880" w:tentative="1">
      <w:start w:val="1"/>
      <w:numFmt w:val="bullet"/>
      <w:lvlText w:val=""/>
      <w:lvlJc w:val="left"/>
      <w:pPr>
        <w:ind w:left="5040" w:hanging="360"/>
      </w:pPr>
      <w:rPr>
        <w:rFonts w:ascii="Symbol" w:hAnsi="Symbol" w:hint="default"/>
      </w:rPr>
    </w:lvl>
    <w:lvl w:ilvl="7" w:tplc="034CB932" w:tentative="1">
      <w:start w:val="1"/>
      <w:numFmt w:val="bullet"/>
      <w:lvlText w:val="o"/>
      <w:lvlJc w:val="left"/>
      <w:pPr>
        <w:ind w:left="5760" w:hanging="360"/>
      </w:pPr>
      <w:rPr>
        <w:rFonts w:ascii="Courier New" w:hAnsi="Courier New" w:cs="Courier New" w:hint="default"/>
      </w:rPr>
    </w:lvl>
    <w:lvl w:ilvl="8" w:tplc="2D9284E2" w:tentative="1">
      <w:start w:val="1"/>
      <w:numFmt w:val="bullet"/>
      <w:lvlText w:val=""/>
      <w:lvlJc w:val="left"/>
      <w:pPr>
        <w:ind w:left="6480" w:hanging="360"/>
      </w:pPr>
      <w:rPr>
        <w:rFonts w:ascii="Wingdings" w:hAnsi="Wingdings" w:hint="default"/>
      </w:rPr>
    </w:lvl>
  </w:abstractNum>
  <w:abstractNum w:abstractNumId="6" w15:restartNumberingAfterBreak="0">
    <w:nsid w:val="0D373019"/>
    <w:multiLevelType w:val="singleLevel"/>
    <w:tmpl w:val="5B04167A"/>
    <w:lvl w:ilvl="0">
      <w:start w:val="1"/>
      <w:numFmt w:val="decimal"/>
      <w:pStyle w:val="Heading2"/>
      <w:lvlText w:val="%1."/>
      <w:lvlJc w:val="left"/>
      <w:pPr>
        <w:tabs>
          <w:tab w:val="num" w:pos="570"/>
        </w:tabs>
        <w:ind w:left="570" w:hanging="570"/>
      </w:pPr>
      <w:rPr>
        <w:rFonts w:hint="default"/>
      </w:rPr>
    </w:lvl>
  </w:abstractNum>
  <w:abstractNum w:abstractNumId="7" w15:restartNumberingAfterBreak="0">
    <w:nsid w:val="0D411DF9"/>
    <w:multiLevelType w:val="hybridMultilevel"/>
    <w:tmpl w:val="D744E59E"/>
    <w:lvl w:ilvl="0" w:tplc="09660162">
      <w:start w:val="1"/>
      <w:numFmt w:val="bullet"/>
      <w:lvlText w:val=""/>
      <w:lvlJc w:val="left"/>
      <w:pPr>
        <w:tabs>
          <w:tab w:val="num" w:pos="720"/>
        </w:tabs>
        <w:ind w:left="720" w:hanging="360"/>
      </w:pPr>
      <w:rPr>
        <w:rFonts w:ascii="Symbol" w:hAnsi="Symbol" w:hint="default"/>
      </w:rPr>
    </w:lvl>
    <w:lvl w:ilvl="1" w:tplc="7B700120">
      <w:start w:val="1"/>
      <w:numFmt w:val="bullet"/>
      <w:lvlText w:val="o"/>
      <w:lvlJc w:val="left"/>
      <w:pPr>
        <w:tabs>
          <w:tab w:val="num" w:pos="1440"/>
        </w:tabs>
        <w:ind w:left="1440" w:hanging="360"/>
      </w:pPr>
      <w:rPr>
        <w:rFonts w:ascii="Courier New" w:hAnsi="Courier New" w:cs="Courier New" w:hint="default"/>
      </w:rPr>
    </w:lvl>
    <w:lvl w:ilvl="2" w:tplc="63588268">
      <w:start w:val="1"/>
      <w:numFmt w:val="decimal"/>
      <w:lvlText w:val="%3."/>
      <w:lvlJc w:val="left"/>
      <w:pPr>
        <w:tabs>
          <w:tab w:val="num" w:pos="2160"/>
        </w:tabs>
        <w:ind w:left="2160" w:hanging="360"/>
      </w:pPr>
      <w:rPr>
        <w:rFonts w:hint="default"/>
      </w:rPr>
    </w:lvl>
    <w:lvl w:ilvl="3" w:tplc="45EA9FE4" w:tentative="1">
      <w:start w:val="1"/>
      <w:numFmt w:val="bullet"/>
      <w:lvlText w:val=""/>
      <w:lvlJc w:val="left"/>
      <w:pPr>
        <w:tabs>
          <w:tab w:val="num" w:pos="2880"/>
        </w:tabs>
        <w:ind w:left="2880" w:hanging="360"/>
      </w:pPr>
      <w:rPr>
        <w:rFonts w:ascii="Symbol" w:hAnsi="Symbol" w:hint="default"/>
      </w:rPr>
    </w:lvl>
    <w:lvl w:ilvl="4" w:tplc="6B1A55FA" w:tentative="1">
      <w:start w:val="1"/>
      <w:numFmt w:val="bullet"/>
      <w:lvlText w:val="o"/>
      <w:lvlJc w:val="left"/>
      <w:pPr>
        <w:tabs>
          <w:tab w:val="num" w:pos="3600"/>
        </w:tabs>
        <w:ind w:left="3600" w:hanging="360"/>
      </w:pPr>
      <w:rPr>
        <w:rFonts w:ascii="Courier New" w:hAnsi="Courier New" w:cs="Courier New" w:hint="default"/>
      </w:rPr>
    </w:lvl>
    <w:lvl w:ilvl="5" w:tplc="B36A5E9C" w:tentative="1">
      <w:start w:val="1"/>
      <w:numFmt w:val="bullet"/>
      <w:lvlText w:val=""/>
      <w:lvlJc w:val="left"/>
      <w:pPr>
        <w:tabs>
          <w:tab w:val="num" w:pos="4320"/>
        </w:tabs>
        <w:ind w:left="4320" w:hanging="360"/>
      </w:pPr>
      <w:rPr>
        <w:rFonts w:ascii="Wingdings" w:hAnsi="Wingdings" w:hint="default"/>
      </w:rPr>
    </w:lvl>
    <w:lvl w:ilvl="6" w:tplc="EE2EECE0" w:tentative="1">
      <w:start w:val="1"/>
      <w:numFmt w:val="bullet"/>
      <w:lvlText w:val=""/>
      <w:lvlJc w:val="left"/>
      <w:pPr>
        <w:tabs>
          <w:tab w:val="num" w:pos="5040"/>
        </w:tabs>
        <w:ind w:left="5040" w:hanging="360"/>
      </w:pPr>
      <w:rPr>
        <w:rFonts w:ascii="Symbol" w:hAnsi="Symbol" w:hint="default"/>
      </w:rPr>
    </w:lvl>
    <w:lvl w:ilvl="7" w:tplc="FE04907C" w:tentative="1">
      <w:start w:val="1"/>
      <w:numFmt w:val="bullet"/>
      <w:lvlText w:val="o"/>
      <w:lvlJc w:val="left"/>
      <w:pPr>
        <w:tabs>
          <w:tab w:val="num" w:pos="5760"/>
        </w:tabs>
        <w:ind w:left="5760" w:hanging="360"/>
      </w:pPr>
      <w:rPr>
        <w:rFonts w:ascii="Courier New" w:hAnsi="Courier New" w:cs="Courier New" w:hint="default"/>
      </w:rPr>
    </w:lvl>
    <w:lvl w:ilvl="8" w:tplc="4A0ABF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185A82"/>
    <w:multiLevelType w:val="hybridMultilevel"/>
    <w:tmpl w:val="EBD02D9A"/>
    <w:lvl w:ilvl="0" w:tplc="C37CDD10">
      <w:start w:val="1"/>
      <w:numFmt w:val="bullet"/>
      <w:lvlText w:val=""/>
      <w:lvlJc w:val="left"/>
      <w:pPr>
        <w:ind w:left="720" w:hanging="360"/>
      </w:pPr>
      <w:rPr>
        <w:rFonts w:ascii="Symbol" w:hAnsi="Symbol" w:hint="default"/>
      </w:rPr>
    </w:lvl>
    <w:lvl w:ilvl="1" w:tplc="47D87EC4" w:tentative="1">
      <w:start w:val="1"/>
      <w:numFmt w:val="bullet"/>
      <w:lvlText w:val="o"/>
      <w:lvlJc w:val="left"/>
      <w:pPr>
        <w:ind w:left="1440" w:hanging="360"/>
      </w:pPr>
      <w:rPr>
        <w:rFonts w:ascii="Courier New" w:hAnsi="Courier New" w:cs="Courier New" w:hint="default"/>
      </w:rPr>
    </w:lvl>
    <w:lvl w:ilvl="2" w:tplc="A894DD08" w:tentative="1">
      <w:start w:val="1"/>
      <w:numFmt w:val="bullet"/>
      <w:lvlText w:val=""/>
      <w:lvlJc w:val="left"/>
      <w:pPr>
        <w:ind w:left="2160" w:hanging="360"/>
      </w:pPr>
      <w:rPr>
        <w:rFonts w:ascii="Wingdings" w:hAnsi="Wingdings" w:hint="default"/>
      </w:rPr>
    </w:lvl>
    <w:lvl w:ilvl="3" w:tplc="1B4C8B64" w:tentative="1">
      <w:start w:val="1"/>
      <w:numFmt w:val="bullet"/>
      <w:lvlText w:val=""/>
      <w:lvlJc w:val="left"/>
      <w:pPr>
        <w:ind w:left="2880" w:hanging="360"/>
      </w:pPr>
      <w:rPr>
        <w:rFonts w:ascii="Symbol" w:hAnsi="Symbol" w:hint="default"/>
      </w:rPr>
    </w:lvl>
    <w:lvl w:ilvl="4" w:tplc="221CDFCA" w:tentative="1">
      <w:start w:val="1"/>
      <w:numFmt w:val="bullet"/>
      <w:lvlText w:val="o"/>
      <w:lvlJc w:val="left"/>
      <w:pPr>
        <w:ind w:left="3600" w:hanging="360"/>
      </w:pPr>
      <w:rPr>
        <w:rFonts w:ascii="Courier New" w:hAnsi="Courier New" w:cs="Courier New" w:hint="default"/>
      </w:rPr>
    </w:lvl>
    <w:lvl w:ilvl="5" w:tplc="F4E0FC68" w:tentative="1">
      <w:start w:val="1"/>
      <w:numFmt w:val="bullet"/>
      <w:lvlText w:val=""/>
      <w:lvlJc w:val="left"/>
      <w:pPr>
        <w:ind w:left="4320" w:hanging="360"/>
      </w:pPr>
      <w:rPr>
        <w:rFonts w:ascii="Wingdings" w:hAnsi="Wingdings" w:hint="default"/>
      </w:rPr>
    </w:lvl>
    <w:lvl w:ilvl="6" w:tplc="A42CD1EA" w:tentative="1">
      <w:start w:val="1"/>
      <w:numFmt w:val="bullet"/>
      <w:lvlText w:val=""/>
      <w:lvlJc w:val="left"/>
      <w:pPr>
        <w:ind w:left="5040" w:hanging="360"/>
      </w:pPr>
      <w:rPr>
        <w:rFonts w:ascii="Symbol" w:hAnsi="Symbol" w:hint="default"/>
      </w:rPr>
    </w:lvl>
    <w:lvl w:ilvl="7" w:tplc="BA9A375E" w:tentative="1">
      <w:start w:val="1"/>
      <w:numFmt w:val="bullet"/>
      <w:lvlText w:val="o"/>
      <w:lvlJc w:val="left"/>
      <w:pPr>
        <w:ind w:left="5760" w:hanging="360"/>
      </w:pPr>
      <w:rPr>
        <w:rFonts w:ascii="Courier New" w:hAnsi="Courier New" w:cs="Courier New" w:hint="default"/>
      </w:rPr>
    </w:lvl>
    <w:lvl w:ilvl="8" w:tplc="7AF8DBA0" w:tentative="1">
      <w:start w:val="1"/>
      <w:numFmt w:val="bullet"/>
      <w:lvlText w:val=""/>
      <w:lvlJc w:val="left"/>
      <w:pPr>
        <w:ind w:left="6480" w:hanging="360"/>
      </w:pPr>
      <w:rPr>
        <w:rFonts w:ascii="Wingdings" w:hAnsi="Wingdings" w:hint="default"/>
      </w:rPr>
    </w:lvl>
  </w:abstractNum>
  <w:abstractNum w:abstractNumId="9" w15:restartNumberingAfterBreak="0">
    <w:nsid w:val="19C71EA4"/>
    <w:multiLevelType w:val="hybridMultilevel"/>
    <w:tmpl w:val="544C504E"/>
    <w:lvl w:ilvl="0" w:tplc="5866C5A6">
      <w:start w:val="1"/>
      <w:numFmt w:val="decimal"/>
      <w:lvlText w:val="%1."/>
      <w:lvlJc w:val="left"/>
      <w:pPr>
        <w:tabs>
          <w:tab w:val="num" w:pos="360"/>
        </w:tabs>
        <w:ind w:left="360" w:hanging="360"/>
      </w:pPr>
    </w:lvl>
    <w:lvl w:ilvl="1" w:tplc="F6D4A5EC">
      <w:start w:val="1"/>
      <w:numFmt w:val="bullet"/>
      <w:lvlText w:val=""/>
      <w:lvlJc w:val="left"/>
      <w:pPr>
        <w:tabs>
          <w:tab w:val="num" w:pos="1080"/>
        </w:tabs>
        <w:ind w:left="1080" w:hanging="360"/>
      </w:pPr>
      <w:rPr>
        <w:rFonts w:ascii="Symbol" w:hAnsi="Symbol" w:hint="default"/>
        <w:color w:val="auto"/>
      </w:rPr>
    </w:lvl>
    <w:lvl w:ilvl="2" w:tplc="E7ECD512" w:tentative="1">
      <w:start w:val="1"/>
      <w:numFmt w:val="lowerRoman"/>
      <w:lvlText w:val="%3."/>
      <w:lvlJc w:val="right"/>
      <w:pPr>
        <w:tabs>
          <w:tab w:val="num" w:pos="1800"/>
        </w:tabs>
        <w:ind w:left="1800" w:hanging="180"/>
      </w:pPr>
    </w:lvl>
    <w:lvl w:ilvl="3" w:tplc="B3122F58" w:tentative="1">
      <w:start w:val="1"/>
      <w:numFmt w:val="decimal"/>
      <w:lvlText w:val="%4."/>
      <w:lvlJc w:val="left"/>
      <w:pPr>
        <w:tabs>
          <w:tab w:val="num" w:pos="2520"/>
        </w:tabs>
        <w:ind w:left="2520" w:hanging="360"/>
      </w:pPr>
    </w:lvl>
    <w:lvl w:ilvl="4" w:tplc="BC0A4BCE" w:tentative="1">
      <w:start w:val="1"/>
      <w:numFmt w:val="lowerLetter"/>
      <w:lvlText w:val="%5."/>
      <w:lvlJc w:val="left"/>
      <w:pPr>
        <w:tabs>
          <w:tab w:val="num" w:pos="3240"/>
        </w:tabs>
        <w:ind w:left="3240" w:hanging="360"/>
      </w:pPr>
    </w:lvl>
    <w:lvl w:ilvl="5" w:tplc="77963A2C" w:tentative="1">
      <w:start w:val="1"/>
      <w:numFmt w:val="lowerRoman"/>
      <w:lvlText w:val="%6."/>
      <w:lvlJc w:val="right"/>
      <w:pPr>
        <w:tabs>
          <w:tab w:val="num" w:pos="3960"/>
        </w:tabs>
        <w:ind w:left="3960" w:hanging="180"/>
      </w:pPr>
    </w:lvl>
    <w:lvl w:ilvl="6" w:tplc="104EE3DE" w:tentative="1">
      <w:start w:val="1"/>
      <w:numFmt w:val="decimal"/>
      <w:lvlText w:val="%7."/>
      <w:lvlJc w:val="left"/>
      <w:pPr>
        <w:tabs>
          <w:tab w:val="num" w:pos="4680"/>
        </w:tabs>
        <w:ind w:left="4680" w:hanging="360"/>
      </w:pPr>
    </w:lvl>
    <w:lvl w:ilvl="7" w:tplc="3E4A279E" w:tentative="1">
      <w:start w:val="1"/>
      <w:numFmt w:val="lowerLetter"/>
      <w:lvlText w:val="%8."/>
      <w:lvlJc w:val="left"/>
      <w:pPr>
        <w:tabs>
          <w:tab w:val="num" w:pos="5400"/>
        </w:tabs>
        <w:ind w:left="5400" w:hanging="360"/>
      </w:pPr>
    </w:lvl>
    <w:lvl w:ilvl="8" w:tplc="656E8596" w:tentative="1">
      <w:start w:val="1"/>
      <w:numFmt w:val="lowerRoman"/>
      <w:lvlText w:val="%9."/>
      <w:lvlJc w:val="right"/>
      <w:pPr>
        <w:tabs>
          <w:tab w:val="num" w:pos="6120"/>
        </w:tabs>
        <w:ind w:left="6120" w:hanging="180"/>
      </w:pPr>
    </w:lvl>
  </w:abstractNum>
  <w:abstractNum w:abstractNumId="10" w15:restartNumberingAfterBreak="0">
    <w:nsid w:val="1A5B5254"/>
    <w:multiLevelType w:val="hybridMultilevel"/>
    <w:tmpl w:val="4DD40C90"/>
    <w:lvl w:ilvl="0" w:tplc="1F8CA700">
      <w:start w:val="1"/>
      <w:numFmt w:val="bullet"/>
      <w:lvlText w:val=""/>
      <w:lvlJc w:val="left"/>
      <w:pPr>
        <w:ind w:left="720" w:hanging="360"/>
      </w:pPr>
      <w:rPr>
        <w:rFonts w:ascii="Symbol" w:hAnsi="Symbol" w:hint="default"/>
      </w:rPr>
    </w:lvl>
    <w:lvl w:ilvl="1" w:tplc="1E1A3FEE" w:tentative="1">
      <w:start w:val="1"/>
      <w:numFmt w:val="bullet"/>
      <w:lvlText w:val="o"/>
      <w:lvlJc w:val="left"/>
      <w:pPr>
        <w:ind w:left="1440" w:hanging="360"/>
      </w:pPr>
      <w:rPr>
        <w:rFonts w:ascii="Courier New" w:hAnsi="Courier New" w:cs="Courier New" w:hint="default"/>
      </w:rPr>
    </w:lvl>
    <w:lvl w:ilvl="2" w:tplc="FE1885DC" w:tentative="1">
      <w:start w:val="1"/>
      <w:numFmt w:val="bullet"/>
      <w:lvlText w:val=""/>
      <w:lvlJc w:val="left"/>
      <w:pPr>
        <w:ind w:left="2160" w:hanging="360"/>
      </w:pPr>
      <w:rPr>
        <w:rFonts w:ascii="Wingdings" w:hAnsi="Wingdings" w:hint="default"/>
      </w:rPr>
    </w:lvl>
    <w:lvl w:ilvl="3" w:tplc="BB7AACDC" w:tentative="1">
      <w:start w:val="1"/>
      <w:numFmt w:val="bullet"/>
      <w:lvlText w:val=""/>
      <w:lvlJc w:val="left"/>
      <w:pPr>
        <w:ind w:left="2880" w:hanging="360"/>
      </w:pPr>
      <w:rPr>
        <w:rFonts w:ascii="Symbol" w:hAnsi="Symbol" w:hint="default"/>
      </w:rPr>
    </w:lvl>
    <w:lvl w:ilvl="4" w:tplc="F1ACD9AE" w:tentative="1">
      <w:start w:val="1"/>
      <w:numFmt w:val="bullet"/>
      <w:lvlText w:val="o"/>
      <w:lvlJc w:val="left"/>
      <w:pPr>
        <w:ind w:left="3600" w:hanging="360"/>
      </w:pPr>
      <w:rPr>
        <w:rFonts w:ascii="Courier New" w:hAnsi="Courier New" w:cs="Courier New" w:hint="default"/>
      </w:rPr>
    </w:lvl>
    <w:lvl w:ilvl="5" w:tplc="67CEC752" w:tentative="1">
      <w:start w:val="1"/>
      <w:numFmt w:val="bullet"/>
      <w:lvlText w:val=""/>
      <w:lvlJc w:val="left"/>
      <w:pPr>
        <w:ind w:left="4320" w:hanging="360"/>
      </w:pPr>
      <w:rPr>
        <w:rFonts w:ascii="Wingdings" w:hAnsi="Wingdings" w:hint="default"/>
      </w:rPr>
    </w:lvl>
    <w:lvl w:ilvl="6" w:tplc="4348A2D8" w:tentative="1">
      <w:start w:val="1"/>
      <w:numFmt w:val="bullet"/>
      <w:lvlText w:val=""/>
      <w:lvlJc w:val="left"/>
      <w:pPr>
        <w:ind w:left="5040" w:hanging="360"/>
      </w:pPr>
      <w:rPr>
        <w:rFonts w:ascii="Symbol" w:hAnsi="Symbol" w:hint="default"/>
      </w:rPr>
    </w:lvl>
    <w:lvl w:ilvl="7" w:tplc="DDC69318" w:tentative="1">
      <w:start w:val="1"/>
      <w:numFmt w:val="bullet"/>
      <w:lvlText w:val="o"/>
      <w:lvlJc w:val="left"/>
      <w:pPr>
        <w:ind w:left="5760" w:hanging="360"/>
      </w:pPr>
      <w:rPr>
        <w:rFonts w:ascii="Courier New" w:hAnsi="Courier New" w:cs="Courier New" w:hint="default"/>
      </w:rPr>
    </w:lvl>
    <w:lvl w:ilvl="8" w:tplc="9BD00212" w:tentative="1">
      <w:start w:val="1"/>
      <w:numFmt w:val="bullet"/>
      <w:lvlText w:val=""/>
      <w:lvlJc w:val="left"/>
      <w:pPr>
        <w:ind w:left="6480" w:hanging="360"/>
      </w:pPr>
      <w:rPr>
        <w:rFonts w:ascii="Wingdings" w:hAnsi="Wingdings" w:hint="default"/>
      </w:rPr>
    </w:lvl>
  </w:abstractNum>
  <w:abstractNum w:abstractNumId="11" w15:restartNumberingAfterBreak="0">
    <w:nsid w:val="1AC07F39"/>
    <w:multiLevelType w:val="hybridMultilevel"/>
    <w:tmpl w:val="22F4563E"/>
    <w:lvl w:ilvl="0" w:tplc="DDF229B2">
      <w:start w:val="1"/>
      <w:numFmt w:val="bullet"/>
      <w:lvlText w:val=""/>
      <w:lvlJc w:val="left"/>
      <w:pPr>
        <w:ind w:left="780" w:hanging="360"/>
      </w:pPr>
      <w:rPr>
        <w:rFonts w:ascii="Symbol" w:hAnsi="Symbol" w:hint="default"/>
      </w:rPr>
    </w:lvl>
    <w:lvl w:ilvl="1" w:tplc="1D26A586" w:tentative="1">
      <w:start w:val="1"/>
      <w:numFmt w:val="bullet"/>
      <w:lvlText w:val="o"/>
      <w:lvlJc w:val="left"/>
      <w:pPr>
        <w:ind w:left="1500" w:hanging="360"/>
      </w:pPr>
      <w:rPr>
        <w:rFonts w:ascii="Courier New" w:hAnsi="Courier New" w:cs="Courier New" w:hint="default"/>
      </w:rPr>
    </w:lvl>
    <w:lvl w:ilvl="2" w:tplc="9DB221FC" w:tentative="1">
      <w:start w:val="1"/>
      <w:numFmt w:val="bullet"/>
      <w:lvlText w:val=""/>
      <w:lvlJc w:val="left"/>
      <w:pPr>
        <w:ind w:left="2220" w:hanging="360"/>
      </w:pPr>
      <w:rPr>
        <w:rFonts w:ascii="Wingdings" w:hAnsi="Wingdings" w:hint="default"/>
      </w:rPr>
    </w:lvl>
    <w:lvl w:ilvl="3" w:tplc="1C880E8C" w:tentative="1">
      <w:start w:val="1"/>
      <w:numFmt w:val="bullet"/>
      <w:lvlText w:val=""/>
      <w:lvlJc w:val="left"/>
      <w:pPr>
        <w:ind w:left="2940" w:hanging="360"/>
      </w:pPr>
      <w:rPr>
        <w:rFonts w:ascii="Symbol" w:hAnsi="Symbol" w:hint="default"/>
      </w:rPr>
    </w:lvl>
    <w:lvl w:ilvl="4" w:tplc="5FC6C482" w:tentative="1">
      <w:start w:val="1"/>
      <w:numFmt w:val="bullet"/>
      <w:lvlText w:val="o"/>
      <w:lvlJc w:val="left"/>
      <w:pPr>
        <w:ind w:left="3660" w:hanging="360"/>
      </w:pPr>
      <w:rPr>
        <w:rFonts w:ascii="Courier New" w:hAnsi="Courier New" w:cs="Courier New" w:hint="default"/>
      </w:rPr>
    </w:lvl>
    <w:lvl w:ilvl="5" w:tplc="41B047DC" w:tentative="1">
      <w:start w:val="1"/>
      <w:numFmt w:val="bullet"/>
      <w:lvlText w:val=""/>
      <w:lvlJc w:val="left"/>
      <w:pPr>
        <w:ind w:left="4380" w:hanging="360"/>
      </w:pPr>
      <w:rPr>
        <w:rFonts w:ascii="Wingdings" w:hAnsi="Wingdings" w:hint="default"/>
      </w:rPr>
    </w:lvl>
    <w:lvl w:ilvl="6" w:tplc="2D069EBE" w:tentative="1">
      <w:start w:val="1"/>
      <w:numFmt w:val="bullet"/>
      <w:lvlText w:val=""/>
      <w:lvlJc w:val="left"/>
      <w:pPr>
        <w:ind w:left="5100" w:hanging="360"/>
      </w:pPr>
      <w:rPr>
        <w:rFonts w:ascii="Symbol" w:hAnsi="Symbol" w:hint="default"/>
      </w:rPr>
    </w:lvl>
    <w:lvl w:ilvl="7" w:tplc="84C4CBFC" w:tentative="1">
      <w:start w:val="1"/>
      <w:numFmt w:val="bullet"/>
      <w:lvlText w:val="o"/>
      <w:lvlJc w:val="left"/>
      <w:pPr>
        <w:ind w:left="5820" w:hanging="360"/>
      </w:pPr>
      <w:rPr>
        <w:rFonts w:ascii="Courier New" w:hAnsi="Courier New" w:cs="Courier New" w:hint="default"/>
      </w:rPr>
    </w:lvl>
    <w:lvl w:ilvl="8" w:tplc="23442EA2" w:tentative="1">
      <w:start w:val="1"/>
      <w:numFmt w:val="bullet"/>
      <w:lvlText w:val=""/>
      <w:lvlJc w:val="left"/>
      <w:pPr>
        <w:ind w:left="6540" w:hanging="360"/>
      </w:pPr>
      <w:rPr>
        <w:rFonts w:ascii="Wingdings" w:hAnsi="Wingdings" w:hint="default"/>
      </w:rPr>
    </w:lvl>
  </w:abstractNum>
  <w:abstractNum w:abstractNumId="12" w15:restartNumberingAfterBreak="0">
    <w:nsid w:val="1BF546BA"/>
    <w:multiLevelType w:val="hybridMultilevel"/>
    <w:tmpl w:val="39085032"/>
    <w:lvl w:ilvl="0" w:tplc="DE0E8398">
      <w:start w:val="1"/>
      <w:numFmt w:val="bullet"/>
      <w:lvlText w:val="-"/>
      <w:lvlJc w:val="left"/>
      <w:pPr>
        <w:tabs>
          <w:tab w:val="num" w:pos="360"/>
        </w:tabs>
        <w:ind w:left="567" w:firstLine="0"/>
      </w:pPr>
      <w:rPr>
        <w:rFonts w:ascii="Times New Roman" w:hAnsi="Times New Roman" w:cs="Times New Roman" w:hint="default"/>
      </w:rPr>
    </w:lvl>
    <w:lvl w:ilvl="1" w:tplc="F384BA58">
      <w:start w:val="1"/>
      <w:numFmt w:val="bullet"/>
      <w:lvlText w:val="o"/>
      <w:lvlJc w:val="left"/>
      <w:pPr>
        <w:tabs>
          <w:tab w:val="num" w:pos="660"/>
        </w:tabs>
        <w:ind w:left="660" w:hanging="360"/>
      </w:pPr>
      <w:rPr>
        <w:rFonts w:ascii="Courier New" w:hAnsi="Courier New" w:hint="default"/>
      </w:rPr>
    </w:lvl>
    <w:lvl w:ilvl="2" w:tplc="7C2052C6">
      <w:start w:val="1"/>
      <w:numFmt w:val="bullet"/>
      <w:lvlText w:val=""/>
      <w:lvlJc w:val="left"/>
      <w:pPr>
        <w:tabs>
          <w:tab w:val="num" w:pos="1380"/>
        </w:tabs>
        <w:ind w:left="1380" w:hanging="360"/>
      </w:pPr>
      <w:rPr>
        <w:rFonts w:ascii="Wingdings" w:hAnsi="Wingdings" w:hint="default"/>
      </w:rPr>
    </w:lvl>
    <w:lvl w:ilvl="3" w:tplc="FD66DFE4">
      <w:start w:val="1"/>
      <w:numFmt w:val="bullet"/>
      <w:lvlText w:val=""/>
      <w:lvlJc w:val="left"/>
      <w:pPr>
        <w:tabs>
          <w:tab w:val="num" w:pos="2100"/>
        </w:tabs>
        <w:ind w:left="2100" w:hanging="360"/>
      </w:pPr>
      <w:rPr>
        <w:rFonts w:ascii="Symbol" w:hAnsi="Symbol" w:hint="default"/>
      </w:rPr>
    </w:lvl>
    <w:lvl w:ilvl="4" w:tplc="AB208312" w:tentative="1">
      <w:start w:val="1"/>
      <w:numFmt w:val="bullet"/>
      <w:lvlText w:val="o"/>
      <w:lvlJc w:val="left"/>
      <w:pPr>
        <w:tabs>
          <w:tab w:val="num" w:pos="2820"/>
        </w:tabs>
        <w:ind w:left="2820" w:hanging="360"/>
      </w:pPr>
      <w:rPr>
        <w:rFonts w:ascii="Courier New" w:hAnsi="Courier New" w:hint="default"/>
      </w:rPr>
    </w:lvl>
    <w:lvl w:ilvl="5" w:tplc="EB7485D0" w:tentative="1">
      <w:start w:val="1"/>
      <w:numFmt w:val="bullet"/>
      <w:lvlText w:val=""/>
      <w:lvlJc w:val="left"/>
      <w:pPr>
        <w:tabs>
          <w:tab w:val="num" w:pos="3540"/>
        </w:tabs>
        <w:ind w:left="3540" w:hanging="360"/>
      </w:pPr>
      <w:rPr>
        <w:rFonts w:ascii="Wingdings" w:hAnsi="Wingdings" w:hint="default"/>
      </w:rPr>
    </w:lvl>
    <w:lvl w:ilvl="6" w:tplc="EFAA0D20" w:tentative="1">
      <w:start w:val="1"/>
      <w:numFmt w:val="bullet"/>
      <w:lvlText w:val=""/>
      <w:lvlJc w:val="left"/>
      <w:pPr>
        <w:tabs>
          <w:tab w:val="num" w:pos="4260"/>
        </w:tabs>
        <w:ind w:left="4260" w:hanging="360"/>
      </w:pPr>
      <w:rPr>
        <w:rFonts w:ascii="Symbol" w:hAnsi="Symbol" w:hint="default"/>
      </w:rPr>
    </w:lvl>
    <w:lvl w:ilvl="7" w:tplc="EEF82E3A" w:tentative="1">
      <w:start w:val="1"/>
      <w:numFmt w:val="bullet"/>
      <w:lvlText w:val="o"/>
      <w:lvlJc w:val="left"/>
      <w:pPr>
        <w:tabs>
          <w:tab w:val="num" w:pos="4980"/>
        </w:tabs>
        <w:ind w:left="4980" w:hanging="360"/>
      </w:pPr>
      <w:rPr>
        <w:rFonts w:ascii="Courier New" w:hAnsi="Courier New" w:hint="default"/>
      </w:rPr>
    </w:lvl>
    <w:lvl w:ilvl="8" w:tplc="BBFEAABC" w:tentative="1">
      <w:start w:val="1"/>
      <w:numFmt w:val="bullet"/>
      <w:lvlText w:val=""/>
      <w:lvlJc w:val="left"/>
      <w:pPr>
        <w:tabs>
          <w:tab w:val="num" w:pos="5700"/>
        </w:tabs>
        <w:ind w:left="5700" w:hanging="360"/>
      </w:pPr>
      <w:rPr>
        <w:rFonts w:ascii="Wingdings" w:hAnsi="Wingdings" w:hint="default"/>
      </w:rPr>
    </w:lvl>
  </w:abstractNum>
  <w:abstractNum w:abstractNumId="13" w15:restartNumberingAfterBreak="0">
    <w:nsid w:val="1CCB6138"/>
    <w:multiLevelType w:val="hybridMultilevel"/>
    <w:tmpl w:val="E5BE411C"/>
    <w:lvl w:ilvl="0" w:tplc="176AB29A">
      <w:start w:val="1"/>
      <w:numFmt w:val="bullet"/>
      <w:lvlText w:val=""/>
      <w:lvlJc w:val="left"/>
      <w:pPr>
        <w:tabs>
          <w:tab w:val="num" w:pos="780"/>
        </w:tabs>
        <w:ind w:left="780" w:hanging="360"/>
      </w:pPr>
      <w:rPr>
        <w:rFonts w:ascii="Symbol" w:hAnsi="Symbol" w:hint="default"/>
      </w:rPr>
    </w:lvl>
    <w:lvl w:ilvl="1" w:tplc="3702C358" w:tentative="1">
      <w:start w:val="1"/>
      <w:numFmt w:val="bullet"/>
      <w:lvlText w:val="o"/>
      <w:lvlJc w:val="left"/>
      <w:pPr>
        <w:tabs>
          <w:tab w:val="num" w:pos="1500"/>
        </w:tabs>
        <w:ind w:left="1500" w:hanging="360"/>
      </w:pPr>
      <w:rPr>
        <w:rFonts w:ascii="Courier New" w:hAnsi="Courier New" w:cs="Courier New" w:hint="default"/>
      </w:rPr>
    </w:lvl>
    <w:lvl w:ilvl="2" w:tplc="BD0AB16A" w:tentative="1">
      <w:start w:val="1"/>
      <w:numFmt w:val="bullet"/>
      <w:lvlText w:val=""/>
      <w:lvlJc w:val="left"/>
      <w:pPr>
        <w:tabs>
          <w:tab w:val="num" w:pos="2220"/>
        </w:tabs>
        <w:ind w:left="2220" w:hanging="360"/>
      </w:pPr>
      <w:rPr>
        <w:rFonts w:ascii="Wingdings" w:hAnsi="Wingdings" w:hint="default"/>
      </w:rPr>
    </w:lvl>
    <w:lvl w:ilvl="3" w:tplc="A4DE5A08" w:tentative="1">
      <w:start w:val="1"/>
      <w:numFmt w:val="bullet"/>
      <w:lvlText w:val=""/>
      <w:lvlJc w:val="left"/>
      <w:pPr>
        <w:tabs>
          <w:tab w:val="num" w:pos="2940"/>
        </w:tabs>
        <w:ind w:left="2940" w:hanging="360"/>
      </w:pPr>
      <w:rPr>
        <w:rFonts w:ascii="Symbol" w:hAnsi="Symbol" w:hint="default"/>
      </w:rPr>
    </w:lvl>
    <w:lvl w:ilvl="4" w:tplc="740426EE" w:tentative="1">
      <w:start w:val="1"/>
      <w:numFmt w:val="bullet"/>
      <w:lvlText w:val="o"/>
      <w:lvlJc w:val="left"/>
      <w:pPr>
        <w:tabs>
          <w:tab w:val="num" w:pos="3660"/>
        </w:tabs>
        <w:ind w:left="3660" w:hanging="360"/>
      </w:pPr>
      <w:rPr>
        <w:rFonts w:ascii="Courier New" w:hAnsi="Courier New" w:cs="Courier New" w:hint="default"/>
      </w:rPr>
    </w:lvl>
    <w:lvl w:ilvl="5" w:tplc="DA184CA4" w:tentative="1">
      <w:start w:val="1"/>
      <w:numFmt w:val="bullet"/>
      <w:lvlText w:val=""/>
      <w:lvlJc w:val="left"/>
      <w:pPr>
        <w:tabs>
          <w:tab w:val="num" w:pos="4380"/>
        </w:tabs>
        <w:ind w:left="4380" w:hanging="360"/>
      </w:pPr>
      <w:rPr>
        <w:rFonts w:ascii="Wingdings" w:hAnsi="Wingdings" w:hint="default"/>
      </w:rPr>
    </w:lvl>
    <w:lvl w:ilvl="6" w:tplc="A2004776" w:tentative="1">
      <w:start w:val="1"/>
      <w:numFmt w:val="bullet"/>
      <w:lvlText w:val=""/>
      <w:lvlJc w:val="left"/>
      <w:pPr>
        <w:tabs>
          <w:tab w:val="num" w:pos="5100"/>
        </w:tabs>
        <w:ind w:left="5100" w:hanging="360"/>
      </w:pPr>
      <w:rPr>
        <w:rFonts w:ascii="Symbol" w:hAnsi="Symbol" w:hint="default"/>
      </w:rPr>
    </w:lvl>
    <w:lvl w:ilvl="7" w:tplc="E640C3FA" w:tentative="1">
      <w:start w:val="1"/>
      <w:numFmt w:val="bullet"/>
      <w:lvlText w:val="o"/>
      <w:lvlJc w:val="left"/>
      <w:pPr>
        <w:tabs>
          <w:tab w:val="num" w:pos="5820"/>
        </w:tabs>
        <w:ind w:left="5820" w:hanging="360"/>
      </w:pPr>
      <w:rPr>
        <w:rFonts w:ascii="Courier New" w:hAnsi="Courier New" w:cs="Courier New" w:hint="default"/>
      </w:rPr>
    </w:lvl>
    <w:lvl w:ilvl="8" w:tplc="FA58AE9A"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1FA23214"/>
    <w:multiLevelType w:val="hybridMultilevel"/>
    <w:tmpl w:val="AB9029D6"/>
    <w:lvl w:ilvl="0" w:tplc="BDA05A4E">
      <w:start w:val="1"/>
      <w:numFmt w:val="bullet"/>
      <w:lvlText w:val=""/>
      <w:lvlJc w:val="left"/>
      <w:pPr>
        <w:ind w:left="720" w:hanging="360"/>
      </w:pPr>
      <w:rPr>
        <w:rFonts w:ascii="Symbol" w:hAnsi="Symbol" w:hint="default"/>
      </w:rPr>
    </w:lvl>
    <w:lvl w:ilvl="1" w:tplc="CDAAA71E" w:tentative="1">
      <w:start w:val="1"/>
      <w:numFmt w:val="bullet"/>
      <w:lvlText w:val="o"/>
      <w:lvlJc w:val="left"/>
      <w:pPr>
        <w:ind w:left="1440" w:hanging="360"/>
      </w:pPr>
      <w:rPr>
        <w:rFonts w:ascii="Courier New" w:hAnsi="Courier New" w:cs="Courier New" w:hint="default"/>
      </w:rPr>
    </w:lvl>
    <w:lvl w:ilvl="2" w:tplc="9EA24444" w:tentative="1">
      <w:start w:val="1"/>
      <w:numFmt w:val="bullet"/>
      <w:lvlText w:val=""/>
      <w:lvlJc w:val="left"/>
      <w:pPr>
        <w:ind w:left="2160" w:hanging="360"/>
      </w:pPr>
      <w:rPr>
        <w:rFonts w:ascii="Wingdings" w:hAnsi="Wingdings" w:hint="default"/>
      </w:rPr>
    </w:lvl>
    <w:lvl w:ilvl="3" w:tplc="70AAC440" w:tentative="1">
      <w:start w:val="1"/>
      <w:numFmt w:val="bullet"/>
      <w:lvlText w:val=""/>
      <w:lvlJc w:val="left"/>
      <w:pPr>
        <w:ind w:left="2880" w:hanging="360"/>
      </w:pPr>
      <w:rPr>
        <w:rFonts w:ascii="Symbol" w:hAnsi="Symbol" w:hint="default"/>
      </w:rPr>
    </w:lvl>
    <w:lvl w:ilvl="4" w:tplc="6DFA6C9E" w:tentative="1">
      <w:start w:val="1"/>
      <w:numFmt w:val="bullet"/>
      <w:lvlText w:val="o"/>
      <w:lvlJc w:val="left"/>
      <w:pPr>
        <w:ind w:left="3600" w:hanging="360"/>
      </w:pPr>
      <w:rPr>
        <w:rFonts w:ascii="Courier New" w:hAnsi="Courier New" w:cs="Courier New" w:hint="default"/>
      </w:rPr>
    </w:lvl>
    <w:lvl w:ilvl="5" w:tplc="6C7A12C0" w:tentative="1">
      <w:start w:val="1"/>
      <w:numFmt w:val="bullet"/>
      <w:lvlText w:val=""/>
      <w:lvlJc w:val="left"/>
      <w:pPr>
        <w:ind w:left="4320" w:hanging="360"/>
      </w:pPr>
      <w:rPr>
        <w:rFonts w:ascii="Wingdings" w:hAnsi="Wingdings" w:hint="default"/>
      </w:rPr>
    </w:lvl>
    <w:lvl w:ilvl="6" w:tplc="B740AA0C" w:tentative="1">
      <w:start w:val="1"/>
      <w:numFmt w:val="bullet"/>
      <w:lvlText w:val=""/>
      <w:lvlJc w:val="left"/>
      <w:pPr>
        <w:ind w:left="5040" w:hanging="360"/>
      </w:pPr>
      <w:rPr>
        <w:rFonts w:ascii="Symbol" w:hAnsi="Symbol" w:hint="default"/>
      </w:rPr>
    </w:lvl>
    <w:lvl w:ilvl="7" w:tplc="0D168A50" w:tentative="1">
      <w:start w:val="1"/>
      <w:numFmt w:val="bullet"/>
      <w:lvlText w:val="o"/>
      <w:lvlJc w:val="left"/>
      <w:pPr>
        <w:ind w:left="5760" w:hanging="360"/>
      </w:pPr>
      <w:rPr>
        <w:rFonts w:ascii="Courier New" w:hAnsi="Courier New" w:cs="Courier New" w:hint="default"/>
      </w:rPr>
    </w:lvl>
    <w:lvl w:ilvl="8" w:tplc="8D08F958" w:tentative="1">
      <w:start w:val="1"/>
      <w:numFmt w:val="bullet"/>
      <w:lvlText w:val=""/>
      <w:lvlJc w:val="left"/>
      <w:pPr>
        <w:ind w:left="6480" w:hanging="360"/>
      </w:pPr>
      <w:rPr>
        <w:rFonts w:ascii="Wingdings" w:hAnsi="Wingdings" w:hint="default"/>
      </w:rPr>
    </w:lvl>
  </w:abstractNum>
  <w:abstractNum w:abstractNumId="15" w15:restartNumberingAfterBreak="0">
    <w:nsid w:val="22DA4DB9"/>
    <w:multiLevelType w:val="hybridMultilevel"/>
    <w:tmpl w:val="A52AD73E"/>
    <w:lvl w:ilvl="0" w:tplc="824C0E4C">
      <w:start w:val="1"/>
      <w:numFmt w:val="bullet"/>
      <w:lvlText w:val=""/>
      <w:lvlJc w:val="left"/>
      <w:pPr>
        <w:ind w:left="720" w:hanging="360"/>
      </w:pPr>
      <w:rPr>
        <w:rFonts w:ascii="Symbol" w:hAnsi="Symbol" w:hint="default"/>
      </w:rPr>
    </w:lvl>
    <w:lvl w:ilvl="1" w:tplc="D7209868" w:tentative="1">
      <w:start w:val="1"/>
      <w:numFmt w:val="bullet"/>
      <w:lvlText w:val="o"/>
      <w:lvlJc w:val="left"/>
      <w:pPr>
        <w:ind w:left="1440" w:hanging="360"/>
      </w:pPr>
      <w:rPr>
        <w:rFonts w:ascii="Courier New" w:hAnsi="Courier New" w:cs="Courier New" w:hint="default"/>
      </w:rPr>
    </w:lvl>
    <w:lvl w:ilvl="2" w:tplc="71E8434A" w:tentative="1">
      <w:start w:val="1"/>
      <w:numFmt w:val="bullet"/>
      <w:lvlText w:val=""/>
      <w:lvlJc w:val="left"/>
      <w:pPr>
        <w:ind w:left="2160" w:hanging="360"/>
      </w:pPr>
      <w:rPr>
        <w:rFonts w:ascii="Wingdings" w:hAnsi="Wingdings" w:hint="default"/>
      </w:rPr>
    </w:lvl>
    <w:lvl w:ilvl="3" w:tplc="F64EB3F8" w:tentative="1">
      <w:start w:val="1"/>
      <w:numFmt w:val="bullet"/>
      <w:lvlText w:val=""/>
      <w:lvlJc w:val="left"/>
      <w:pPr>
        <w:ind w:left="2880" w:hanging="360"/>
      </w:pPr>
      <w:rPr>
        <w:rFonts w:ascii="Symbol" w:hAnsi="Symbol" w:hint="default"/>
      </w:rPr>
    </w:lvl>
    <w:lvl w:ilvl="4" w:tplc="B712A74A" w:tentative="1">
      <w:start w:val="1"/>
      <w:numFmt w:val="bullet"/>
      <w:lvlText w:val="o"/>
      <w:lvlJc w:val="left"/>
      <w:pPr>
        <w:ind w:left="3600" w:hanging="360"/>
      </w:pPr>
      <w:rPr>
        <w:rFonts w:ascii="Courier New" w:hAnsi="Courier New" w:cs="Courier New" w:hint="default"/>
      </w:rPr>
    </w:lvl>
    <w:lvl w:ilvl="5" w:tplc="45D8D30C" w:tentative="1">
      <w:start w:val="1"/>
      <w:numFmt w:val="bullet"/>
      <w:lvlText w:val=""/>
      <w:lvlJc w:val="left"/>
      <w:pPr>
        <w:ind w:left="4320" w:hanging="360"/>
      </w:pPr>
      <w:rPr>
        <w:rFonts w:ascii="Wingdings" w:hAnsi="Wingdings" w:hint="default"/>
      </w:rPr>
    </w:lvl>
    <w:lvl w:ilvl="6" w:tplc="21F06482" w:tentative="1">
      <w:start w:val="1"/>
      <w:numFmt w:val="bullet"/>
      <w:lvlText w:val=""/>
      <w:lvlJc w:val="left"/>
      <w:pPr>
        <w:ind w:left="5040" w:hanging="360"/>
      </w:pPr>
      <w:rPr>
        <w:rFonts w:ascii="Symbol" w:hAnsi="Symbol" w:hint="default"/>
      </w:rPr>
    </w:lvl>
    <w:lvl w:ilvl="7" w:tplc="3D486B62" w:tentative="1">
      <w:start w:val="1"/>
      <w:numFmt w:val="bullet"/>
      <w:lvlText w:val="o"/>
      <w:lvlJc w:val="left"/>
      <w:pPr>
        <w:ind w:left="5760" w:hanging="360"/>
      </w:pPr>
      <w:rPr>
        <w:rFonts w:ascii="Courier New" w:hAnsi="Courier New" w:cs="Courier New" w:hint="default"/>
      </w:rPr>
    </w:lvl>
    <w:lvl w:ilvl="8" w:tplc="2830368A" w:tentative="1">
      <w:start w:val="1"/>
      <w:numFmt w:val="bullet"/>
      <w:lvlText w:val=""/>
      <w:lvlJc w:val="left"/>
      <w:pPr>
        <w:ind w:left="6480" w:hanging="360"/>
      </w:pPr>
      <w:rPr>
        <w:rFonts w:ascii="Wingdings" w:hAnsi="Wingdings" w:hint="default"/>
      </w:rPr>
    </w:lvl>
  </w:abstractNum>
  <w:abstractNum w:abstractNumId="16" w15:restartNumberingAfterBreak="0">
    <w:nsid w:val="26071EE1"/>
    <w:multiLevelType w:val="hybridMultilevel"/>
    <w:tmpl w:val="A93CCDEE"/>
    <w:lvl w:ilvl="0" w:tplc="291EE3F0">
      <w:start w:val="1"/>
      <w:numFmt w:val="bullet"/>
      <w:lvlText w:val=""/>
      <w:lvlJc w:val="left"/>
      <w:pPr>
        <w:tabs>
          <w:tab w:val="num" w:pos="720"/>
        </w:tabs>
        <w:ind w:left="720" w:hanging="360"/>
      </w:pPr>
      <w:rPr>
        <w:rFonts w:ascii="Symbol" w:hAnsi="Symbol" w:hint="default"/>
      </w:rPr>
    </w:lvl>
    <w:lvl w:ilvl="1" w:tplc="F6A6EC7E" w:tentative="1">
      <w:start w:val="1"/>
      <w:numFmt w:val="bullet"/>
      <w:lvlText w:val="o"/>
      <w:lvlJc w:val="left"/>
      <w:pPr>
        <w:tabs>
          <w:tab w:val="num" w:pos="1440"/>
        </w:tabs>
        <w:ind w:left="1440" w:hanging="360"/>
      </w:pPr>
      <w:rPr>
        <w:rFonts w:ascii="Courier New" w:hAnsi="Courier New" w:cs="Courier New" w:hint="default"/>
      </w:rPr>
    </w:lvl>
    <w:lvl w:ilvl="2" w:tplc="31667162" w:tentative="1">
      <w:start w:val="1"/>
      <w:numFmt w:val="bullet"/>
      <w:lvlText w:val=""/>
      <w:lvlJc w:val="left"/>
      <w:pPr>
        <w:tabs>
          <w:tab w:val="num" w:pos="2160"/>
        </w:tabs>
        <w:ind w:left="2160" w:hanging="360"/>
      </w:pPr>
      <w:rPr>
        <w:rFonts w:ascii="Wingdings" w:hAnsi="Wingdings" w:hint="default"/>
      </w:rPr>
    </w:lvl>
    <w:lvl w:ilvl="3" w:tplc="237A53F4" w:tentative="1">
      <w:start w:val="1"/>
      <w:numFmt w:val="bullet"/>
      <w:lvlText w:val=""/>
      <w:lvlJc w:val="left"/>
      <w:pPr>
        <w:tabs>
          <w:tab w:val="num" w:pos="2880"/>
        </w:tabs>
        <w:ind w:left="2880" w:hanging="360"/>
      </w:pPr>
      <w:rPr>
        <w:rFonts w:ascii="Symbol" w:hAnsi="Symbol" w:hint="default"/>
      </w:rPr>
    </w:lvl>
    <w:lvl w:ilvl="4" w:tplc="0D5E3BD8" w:tentative="1">
      <w:start w:val="1"/>
      <w:numFmt w:val="bullet"/>
      <w:lvlText w:val="o"/>
      <w:lvlJc w:val="left"/>
      <w:pPr>
        <w:tabs>
          <w:tab w:val="num" w:pos="3600"/>
        </w:tabs>
        <w:ind w:left="3600" w:hanging="360"/>
      </w:pPr>
      <w:rPr>
        <w:rFonts w:ascii="Courier New" w:hAnsi="Courier New" w:cs="Courier New" w:hint="default"/>
      </w:rPr>
    </w:lvl>
    <w:lvl w:ilvl="5" w:tplc="5E241346" w:tentative="1">
      <w:start w:val="1"/>
      <w:numFmt w:val="bullet"/>
      <w:lvlText w:val=""/>
      <w:lvlJc w:val="left"/>
      <w:pPr>
        <w:tabs>
          <w:tab w:val="num" w:pos="4320"/>
        </w:tabs>
        <w:ind w:left="4320" w:hanging="360"/>
      </w:pPr>
      <w:rPr>
        <w:rFonts w:ascii="Wingdings" w:hAnsi="Wingdings" w:hint="default"/>
      </w:rPr>
    </w:lvl>
    <w:lvl w:ilvl="6" w:tplc="CE7E48CA" w:tentative="1">
      <w:start w:val="1"/>
      <w:numFmt w:val="bullet"/>
      <w:lvlText w:val=""/>
      <w:lvlJc w:val="left"/>
      <w:pPr>
        <w:tabs>
          <w:tab w:val="num" w:pos="5040"/>
        </w:tabs>
        <w:ind w:left="5040" w:hanging="360"/>
      </w:pPr>
      <w:rPr>
        <w:rFonts w:ascii="Symbol" w:hAnsi="Symbol" w:hint="default"/>
      </w:rPr>
    </w:lvl>
    <w:lvl w:ilvl="7" w:tplc="F7B21584" w:tentative="1">
      <w:start w:val="1"/>
      <w:numFmt w:val="bullet"/>
      <w:lvlText w:val="o"/>
      <w:lvlJc w:val="left"/>
      <w:pPr>
        <w:tabs>
          <w:tab w:val="num" w:pos="5760"/>
        </w:tabs>
        <w:ind w:left="5760" w:hanging="360"/>
      </w:pPr>
      <w:rPr>
        <w:rFonts w:ascii="Courier New" w:hAnsi="Courier New" w:cs="Courier New" w:hint="default"/>
      </w:rPr>
    </w:lvl>
    <w:lvl w:ilvl="8" w:tplc="B5562B5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2B6256"/>
    <w:multiLevelType w:val="hybridMultilevel"/>
    <w:tmpl w:val="9D9A89D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7CE3BEC"/>
    <w:multiLevelType w:val="hybridMultilevel"/>
    <w:tmpl w:val="BE9841B4"/>
    <w:lvl w:ilvl="0" w:tplc="C5A62120">
      <w:start w:val="1"/>
      <w:numFmt w:val="bullet"/>
      <w:lvlText w:val=""/>
      <w:lvlJc w:val="left"/>
      <w:pPr>
        <w:tabs>
          <w:tab w:val="num" w:pos="360"/>
        </w:tabs>
        <w:ind w:left="360" w:hanging="360"/>
      </w:pPr>
      <w:rPr>
        <w:rFonts w:ascii="Symbol" w:hAnsi="Symbol" w:hint="default"/>
      </w:rPr>
    </w:lvl>
    <w:lvl w:ilvl="1" w:tplc="29FADF3C" w:tentative="1">
      <w:start w:val="1"/>
      <w:numFmt w:val="bullet"/>
      <w:lvlText w:val="o"/>
      <w:lvlJc w:val="left"/>
      <w:pPr>
        <w:tabs>
          <w:tab w:val="num" w:pos="1080"/>
        </w:tabs>
        <w:ind w:left="1080" w:hanging="360"/>
      </w:pPr>
      <w:rPr>
        <w:rFonts w:ascii="Courier New" w:hAnsi="Courier New" w:cs="Courier New" w:hint="default"/>
      </w:rPr>
    </w:lvl>
    <w:lvl w:ilvl="2" w:tplc="97D42B18" w:tentative="1">
      <w:start w:val="1"/>
      <w:numFmt w:val="bullet"/>
      <w:lvlText w:val=""/>
      <w:lvlJc w:val="left"/>
      <w:pPr>
        <w:tabs>
          <w:tab w:val="num" w:pos="1800"/>
        </w:tabs>
        <w:ind w:left="1800" w:hanging="360"/>
      </w:pPr>
      <w:rPr>
        <w:rFonts w:ascii="Wingdings" w:hAnsi="Wingdings" w:hint="default"/>
      </w:rPr>
    </w:lvl>
    <w:lvl w:ilvl="3" w:tplc="964C552C" w:tentative="1">
      <w:start w:val="1"/>
      <w:numFmt w:val="bullet"/>
      <w:lvlText w:val=""/>
      <w:lvlJc w:val="left"/>
      <w:pPr>
        <w:tabs>
          <w:tab w:val="num" w:pos="2520"/>
        </w:tabs>
        <w:ind w:left="2520" w:hanging="360"/>
      </w:pPr>
      <w:rPr>
        <w:rFonts w:ascii="Symbol" w:hAnsi="Symbol" w:hint="default"/>
      </w:rPr>
    </w:lvl>
    <w:lvl w:ilvl="4" w:tplc="0CF203C2" w:tentative="1">
      <w:start w:val="1"/>
      <w:numFmt w:val="bullet"/>
      <w:lvlText w:val="o"/>
      <w:lvlJc w:val="left"/>
      <w:pPr>
        <w:tabs>
          <w:tab w:val="num" w:pos="3240"/>
        </w:tabs>
        <w:ind w:left="3240" w:hanging="360"/>
      </w:pPr>
      <w:rPr>
        <w:rFonts w:ascii="Courier New" w:hAnsi="Courier New" w:cs="Courier New" w:hint="default"/>
      </w:rPr>
    </w:lvl>
    <w:lvl w:ilvl="5" w:tplc="8DB02530" w:tentative="1">
      <w:start w:val="1"/>
      <w:numFmt w:val="bullet"/>
      <w:lvlText w:val=""/>
      <w:lvlJc w:val="left"/>
      <w:pPr>
        <w:tabs>
          <w:tab w:val="num" w:pos="3960"/>
        </w:tabs>
        <w:ind w:left="3960" w:hanging="360"/>
      </w:pPr>
      <w:rPr>
        <w:rFonts w:ascii="Wingdings" w:hAnsi="Wingdings" w:hint="default"/>
      </w:rPr>
    </w:lvl>
    <w:lvl w:ilvl="6" w:tplc="1032C954" w:tentative="1">
      <w:start w:val="1"/>
      <w:numFmt w:val="bullet"/>
      <w:lvlText w:val=""/>
      <w:lvlJc w:val="left"/>
      <w:pPr>
        <w:tabs>
          <w:tab w:val="num" w:pos="4680"/>
        </w:tabs>
        <w:ind w:left="4680" w:hanging="360"/>
      </w:pPr>
      <w:rPr>
        <w:rFonts w:ascii="Symbol" w:hAnsi="Symbol" w:hint="default"/>
      </w:rPr>
    </w:lvl>
    <w:lvl w:ilvl="7" w:tplc="36C69FC4" w:tentative="1">
      <w:start w:val="1"/>
      <w:numFmt w:val="bullet"/>
      <w:lvlText w:val="o"/>
      <w:lvlJc w:val="left"/>
      <w:pPr>
        <w:tabs>
          <w:tab w:val="num" w:pos="5400"/>
        </w:tabs>
        <w:ind w:left="5400" w:hanging="360"/>
      </w:pPr>
      <w:rPr>
        <w:rFonts w:ascii="Courier New" w:hAnsi="Courier New" w:cs="Courier New" w:hint="default"/>
      </w:rPr>
    </w:lvl>
    <w:lvl w:ilvl="8" w:tplc="8EE444F0"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88C4668"/>
    <w:multiLevelType w:val="hybridMultilevel"/>
    <w:tmpl w:val="A830CB72"/>
    <w:lvl w:ilvl="0" w:tplc="5D561D1E">
      <w:start w:val="1"/>
      <w:numFmt w:val="bullet"/>
      <w:lvlText w:val=""/>
      <w:lvlJc w:val="left"/>
      <w:pPr>
        <w:tabs>
          <w:tab w:val="num" w:pos="360"/>
        </w:tabs>
        <w:ind w:left="360" w:hanging="360"/>
      </w:pPr>
      <w:rPr>
        <w:rFonts w:ascii="Symbol" w:hAnsi="Symbol" w:hint="default"/>
      </w:rPr>
    </w:lvl>
    <w:lvl w:ilvl="1" w:tplc="7812D860">
      <w:start w:val="1"/>
      <w:numFmt w:val="bullet"/>
      <w:lvlText w:val="o"/>
      <w:lvlJc w:val="left"/>
      <w:pPr>
        <w:tabs>
          <w:tab w:val="num" w:pos="1080"/>
        </w:tabs>
        <w:ind w:left="1080" w:hanging="360"/>
      </w:pPr>
      <w:rPr>
        <w:rFonts w:ascii="Courier New" w:hAnsi="Courier New" w:cs="Courier New" w:hint="default"/>
      </w:rPr>
    </w:lvl>
    <w:lvl w:ilvl="2" w:tplc="7F849032">
      <w:start w:val="1"/>
      <w:numFmt w:val="bullet"/>
      <w:lvlText w:val=""/>
      <w:lvlJc w:val="left"/>
      <w:pPr>
        <w:tabs>
          <w:tab w:val="num" w:pos="1800"/>
        </w:tabs>
        <w:ind w:left="1800" w:hanging="360"/>
      </w:pPr>
      <w:rPr>
        <w:rFonts w:ascii="Wingdings" w:hAnsi="Wingdings" w:hint="default"/>
      </w:rPr>
    </w:lvl>
    <w:lvl w:ilvl="3" w:tplc="47C4B38A" w:tentative="1">
      <w:start w:val="1"/>
      <w:numFmt w:val="bullet"/>
      <w:lvlText w:val=""/>
      <w:lvlJc w:val="left"/>
      <w:pPr>
        <w:tabs>
          <w:tab w:val="num" w:pos="2520"/>
        </w:tabs>
        <w:ind w:left="2520" w:hanging="360"/>
      </w:pPr>
      <w:rPr>
        <w:rFonts w:ascii="Symbol" w:hAnsi="Symbol" w:hint="default"/>
      </w:rPr>
    </w:lvl>
    <w:lvl w:ilvl="4" w:tplc="25FECD62" w:tentative="1">
      <w:start w:val="1"/>
      <w:numFmt w:val="bullet"/>
      <w:lvlText w:val="o"/>
      <w:lvlJc w:val="left"/>
      <w:pPr>
        <w:tabs>
          <w:tab w:val="num" w:pos="3240"/>
        </w:tabs>
        <w:ind w:left="3240" w:hanging="360"/>
      </w:pPr>
      <w:rPr>
        <w:rFonts w:ascii="Courier New" w:hAnsi="Courier New" w:cs="Courier New" w:hint="default"/>
      </w:rPr>
    </w:lvl>
    <w:lvl w:ilvl="5" w:tplc="C10C5AAA" w:tentative="1">
      <w:start w:val="1"/>
      <w:numFmt w:val="bullet"/>
      <w:lvlText w:val=""/>
      <w:lvlJc w:val="left"/>
      <w:pPr>
        <w:tabs>
          <w:tab w:val="num" w:pos="3960"/>
        </w:tabs>
        <w:ind w:left="3960" w:hanging="360"/>
      </w:pPr>
      <w:rPr>
        <w:rFonts w:ascii="Wingdings" w:hAnsi="Wingdings" w:hint="default"/>
      </w:rPr>
    </w:lvl>
    <w:lvl w:ilvl="6" w:tplc="8E1EACC8" w:tentative="1">
      <w:start w:val="1"/>
      <w:numFmt w:val="bullet"/>
      <w:lvlText w:val=""/>
      <w:lvlJc w:val="left"/>
      <w:pPr>
        <w:tabs>
          <w:tab w:val="num" w:pos="4680"/>
        </w:tabs>
        <w:ind w:left="4680" w:hanging="360"/>
      </w:pPr>
      <w:rPr>
        <w:rFonts w:ascii="Symbol" w:hAnsi="Symbol" w:hint="default"/>
      </w:rPr>
    </w:lvl>
    <w:lvl w:ilvl="7" w:tplc="1FBA7936" w:tentative="1">
      <w:start w:val="1"/>
      <w:numFmt w:val="bullet"/>
      <w:lvlText w:val="o"/>
      <w:lvlJc w:val="left"/>
      <w:pPr>
        <w:tabs>
          <w:tab w:val="num" w:pos="5400"/>
        </w:tabs>
        <w:ind w:left="5400" w:hanging="360"/>
      </w:pPr>
      <w:rPr>
        <w:rFonts w:ascii="Courier New" w:hAnsi="Courier New" w:cs="Courier New" w:hint="default"/>
      </w:rPr>
    </w:lvl>
    <w:lvl w:ilvl="8" w:tplc="8810531C"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899397C"/>
    <w:multiLevelType w:val="hybridMultilevel"/>
    <w:tmpl w:val="BD2843BE"/>
    <w:lvl w:ilvl="0" w:tplc="7E589AE4">
      <w:start w:val="1"/>
      <w:numFmt w:val="bullet"/>
      <w:lvlText w:val=""/>
      <w:lvlJc w:val="left"/>
      <w:pPr>
        <w:ind w:left="720" w:hanging="360"/>
      </w:pPr>
      <w:rPr>
        <w:rFonts w:ascii="Symbol" w:hAnsi="Symbol" w:hint="default"/>
      </w:rPr>
    </w:lvl>
    <w:lvl w:ilvl="1" w:tplc="A38E2C06" w:tentative="1">
      <w:start w:val="1"/>
      <w:numFmt w:val="bullet"/>
      <w:lvlText w:val="o"/>
      <w:lvlJc w:val="left"/>
      <w:pPr>
        <w:ind w:left="1440" w:hanging="360"/>
      </w:pPr>
      <w:rPr>
        <w:rFonts w:ascii="Courier New" w:hAnsi="Courier New" w:cs="Courier New" w:hint="default"/>
      </w:rPr>
    </w:lvl>
    <w:lvl w:ilvl="2" w:tplc="2DE4D0CE" w:tentative="1">
      <w:start w:val="1"/>
      <w:numFmt w:val="bullet"/>
      <w:lvlText w:val=""/>
      <w:lvlJc w:val="left"/>
      <w:pPr>
        <w:ind w:left="2160" w:hanging="360"/>
      </w:pPr>
      <w:rPr>
        <w:rFonts w:ascii="Wingdings" w:hAnsi="Wingdings" w:hint="default"/>
      </w:rPr>
    </w:lvl>
    <w:lvl w:ilvl="3" w:tplc="0E0C67CA" w:tentative="1">
      <w:start w:val="1"/>
      <w:numFmt w:val="bullet"/>
      <w:lvlText w:val=""/>
      <w:lvlJc w:val="left"/>
      <w:pPr>
        <w:ind w:left="2880" w:hanging="360"/>
      </w:pPr>
      <w:rPr>
        <w:rFonts w:ascii="Symbol" w:hAnsi="Symbol" w:hint="default"/>
      </w:rPr>
    </w:lvl>
    <w:lvl w:ilvl="4" w:tplc="061E014A" w:tentative="1">
      <w:start w:val="1"/>
      <w:numFmt w:val="bullet"/>
      <w:lvlText w:val="o"/>
      <w:lvlJc w:val="left"/>
      <w:pPr>
        <w:ind w:left="3600" w:hanging="360"/>
      </w:pPr>
      <w:rPr>
        <w:rFonts w:ascii="Courier New" w:hAnsi="Courier New" w:cs="Courier New" w:hint="default"/>
      </w:rPr>
    </w:lvl>
    <w:lvl w:ilvl="5" w:tplc="BD448282" w:tentative="1">
      <w:start w:val="1"/>
      <w:numFmt w:val="bullet"/>
      <w:lvlText w:val=""/>
      <w:lvlJc w:val="left"/>
      <w:pPr>
        <w:ind w:left="4320" w:hanging="360"/>
      </w:pPr>
      <w:rPr>
        <w:rFonts w:ascii="Wingdings" w:hAnsi="Wingdings" w:hint="default"/>
      </w:rPr>
    </w:lvl>
    <w:lvl w:ilvl="6" w:tplc="3758AD04" w:tentative="1">
      <w:start w:val="1"/>
      <w:numFmt w:val="bullet"/>
      <w:lvlText w:val=""/>
      <w:lvlJc w:val="left"/>
      <w:pPr>
        <w:ind w:left="5040" w:hanging="360"/>
      </w:pPr>
      <w:rPr>
        <w:rFonts w:ascii="Symbol" w:hAnsi="Symbol" w:hint="default"/>
      </w:rPr>
    </w:lvl>
    <w:lvl w:ilvl="7" w:tplc="0FBCF368" w:tentative="1">
      <w:start w:val="1"/>
      <w:numFmt w:val="bullet"/>
      <w:lvlText w:val="o"/>
      <w:lvlJc w:val="left"/>
      <w:pPr>
        <w:ind w:left="5760" w:hanging="360"/>
      </w:pPr>
      <w:rPr>
        <w:rFonts w:ascii="Courier New" w:hAnsi="Courier New" w:cs="Courier New" w:hint="default"/>
      </w:rPr>
    </w:lvl>
    <w:lvl w:ilvl="8" w:tplc="A03CAAF8" w:tentative="1">
      <w:start w:val="1"/>
      <w:numFmt w:val="bullet"/>
      <w:lvlText w:val=""/>
      <w:lvlJc w:val="left"/>
      <w:pPr>
        <w:ind w:left="6480" w:hanging="360"/>
      </w:pPr>
      <w:rPr>
        <w:rFonts w:ascii="Wingdings" w:hAnsi="Wingdings" w:hint="default"/>
      </w:rPr>
    </w:lvl>
  </w:abstractNum>
  <w:abstractNum w:abstractNumId="21" w15:restartNumberingAfterBreak="0">
    <w:nsid w:val="29071B6E"/>
    <w:multiLevelType w:val="hybridMultilevel"/>
    <w:tmpl w:val="1076BE06"/>
    <w:lvl w:ilvl="0" w:tplc="D5EEA3FC">
      <w:start w:val="1"/>
      <w:numFmt w:val="bullet"/>
      <w:lvlText w:val=""/>
      <w:lvlJc w:val="left"/>
      <w:pPr>
        <w:ind w:left="720" w:hanging="360"/>
      </w:pPr>
      <w:rPr>
        <w:rFonts w:ascii="Symbol" w:hAnsi="Symbol" w:hint="default"/>
      </w:rPr>
    </w:lvl>
    <w:lvl w:ilvl="1" w:tplc="71FA1E00" w:tentative="1">
      <w:start w:val="1"/>
      <w:numFmt w:val="bullet"/>
      <w:lvlText w:val="o"/>
      <w:lvlJc w:val="left"/>
      <w:pPr>
        <w:ind w:left="1440" w:hanging="360"/>
      </w:pPr>
      <w:rPr>
        <w:rFonts w:ascii="Courier New" w:hAnsi="Courier New" w:cs="Courier New" w:hint="default"/>
      </w:rPr>
    </w:lvl>
    <w:lvl w:ilvl="2" w:tplc="36163F08" w:tentative="1">
      <w:start w:val="1"/>
      <w:numFmt w:val="bullet"/>
      <w:lvlText w:val=""/>
      <w:lvlJc w:val="left"/>
      <w:pPr>
        <w:ind w:left="2160" w:hanging="360"/>
      </w:pPr>
      <w:rPr>
        <w:rFonts w:ascii="Wingdings" w:hAnsi="Wingdings" w:hint="default"/>
      </w:rPr>
    </w:lvl>
    <w:lvl w:ilvl="3" w:tplc="86088964" w:tentative="1">
      <w:start w:val="1"/>
      <w:numFmt w:val="bullet"/>
      <w:lvlText w:val=""/>
      <w:lvlJc w:val="left"/>
      <w:pPr>
        <w:ind w:left="2880" w:hanging="360"/>
      </w:pPr>
      <w:rPr>
        <w:rFonts w:ascii="Symbol" w:hAnsi="Symbol" w:hint="default"/>
      </w:rPr>
    </w:lvl>
    <w:lvl w:ilvl="4" w:tplc="5CE2C5DE" w:tentative="1">
      <w:start w:val="1"/>
      <w:numFmt w:val="bullet"/>
      <w:lvlText w:val="o"/>
      <w:lvlJc w:val="left"/>
      <w:pPr>
        <w:ind w:left="3600" w:hanging="360"/>
      </w:pPr>
      <w:rPr>
        <w:rFonts w:ascii="Courier New" w:hAnsi="Courier New" w:cs="Courier New" w:hint="default"/>
      </w:rPr>
    </w:lvl>
    <w:lvl w:ilvl="5" w:tplc="6D364DE8" w:tentative="1">
      <w:start w:val="1"/>
      <w:numFmt w:val="bullet"/>
      <w:lvlText w:val=""/>
      <w:lvlJc w:val="left"/>
      <w:pPr>
        <w:ind w:left="4320" w:hanging="360"/>
      </w:pPr>
      <w:rPr>
        <w:rFonts w:ascii="Wingdings" w:hAnsi="Wingdings" w:hint="default"/>
      </w:rPr>
    </w:lvl>
    <w:lvl w:ilvl="6" w:tplc="53461E64" w:tentative="1">
      <w:start w:val="1"/>
      <w:numFmt w:val="bullet"/>
      <w:lvlText w:val=""/>
      <w:lvlJc w:val="left"/>
      <w:pPr>
        <w:ind w:left="5040" w:hanging="360"/>
      </w:pPr>
      <w:rPr>
        <w:rFonts w:ascii="Symbol" w:hAnsi="Symbol" w:hint="default"/>
      </w:rPr>
    </w:lvl>
    <w:lvl w:ilvl="7" w:tplc="4FA6EFC8" w:tentative="1">
      <w:start w:val="1"/>
      <w:numFmt w:val="bullet"/>
      <w:lvlText w:val="o"/>
      <w:lvlJc w:val="left"/>
      <w:pPr>
        <w:ind w:left="5760" w:hanging="360"/>
      </w:pPr>
      <w:rPr>
        <w:rFonts w:ascii="Courier New" w:hAnsi="Courier New" w:cs="Courier New" w:hint="default"/>
      </w:rPr>
    </w:lvl>
    <w:lvl w:ilvl="8" w:tplc="8176EA52" w:tentative="1">
      <w:start w:val="1"/>
      <w:numFmt w:val="bullet"/>
      <w:lvlText w:val=""/>
      <w:lvlJc w:val="left"/>
      <w:pPr>
        <w:ind w:left="6480" w:hanging="360"/>
      </w:pPr>
      <w:rPr>
        <w:rFonts w:ascii="Wingdings" w:hAnsi="Wingdings" w:hint="default"/>
      </w:rPr>
    </w:lvl>
  </w:abstractNum>
  <w:abstractNum w:abstractNumId="22" w15:restartNumberingAfterBreak="0">
    <w:nsid w:val="29E1581E"/>
    <w:multiLevelType w:val="hybridMultilevel"/>
    <w:tmpl w:val="DF6006AE"/>
    <w:lvl w:ilvl="0" w:tplc="A85A19F8">
      <w:start w:val="1"/>
      <w:numFmt w:val="bullet"/>
      <w:pStyle w:val="Style9"/>
      <w:lvlText w:val=""/>
      <w:lvlJc w:val="left"/>
      <w:pPr>
        <w:tabs>
          <w:tab w:val="num" w:pos="720"/>
        </w:tabs>
        <w:ind w:left="720" w:hanging="360"/>
      </w:pPr>
      <w:rPr>
        <w:rFonts w:ascii="Symbol" w:hAnsi="Symbol" w:hint="default"/>
        <w:color w:val="auto"/>
      </w:rPr>
    </w:lvl>
    <w:lvl w:ilvl="1" w:tplc="A13AB5FA">
      <w:start w:val="1"/>
      <w:numFmt w:val="bullet"/>
      <w:lvlText w:val=""/>
      <w:lvlJc w:val="left"/>
      <w:pPr>
        <w:tabs>
          <w:tab w:val="num" w:pos="1440"/>
        </w:tabs>
        <w:ind w:left="1440" w:hanging="360"/>
      </w:pPr>
      <w:rPr>
        <w:rFonts w:ascii="Symbol" w:hAnsi="Symbol" w:hint="default"/>
        <w:color w:val="auto"/>
      </w:rPr>
    </w:lvl>
    <w:lvl w:ilvl="2" w:tplc="C44AF5D0" w:tentative="1">
      <w:start w:val="1"/>
      <w:numFmt w:val="lowerRoman"/>
      <w:lvlText w:val="%3."/>
      <w:lvlJc w:val="right"/>
      <w:pPr>
        <w:tabs>
          <w:tab w:val="num" w:pos="2160"/>
        </w:tabs>
        <w:ind w:left="2160" w:hanging="180"/>
      </w:pPr>
    </w:lvl>
    <w:lvl w:ilvl="3" w:tplc="D4508596" w:tentative="1">
      <w:start w:val="1"/>
      <w:numFmt w:val="decimal"/>
      <w:lvlText w:val="%4."/>
      <w:lvlJc w:val="left"/>
      <w:pPr>
        <w:tabs>
          <w:tab w:val="num" w:pos="2880"/>
        </w:tabs>
        <w:ind w:left="2880" w:hanging="360"/>
      </w:pPr>
    </w:lvl>
    <w:lvl w:ilvl="4" w:tplc="48344E14" w:tentative="1">
      <w:start w:val="1"/>
      <w:numFmt w:val="lowerLetter"/>
      <w:lvlText w:val="%5."/>
      <w:lvlJc w:val="left"/>
      <w:pPr>
        <w:tabs>
          <w:tab w:val="num" w:pos="3600"/>
        </w:tabs>
        <w:ind w:left="3600" w:hanging="360"/>
      </w:pPr>
    </w:lvl>
    <w:lvl w:ilvl="5" w:tplc="CD2CC080" w:tentative="1">
      <w:start w:val="1"/>
      <w:numFmt w:val="lowerRoman"/>
      <w:lvlText w:val="%6."/>
      <w:lvlJc w:val="right"/>
      <w:pPr>
        <w:tabs>
          <w:tab w:val="num" w:pos="4320"/>
        </w:tabs>
        <w:ind w:left="4320" w:hanging="180"/>
      </w:pPr>
    </w:lvl>
    <w:lvl w:ilvl="6" w:tplc="80804C58" w:tentative="1">
      <w:start w:val="1"/>
      <w:numFmt w:val="decimal"/>
      <w:lvlText w:val="%7."/>
      <w:lvlJc w:val="left"/>
      <w:pPr>
        <w:tabs>
          <w:tab w:val="num" w:pos="5040"/>
        </w:tabs>
        <w:ind w:left="5040" w:hanging="360"/>
      </w:pPr>
    </w:lvl>
    <w:lvl w:ilvl="7" w:tplc="2A0EB55C" w:tentative="1">
      <w:start w:val="1"/>
      <w:numFmt w:val="lowerLetter"/>
      <w:lvlText w:val="%8."/>
      <w:lvlJc w:val="left"/>
      <w:pPr>
        <w:tabs>
          <w:tab w:val="num" w:pos="5760"/>
        </w:tabs>
        <w:ind w:left="5760" w:hanging="360"/>
      </w:pPr>
    </w:lvl>
    <w:lvl w:ilvl="8" w:tplc="0F8CC88A" w:tentative="1">
      <w:start w:val="1"/>
      <w:numFmt w:val="lowerRoman"/>
      <w:lvlText w:val="%9."/>
      <w:lvlJc w:val="right"/>
      <w:pPr>
        <w:tabs>
          <w:tab w:val="num" w:pos="6480"/>
        </w:tabs>
        <w:ind w:left="6480" w:hanging="180"/>
      </w:pPr>
    </w:lvl>
  </w:abstractNum>
  <w:abstractNum w:abstractNumId="23" w15:restartNumberingAfterBreak="0">
    <w:nsid w:val="2D9D20F8"/>
    <w:multiLevelType w:val="hybridMultilevel"/>
    <w:tmpl w:val="255C95DA"/>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DC22C04"/>
    <w:multiLevelType w:val="hybridMultilevel"/>
    <w:tmpl w:val="B7CCA5AA"/>
    <w:lvl w:ilvl="0" w:tplc="A7F267FA">
      <w:start w:val="1"/>
      <w:numFmt w:val="bullet"/>
      <w:lvlText w:val=""/>
      <w:lvlJc w:val="left"/>
      <w:pPr>
        <w:tabs>
          <w:tab w:val="num" w:pos="720"/>
        </w:tabs>
        <w:ind w:left="720" w:hanging="360"/>
      </w:pPr>
      <w:rPr>
        <w:rFonts w:ascii="Symbol" w:hAnsi="Symbol" w:hint="default"/>
      </w:rPr>
    </w:lvl>
    <w:lvl w:ilvl="1" w:tplc="64CAFFA4" w:tentative="1">
      <w:start w:val="1"/>
      <w:numFmt w:val="bullet"/>
      <w:lvlText w:val="o"/>
      <w:lvlJc w:val="left"/>
      <w:pPr>
        <w:tabs>
          <w:tab w:val="num" w:pos="1440"/>
        </w:tabs>
        <w:ind w:left="1440" w:hanging="360"/>
      </w:pPr>
      <w:rPr>
        <w:rFonts w:ascii="Courier New" w:hAnsi="Courier New" w:cs="Courier New" w:hint="default"/>
      </w:rPr>
    </w:lvl>
    <w:lvl w:ilvl="2" w:tplc="D336563C" w:tentative="1">
      <w:start w:val="1"/>
      <w:numFmt w:val="bullet"/>
      <w:lvlText w:val=""/>
      <w:lvlJc w:val="left"/>
      <w:pPr>
        <w:tabs>
          <w:tab w:val="num" w:pos="2160"/>
        </w:tabs>
        <w:ind w:left="2160" w:hanging="360"/>
      </w:pPr>
      <w:rPr>
        <w:rFonts w:ascii="Wingdings" w:hAnsi="Wingdings" w:hint="default"/>
      </w:rPr>
    </w:lvl>
    <w:lvl w:ilvl="3" w:tplc="C4EAE458" w:tentative="1">
      <w:start w:val="1"/>
      <w:numFmt w:val="bullet"/>
      <w:lvlText w:val=""/>
      <w:lvlJc w:val="left"/>
      <w:pPr>
        <w:tabs>
          <w:tab w:val="num" w:pos="2880"/>
        </w:tabs>
        <w:ind w:left="2880" w:hanging="360"/>
      </w:pPr>
      <w:rPr>
        <w:rFonts w:ascii="Symbol" w:hAnsi="Symbol" w:hint="default"/>
      </w:rPr>
    </w:lvl>
    <w:lvl w:ilvl="4" w:tplc="82823DE6" w:tentative="1">
      <w:start w:val="1"/>
      <w:numFmt w:val="bullet"/>
      <w:lvlText w:val="o"/>
      <w:lvlJc w:val="left"/>
      <w:pPr>
        <w:tabs>
          <w:tab w:val="num" w:pos="3600"/>
        </w:tabs>
        <w:ind w:left="3600" w:hanging="360"/>
      </w:pPr>
      <w:rPr>
        <w:rFonts w:ascii="Courier New" w:hAnsi="Courier New" w:cs="Courier New" w:hint="default"/>
      </w:rPr>
    </w:lvl>
    <w:lvl w:ilvl="5" w:tplc="32DA3138" w:tentative="1">
      <w:start w:val="1"/>
      <w:numFmt w:val="bullet"/>
      <w:lvlText w:val=""/>
      <w:lvlJc w:val="left"/>
      <w:pPr>
        <w:tabs>
          <w:tab w:val="num" w:pos="4320"/>
        </w:tabs>
        <w:ind w:left="4320" w:hanging="360"/>
      </w:pPr>
      <w:rPr>
        <w:rFonts w:ascii="Wingdings" w:hAnsi="Wingdings" w:hint="default"/>
      </w:rPr>
    </w:lvl>
    <w:lvl w:ilvl="6" w:tplc="AD90E11A" w:tentative="1">
      <w:start w:val="1"/>
      <w:numFmt w:val="bullet"/>
      <w:lvlText w:val=""/>
      <w:lvlJc w:val="left"/>
      <w:pPr>
        <w:tabs>
          <w:tab w:val="num" w:pos="5040"/>
        </w:tabs>
        <w:ind w:left="5040" w:hanging="360"/>
      </w:pPr>
      <w:rPr>
        <w:rFonts w:ascii="Symbol" w:hAnsi="Symbol" w:hint="default"/>
      </w:rPr>
    </w:lvl>
    <w:lvl w:ilvl="7" w:tplc="62082E0C" w:tentative="1">
      <w:start w:val="1"/>
      <w:numFmt w:val="bullet"/>
      <w:lvlText w:val="o"/>
      <w:lvlJc w:val="left"/>
      <w:pPr>
        <w:tabs>
          <w:tab w:val="num" w:pos="5760"/>
        </w:tabs>
        <w:ind w:left="5760" w:hanging="360"/>
      </w:pPr>
      <w:rPr>
        <w:rFonts w:ascii="Courier New" w:hAnsi="Courier New" w:cs="Courier New" w:hint="default"/>
      </w:rPr>
    </w:lvl>
    <w:lvl w:ilvl="8" w:tplc="EE82B83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0E7E11"/>
    <w:multiLevelType w:val="hybridMultilevel"/>
    <w:tmpl w:val="6FBAC204"/>
    <w:lvl w:ilvl="0" w:tplc="192C21F8">
      <w:start w:val="1"/>
      <w:numFmt w:val="bullet"/>
      <w:lvlText w:val=""/>
      <w:lvlJc w:val="left"/>
      <w:pPr>
        <w:ind w:left="720" w:hanging="360"/>
      </w:pPr>
      <w:rPr>
        <w:rFonts w:ascii="Symbol" w:hAnsi="Symbol" w:hint="default"/>
      </w:rPr>
    </w:lvl>
    <w:lvl w:ilvl="1" w:tplc="69BA9DFC" w:tentative="1">
      <w:start w:val="1"/>
      <w:numFmt w:val="bullet"/>
      <w:lvlText w:val="o"/>
      <w:lvlJc w:val="left"/>
      <w:pPr>
        <w:ind w:left="1440" w:hanging="360"/>
      </w:pPr>
      <w:rPr>
        <w:rFonts w:ascii="Courier New" w:hAnsi="Courier New" w:cs="Courier New" w:hint="default"/>
      </w:rPr>
    </w:lvl>
    <w:lvl w:ilvl="2" w:tplc="4FEA5BB4" w:tentative="1">
      <w:start w:val="1"/>
      <w:numFmt w:val="bullet"/>
      <w:lvlText w:val=""/>
      <w:lvlJc w:val="left"/>
      <w:pPr>
        <w:ind w:left="2160" w:hanging="360"/>
      </w:pPr>
      <w:rPr>
        <w:rFonts w:ascii="Wingdings" w:hAnsi="Wingdings" w:hint="default"/>
      </w:rPr>
    </w:lvl>
    <w:lvl w:ilvl="3" w:tplc="9A72A9BE" w:tentative="1">
      <w:start w:val="1"/>
      <w:numFmt w:val="bullet"/>
      <w:lvlText w:val=""/>
      <w:lvlJc w:val="left"/>
      <w:pPr>
        <w:ind w:left="2880" w:hanging="360"/>
      </w:pPr>
      <w:rPr>
        <w:rFonts w:ascii="Symbol" w:hAnsi="Symbol" w:hint="default"/>
      </w:rPr>
    </w:lvl>
    <w:lvl w:ilvl="4" w:tplc="5470B8B6" w:tentative="1">
      <w:start w:val="1"/>
      <w:numFmt w:val="bullet"/>
      <w:lvlText w:val="o"/>
      <w:lvlJc w:val="left"/>
      <w:pPr>
        <w:ind w:left="3600" w:hanging="360"/>
      </w:pPr>
      <w:rPr>
        <w:rFonts w:ascii="Courier New" w:hAnsi="Courier New" w:cs="Courier New" w:hint="default"/>
      </w:rPr>
    </w:lvl>
    <w:lvl w:ilvl="5" w:tplc="BE30B34C" w:tentative="1">
      <w:start w:val="1"/>
      <w:numFmt w:val="bullet"/>
      <w:lvlText w:val=""/>
      <w:lvlJc w:val="left"/>
      <w:pPr>
        <w:ind w:left="4320" w:hanging="360"/>
      </w:pPr>
      <w:rPr>
        <w:rFonts w:ascii="Wingdings" w:hAnsi="Wingdings" w:hint="default"/>
      </w:rPr>
    </w:lvl>
    <w:lvl w:ilvl="6" w:tplc="DBA26244" w:tentative="1">
      <w:start w:val="1"/>
      <w:numFmt w:val="bullet"/>
      <w:lvlText w:val=""/>
      <w:lvlJc w:val="left"/>
      <w:pPr>
        <w:ind w:left="5040" w:hanging="360"/>
      </w:pPr>
      <w:rPr>
        <w:rFonts w:ascii="Symbol" w:hAnsi="Symbol" w:hint="default"/>
      </w:rPr>
    </w:lvl>
    <w:lvl w:ilvl="7" w:tplc="5462B190" w:tentative="1">
      <w:start w:val="1"/>
      <w:numFmt w:val="bullet"/>
      <w:lvlText w:val="o"/>
      <w:lvlJc w:val="left"/>
      <w:pPr>
        <w:ind w:left="5760" w:hanging="360"/>
      </w:pPr>
      <w:rPr>
        <w:rFonts w:ascii="Courier New" w:hAnsi="Courier New" w:cs="Courier New" w:hint="default"/>
      </w:rPr>
    </w:lvl>
    <w:lvl w:ilvl="8" w:tplc="54AA661C" w:tentative="1">
      <w:start w:val="1"/>
      <w:numFmt w:val="bullet"/>
      <w:lvlText w:val=""/>
      <w:lvlJc w:val="left"/>
      <w:pPr>
        <w:ind w:left="6480" w:hanging="360"/>
      </w:pPr>
      <w:rPr>
        <w:rFonts w:ascii="Wingdings" w:hAnsi="Wingdings" w:hint="default"/>
      </w:rPr>
    </w:lvl>
  </w:abstractNum>
  <w:abstractNum w:abstractNumId="26" w15:restartNumberingAfterBreak="0">
    <w:nsid w:val="32D96008"/>
    <w:multiLevelType w:val="singleLevel"/>
    <w:tmpl w:val="B3D2204A"/>
    <w:lvl w:ilvl="0">
      <w:start w:val="1"/>
      <w:numFmt w:val="bullet"/>
      <w:pStyle w:val="Proc1"/>
      <w:lvlText w:val=""/>
      <w:lvlJc w:val="left"/>
      <w:pPr>
        <w:tabs>
          <w:tab w:val="num" w:pos="567"/>
        </w:tabs>
        <w:ind w:left="567" w:hanging="567"/>
      </w:pPr>
      <w:rPr>
        <w:rFonts w:ascii="Symbol" w:hAnsi="Symbol" w:hint="default"/>
      </w:rPr>
    </w:lvl>
  </w:abstractNum>
  <w:abstractNum w:abstractNumId="27" w15:restartNumberingAfterBreak="0">
    <w:nsid w:val="34486DCB"/>
    <w:multiLevelType w:val="hybridMultilevel"/>
    <w:tmpl w:val="EBE8E128"/>
    <w:lvl w:ilvl="0" w:tplc="0AEA26FE">
      <w:start w:val="1"/>
      <w:numFmt w:val="bullet"/>
      <w:lvlText w:val=""/>
      <w:lvlJc w:val="left"/>
      <w:pPr>
        <w:tabs>
          <w:tab w:val="num" w:pos="720"/>
        </w:tabs>
        <w:ind w:left="720" w:hanging="360"/>
      </w:pPr>
      <w:rPr>
        <w:rFonts w:ascii="Symbol" w:hAnsi="Symbol" w:hint="default"/>
      </w:rPr>
    </w:lvl>
    <w:lvl w:ilvl="1" w:tplc="23FCE2B8" w:tentative="1">
      <w:start w:val="1"/>
      <w:numFmt w:val="bullet"/>
      <w:lvlText w:val="o"/>
      <w:lvlJc w:val="left"/>
      <w:pPr>
        <w:tabs>
          <w:tab w:val="num" w:pos="1440"/>
        </w:tabs>
        <w:ind w:left="1440" w:hanging="360"/>
      </w:pPr>
      <w:rPr>
        <w:rFonts w:ascii="Courier New" w:hAnsi="Courier New" w:cs="Courier New" w:hint="default"/>
      </w:rPr>
    </w:lvl>
    <w:lvl w:ilvl="2" w:tplc="5B9A922A" w:tentative="1">
      <w:start w:val="1"/>
      <w:numFmt w:val="bullet"/>
      <w:lvlText w:val=""/>
      <w:lvlJc w:val="left"/>
      <w:pPr>
        <w:tabs>
          <w:tab w:val="num" w:pos="2160"/>
        </w:tabs>
        <w:ind w:left="2160" w:hanging="360"/>
      </w:pPr>
      <w:rPr>
        <w:rFonts w:ascii="Wingdings" w:hAnsi="Wingdings" w:hint="default"/>
      </w:rPr>
    </w:lvl>
    <w:lvl w:ilvl="3" w:tplc="F926EDFE" w:tentative="1">
      <w:start w:val="1"/>
      <w:numFmt w:val="bullet"/>
      <w:lvlText w:val=""/>
      <w:lvlJc w:val="left"/>
      <w:pPr>
        <w:tabs>
          <w:tab w:val="num" w:pos="2880"/>
        </w:tabs>
        <w:ind w:left="2880" w:hanging="360"/>
      </w:pPr>
      <w:rPr>
        <w:rFonts w:ascii="Symbol" w:hAnsi="Symbol" w:hint="default"/>
      </w:rPr>
    </w:lvl>
    <w:lvl w:ilvl="4" w:tplc="B0D463B2" w:tentative="1">
      <w:start w:val="1"/>
      <w:numFmt w:val="bullet"/>
      <w:lvlText w:val="o"/>
      <w:lvlJc w:val="left"/>
      <w:pPr>
        <w:tabs>
          <w:tab w:val="num" w:pos="3600"/>
        </w:tabs>
        <w:ind w:left="3600" w:hanging="360"/>
      </w:pPr>
      <w:rPr>
        <w:rFonts w:ascii="Courier New" w:hAnsi="Courier New" w:cs="Courier New" w:hint="default"/>
      </w:rPr>
    </w:lvl>
    <w:lvl w:ilvl="5" w:tplc="FA40F54A" w:tentative="1">
      <w:start w:val="1"/>
      <w:numFmt w:val="bullet"/>
      <w:lvlText w:val=""/>
      <w:lvlJc w:val="left"/>
      <w:pPr>
        <w:tabs>
          <w:tab w:val="num" w:pos="4320"/>
        </w:tabs>
        <w:ind w:left="4320" w:hanging="360"/>
      </w:pPr>
      <w:rPr>
        <w:rFonts w:ascii="Wingdings" w:hAnsi="Wingdings" w:hint="default"/>
      </w:rPr>
    </w:lvl>
    <w:lvl w:ilvl="6" w:tplc="DD220644" w:tentative="1">
      <w:start w:val="1"/>
      <w:numFmt w:val="bullet"/>
      <w:lvlText w:val=""/>
      <w:lvlJc w:val="left"/>
      <w:pPr>
        <w:tabs>
          <w:tab w:val="num" w:pos="5040"/>
        </w:tabs>
        <w:ind w:left="5040" w:hanging="360"/>
      </w:pPr>
      <w:rPr>
        <w:rFonts w:ascii="Symbol" w:hAnsi="Symbol" w:hint="default"/>
      </w:rPr>
    </w:lvl>
    <w:lvl w:ilvl="7" w:tplc="A4C6AE84" w:tentative="1">
      <w:start w:val="1"/>
      <w:numFmt w:val="bullet"/>
      <w:lvlText w:val="o"/>
      <w:lvlJc w:val="left"/>
      <w:pPr>
        <w:tabs>
          <w:tab w:val="num" w:pos="5760"/>
        </w:tabs>
        <w:ind w:left="5760" w:hanging="360"/>
      </w:pPr>
      <w:rPr>
        <w:rFonts w:ascii="Courier New" w:hAnsi="Courier New" w:cs="Courier New" w:hint="default"/>
      </w:rPr>
    </w:lvl>
    <w:lvl w:ilvl="8" w:tplc="79B0EFE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480802"/>
    <w:multiLevelType w:val="hybridMultilevel"/>
    <w:tmpl w:val="F90269AC"/>
    <w:lvl w:ilvl="0" w:tplc="43FEE14A">
      <w:start w:val="1"/>
      <w:numFmt w:val="bullet"/>
      <w:lvlText w:val=""/>
      <w:lvlJc w:val="left"/>
      <w:pPr>
        <w:ind w:left="720" w:hanging="360"/>
      </w:pPr>
      <w:rPr>
        <w:rFonts w:ascii="Symbol" w:hAnsi="Symbol" w:hint="default"/>
        <w:sz w:val="22"/>
        <w:szCs w:val="22"/>
      </w:rPr>
    </w:lvl>
    <w:lvl w:ilvl="1" w:tplc="77B275A0" w:tentative="1">
      <w:start w:val="1"/>
      <w:numFmt w:val="bullet"/>
      <w:lvlText w:val="o"/>
      <w:lvlJc w:val="left"/>
      <w:pPr>
        <w:ind w:left="1440" w:hanging="360"/>
      </w:pPr>
      <w:rPr>
        <w:rFonts w:ascii="Courier New" w:hAnsi="Courier New" w:cs="Courier New" w:hint="default"/>
      </w:rPr>
    </w:lvl>
    <w:lvl w:ilvl="2" w:tplc="18E8FE1C" w:tentative="1">
      <w:start w:val="1"/>
      <w:numFmt w:val="bullet"/>
      <w:lvlText w:val=""/>
      <w:lvlJc w:val="left"/>
      <w:pPr>
        <w:ind w:left="2160" w:hanging="360"/>
      </w:pPr>
      <w:rPr>
        <w:rFonts w:ascii="Wingdings" w:hAnsi="Wingdings" w:hint="default"/>
      </w:rPr>
    </w:lvl>
    <w:lvl w:ilvl="3" w:tplc="02B2CDF2" w:tentative="1">
      <w:start w:val="1"/>
      <w:numFmt w:val="bullet"/>
      <w:lvlText w:val=""/>
      <w:lvlJc w:val="left"/>
      <w:pPr>
        <w:ind w:left="2880" w:hanging="360"/>
      </w:pPr>
      <w:rPr>
        <w:rFonts w:ascii="Symbol" w:hAnsi="Symbol" w:hint="default"/>
      </w:rPr>
    </w:lvl>
    <w:lvl w:ilvl="4" w:tplc="41C6DB22" w:tentative="1">
      <w:start w:val="1"/>
      <w:numFmt w:val="bullet"/>
      <w:lvlText w:val="o"/>
      <w:lvlJc w:val="left"/>
      <w:pPr>
        <w:ind w:left="3600" w:hanging="360"/>
      </w:pPr>
      <w:rPr>
        <w:rFonts w:ascii="Courier New" w:hAnsi="Courier New" w:cs="Courier New" w:hint="default"/>
      </w:rPr>
    </w:lvl>
    <w:lvl w:ilvl="5" w:tplc="267CB2EE" w:tentative="1">
      <w:start w:val="1"/>
      <w:numFmt w:val="bullet"/>
      <w:lvlText w:val=""/>
      <w:lvlJc w:val="left"/>
      <w:pPr>
        <w:ind w:left="4320" w:hanging="360"/>
      </w:pPr>
      <w:rPr>
        <w:rFonts w:ascii="Wingdings" w:hAnsi="Wingdings" w:hint="default"/>
      </w:rPr>
    </w:lvl>
    <w:lvl w:ilvl="6" w:tplc="0B5C32C2" w:tentative="1">
      <w:start w:val="1"/>
      <w:numFmt w:val="bullet"/>
      <w:lvlText w:val=""/>
      <w:lvlJc w:val="left"/>
      <w:pPr>
        <w:ind w:left="5040" w:hanging="360"/>
      </w:pPr>
      <w:rPr>
        <w:rFonts w:ascii="Symbol" w:hAnsi="Symbol" w:hint="default"/>
      </w:rPr>
    </w:lvl>
    <w:lvl w:ilvl="7" w:tplc="C36EEBF8" w:tentative="1">
      <w:start w:val="1"/>
      <w:numFmt w:val="bullet"/>
      <w:lvlText w:val="o"/>
      <w:lvlJc w:val="left"/>
      <w:pPr>
        <w:ind w:left="5760" w:hanging="360"/>
      </w:pPr>
      <w:rPr>
        <w:rFonts w:ascii="Courier New" w:hAnsi="Courier New" w:cs="Courier New" w:hint="default"/>
      </w:rPr>
    </w:lvl>
    <w:lvl w:ilvl="8" w:tplc="1A48A8F6" w:tentative="1">
      <w:start w:val="1"/>
      <w:numFmt w:val="bullet"/>
      <w:lvlText w:val=""/>
      <w:lvlJc w:val="left"/>
      <w:pPr>
        <w:ind w:left="6480" w:hanging="360"/>
      </w:pPr>
      <w:rPr>
        <w:rFonts w:ascii="Wingdings" w:hAnsi="Wingdings" w:hint="default"/>
      </w:rPr>
    </w:lvl>
  </w:abstractNum>
  <w:abstractNum w:abstractNumId="29" w15:restartNumberingAfterBreak="0">
    <w:nsid w:val="380B331E"/>
    <w:multiLevelType w:val="hybridMultilevel"/>
    <w:tmpl w:val="494438A8"/>
    <w:lvl w:ilvl="0" w:tplc="4644F152">
      <w:start w:val="1"/>
      <w:numFmt w:val="bullet"/>
      <w:lvlText w:val=""/>
      <w:lvlJc w:val="left"/>
      <w:pPr>
        <w:ind w:left="1440" w:hanging="360"/>
      </w:pPr>
      <w:rPr>
        <w:rFonts w:ascii="Symbol" w:hAnsi="Symbol" w:hint="default"/>
      </w:rPr>
    </w:lvl>
    <w:lvl w:ilvl="1" w:tplc="5B9AB5D0" w:tentative="1">
      <w:start w:val="1"/>
      <w:numFmt w:val="bullet"/>
      <w:lvlText w:val="o"/>
      <w:lvlJc w:val="left"/>
      <w:pPr>
        <w:ind w:left="2160" w:hanging="360"/>
      </w:pPr>
      <w:rPr>
        <w:rFonts w:ascii="Courier New" w:hAnsi="Courier New" w:cs="Courier New" w:hint="default"/>
      </w:rPr>
    </w:lvl>
    <w:lvl w:ilvl="2" w:tplc="6F3CF3FA" w:tentative="1">
      <w:start w:val="1"/>
      <w:numFmt w:val="bullet"/>
      <w:lvlText w:val=""/>
      <w:lvlJc w:val="left"/>
      <w:pPr>
        <w:ind w:left="2880" w:hanging="360"/>
      </w:pPr>
      <w:rPr>
        <w:rFonts w:ascii="Wingdings" w:hAnsi="Wingdings" w:hint="default"/>
      </w:rPr>
    </w:lvl>
    <w:lvl w:ilvl="3" w:tplc="57F49C80" w:tentative="1">
      <w:start w:val="1"/>
      <w:numFmt w:val="bullet"/>
      <w:lvlText w:val=""/>
      <w:lvlJc w:val="left"/>
      <w:pPr>
        <w:ind w:left="3600" w:hanging="360"/>
      </w:pPr>
      <w:rPr>
        <w:rFonts w:ascii="Symbol" w:hAnsi="Symbol" w:hint="default"/>
      </w:rPr>
    </w:lvl>
    <w:lvl w:ilvl="4" w:tplc="5F001070" w:tentative="1">
      <w:start w:val="1"/>
      <w:numFmt w:val="bullet"/>
      <w:lvlText w:val="o"/>
      <w:lvlJc w:val="left"/>
      <w:pPr>
        <w:ind w:left="4320" w:hanging="360"/>
      </w:pPr>
      <w:rPr>
        <w:rFonts w:ascii="Courier New" w:hAnsi="Courier New" w:cs="Courier New" w:hint="default"/>
      </w:rPr>
    </w:lvl>
    <w:lvl w:ilvl="5" w:tplc="EE40A382" w:tentative="1">
      <w:start w:val="1"/>
      <w:numFmt w:val="bullet"/>
      <w:lvlText w:val=""/>
      <w:lvlJc w:val="left"/>
      <w:pPr>
        <w:ind w:left="5040" w:hanging="360"/>
      </w:pPr>
      <w:rPr>
        <w:rFonts w:ascii="Wingdings" w:hAnsi="Wingdings" w:hint="default"/>
      </w:rPr>
    </w:lvl>
    <w:lvl w:ilvl="6" w:tplc="2138D382" w:tentative="1">
      <w:start w:val="1"/>
      <w:numFmt w:val="bullet"/>
      <w:lvlText w:val=""/>
      <w:lvlJc w:val="left"/>
      <w:pPr>
        <w:ind w:left="5760" w:hanging="360"/>
      </w:pPr>
      <w:rPr>
        <w:rFonts w:ascii="Symbol" w:hAnsi="Symbol" w:hint="default"/>
      </w:rPr>
    </w:lvl>
    <w:lvl w:ilvl="7" w:tplc="A9EEB4CE" w:tentative="1">
      <w:start w:val="1"/>
      <w:numFmt w:val="bullet"/>
      <w:lvlText w:val="o"/>
      <w:lvlJc w:val="left"/>
      <w:pPr>
        <w:ind w:left="6480" w:hanging="360"/>
      </w:pPr>
      <w:rPr>
        <w:rFonts w:ascii="Courier New" w:hAnsi="Courier New" w:cs="Courier New" w:hint="default"/>
      </w:rPr>
    </w:lvl>
    <w:lvl w:ilvl="8" w:tplc="DFAC8442" w:tentative="1">
      <w:start w:val="1"/>
      <w:numFmt w:val="bullet"/>
      <w:lvlText w:val=""/>
      <w:lvlJc w:val="left"/>
      <w:pPr>
        <w:ind w:left="7200" w:hanging="360"/>
      </w:pPr>
      <w:rPr>
        <w:rFonts w:ascii="Wingdings" w:hAnsi="Wingdings" w:hint="default"/>
      </w:rPr>
    </w:lvl>
  </w:abstractNum>
  <w:abstractNum w:abstractNumId="30" w15:restartNumberingAfterBreak="0">
    <w:nsid w:val="38135FB0"/>
    <w:multiLevelType w:val="hybridMultilevel"/>
    <w:tmpl w:val="73E8FFA4"/>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8927C4B"/>
    <w:multiLevelType w:val="hybridMultilevel"/>
    <w:tmpl w:val="55B45CCC"/>
    <w:lvl w:ilvl="0" w:tplc="1AD6025A">
      <w:start w:val="1"/>
      <w:numFmt w:val="bullet"/>
      <w:lvlText w:val=""/>
      <w:lvlJc w:val="left"/>
      <w:pPr>
        <w:ind w:left="720" w:hanging="360"/>
      </w:pPr>
      <w:rPr>
        <w:rFonts w:ascii="Symbol" w:hAnsi="Symbol" w:hint="default"/>
      </w:rPr>
    </w:lvl>
    <w:lvl w:ilvl="1" w:tplc="89F021D6" w:tentative="1">
      <w:start w:val="1"/>
      <w:numFmt w:val="lowerLetter"/>
      <w:lvlText w:val="%2."/>
      <w:lvlJc w:val="left"/>
      <w:pPr>
        <w:ind w:left="1440" w:hanging="360"/>
      </w:pPr>
    </w:lvl>
    <w:lvl w:ilvl="2" w:tplc="5E36C49C" w:tentative="1">
      <w:start w:val="1"/>
      <w:numFmt w:val="lowerRoman"/>
      <w:lvlText w:val="%3."/>
      <w:lvlJc w:val="right"/>
      <w:pPr>
        <w:ind w:left="2160" w:hanging="180"/>
      </w:pPr>
    </w:lvl>
    <w:lvl w:ilvl="3" w:tplc="0CDA70C2" w:tentative="1">
      <w:start w:val="1"/>
      <w:numFmt w:val="decimal"/>
      <w:lvlText w:val="%4."/>
      <w:lvlJc w:val="left"/>
      <w:pPr>
        <w:ind w:left="2880" w:hanging="360"/>
      </w:pPr>
    </w:lvl>
    <w:lvl w:ilvl="4" w:tplc="4DDEB21E" w:tentative="1">
      <w:start w:val="1"/>
      <w:numFmt w:val="lowerLetter"/>
      <w:lvlText w:val="%5."/>
      <w:lvlJc w:val="left"/>
      <w:pPr>
        <w:ind w:left="3600" w:hanging="360"/>
      </w:pPr>
    </w:lvl>
    <w:lvl w:ilvl="5" w:tplc="C9EE5F4A" w:tentative="1">
      <w:start w:val="1"/>
      <w:numFmt w:val="lowerRoman"/>
      <w:lvlText w:val="%6."/>
      <w:lvlJc w:val="right"/>
      <w:pPr>
        <w:ind w:left="4320" w:hanging="180"/>
      </w:pPr>
    </w:lvl>
    <w:lvl w:ilvl="6" w:tplc="0D7C970A" w:tentative="1">
      <w:start w:val="1"/>
      <w:numFmt w:val="decimal"/>
      <w:lvlText w:val="%7."/>
      <w:lvlJc w:val="left"/>
      <w:pPr>
        <w:ind w:left="5040" w:hanging="360"/>
      </w:pPr>
    </w:lvl>
    <w:lvl w:ilvl="7" w:tplc="05EEFFCA" w:tentative="1">
      <w:start w:val="1"/>
      <w:numFmt w:val="lowerLetter"/>
      <w:lvlText w:val="%8."/>
      <w:lvlJc w:val="left"/>
      <w:pPr>
        <w:ind w:left="5760" w:hanging="360"/>
      </w:pPr>
    </w:lvl>
    <w:lvl w:ilvl="8" w:tplc="83EC861C" w:tentative="1">
      <w:start w:val="1"/>
      <w:numFmt w:val="lowerRoman"/>
      <w:lvlText w:val="%9."/>
      <w:lvlJc w:val="right"/>
      <w:pPr>
        <w:ind w:left="6480" w:hanging="180"/>
      </w:pPr>
    </w:lvl>
  </w:abstractNum>
  <w:abstractNum w:abstractNumId="32" w15:restartNumberingAfterBreak="0">
    <w:nsid w:val="3923200E"/>
    <w:multiLevelType w:val="hybridMultilevel"/>
    <w:tmpl w:val="DA84A26E"/>
    <w:lvl w:ilvl="0" w:tplc="544EC6E0">
      <w:start w:val="1"/>
      <w:numFmt w:val="bullet"/>
      <w:lvlText w:val=""/>
      <w:lvlJc w:val="left"/>
      <w:pPr>
        <w:tabs>
          <w:tab w:val="num" w:pos="720"/>
        </w:tabs>
        <w:ind w:left="720" w:hanging="360"/>
      </w:pPr>
      <w:rPr>
        <w:rFonts w:ascii="Symbol" w:hAnsi="Symbol" w:hint="default"/>
      </w:rPr>
    </w:lvl>
    <w:lvl w:ilvl="1" w:tplc="0A083026" w:tentative="1">
      <w:start w:val="1"/>
      <w:numFmt w:val="bullet"/>
      <w:lvlText w:val="o"/>
      <w:lvlJc w:val="left"/>
      <w:pPr>
        <w:tabs>
          <w:tab w:val="num" w:pos="1440"/>
        </w:tabs>
        <w:ind w:left="1440" w:hanging="360"/>
      </w:pPr>
      <w:rPr>
        <w:rFonts w:ascii="Courier New" w:hAnsi="Courier New" w:cs="Courier New" w:hint="default"/>
      </w:rPr>
    </w:lvl>
    <w:lvl w:ilvl="2" w:tplc="8DFCA6D6" w:tentative="1">
      <w:start w:val="1"/>
      <w:numFmt w:val="bullet"/>
      <w:lvlText w:val=""/>
      <w:lvlJc w:val="left"/>
      <w:pPr>
        <w:tabs>
          <w:tab w:val="num" w:pos="2160"/>
        </w:tabs>
        <w:ind w:left="2160" w:hanging="360"/>
      </w:pPr>
      <w:rPr>
        <w:rFonts w:ascii="Wingdings" w:hAnsi="Wingdings" w:hint="default"/>
      </w:rPr>
    </w:lvl>
    <w:lvl w:ilvl="3" w:tplc="D206D9DC" w:tentative="1">
      <w:start w:val="1"/>
      <w:numFmt w:val="bullet"/>
      <w:lvlText w:val=""/>
      <w:lvlJc w:val="left"/>
      <w:pPr>
        <w:tabs>
          <w:tab w:val="num" w:pos="2880"/>
        </w:tabs>
        <w:ind w:left="2880" w:hanging="360"/>
      </w:pPr>
      <w:rPr>
        <w:rFonts w:ascii="Symbol" w:hAnsi="Symbol" w:hint="default"/>
      </w:rPr>
    </w:lvl>
    <w:lvl w:ilvl="4" w:tplc="799E0440" w:tentative="1">
      <w:start w:val="1"/>
      <w:numFmt w:val="bullet"/>
      <w:lvlText w:val="o"/>
      <w:lvlJc w:val="left"/>
      <w:pPr>
        <w:tabs>
          <w:tab w:val="num" w:pos="3600"/>
        </w:tabs>
        <w:ind w:left="3600" w:hanging="360"/>
      </w:pPr>
      <w:rPr>
        <w:rFonts w:ascii="Courier New" w:hAnsi="Courier New" w:cs="Courier New" w:hint="default"/>
      </w:rPr>
    </w:lvl>
    <w:lvl w:ilvl="5" w:tplc="72DAB8A6" w:tentative="1">
      <w:start w:val="1"/>
      <w:numFmt w:val="bullet"/>
      <w:lvlText w:val=""/>
      <w:lvlJc w:val="left"/>
      <w:pPr>
        <w:tabs>
          <w:tab w:val="num" w:pos="4320"/>
        </w:tabs>
        <w:ind w:left="4320" w:hanging="360"/>
      </w:pPr>
      <w:rPr>
        <w:rFonts w:ascii="Wingdings" w:hAnsi="Wingdings" w:hint="default"/>
      </w:rPr>
    </w:lvl>
    <w:lvl w:ilvl="6" w:tplc="57A00AD8" w:tentative="1">
      <w:start w:val="1"/>
      <w:numFmt w:val="bullet"/>
      <w:lvlText w:val=""/>
      <w:lvlJc w:val="left"/>
      <w:pPr>
        <w:tabs>
          <w:tab w:val="num" w:pos="5040"/>
        </w:tabs>
        <w:ind w:left="5040" w:hanging="360"/>
      </w:pPr>
      <w:rPr>
        <w:rFonts w:ascii="Symbol" w:hAnsi="Symbol" w:hint="default"/>
      </w:rPr>
    </w:lvl>
    <w:lvl w:ilvl="7" w:tplc="8180A336" w:tentative="1">
      <w:start w:val="1"/>
      <w:numFmt w:val="bullet"/>
      <w:lvlText w:val="o"/>
      <w:lvlJc w:val="left"/>
      <w:pPr>
        <w:tabs>
          <w:tab w:val="num" w:pos="5760"/>
        </w:tabs>
        <w:ind w:left="5760" w:hanging="360"/>
      </w:pPr>
      <w:rPr>
        <w:rFonts w:ascii="Courier New" w:hAnsi="Courier New" w:cs="Courier New" w:hint="default"/>
      </w:rPr>
    </w:lvl>
    <w:lvl w:ilvl="8" w:tplc="B6460DF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9F114BA"/>
    <w:multiLevelType w:val="hybridMultilevel"/>
    <w:tmpl w:val="B6F0AADC"/>
    <w:lvl w:ilvl="0" w:tplc="18C83902">
      <w:start w:val="1"/>
      <w:numFmt w:val="bullet"/>
      <w:lvlText w:val=""/>
      <w:lvlJc w:val="left"/>
      <w:pPr>
        <w:ind w:left="720" w:hanging="360"/>
      </w:pPr>
      <w:rPr>
        <w:rFonts w:ascii="Symbol" w:hAnsi="Symbol" w:hint="default"/>
      </w:rPr>
    </w:lvl>
    <w:lvl w:ilvl="1" w:tplc="93A6E84E" w:tentative="1">
      <w:start w:val="1"/>
      <w:numFmt w:val="bullet"/>
      <w:lvlText w:val="o"/>
      <w:lvlJc w:val="left"/>
      <w:pPr>
        <w:ind w:left="1440" w:hanging="360"/>
      </w:pPr>
      <w:rPr>
        <w:rFonts w:ascii="Courier New" w:hAnsi="Courier New" w:cs="Courier New" w:hint="default"/>
      </w:rPr>
    </w:lvl>
    <w:lvl w:ilvl="2" w:tplc="BB36B1DE" w:tentative="1">
      <w:start w:val="1"/>
      <w:numFmt w:val="bullet"/>
      <w:lvlText w:val=""/>
      <w:lvlJc w:val="left"/>
      <w:pPr>
        <w:ind w:left="2160" w:hanging="360"/>
      </w:pPr>
      <w:rPr>
        <w:rFonts w:ascii="Wingdings" w:hAnsi="Wingdings" w:hint="default"/>
      </w:rPr>
    </w:lvl>
    <w:lvl w:ilvl="3" w:tplc="290ACAA4" w:tentative="1">
      <w:start w:val="1"/>
      <w:numFmt w:val="bullet"/>
      <w:lvlText w:val=""/>
      <w:lvlJc w:val="left"/>
      <w:pPr>
        <w:ind w:left="2880" w:hanging="360"/>
      </w:pPr>
      <w:rPr>
        <w:rFonts w:ascii="Symbol" w:hAnsi="Symbol" w:hint="default"/>
      </w:rPr>
    </w:lvl>
    <w:lvl w:ilvl="4" w:tplc="6C289F5C" w:tentative="1">
      <w:start w:val="1"/>
      <w:numFmt w:val="bullet"/>
      <w:lvlText w:val="o"/>
      <w:lvlJc w:val="left"/>
      <w:pPr>
        <w:ind w:left="3600" w:hanging="360"/>
      </w:pPr>
      <w:rPr>
        <w:rFonts w:ascii="Courier New" w:hAnsi="Courier New" w:cs="Courier New" w:hint="default"/>
      </w:rPr>
    </w:lvl>
    <w:lvl w:ilvl="5" w:tplc="FFB08A46" w:tentative="1">
      <w:start w:val="1"/>
      <w:numFmt w:val="bullet"/>
      <w:lvlText w:val=""/>
      <w:lvlJc w:val="left"/>
      <w:pPr>
        <w:ind w:left="4320" w:hanging="360"/>
      </w:pPr>
      <w:rPr>
        <w:rFonts w:ascii="Wingdings" w:hAnsi="Wingdings" w:hint="default"/>
      </w:rPr>
    </w:lvl>
    <w:lvl w:ilvl="6" w:tplc="0308A1C8" w:tentative="1">
      <w:start w:val="1"/>
      <w:numFmt w:val="bullet"/>
      <w:lvlText w:val=""/>
      <w:lvlJc w:val="left"/>
      <w:pPr>
        <w:ind w:left="5040" w:hanging="360"/>
      </w:pPr>
      <w:rPr>
        <w:rFonts w:ascii="Symbol" w:hAnsi="Symbol" w:hint="default"/>
      </w:rPr>
    </w:lvl>
    <w:lvl w:ilvl="7" w:tplc="F148FC30" w:tentative="1">
      <w:start w:val="1"/>
      <w:numFmt w:val="bullet"/>
      <w:lvlText w:val="o"/>
      <w:lvlJc w:val="left"/>
      <w:pPr>
        <w:ind w:left="5760" w:hanging="360"/>
      </w:pPr>
      <w:rPr>
        <w:rFonts w:ascii="Courier New" w:hAnsi="Courier New" w:cs="Courier New" w:hint="default"/>
      </w:rPr>
    </w:lvl>
    <w:lvl w:ilvl="8" w:tplc="68E6C766" w:tentative="1">
      <w:start w:val="1"/>
      <w:numFmt w:val="bullet"/>
      <w:lvlText w:val=""/>
      <w:lvlJc w:val="left"/>
      <w:pPr>
        <w:ind w:left="6480" w:hanging="360"/>
      </w:pPr>
      <w:rPr>
        <w:rFonts w:ascii="Wingdings" w:hAnsi="Wingdings" w:hint="default"/>
      </w:rPr>
    </w:lvl>
  </w:abstractNum>
  <w:abstractNum w:abstractNumId="34" w15:restartNumberingAfterBreak="0">
    <w:nsid w:val="3C097080"/>
    <w:multiLevelType w:val="hybridMultilevel"/>
    <w:tmpl w:val="64467238"/>
    <w:lvl w:ilvl="0" w:tplc="2818AACA">
      <w:start w:val="1"/>
      <w:numFmt w:val="bullet"/>
      <w:lvlText w:val=""/>
      <w:lvlJc w:val="left"/>
      <w:pPr>
        <w:ind w:left="1080" w:hanging="360"/>
      </w:pPr>
      <w:rPr>
        <w:rFonts w:ascii="Symbol" w:hAnsi="Symbol" w:hint="default"/>
      </w:rPr>
    </w:lvl>
    <w:lvl w:ilvl="1" w:tplc="B1E633EA" w:tentative="1">
      <w:start w:val="1"/>
      <w:numFmt w:val="bullet"/>
      <w:lvlText w:val="o"/>
      <w:lvlJc w:val="left"/>
      <w:pPr>
        <w:ind w:left="1800" w:hanging="360"/>
      </w:pPr>
      <w:rPr>
        <w:rFonts w:ascii="Courier New" w:hAnsi="Courier New" w:cs="Courier New" w:hint="default"/>
      </w:rPr>
    </w:lvl>
    <w:lvl w:ilvl="2" w:tplc="FF7A7C24" w:tentative="1">
      <w:start w:val="1"/>
      <w:numFmt w:val="bullet"/>
      <w:lvlText w:val=""/>
      <w:lvlJc w:val="left"/>
      <w:pPr>
        <w:ind w:left="2520" w:hanging="360"/>
      </w:pPr>
      <w:rPr>
        <w:rFonts w:ascii="Wingdings" w:hAnsi="Wingdings" w:hint="default"/>
      </w:rPr>
    </w:lvl>
    <w:lvl w:ilvl="3" w:tplc="FE106092" w:tentative="1">
      <w:start w:val="1"/>
      <w:numFmt w:val="bullet"/>
      <w:lvlText w:val=""/>
      <w:lvlJc w:val="left"/>
      <w:pPr>
        <w:ind w:left="3240" w:hanging="360"/>
      </w:pPr>
      <w:rPr>
        <w:rFonts w:ascii="Symbol" w:hAnsi="Symbol" w:hint="default"/>
      </w:rPr>
    </w:lvl>
    <w:lvl w:ilvl="4" w:tplc="2E5AAE96" w:tentative="1">
      <w:start w:val="1"/>
      <w:numFmt w:val="bullet"/>
      <w:lvlText w:val="o"/>
      <w:lvlJc w:val="left"/>
      <w:pPr>
        <w:ind w:left="3960" w:hanging="360"/>
      </w:pPr>
      <w:rPr>
        <w:rFonts w:ascii="Courier New" w:hAnsi="Courier New" w:cs="Courier New" w:hint="default"/>
      </w:rPr>
    </w:lvl>
    <w:lvl w:ilvl="5" w:tplc="2E3E74C0" w:tentative="1">
      <w:start w:val="1"/>
      <w:numFmt w:val="bullet"/>
      <w:lvlText w:val=""/>
      <w:lvlJc w:val="left"/>
      <w:pPr>
        <w:ind w:left="4680" w:hanging="360"/>
      </w:pPr>
      <w:rPr>
        <w:rFonts w:ascii="Wingdings" w:hAnsi="Wingdings" w:hint="default"/>
      </w:rPr>
    </w:lvl>
    <w:lvl w:ilvl="6" w:tplc="885A6938" w:tentative="1">
      <w:start w:val="1"/>
      <w:numFmt w:val="bullet"/>
      <w:lvlText w:val=""/>
      <w:lvlJc w:val="left"/>
      <w:pPr>
        <w:ind w:left="5400" w:hanging="360"/>
      </w:pPr>
      <w:rPr>
        <w:rFonts w:ascii="Symbol" w:hAnsi="Symbol" w:hint="default"/>
      </w:rPr>
    </w:lvl>
    <w:lvl w:ilvl="7" w:tplc="07349254" w:tentative="1">
      <w:start w:val="1"/>
      <w:numFmt w:val="bullet"/>
      <w:lvlText w:val="o"/>
      <w:lvlJc w:val="left"/>
      <w:pPr>
        <w:ind w:left="6120" w:hanging="360"/>
      </w:pPr>
      <w:rPr>
        <w:rFonts w:ascii="Courier New" w:hAnsi="Courier New" w:cs="Courier New" w:hint="default"/>
      </w:rPr>
    </w:lvl>
    <w:lvl w:ilvl="8" w:tplc="1FC069D8" w:tentative="1">
      <w:start w:val="1"/>
      <w:numFmt w:val="bullet"/>
      <w:lvlText w:val=""/>
      <w:lvlJc w:val="left"/>
      <w:pPr>
        <w:ind w:left="6840" w:hanging="360"/>
      </w:pPr>
      <w:rPr>
        <w:rFonts w:ascii="Wingdings" w:hAnsi="Wingdings" w:hint="default"/>
      </w:rPr>
    </w:lvl>
  </w:abstractNum>
  <w:abstractNum w:abstractNumId="35" w15:restartNumberingAfterBreak="0">
    <w:nsid w:val="3FFA1FBC"/>
    <w:multiLevelType w:val="hybridMultilevel"/>
    <w:tmpl w:val="37B44F3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4221B90"/>
    <w:multiLevelType w:val="hybridMultilevel"/>
    <w:tmpl w:val="D8DCF6C0"/>
    <w:lvl w:ilvl="0" w:tplc="7DB63196">
      <w:start w:val="1"/>
      <w:numFmt w:val="bullet"/>
      <w:lvlText w:val=""/>
      <w:lvlJc w:val="left"/>
      <w:pPr>
        <w:ind w:left="720" w:hanging="360"/>
      </w:pPr>
      <w:rPr>
        <w:rFonts w:ascii="Symbol" w:hAnsi="Symbol" w:hint="default"/>
      </w:rPr>
    </w:lvl>
    <w:lvl w:ilvl="1" w:tplc="CC4E44A4" w:tentative="1">
      <w:start w:val="1"/>
      <w:numFmt w:val="bullet"/>
      <w:lvlText w:val="o"/>
      <w:lvlJc w:val="left"/>
      <w:pPr>
        <w:ind w:left="1440" w:hanging="360"/>
      </w:pPr>
      <w:rPr>
        <w:rFonts w:ascii="Courier New" w:hAnsi="Courier New" w:cs="Courier New" w:hint="default"/>
      </w:rPr>
    </w:lvl>
    <w:lvl w:ilvl="2" w:tplc="A1CA4C32" w:tentative="1">
      <w:start w:val="1"/>
      <w:numFmt w:val="bullet"/>
      <w:lvlText w:val=""/>
      <w:lvlJc w:val="left"/>
      <w:pPr>
        <w:ind w:left="2160" w:hanging="360"/>
      </w:pPr>
      <w:rPr>
        <w:rFonts w:ascii="Wingdings" w:hAnsi="Wingdings" w:hint="default"/>
      </w:rPr>
    </w:lvl>
    <w:lvl w:ilvl="3" w:tplc="84620206" w:tentative="1">
      <w:start w:val="1"/>
      <w:numFmt w:val="bullet"/>
      <w:lvlText w:val=""/>
      <w:lvlJc w:val="left"/>
      <w:pPr>
        <w:ind w:left="2880" w:hanging="360"/>
      </w:pPr>
      <w:rPr>
        <w:rFonts w:ascii="Symbol" w:hAnsi="Symbol" w:hint="default"/>
      </w:rPr>
    </w:lvl>
    <w:lvl w:ilvl="4" w:tplc="16CE2054" w:tentative="1">
      <w:start w:val="1"/>
      <w:numFmt w:val="bullet"/>
      <w:lvlText w:val="o"/>
      <w:lvlJc w:val="left"/>
      <w:pPr>
        <w:ind w:left="3600" w:hanging="360"/>
      </w:pPr>
      <w:rPr>
        <w:rFonts w:ascii="Courier New" w:hAnsi="Courier New" w:cs="Courier New" w:hint="default"/>
      </w:rPr>
    </w:lvl>
    <w:lvl w:ilvl="5" w:tplc="84E0256C" w:tentative="1">
      <w:start w:val="1"/>
      <w:numFmt w:val="bullet"/>
      <w:lvlText w:val=""/>
      <w:lvlJc w:val="left"/>
      <w:pPr>
        <w:ind w:left="4320" w:hanging="360"/>
      </w:pPr>
      <w:rPr>
        <w:rFonts w:ascii="Wingdings" w:hAnsi="Wingdings" w:hint="default"/>
      </w:rPr>
    </w:lvl>
    <w:lvl w:ilvl="6" w:tplc="28EC663C" w:tentative="1">
      <w:start w:val="1"/>
      <w:numFmt w:val="bullet"/>
      <w:lvlText w:val=""/>
      <w:lvlJc w:val="left"/>
      <w:pPr>
        <w:ind w:left="5040" w:hanging="360"/>
      </w:pPr>
      <w:rPr>
        <w:rFonts w:ascii="Symbol" w:hAnsi="Symbol" w:hint="default"/>
      </w:rPr>
    </w:lvl>
    <w:lvl w:ilvl="7" w:tplc="A6FC7C3A" w:tentative="1">
      <w:start w:val="1"/>
      <w:numFmt w:val="bullet"/>
      <w:lvlText w:val="o"/>
      <w:lvlJc w:val="left"/>
      <w:pPr>
        <w:ind w:left="5760" w:hanging="360"/>
      </w:pPr>
      <w:rPr>
        <w:rFonts w:ascii="Courier New" w:hAnsi="Courier New" w:cs="Courier New" w:hint="default"/>
      </w:rPr>
    </w:lvl>
    <w:lvl w:ilvl="8" w:tplc="5EB25524" w:tentative="1">
      <w:start w:val="1"/>
      <w:numFmt w:val="bullet"/>
      <w:lvlText w:val=""/>
      <w:lvlJc w:val="left"/>
      <w:pPr>
        <w:ind w:left="6480" w:hanging="360"/>
      </w:pPr>
      <w:rPr>
        <w:rFonts w:ascii="Wingdings" w:hAnsi="Wingdings" w:hint="default"/>
      </w:rPr>
    </w:lvl>
  </w:abstractNum>
  <w:abstractNum w:abstractNumId="37" w15:restartNumberingAfterBreak="0">
    <w:nsid w:val="47AD6D13"/>
    <w:multiLevelType w:val="hybridMultilevel"/>
    <w:tmpl w:val="09D23256"/>
    <w:lvl w:ilvl="0" w:tplc="BF9E9DC4">
      <w:start w:val="1"/>
      <w:numFmt w:val="bullet"/>
      <w:lvlText w:val=""/>
      <w:lvlJc w:val="left"/>
      <w:pPr>
        <w:ind w:left="720" w:hanging="360"/>
      </w:pPr>
      <w:rPr>
        <w:rFonts w:ascii="Symbol" w:hAnsi="Symbol" w:hint="default"/>
      </w:rPr>
    </w:lvl>
    <w:lvl w:ilvl="1" w:tplc="06346176" w:tentative="1">
      <w:start w:val="1"/>
      <w:numFmt w:val="bullet"/>
      <w:lvlText w:val="o"/>
      <w:lvlJc w:val="left"/>
      <w:pPr>
        <w:ind w:left="1440" w:hanging="360"/>
      </w:pPr>
      <w:rPr>
        <w:rFonts w:ascii="Courier New" w:hAnsi="Courier New" w:cs="Courier New" w:hint="default"/>
      </w:rPr>
    </w:lvl>
    <w:lvl w:ilvl="2" w:tplc="627803DC" w:tentative="1">
      <w:start w:val="1"/>
      <w:numFmt w:val="bullet"/>
      <w:lvlText w:val=""/>
      <w:lvlJc w:val="left"/>
      <w:pPr>
        <w:ind w:left="2160" w:hanging="360"/>
      </w:pPr>
      <w:rPr>
        <w:rFonts w:ascii="Wingdings" w:hAnsi="Wingdings" w:hint="default"/>
      </w:rPr>
    </w:lvl>
    <w:lvl w:ilvl="3" w:tplc="7E529406" w:tentative="1">
      <w:start w:val="1"/>
      <w:numFmt w:val="bullet"/>
      <w:lvlText w:val=""/>
      <w:lvlJc w:val="left"/>
      <w:pPr>
        <w:ind w:left="2880" w:hanging="360"/>
      </w:pPr>
      <w:rPr>
        <w:rFonts w:ascii="Symbol" w:hAnsi="Symbol" w:hint="default"/>
      </w:rPr>
    </w:lvl>
    <w:lvl w:ilvl="4" w:tplc="4C1A1560" w:tentative="1">
      <w:start w:val="1"/>
      <w:numFmt w:val="bullet"/>
      <w:lvlText w:val="o"/>
      <w:lvlJc w:val="left"/>
      <w:pPr>
        <w:ind w:left="3600" w:hanging="360"/>
      </w:pPr>
      <w:rPr>
        <w:rFonts w:ascii="Courier New" w:hAnsi="Courier New" w:cs="Courier New" w:hint="default"/>
      </w:rPr>
    </w:lvl>
    <w:lvl w:ilvl="5" w:tplc="59DE2B2A" w:tentative="1">
      <w:start w:val="1"/>
      <w:numFmt w:val="bullet"/>
      <w:lvlText w:val=""/>
      <w:lvlJc w:val="left"/>
      <w:pPr>
        <w:ind w:left="4320" w:hanging="360"/>
      </w:pPr>
      <w:rPr>
        <w:rFonts w:ascii="Wingdings" w:hAnsi="Wingdings" w:hint="default"/>
      </w:rPr>
    </w:lvl>
    <w:lvl w:ilvl="6" w:tplc="7A00D2E6" w:tentative="1">
      <w:start w:val="1"/>
      <w:numFmt w:val="bullet"/>
      <w:lvlText w:val=""/>
      <w:lvlJc w:val="left"/>
      <w:pPr>
        <w:ind w:left="5040" w:hanging="360"/>
      </w:pPr>
      <w:rPr>
        <w:rFonts w:ascii="Symbol" w:hAnsi="Symbol" w:hint="default"/>
      </w:rPr>
    </w:lvl>
    <w:lvl w:ilvl="7" w:tplc="7CC04FF0" w:tentative="1">
      <w:start w:val="1"/>
      <w:numFmt w:val="bullet"/>
      <w:lvlText w:val="o"/>
      <w:lvlJc w:val="left"/>
      <w:pPr>
        <w:ind w:left="5760" w:hanging="360"/>
      </w:pPr>
      <w:rPr>
        <w:rFonts w:ascii="Courier New" w:hAnsi="Courier New" w:cs="Courier New" w:hint="default"/>
      </w:rPr>
    </w:lvl>
    <w:lvl w:ilvl="8" w:tplc="0B40FD42" w:tentative="1">
      <w:start w:val="1"/>
      <w:numFmt w:val="bullet"/>
      <w:lvlText w:val=""/>
      <w:lvlJc w:val="left"/>
      <w:pPr>
        <w:ind w:left="6480" w:hanging="360"/>
      </w:pPr>
      <w:rPr>
        <w:rFonts w:ascii="Wingdings" w:hAnsi="Wingdings" w:hint="default"/>
      </w:rPr>
    </w:lvl>
  </w:abstractNum>
  <w:abstractNum w:abstractNumId="38" w15:restartNumberingAfterBreak="0">
    <w:nsid w:val="491614EA"/>
    <w:multiLevelType w:val="hybridMultilevel"/>
    <w:tmpl w:val="1180C474"/>
    <w:lvl w:ilvl="0" w:tplc="B60803A8">
      <w:start w:val="1"/>
      <w:numFmt w:val="bullet"/>
      <w:lvlText w:val=""/>
      <w:lvlJc w:val="left"/>
      <w:pPr>
        <w:ind w:left="720" w:hanging="360"/>
      </w:pPr>
      <w:rPr>
        <w:rFonts w:ascii="Symbol" w:hAnsi="Symbol" w:hint="default"/>
      </w:rPr>
    </w:lvl>
    <w:lvl w:ilvl="1" w:tplc="B4D4C1DC" w:tentative="1">
      <w:start w:val="1"/>
      <w:numFmt w:val="bullet"/>
      <w:lvlText w:val="o"/>
      <w:lvlJc w:val="left"/>
      <w:pPr>
        <w:ind w:left="1440" w:hanging="360"/>
      </w:pPr>
      <w:rPr>
        <w:rFonts w:ascii="Courier New" w:hAnsi="Courier New" w:cs="Courier New" w:hint="default"/>
      </w:rPr>
    </w:lvl>
    <w:lvl w:ilvl="2" w:tplc="8D48A162" w:tentative="1">
      <w:start w:val="1"/>
      <w:numFmt w:val="bullet"/>
      <w:lvlText w:val=""/>
      <w:lvlJc w:val="left"/>
      <w:pPr>
        <w:ind w:left="2160" w:hanging="360"/>
      </w:pPr>
      <w:rPr>
        <w:rFonts w:ascii="Wingdings" w:hAnsi="Wingdings" w:hint="default"/>
      </w:rPr>
    </w:lvl>
    <w:lvl w:ilvl="3" w:tplc="CA9665DA" w:tentative="1">
      <w:start w:val="1"/>
      <w:numFmt w:val="bullet"/>
      <w:lvlText w:val=""/>
      <w:lvlJc w:val="left"/>
      <w:pPr>
        <w:ind w:left="2880" w:hanging="360"/>
      </w:pPr>
      <w:rPr>
        <w:rFonts w:ascii="Symbol" w:hAnsi="Symbol" w:hint="default"/>
      </w:rPr>
    </w:lvl>
    <w:lvl w:ilvl="4" w:tplc="ECD4187C" w:tentative="1">
      <w:start w:val="1"/>
      <w:numFmt w:val="bullet"/>
      <w:lvlText w:val="o"/>
      <w:lvlJc w:val="left"/>
      <w:pPr>
        <w:ind w:left="3600" w:hanging="360"/>
      </w:pPr>
      <w:rPr>
        <w:rFonts w:ascii="Courier New" w:hAnsi="Courier New" w:cs="Courier New" w:hint="default"/>
      </w:rPr>
    </w:lvl>
    <w:lvl w:ilvl="5" w:tplc="9D22BCFE" w:tentative="1">
      <w:start w:val="1"/>
      <w:numFmt w:val="bullet"/>
      <w:lvlText w:val=""/>
      <w:lvlJc w:val="left"/>
      <w:pPr>
        <w:ind w:left="4320" w:hanging="360"/>
      </w:pPr>
      <w:rPr>
        <w:rFonts w:ascii="Wingdings" w:hAnsi="Wingdings" w:hint="default"/>
      </w:rPr>
    </w:lvl>
    <w:lvl w:ilvl="6" w:tplc="EBFEEF12" w:tentative="1">
      <w:start w:val="1"/>
      <w:numFmt w:val="bullet"/>
      <w:lvlText w:val=""/>
      <w:lvlJc w:val="left"/>
      <w:pPr>
        <w:ind w:left="5040" w:hanging="360"/>
      </w:pPr>
      <w:rPr>
        <w:rFonts w:ascii="Symbol" w:hAnsi="Symbol" w:hint="default"/>
      </w:rPr>
    </w:lvl>
    <w:lvl w:ilvl="7" w:tplc="20584BC6" w:tentative="1">
      <w:start w:val="1"/>
      <w:numFmt w:val="bullet"/>
      <w:lvlText w:val="o"/>
      <w:lvlJc w:val="left"/>
      <w:pPr>
        <w:ind w:left="5760" w:hanging="360"/>
      </w:pPr>
      <w:rPr>
        <w:rFonts w:ascii="Courier New" w:hAnsi="Courier New" w:cs="Courier New" w:hint="default"/>
      </w:rPr>
    </w:lvl>
    <w:lvl w:ilvl="8" w:tplc="6B18037A" w:tentative="1">
      <w:start w:val="1"/>
      <w:numFmt w:val="bullet"/>
      <w:lvlText w:val=""/>
      <w:lvlJc w:val="left"/>
      <w:pPr>
        <w:ind w:left="6480" w:hanging="360"/>
      </w:pPr>
      <w:rPr>
        <w:rFonts w:ascii="Wingdings" w:hAnsi="Wingdings" w:hint="default"/>
      </w:rPr>
    </w:lvl>
  </w:abstractNum>
  <w:abstractNum w:abstractNumId="39" w15:restartNumberingAfterBreak="0">
    <w:nsid w:val="4DFB6C8A"/>
    <w:multiLevelType w:val="hybridMultilevel"/>
    <w:tmpl w:val="C00ADA70"/>
    <w:lvl w:ilvl="0" w:tplc="2E027DF0">
      <w:start w:val="1"/>
      <w:numFmt w:val="bullet"/>
      <w:lvlText w:val=""/>
      <w:lvlJc w:val="left"/>
      <w:pPr>
        <w:ind w:left="720" w:hanging="360"/>
      </w:pPr>
      <w:rPr>
        <w:rFonts w:ascii="Symbol" w:hAnsi="Symbol" w:hint="default"/>
      </w:rPr>
    </w:lvl>
    <w:lvl w:ilvl="1" w:tplc="DDF6C3B8" w:tentative="1">
      <w:start w:val="1"/>
      <w:numFmt w:val="bullet"/>
      <w:lvlText w:val="o"/>
      <w:lvlJc w:val="left"/>
      <w:pPr>
        <w:ind w:left="1440" w:hanging="360"/>
      </w:pPr>
      <w:rPr>
        <w:rFonts w:ascii="Courier New" w:hAnsi="Courier New" w:cs="Courier New" w:hint="default"/>
      </w:rPr>
    </w:lvl>
    <w:lvl w:ilvl="2" w:tplc="F6F23062" w:tentative="1">
      <w:start w:val="1"/>
      <w:numFmt w:val="bullet"/>
      <w:lvlText w:val=""/>
      <w:lvlJc w:val="left"/>
      <w:pPr>
        <w:ind w:left="2160" w:hanging="360"/>
      </w:pPr>
      <w:rPr>
        <w:rFonts w:ascii="Wingdings" w:hAnsi="Wingdings" w:hint="default"/>
      </w:rPr>
    </w:lvl>
    <w:lvl w:ilvl="3" w:tplc="8AB83C6E" w:tentative="1">
      <w:start w:val="1"/>
      <w:numFmt w:val="bullet"/>
      <w:lvlText w:val=""/>
      <w:lvlJc w:val="left"/>
      <w:pPr>
        <w:ind w:left="2880" w:hanging="360"/>
      </w:pPr>
      <w:rPr>
        <w:rFonts w:ascii="Symbol" w:hAnsi="Symbol" w:hint="default"/>
      </w:rPr>
    </w:lvl>
    <w:lvl w:ilvl="4" w:tplc="B1E2CFBE" w:tentative="1">
      <w:start w:val="1"/>
      <w:numFmt w:val="bullet"/>
      <w:lvlText w:val="o"/>
      <w:lvlJc w:val="left"/>
      <w:pPr>
        <w:ind w:left="3600" w:hanging="360"/>
      </w:pPr>
      <w:rPr>
        <w:rFonts w:ascii="Courier New" w:hAnsi="Courier New" w:cs="Courier New" w:hint="default"/>
      </w:rPr>
    </w:lvl>
    <w:lvl w:ilvl="5" w:tplc="2346B0B0" w:tentative="1">
      <w:start w:val="1"/>
      <w:numFmt w:val="bullet"/>
      <w:lvlText w:val=""/>
      <w:lvlJc w:val="left"/>
      <w:pPr>
        <w:ind w:left="4320" w:hanging="360"/>
      </w:pPr>
      <w:rPr>
        <w:rFonts w:ascii="Wingdings" w:hAnsi="Wingdings" w:hint="default"/>
      </w:rPr>
    </w:lvl>
    <w:lvl w:ilvl="6" w:tplc="CFA8EDE0" w:tentative="1">
      <w:start w:val="1"/>
      <w:numFmt w:val="bullet"/>
      <w:lvlText w:val=""/>
      <w:lvlJc w:val="left"/>
      <w:pPr>
        <w:ind w:left="5040" w:hanging="360"/>
      </w:pPr>
      <w:rPr>
        <w:rFonts w:ascii="Symbol" w:hAnsi="Symbol" w:hint="default"/>
      </w:rPr>
    </w:lvl>
    <w:lvl w:ilvl="7" w:tplc="46E66AB4" w:tentative="1">
      <w:start w:val="1"/>
      <w:numFmt w:val="bullet"/>
      <w:lvlText w:val="o"/>
      <w:lvlJc w:val="left"/>
      <w:pPr>
        <w:ind w:left="5760" w:hanging="360"/>
      </w:pPr>
      <w:rPr>
        <w:rFonts w:ascii="Courier New" w:hAnsi="Courier New" w:cs="Courier New" w:hint="default"/>
      </w:rPr>
    </w:lvl>
    <w:lvl w:ilvl="8" w:tplc="DAA200CA" w:tentative="1">
      <w:start w:val="1"/>
      <w:numFmt w:val="bullet"/>
      <w:lvlText w:val=""/>
      <w:lvlJc w:val="left"/>
      <w:pPr>
        <w:ind w:left="6480" w:hanging="360"/>
      </w:pPr>
      <w:rPr>
        <w:rFonts w:ascii="Wingdings" w:hAnsi="Wingdings" w:hint="default"/>
      </w:rPr>
    </w:lvl>
  </w:abstractNum>
  <w:abstractNum w:abstractNumId="40" w15:restartNumberingAfterBreak="0">
    <w:nsid w:val="4FF65421"/>
    <w:multiLevelType w:val="hybridMultilevel"/>
    <w:tmpl w:val="2BA6E276"/>
    <w:lvl w:ilvl="0" w:tplc="BBCE3DC0">
      <w:start w:val="1"/>
      <w:numFmt w:val="bullet"/>
      <w:lvlText w:val=""/>
      <w:lvlJc w:val="left"/>
      <w:pPr>
        <w:ind w:left="720" w:hanging="360"/>
      </w:pPr>
      <w:rPr>
        <w:rFonts w:ascii="Symbol" w:hAnsi="Symbol" w:hint="default"/>
      </w:rPr>
    </w:lvl>
    <w:lvl w:ilvl="1" w:tplc="68A4F90C">
      <w:start w:val="1"/>
      <w:numFmt w:val="bullet"/>
      <w:lvlText w:val=""/>
      <w:lvlJc w:val="left"/>
      <w:pPr>
        <w:ind w:left="1440" w:hanging="360"/>
      </w:pPr>
      <w:rPr>
        <w:rFonts w:ascii="Symbol" w:hAnsi="Symbol" w:hint="default"/>
      </w:rPr>
    </w:lvl>
    <w:lvl w:ilvl="2" w:tplc="F05EF8D2" w:tentative="1">
      <w:start w:val="1"/>
      <w:numFmt w:val="bullet"/>
      <w:lvlText w:val=""/>
      <w:lvlJc w:val="left"/>
      <w:pPr>
        <w:ind w:left="2160" w:hanging="360"/>
      </w:pPr>
      <w:rPr>
        <w:rFonts w:ascii="Wingdings" w:hAnsi="Wingdings" w:hint="default"/>
      </w:rPr>
    </w:lvl>
    <w:lvl w:ilvl="3" w:tplc="510A4900" w:tentative="1">
      <w:start w:val="1"/>
      <w:numFmt w:val="bullet"/>
      <w:lvlText w:val=""/>
      <w:lvlJc w:val="left"/>
      <w:pPr>
        <w:ind w:left="2880" w:hanging="360"/>
      </w:pPr>
      <w:rPr>
        <w:rFonts w:ascii="Symbol" w:hAnsi="Symbol" w:hint="default"/>
      </w:rPr>
    </w:lvl>
    <w:lvl w:ilvl="4" w:tplc="08D8C498" w:tentative="1">
      <w:start w:val="1"/>
      <w:numFmt w:val="bullet"/>
      <w:lvlText w:val="o"/>
      <w:lvlJc w:val="left"/>
      <w:pPr>
        <w:ind w:left="3600" w:hanging="360"/>
      </w:pPr>
      <w:rPr>
        <w:rFonts w:ascii="Courier New" w:hAnsi="Courier New" w:cs="Courier New" w:hint="default"/>
      </w:rPr>
    </w:lvl>
    <w:lvl w:ilvl="5" w:tplc="904E9844" w:tentative="1">
      <w:start w:val="1"/>
      <w:numFmt w:val="bullet"/>
      <w:lvlText w:val=""/>
      <w:lvlJc w:val="left"/>
      <w:pPr>
        <w:ind w:left="4320" w:hanging="360"/>
      </w:pPr>
      <w:rPr>
        <w:rFonts w:ascii="Wingdings" w:hAnsi="Wingdings" w:hint="default"/>
      </w:rPr>
    </w:lvl>
    <w:lvl w:ilvl="6" w:tplc="F5F426CA" w:tentative="1">
      <w:start w:val="1"/>
      <w:numFmt w:val="bullet"/>
      <w:lvlText w:val=""/>
      <w:lvlJc w:val="left"/>
      <w:pPr>
        <w:ind w:left="5040" w:hanging="360"/>
      </w:pPr>
      <w:rPr>
        <w:rFonts w:ascii="Symbol" w:hAnsi="Symbol" w:hint="default"/>
      </w:rPr>
    </w:lvl>
    <w:lvl w:ilvl="7" w:tplc="9F8C6494" w:tentative="1">
      <w:start w:val="1"/>
      <w:numFmt w:val="bullet"/>
      <w:lvlText w:val="o"/>
      <w:lvlJc w:val="left"/>
      <w:pPr>
        <w:ind w:left="5760" w:hanging="360"/>
      </w:pPr>
      <w:rPr>
        <w:rFonts w:ascii="Courier New" w:hAnsi="Courier New" w:cs="Courier New" w:hint="default"/>
      </w:rPr>
    </w:lvl>
    <w:lvl w:ilvl="8" w:tplc="18EA2BC6" w:tentative="1">
      <w:start w:val="1"/>
      <w:numFmt w:val="bullet"/>
      <w:lvlText w:val=""/>
      <w:lvlJc w:val="left"/>
      <w:pPr>
        <w:ind w:left="6480" w:hanging="360"/>
      </w:pPr>
      <w:rPr>
        <w:rFonts w:ascii="Wingdings" w:hAnsi="Wingdings" w:hint="default"/>
      </w:rPr>
    </w:lvl>
  </w:abstractNum>
  <w:abstractNum w:abstractNumId="41" w15:restartNumberingAfterBreak="0">
    <w:nsid w:val="501613A7"/>
    <w:multiLevelType w:val="hybridMultilevel"/>
    <w:tmpl w:val="21BEC106"/>
    <w:lvl w:ilvl="0" w:tplc="9A52C44E">
      <w:start w:val="1"/>
      <w:numFmt w:val="bullet"/>
      <w:lvlText w:val=""/>
      <w:lvlJc w:val="left"/>
      <w:pPr>
        <w:ind w:left="720" w:hanging="360"/>
      </w:pPr>
      <w:rPr>
        <w:rFonts w:ascii="Symbol" w:hAnsi="Symbol" w:hint="default"/>
      </w:rPr>
    </w:lvl>
    <w:lvl w:ilvl="1" w:tplc="8D102BF6" w:tentative="1">
      <w:start w:val="1"/>
      <w:numFmt w:val="bullet"/>
      <w:lvlText w:val="o"/>
      <w:lvlJc w:val="left"/>
      <w:pPr>
        <w:ind w:left="1440" w:hanging="360"/>
      </w:pPr>
      <w:rPr>
        <w:rFonts w:ascii="Courier New" w:hAnsi="Courier New" w:cs="Courier New" w:hint="default"/>
      </w:rPr>
    </w:lvl>
    <w:lvl w:ilvl="2" w:tplc="E09AEFDE" w:tentative="1">
      <w:start w:val="1"/>
      <w:numFmt w:val="bullet"/>
      <w:lvlText w:val=""/>
      <w:lvlJc w:val="left"/>
      <w:pPr>
        <w:ind w:left="2160" w:hanging="360"/>
      </w:pPr>
      <w:rPr>
        <w:rFonts w:ascii="Wingdings" w:hAnsi="Wingdings" w:hint="default"/>
      </w:rPr>
    </w:lvl>
    <w:lvl w:ilvl="3" w:tplc="C3E0E086" w:tentative="1">
      <w:start w:val="1"/>
      <w:numFmt w:val="bullet"/>
      <w:lvlText w:val=""/>
      <w:lvlJc w:val="left"/>
      <w:pPr>
        <w:ind w:left="2880" w:hanging="360"/>
      </w:pPr>
      <w:rPr>
        <w:rFonts w:ascii="Symbol" w:hAnsi="Symbol" w:hint="default"/>
      </w:rPr>
    </w:lvl>
    <w:lvl w:ilvl="4" w:tplc="FD7C35A4" w:tentative="1">
      <w:start w:val="1"/>
      <w:numFmt w:val="bullet"/>
      <w:lvlText w:val="o"/>
      <w:lvlJc w:val="left"/>
      <w:pPr>
        <w:ind w:left="3600" w:hanging="360"/>
      </w:pPr>
      <w:rPr>
        <w:rFonts w:ascii="Courier New" w:hAnsi="Courier New" w:cs="Courier New" w:hint="default"/>
      </w:rPr>
    </w:lvl>
    <w:lvl w:ilvl="5" w:tplc="2C5C2096" w:tentative="1">
      <w:start w:val="1"/>
      <w:numFmt w:val="bullet"/>
      <w:lvlText w:val=""/>
      <w:lvlJc w:val="left"/>
      <w:pPr>
        <w:ind w:left="4320" w:hanging="360"/>
      </w:pPr>
      <w:rPr>
        <w:rFonts w:ascii="Wingdings" w:hAnsi="Wingdings" w:hint="default"/>
      </w:rPr>
    </w:lvl>
    <w:lvl w:ilvl="6" w:tplc="77F8D336" w:tentative="1">
      <w:start w:val="1"/>
      <w:numFmt w:val="bullet"/>
      <w:lvlText w:val=""/>
      <w:lvlJc w:val="left"/>
      <w:pPr>
        <w:ind w:left="5040" w:hanging="360"/>
      </w:pPr>
      <w:rPr>
        <w:rFonts w:ascii="Symbol" w:hAnsi="Symbol" w:hint="default"/>
      </w:rPr>
    </w:lvl>
    <w:lvl w:ilvl="7" w:tplc="6E682A84" w:tentative="1">
      <w:start w:val="1"/>
      <w:numFmt w:val="bullet"/>
      <w:lvlText w:val="o"/>
      <w:lvlJc w:val="left"/>
      <w:pPr>
        <w:ind w:left="5760" w:hanging="360"/>
      </w:pPr>
      <w:rPr>
        <w:rFonts w:ascii="Courier New" w:hAnsi="Courier New" w:cs="Courier New" w:hint="default"/>
      </w:rPr>
    </w:lvl>
    <w:lvl w:ilvl="8" w:tplc="98BCE628" w:tentative="1">
      <w:start w:val="1"/>
      <w:numFmt w:val="bullet"/>
      <w:lvlText w:val=""/>
      <w:lvlJc w:val="left"/>
      <w:pPr>
        <w:ind w:left="6480" w:hanging="360"/>
      </w:pPr>
      <w:rPr>
        <w:rFonts w:ascii="Wingdings" w:hAnsi="Wingdings" w:hint="default"/>
      </w:rPr>
    </w:lvl>
  </w:abstractNum>
  <w:abstractNum w:abstractNumId="42" w15:restartNumberingAfterBreak="0">
    <w:nsid w:val="50D07B4A"/>
    <w:multiLevelType w:val="hybridMultilevel"/>
    <w:tmpl w:val="D156601A"/>
    <w:lvl w:ilvl="0" w:tplc="2DB02F68">
      <w:start w:val="1"/>
      <w:numFmt w:val="bullet"/>
      <w:lvlText w:val=""/>
      <w:lvlJc w:val="left"/>
      <w:pPr>
        <w:ind w:left="720" w:hanging="360"/>
      </w:pPr>
      <w:rPr>
        <w:rFonts w:ascii="Symbol" w:hAnsi="Symbol" w:hint="default"/>
        <w:u w:val="none"/>
      </w:rPr>
    </w:lvl>
    <w:lvl w:ilvl="1" w:tplc="2B04A250" w:tentative="1">
      <w:start w:val="1"/>
      <w:numFmt w:val="bullet"/>
      <w:lvlText w:val="o"/>
      <w:lvlJc w:val="left"/>
      <w:pPr>
        <w:ind w:left="1440" w:hanging="360"/>
      </w:pPr>
      <w:rPr>
        <w:rFonts w:ascii="Courier New" w:hAnsi="Courier New" w:cs="Courier New" w:hint="default"/>
      </w:rPr>
    </w:lvl>
    <w:lvl w:ilvl="2" w:tplc="802A659C" w:tentative="1">
      <w:start w:val="1"/>
      <w:numFmt w:val="bullet"/>
      <w:lvlText w:val=""/>
      <w:lvlJc w:val="left"/>
      <w:pPr>
        <w:ind w:left="2160" w:hanging="360"/>
      </w:pPr>
      <w:rPr>
        <w:rFonts w:ascii="Wingdings" w:hAnsi="Wingdings" w:hint="default"/>
      </w:rPr>
    </w:lvl>
    <w:lvl w:ilvl="3" w:tplc="ADECC0AE" w:tentative="1">
      <w:start w:val="1"/>
      <w:numFmt w:val="bullet"/>
      <w:lvlText w:val=""/>
      <w:lvlJc w:val="left"/>
      <w:pPr>
        <w:ind w:left="2880" w:hanging="360"/>
      </w:pPr>
      <w:rPr>
        <w:rFonts w:ascii="Symbol" w:hAnsi="Symbol" w:hint="default"/>
      </w:rPr>
    </w:lvl>
    <w:lvl w:ilvl="4" w:tplc="8CB8E066" w:tentative="1">
      <w:start w:val="1"/>
      <w:numFmt w:val="bullet"/>
      <w:lvlText w:val="o"/>
      <w:lvlJc w:val="left"/>
      <w:pPr>
        <w:ind w:left="3600" w:hanging="360"/>
      </w:pPr>
      <w:rPr>
        <w:rFonts w:ascii="Courier New" w:hAnsi="Courier New" w:cs="Courier New" w:hint="default"/>
      </w:rPr>
    </w:lvl>
    <w:lvl w:ilvl="5" w:tplc="3814DD00" w:tentative="1">
      <w:start w:val="1"/>
      <w:numFmt w:val="bullet"/>
      <w:lvlText w:val=""/>
      <w:lvlJc w:val="left"/>
      <w:pPr>
        <w:ind w:left="4320" w:hanging="360"/>
      </w:pPr>
      <w:rPr>
        <w:rFonts w:ascii="Wingdings" w:hAnsi="Wingdings" w:hint="default"/>
      </w:rPr>
    </w:lvl>
    <w:lvl w:ilvl="6" w:tplc="EBDCE118" w:tentative="1">
      <w:start w:val="1"/>
      <w:numFmt w:val="bullet"/>
      <w:lvlText w:val=""/>
      <w:lvlJc w:val="left"/>
      <w:pPr>
        <w:ind w:left="5040" w:hanging="360"/>
      </w:pPr>
      <w:rPr>
        <w:rFonts w:ascii="Symbol" w:hAnsi="Symbol" w:hint="default"/>
      </w:rPr>
    </w:lvl>
    <w:lvl w:ilvl="7" w:tplc="1354E3E2" w:tentative="1">
      <w:start w:val="1"/>
      <w:numFmt w:val="bullet"/>
      <w:lvlText w:val="o"/>
      <w:lvlJc w:val="left"/>
      <w:pPr>
        <w:ind w:left="5760" w:hanging="360"/>
      </w:pPr>
      <w:rPr>
        <w:rFonts w:ascii="Courier New" w:hAnsi="Courier New" w:cs="Courier New" w:hint="default"/>
      </w:rPr>
    </w:lvl>
    <w:lvl w:ilvl="8" w:tplc="E28C93C0" w:tentative="1">
      <w:start w:val="1"/>
      <w:numFmt w:val="bullet"/>
      <w:lvlText w:val=""/>
      <w:lvlJc w:val="left"/>
      <w:pPr>
        <w:ind w:left="6480" w:hanging="360"/>
      </w:pPr>
      <w:rPr>
        <w:rFonts w:ascii="Wingdings" w:hAnsi="Wingdings" w:hint="default"/>
      </w:rPr>
    </w:lvl>
  </w:abstractNum>
  <w:abstractNum w:abstractNumId="43" w15:restartNumberingAfterBreak="0">
    <w:nsid w:val="511D1F2E"/>
    <w:multiLevelType w:val="hybridMultilevel"/>
    <w:tmpl w:val="E1784A68"/>
    <w:lvl w:ilvl="0" w:tplc="7BD65B7A">
      <w:start w:val="1"/>
      <w:numFmt w:val="bullet"/>
      <w:lvlText w:val="o"/>
      <w:lvlJc w:val="left"/>
      <w:pPr>
        <w:ind w:left="720" w:hanging="360"/>
      </w:pPr>
      <w:rPr>
        <w:rFonts w:ascii="Courier New" w:hAnsi="Courier New" w:cs="Courier New" w:hint="default"/>
      </w:rPr>
    </w:lvl>
    <w:lvl w:ilvl="1" w:tplc="BF8C104C" w:tentative="1">
      <w:start w:val="1"/>
      <w:numFmt w:val="bullet"/>
      <w:lvlText w:val="o"/>
      <w:lvlJc w:val="left"/>
      <w:pPr>
        <w:ind w:left="1440" w:hanging="360"/>
      </w:pPr>
      <w:rPr>
        <w:rFonts w:ascii="Courier New" w:hAnsi="Courier New" w:cs="Courier New" w:hint="default"/>
      </w:rPr>
    </w:lvl>
    <w:lvl w:ilvl="2" w:tplc="96326D76" w:tentative="1">
      <w:start w:val="1"/>
      <w:numFmt w:val="bullet"/>
      <w:lvlText w:val=""/>
      <w:lvlJc w:val="left"/>
      <w:pPr>
        <w:ind w:left="2160" w:hanging="360"/>
      </w:pPr>
      <w:rPr>
        <w:rFonts w:ascii="Wingdings" w:hAnsi="Wingdings" w:hint="default"/>
      </w:rPr>
    </w:lvl>
    <w:lvl w:ilvl="3" w:tplc="C7E8A20E" w:tentative="1">
      <w:start w:val="1"/>
      <w:numFmt w:val="bullet"/>
      <w:lvlText w:val=""/>
      <w:lvlJc w:val="left"/>
      <w:pPr>
        <w:ind w:left="2880" w:hanging="360"/>
      </w:pPr>
      <w:rPr>
        <w:rFonts w:ascii="Symbol" w:hAnsi="Symbol" w:hint="default"/>
      </w:rPr>
    </w:lvl>
    <w:lvl w:ilvl="4" w:tplc="72B638E0" w:tentative="1">
      <w:start w:val="1"/>
      <w:numFmt w:val="bullet"/>
      <w:lvlText w:val="o"/>
      <w:lvlJc w:val="left"/>
      <w:pPr>
        <w:ind w:left="3600" w:hanging="360"/>
      </w:pPr>
      <w:rPr>
        <w:rFonts w:ascii="Courier New" w:hAnsi="Courier New" w:cs="Courier New" w:hint="default"/>
      </w:rPr>
    </w:lvl>
    <w:lvl w:ilvl="5" w:tplc="3F0C0B9A" w:tentative="1">
      <w:start w:val="1"/>
      <w:numFmt w:val="bullet"/>
      <w:lvlText w:val=""/>
      <w:lvlJc w:val="left"/>
      <w:pPr>
        <w:ind w:left="4320" w:hanging="360"/>
      </w:pPr>
      <w:rPr>
        <w:rFonts w:ascii="Wingdings" w:hAnsi="Wingdings" w:hint="default"/>
      </w:rPr>
    </w:lvl>
    <w:lvl w:ilvl="6" w:tplc="832CCE44" w:tentative="1">
      <w:start w:val="1"/>
      <w:numFmt w:val="bullet"/>
      <w:lvlText w:val=""/>
      <w:lvlJc w:val="left"/>
      <w:pPr>
        <w:ind w:left="5040" w:hanging="360"/>
      </w:pPr>
      <w:rPr>
        <w:rFonts w:ascii="Symbol" w:hAnsi="Symbol" w:hint="default"/>
      </w:rPr>
    </w:lvl>
    <w:lvl w:ilvl="7" w:tplc="A3B86756" w:tentative="1">
      <w:start w:val="1"/>
      <w:numFmt w:val="bullet"/>
      <w:lvlText w:val="o"/>
      <w:lvlJc w:val="left"/>
      <w:pPr>
        <w:ind w:left="5760" w:hanging="360"/>
      </w:pPr>
      <w:rPr>
        <w:rFonts w:ascii="Courier New" w:hAnsi="Courier New" w:cs="Courier New" w:hint="default"/>
      </w:rPr>
    </w:lvl>
    <w:lvl w:ilvl="8" w:tplc="D11C9D4C" w:tentative="1">
      <w:start w:val="1"/>
      <w:numFmt w:val="bullet"/>
      <w:lvlText w:val=""/>
      <w:lvlJc w:val="left"/>
      <w:pPr>
        <w:ind w:left="6480" w:hanging="360"/>
      </w:pPr>
      <w:rPr>
        <w:rFonts w:ascii="Wingdings" w:hAnsi="Wingdings" w:hint="default"/>
      </w:rPr>
    </w:lvl>
  </w:abstractNum>
  <w:abstractNum w:abstractNumId="44" w15:restartNumberingAfterBreak="0">
    <w:nsid w:val="54F50BFC"/>
    <w:multiLevelType w:val="hybridMultilevel"/>
    <w:tmpl w:val="D5B07B02"/>
    <w:lvl w:ilvl="0" w:tplc="73AC04F2">
      <w:start w:val="1"/>
      <w:numFmt w:val="bullet"/>
      <w:lvlText w:val=""/>
      <w:lvlJc w:val="left"/>
      <w:pPr>
        <w:tabs>
          <w:tab w:val="num" w:pos="360"/>
        </w:tabs>
        <w:ind w:left="360" w:hanging="360"/>
      </w:pPr>
      <w:rPr>
        <w:rFonts w:ascii="Symbol" w:hAnsi="Symbol" w:hint="default"/>
      </w:rPr>
    </w:lvl>
    <w:lvl w:ilvl="1" w:tplc="0E16A88C" w:tentative="1">
      <w:start w:val="1"/>
      <w:numFmt w:val="bullet"/>
      <w:lvlText w:val="o"/>
      <w:lvlJc w:val="left"/>
      <w:pPr>
        <w:tabs>
          <w:tab w:val="num" w:pos="1080"/>
        </w:tabs>
        <w:ind w:left="1080" w:hanging="360"/>
      </w:pPr>
      <w:rPr>
        <w:rFonts w:ascii="Courier New" w:hAnsi="Courier New" w:cs="Courier New" w:hint="default"/>
      </w:rPr>
    </w:lvl>
    <w:lvl w:ilvl="2" w:tplc="B810F248" w:tentative="1">
      <w:start w:val="1"/>
      <w:numFmt w:val="bullet"/>
      <w:lvlText w:val=""/>
      <w:lvlJc w:val="left"/>
      <w:pPr>
        <w:tabs>
          <w:tab w:val="num" w:pos="1800"/>
        </w:tabs>
        <w:ind w:left="1800" w:hanging="360"/>
      </w:pPr>
      <w:rPr>
        <w:rFonts w:ascii="Wingdings" w:hAnsi="Wingdings" w:hint="default"/>
      </w:rPr>
    </w:lvl>
    <w:lvl w:ilvl="3" w:tplc="45C4DC64" w:tentative="1">
      <w:start w:val="1"/>
      <w:numFmt w:val="bullet"/>
      <w:lvlText w:val=""/>
      <w:lvlJc w:val="left"/>
      <w:pPr>
        <w:tabs>
          <w:tab w:val="num" w:pos="2520"/>
        </w:tabs>
        <w:ind w:left="2520" w:hanging="360"/>
      </w:pPr>
      <w:rPr>
        <w:rFonts w:ascii="Symbol" w:hAnsi="Symbol" w:hint="default"/>
      </w:rPr>
    </w:lvl>
    <w:lvl w:ilvl="4" w:tplc="70000992" w:tentative="1">
      <w:start w:val="1"/>
      <w:numFmt w:val="bullet"/>
      <w:lvlText w:val="o"/>
      <w:lvlJc w:val="left"/>
      <w:pPr>
        <w:tabs>
          <w:tab w:val="num" w:pos="3240"/>
        </w:tabs>
        <w:ind w:left="3240" w:hanging="360"/>
      </w:pPr>
      <w:rPr>
        <w:rFonts w:ascii="Courier New" w:hAnsi="Courier New" w:cs="Courier New" w:hint="default"/>
      </w:rPr>
    </w:lvl>
    <w:lvl w:ilvl="5" w:tplc="61BA9CF6" w:tentative="1">
      <w:start w:val="1"/>
      <w:numFmt w:val="bullet"/>
      <w:lvlText w:val=""/>
      <w:lvlJc w:val="left"/>
      <w:pPr>
        <w:tabs>
          <w:tab w:val="num" w:pos="3960"/>
        </w:tabs>
        <w:ind w:left="3960" w:hanging="360"/>
      </w:pPr>
      <w:rPr>
        <w:rFonts w:ascii="Wingdings" w:hAnsi="Wingdings" w:hint="default"/>
      </w:rPr>
    </w:lvl>
    <w:lvl w:ilvl="6" w:tplc="0AA6ECBC" w:tentative="1">
      <w:start w:val="1"/>
      <w:numFmt w:val="bullet"/>
      <w:lvlText w:val=""/>
      <w:lvlJc w:val="left"/>
      <w:pPr>
        <w:tabs>
          <w:tab w:val="num" w:pos="4680"/>
        </w:tabs>
        <w:ind w:left="4680" w:hanging="360"/>
      </w:pPr>
      <w:rPr>
        <w:rFonts w:ascii="Symbol" w:hAnsi="Symbol" w:hint="default"/>
      </w:rPr>
    </w:lvl>
    <w:lvl w:ilvl="7" w:tplc="6F8A8962" w:tentative="1">
      <w:start w:val="1"/>
      <w:numFmt w:val="bullet"/>
      <w:lvlText w:val="o"/>
      <w:lvlJc w:val="left"/>
      <w:pPr>
        <w:tabs>
          <w:tab w:val="num" w:pos="5400"/>
        </w:tabs>
        <w:ind w:left="5400" w:hanging="360"/>
      </w:pPr>
      <w:rPr>
        <w:rFonts w:ascii="Courier New" w:hAnsi="Courier New" w:cs="Courier New" w:hint="default"/>
      </w:rPr>
    </w:lvl>
    <w:lvl w:ilvl="8" w:tplc="0700D01E"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8A753C7"/>
    <w:multiLevelType w:val="hybridMultilevel"/>
    <w:tmpl w:val="50C89BAA"/>
    <w:lvl w:ilvl="0" w:tplc="CDFE0944">
      <w:start w:val="1"/>
      <w:numFmt w:val="bullet"/>
      <w:lvlText w:val=""/>
      <w:lvlJc w:val="left"/>
      <w:pPr>
        <w:ind w:left="720" w:hanging="360"/>
      </w:pPr>
      <w:rPr>
        <w:rFonts w:ascii="Symbol" w:hAnsi="Symbol" w:hint="default"/>
      </w:rPr>
    </w:lvl>
    <w:lvl w:ilvl="1" w:tplc="BDB07854">
      <w:start w:val="1"/>
      <w:numFmt w:val="bullet"/>
      <w:lvlText w:val="o"/>
      <w:lvlJc w:val="left"/>
      <w:pPr>
        <w:ind w:left="1440" w:hanging="360"/>
      </w:pPr>
      <w:rPr>
        <w:rFonts w:ascii="Courier New" w:hAnsi="Courier New" w:cs="Courier New" w:hint="default"/>
      </w:rPr>
    </w:lvl>
    <w:lvl w:ilvl="2" w:tplc="BC827CD4">
      <w:start w:val="1"/>
      <w:numFmt w:val="bullet"/>
      <w:lvlText w:val=""/>
      <w:lvlJc w:val="left"/>
      <w:pPr>
        <w:ind w:left="2160" w:hanging="360"/>
      </w:pPr>
      <w:rPr>
        <w:rFonts w:ascii="Wingdings" w:hAnsi="Wingdings" w:hint="default"/>
      </w:rPr>
    </w:lvl>
    <w:lvl w:ilvl="3" w:tplc="3AB22B28" w:tentative="1">
      <w:start w:val="1"/>
      <w:numFmt w:val="bullet"/>
      <w:lvlText w:val=""/>
      <w:lvlJc w:val="left"/>
      <w:pPr>
        <w:ind w:left="2880" w:hanging="360"/>
      </w:pPr>
      <w:rPr>
        <w:rFonts w:ascii="Symbol" w:hAnsi="Symbol" w:hint="default"/>
      </w:rPr>
    </w:lvl>
    <w:lvl w:ilvl="4" w:tplc="F976D732" w:tentative="1">
      <w:start w:val="1"/>
      <w:numFmt w:val="bullet"/>
      <w:lvlText w:val="o"/>
      <w:lvlJc w:val="left"/>
      <w:pPr>
        <w:ind w:left="3600" w:hanging="360"/>
      </w:pPr>
      <w:rPr>
        <w:rFonts w:ascii="Courier New" w:hAnsi="Courier New" w:cs="Courier New" w:hint="default"/>
      </w:rPr>
    </w:lvl>
    <w:lvl w:ilvl="5" w:tplc="3AC6514C" w:tentative="1">
      <w:start w:val="1"/>
      <w:numFmt w:val="bullet"/>
      <w:lvlText w:val=""/>
      <w:lvlJc w:val="left"/>
      <w:pPr>
        <w:ind w:left="4320" w:hanging="360"/>
      </w:pPr>
      <w:rPr>
        <w:rFonts w:ascii="Wingdings" w:hAnsi="Wingdings" w:hint="default"/>
      </w:rPr>
    </w:lvl>
    <w:lvl w:ilvl="6" w:tplc="343E96FC" w:tentative="1">
      <w:start w:val="1"/>
      <w:numFmt w:val="bullet"/>
      <w:lvlText w:val=""/>
      <w:lvlJc w:val="left"/>
      <w:pPr>
        <w:ind w:left="5040" w:hanging="360"/>
      </w:pPr>
      <w:rPr>
        <w:rFonts w:ascii="Symbol" w:hAnsi="Symbol" w:hint="default"/>
      </w:rPr>
    </w:lvl>
    <w:lvl w:ilvl="7" w:tplc="C4B00C52" w:tentative="1">
      <w:start w:val="1"/>
      <w:numFmt w:val="bullet"/>
      <w:lvlText w:val="o"/>
      <w:lvlJc w:val="left"/>
      <w:pPr>
        <w:ind w:left="5760" w:hanging="360"/>
      </w:pPr>
      <w:rPr>
        <w:rFonts w:ascii="Courier New" w:hAnsi="Courier New" w:cs="Courier New" w:hint="default"/>
      </w:rPr>
    </w:lvl>
    <w:lvl w:ilvl="8" w:tplc="FEF00B32" w:tentative="1">
      <w:start w:val="1"/>
      <w:numFmt w:val="bullet"/>
      <w:lvlText w:val=""/>
      <w:lvlJc w:val="left"/>
      <w:pPr>
        <w:ind w:left="6480" w:hanging="360"/>
      </w:pPr>
      <w:rPr>
        <w:rFonts w:ascii="Wingdings" w:hAnsi="Wingdings" w:hint="default"/>
      </w:rPr>
    </w:lvl>
  </w:abstractNum>
  <w:abstractNum w:abstractNumId="46" w15:restartNumberingAfterBreak="0">
    <w:nsid w:val="59A43259"/>
    <w:multiLevelType w:val="hybridMultilevel"/>
    <w:tmpl w:val="A5868A60"/>
    <w:lvl w:ilvl="0" w:tplc="642434EE">
      <w:start w:val="1"/>
      <w:numFmt w:val="bullet"/>
      <w:lvlText w:val=""/>
      <w:lvlJc w:val="left"/>
      <w:pPr>
        <w:tabs>
          <w:tab w:val="num" w:pos="720"/>
        </w:tabs>
        <w:ind w:left="720" w:hanging="360"/>
      </w:pPr>
      <w:rPr>
        <w:rFonts w:ascii="Symbol" w:hAnsi="Symbol" w:hint="default"/>
      </w:rPr>
    </w:lvl>
    <w:lvl w:ilvl="1" w:tplc="0D3AACFC" w:tentative="1">
      <w:start w:val="1"/>
      <w:numFmt w:val="bullet"/>
      <w:lvlText w:val="o"/>
      <w:lvlJc w:val="left"/>
      <w:pPr>
        <w:tabs>
          <w:tab w:val="num" w:pos="1440"/>
        </w:tabs>
        <w:ind w:left="1440" w:hanging="360"/>
      </w:pPr>
      <w:rPr>
        <w:rFonts w:ascii="Courier New" w:hAnsi="Courier New" w:cs="Courier New" w:hint="default"/>
      </w:rPr>
    </w:lvl>
    <w:lvl w:ilvl="2" w:tplc="B64043BE" w:tentative="1">
      <w:start w:val="1"/>
      <w:numFmt w:val="bullet"/>
      <w:lvlText w:val=""/>
      <w:lvlJc w:val="left"/>
      <w:pPr>
        <w:tabs>
          <w:tab w:val="num" w:pos="2160"/>
        </w:tabs>
        <w:ind w:left="2160" w:hanging="360"/>
      </w:pPr>
      <w:rPr>
        <w:rFonts w:ascii="Wingdings" w:hAnsi="Wingdings" w:hint="default"/>
      </w:rPr>
    </w:lvl>
    <w:lvl w:ilvl="3" w:tplc="5BFA13CE" w:tentative="1">
      <w:start w:val="1"/>
      <w:numFmt w:val="bullet"/>
      <w:lvlText w:val=""/>
      <w:lvlJc w:val="left"/>
      <w:pPr>
        <w:tabs>
          <w:tab w:val="num" w:pos="2880"/>
        </w:tabs>
        <w:ind w:left="2880" w:hanging="360"/>
      </w:pPr>
      <w:rPr>
        <w:rFonts w:ascii="Symbol" w:hAnsi="Symbol" w:hint="default"/>
      </w:rPr>
    </w:lvl>
    <w:lvl w:ilvl="4" w:tplc="093CAFEE" w:tentative="1">
      <w:start w:val="1"/>
      <w:numFmt w:val="bullet"/>
      <w:lvlText w:val="o"/>
      <w:lvlJc w:val="left"/>
      <w:pPr>
        <w:tabs>
          <w:tab w:val="num" w:pos="3600"/>
        </w:tabs>
        <w:ind w:left="3600" w:hanging="360"/>
      </w:pPr>
      <w:rPr>
        <w:rFonts w:ascii="Courier New" w:hAnsi="Courier New" w:cs="Courier New" w:hint="default"/>
      </w:rPr>
    </w:lvl>
    <w:lvl w:ilvl="5" w:tplc="BECE5EC4" w:tentative="1">
      <w:start w:val="1"/>
      <w:numFmt w:val="bullet"/>
      <w:lvlText w:val=""/>
      <w:lvlJc w:val="left"/>
      <w:pPr>
        <w:tabs>
          <w:tab w:val="num" w:pos="4320"/>
        </w:tabs>
        <w:ind w:left="4320" w:hanging="360"/>
      </w:pPr>
      <w:rPr>
        <w:rFonts w:ascii="Wingdings" w:hAnsi="Wingdings" w:hint="default"/>
      </w:rPr>
    </w:lvl>
    <w:lvl w:ilvl="6" w:tplc="0A06DB18" w:tentative="1">
      <w:start w:val="1"/>
      <w:numFmt w:val="bullet"/>
      <w:lvlText w:val=""/>
      <w:lvlJc w:val="left"/>
      <w:pPr>
        <w:tabs>
          <w:tab w:val="num" w:pos="5040"/>
        </w:tabs>
        <w:ind w:left="5040" w:hanging="360"/>
      </w:pPr>
      <w:rPr>
        <w:rFonts w:ascii="Symbol" w:hAnsi="Symbol" w:hint="default"/>
      </w:rPr>
    </w:lvl>
    <w:lvl w:ilvl="7" w:tplc="D778D548" w:tentative="1">
      <w:start w:val="1"/>
      <w:numFmt w:val="bullet"/>
      <w:lvlText w:val="o"/>
      <w:lvlJc w:val="left"/>
      <w:pPr>
        <w:tabs>
          <w:tab w:val="num" w:pos="5760"/>
        </w:tabs>
        <w:ind w:left="5760" w:hanging="360"/>
      </w:pPr>
      <w:rPr>
        <w:rFonts w:ascii="Courier New" w:hAnsi="Courier New" w:cs="Courier New" w:hint="default"/>
      </w:rPr>
    </w:lvl>
    <w:lvl w:ilvl="8" w:tplc="D9809FC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A6F1130"/>
    <w:multiLevelType w:val="hybridMultilevel"/>
    <w:tmpl w:val="7D9E9580"/>
    <w:lvl w:ilvl="0" w:tplc="31C00032">
      <w:start w:val="1"/>
      <w:numFmt w:val="bullet"/>
      <w:lvlText w:val=""/>
      <w:lvlJc w:val="left"/>
      <w:pPr>
        <w:ind w:left="360" w:hanging="360"/>
      </w:pPr>
      <w:rPr>
        <w:rFonts w:ascii="Symbol" w:hAnsi="Symbol" w:hint="default"/>
      </w:rPr>
    </w:lvl>
    <w:lvl w:ilvl="1" w:tplc="C9624F58" w:tentative="1">
      <w:start w:val="1"/>
      <w:numFmt w:val="lowerLetter"/>
      <w:lvlText w:val="%2."/>
      <w:lvlJc w:val="left"/>
      <w:pPr>
        <w:ind w:left="1080" w:hanging="360"/>
      </w:pPr>
    </w:lvl>
    <w:lvl w:ilvl="2" w:tplc="77B27548" w:tentative="1">
      <w:start w:val="1"/>
      <w:numFmt w:val="lowerRoman"/>
      <w:lvlText w:val="%3."/>
      <w:lvlJc w:val="right"/>
      <w:pPr>
        <w:ind w:left="1800" w:hanging="180"/>
      </w:pPr>
    </w:lvl>
    <w:lvl w:ilvl="3" w:tplc="B2444D16" w:tentative="1">
      <w:start w:val="1"/>
      <w:numFmt w:val="decimal"/>
      <w:lvlText w:val="%4."/>
      <w:lvlJc w:val="left"/>
      <w:pPr>
        <w:ind w:left="2520" w:hanging="360"/>
      </w:pPr>
    </w:lvl>
    <w:lvl w:ilvl="4" w:tplc="CE9019A6" w:tentative="1">
      <w:start w:val="1"/>
      <w:numFmt w:val="lowerLetter"/>
      <w:lvlText w:val="%5."/>
      <w:lvlJc w:val="left"/>
      <w:pPr>
        <w:ind w:left="3240" w:hanging="360"/>
      </w:pPr>
    </w:lvl>
    <w:lvl w:ilvl="5" w:tplc="3334C6AC" w:tentative="1">
      <w:start w:val="1"/>
      <w:numFmt w:val="lowerRoman"/>
      <w:lvlText w:val="%6."/>
      <w:lvlJc w:val="right"/>
      <w:pPr>
        <w:ind w:left="3960" w:hanging="180"/>
      </w:pPr>
    </w:lvl>
    <w:lvl w:ilvl="6" w:tplc="43884118" w:tentative="1">
      <w:start w:val="1"/>
      <w:numFmt w:val="decimal"/>
      <w:lvlText w:val="%7."/>
      <w:lvlJc w:val="left"/>
      <w:pPr>
        <w:ind w:left="4680" w:hanging="360"/>
      </w:pPr>
    </w:lvl>
    <w:lvl w:ilvl="7" w:tplc="95E28560" w:tentative="1">
      <w:start w:val="1"/>
      <w:numFmt w:val="lowerLetter"/>
      <w:lvlText w:val="%8."/>
      <w:lvlJc w:val="left"/>
      <w:pPr>
        <w:ind w:left="5400" w:hanging="360"/>
      </w:pPr>
    </w:lvl>
    <w:lvl w:ilvl="8" w:tplc="3A923D28" w:tentative="1">
      <w:start w:val="1"/>
      <w:numFmt w:val="lowerRoman"/>
      <w:lvlText w:val="%9."/>
      <w:lvlJc w:val="right"/>
      <w:pPr>
        <w:ind w:left="6120" w:hanging="180"/>
      </w:pPr>
    </w:lvl>
  </w:abstractNum>
  <w:abstractNum w:abstractNumId="48" w15:restartNumberingAfterBreak="0">
    <w:nsid w:val="5BD13CB7"/>
    <w:multiLevelType w:val="hybridMultilevel"/>
    <w:tmpl w:val="C6566148"/>
    <w:lvl w:ilvl="0" w:tplc="ABCE6C02">
      <w:start w:val="1"/>
      <w:numFmt w:val="bullet"/>
      <w:lvlText w:val=""/>
      <w:lvlJc w:val="left"/>
      <w:pPr>
        <w:tabs>
          <w:tab w:val="num" w:pos="720"/>
        </w:tabs>
        <w:ind w:left="720" w:hanging="360"/>
      </w:pPr>
      <w:rPr>
        <w:rFonts w:ascii="Symbol" w:hAnsi="Symbol" w:hint="default"/>
      </w:rPr>
    </w:lvl>
    <w:lvl w:ilvl="1" w:tplc="E37ED756">
      <w:start w:val="1"/>
      <w:numFmt w:val="bullet"/>
      <w:lvlText w:val="o"/>
      <w:lvlJc w:val="left"/>
      <w:pPr>
        <w:ind w:left="1440" w:hanging="360"/>
      </w:pPr>
      <w:rPr>
        <w:rFonts w:ascii="Courier New" w:hAnsi="Courier New" w:cs="Courier New" w:hint="default"/>
      </w:rPr>
    </w:lvl>
    <w:lvl w:ilvl="2" w:tplc="B1E67216" w:tentative="1">
      <w:start w:val="1"/>
      <w:numFmt w:val="bullet"/>
      <w:lvlText w:val=""/>
      <w:lvlJc w:val="left"/>
      <w:pPr>
        <w:tabs>
          <w:tab w:val="num" w:pos="2160"/>
        </w:tabs>
        <w:ind w:left="2160" w:hanging="360"/>
      </w:pPr>
      <w:rPr>
        <w:rFonts w:ascii="Wingdings" w:hAnsi="Wingdings" w:hint="default"/>
      </w:rPr>
    </w:lvl>
    <w:lvl w:ilvl="3" w:tplc="356A8D3E" w:tentative="1">
      <w:start w:val="1"/>
      <w:numFmt w:val="bullet"/>
      <w:lvlText w:val=""/>
      <w:lvlJc w:val="left"/>
      <w:pPr>
        <w:tabs>
          <w:tab w:val="num" w:pos="2880"/>
        </w:tabs>
        <w:ind w:left="2880" w:hanging="360"/>
      </w:pPr>
      <w:rPr>
        <w:rFonts w:ascii="Symbol" w:hAnsi="Symbol" w:hint="default"/>
      </w:rPr>
    </w:lvl>
    <w:lvl w:ilvl="4" w:tplc="E870A35C" w:tentative="1">
      <w:start w:val="1"/>
      <w:numFmt w:val="bullet"/>
      <w:lvlText w:val="o"/>
      <w:lvlJc w:val="left"/>
      <w:pPr>
        <w:tabs>
          <w:tab w:val="num" w:pos="3600"/>
        </w:tabs>
        <w:ind w:left="3600" w:hanging="360"/>
      </w:pPr>
      <w:rPr>
        <w:rFonts w:ascii="Courier New" w:hAnsi="Courier New" w:hint="default"/>
      </w:rPr>
    </w:lvl>
    <w:lvl w:ilvl="5" w:tplc="6F684664" w:tentative="1">
      <w:start w:val="1"/>
      <w:numFmt w:val="bullet"/>
      <w:lvlText w:val=""/>
      <w:lvlJc w:val="left"/>
      <w:pPr>
        <w:tabs>
          <w:tab w:val="num" w:pos="4320"/>
        </w:tabs>
        <w:ind w:left="4320" w:hanging="360"/>
      </w:pPr>
      <w:rPr>
        <w:rFonts w:ascii="Wingdings" w:hAnsi="Wingdings" w:hint="default"/>
      </w:rPr>
    </w:lvl>
    <w:lvl w:ilvl="6" w:tplc="DA20AD0E" w:tentative="1">
      <w:start w:val="1"/>
      <w:numFmt w:val="bullet"/>
      <w:lvlText w:val=""/>
      <w:lvlJc w:val="left"/>
      <w:pPr>
        <w:tabs>
          <w:tab w:val="num" w:pos="5040"/>
        </w:tabs>
        <w:ind w:left="5040" w:hanging="360"/>
      </w:pPr>
      <w:rPr>
        <w:rFonts w:ascii="Symbol" w:hAnsi="Symbol" w:hint="default"/>
      </w:rPr>
    </w:lvl>
    <w:lvl w:ilvl="7" w:tplc="81065BA4" w:tentative="1">
      <w:start w:val="1"/>
      <w:numFmt w:val="bullet"/>
      <w:lvlText w:val="o"/>
      <w:lvlJc w:val="left"/>
      <w:pPr>
        <w:tabs>
          <w:tab w:val="num" w:pos="5760"/>
        </w:tabs>
        <w:ind w:left="5760" w:hanging="360"/>
      </w:pPr>
      <w:rPr>
        <w:rFonts w:ascii="Courier New" w:hAnsi="Courier New" w:hint="default"/>
      </w:rPr>
    </w:lvl>
    <w:lvl w:ilvl="8" w:tplc="0748AA9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CF03678"/>
    <w:multiLevelType w:val="hybridMultilevel"/>
    <w:tmpl w:val="CDBAF4D4"/>
    <w:lvl w:ilvl="0" w:tplc="AC945658">
      <w:start w:val="1"/>
      <w:numFmt w:val="decimal"/>
      <w:lvlText w:val="%1."/>
      <w:lvlJc w:val="left"/>
      <w:pPr>
        <w:ind w:left="570" w:hanging="57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5DF43434"/>
    <w:multiLevelType w:val="hybridMultilevel"/>
    <w:tmpl w:val="C67C0724"/>
    <w:lvl w:ilvl="0" w:tplc="737E1170">
      <w:start w:val="1"/>
      <w:numFmt w:val="bullet"/>
      <w:lvlText w:val=""/>
      <w:lvlJc w:val="left"/>
      <w:pPr>
        <w:tabs>
          <w:tab w:val="num" w:pos="567"/>
        </w:tabs>
        <w:ind w:left="567" w:hanging="567"/>
      </w:pPr>
      <w:rPr>
        <w:rFonts w:ascii="Symbol" w:hAnsi="Symbol" w:hint="default"/>
      </w:rPr>
    </w:lvl>
    <w:lvl w:ilvl="1" w:tplc="625CC8F8" w:tentative="1">
      <w:start w:val="1"/>
      <w:numFmt w:val="bullet"/>
      <w:lvlText w:val="o"/>
      <w:lvlJc w:val="left"/>
      <w:pPr>
        <w:tabs>
          <w:tab w:val="num" w:pos="1080"/>
        </w:tabs>
        <w:ind w:left="1080" w:hanging="360"/>
      </w:pPr>
      <w:rPr>
        <w:rFonts w:ascii="Courier New" w:hAnsi="Courier New" w:cs="Courier New" w:hint="default"/>
      </w:rPr>
    </w:lvl>
    <w:lvl w:ilvl="2" w:tplc="78D4CB76" w:tentative="1">
      <w:start w:val="1"/>
      <w:numFmt w:val="bullet"/>
      <w:lvlText w:val=""/>
      <w:lvlJc w:val="left"/>
      <w:pPr>
        <w:tabs>
          <w:tab w:val="num" w:pos="1800"/>
        </w:tabs>
        <w:ind w:left="1800" w:hanging="360"/>
      </w:pPr>
      <w:rPr>
        <w:rFonts w:ascii="Wingdings" w:hAnsi="Wingdings" w:hint="default"/>
      </w:rPr>
    </w:lvl>
    <w:lvl w:ilvl="3" w:tplc="10F862A4" w:tentative="1">
      <w:start w:val="1"/>
      <w:numFmt w:val="bullet"/>
      <w:lvlText w:val=""/>
      <w:lvlJc w:val="left"/>
      <w:pPr>
        <w:tabs>
          <w:tab w:val="num" w:pos="2520"/>
        </w:tabs>
        <w:ind w:left="2520" w:hanging="360"/>
      </w:pPr>
      <w:rPr>
        <w:rFonts w:ascii="Symbol" w:hAnsi="Symbol" w:hint="default"/>
      </w:rPr>
    </w:lvl>
    <w:lvl w:ilvl="4" w:tplc="A80EC642" w:tentative="1">
      <w:start w:val="1"/>
      <w:numFmt w:val="bullet"/>
      <w:lvlText w:val="o"/>
      <w:lvlJc w:val="left"/>
      <w:pPr>
        <w:tabs>
          <w:tab w:val="num" w:pos="3240"/>
        </w:tabs>
        <w:ind w:left="3240" w:hanging="360"/>
      </w:pPr>
      <w:rPr>
        <w:rFonts w:ascii="Courier New" w:hAnsi="Courier New" w:cs="Courier New" w:hint="default"/>
      </w:rPr>
    </w:lvl>
    <w:lvl w:ilvl="5" w:tplc="77902C1E" w:tentative="1">
      <w:start w:val="1"/>
      <w:numFmt w:val="bullet"/>
      <w:lvlText w:val=""/>
      <w:lvlJc w:val="left"/>
      <w:pPr>
        <w:tabs>
          <w:tab w:val="num" w:pos="3960"/>
        </w:tabs>
        <w:ind w:left="3960" w:hanging="360"/>
      </w:pPr>
      <w:rPr>
        <w:rFonts w:ascii="Wingdings" w:hAnsi="Wingdings" w:hint="default"/>
      </w:rPr>
    </w:lvl>
    <w:lvl w:ilvl="6" w:tplc="ED86C72A" w:tentative="1">
      <w:start w:val="1"/>
      <w:numFmt w:val="bullet"/>
      <w:lvlText w:val=""/>
      <w:lvlJc w:val="left"/>
      <w:pPr>
        <w:tabs>
          <w:tab w:val="num" w:pos="4680"/>
        </w:tabs>
        <w:ind w:left="4680" w:hanging="360"/>
      </w:pPr>
      <w:rPr>
        <w:rFonts w:ascii="Symbol" w:hAnsi="Symbol" w:hint="default"/>
      </w:rPr>
    </w:lvl>
    <w:lvl w:ilvl="7" w:tplc="0CEAAE8E" w:tentative="1">
      <w:start w:val="1"/>
      <w:numFmt w:val="bullet"/>
      <w:lvlText w:val="o"/>
      <w:lvlJc w:val="left"/>
      <w:pPr>
        <w:tabs>
          <w:tab w:val="num" w:pos="5400"/>
        </w:tabs>
        <w:ind w:left="5400" w:hanging="360"/>
      </w:pPr>
      <w:rPr>
        <w:rFonts w:ascii="Courier New" w:hAnsi="Courier New" w:cs="Courier New" w:hint="default"/>
      </w:rPr>
    </w:lvl>
    <w:lvl w:ilvl="8" w:tplc="FD0678BA"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5E68144B"/>
    <w:multiLevelType w:val="hybridMultilevel"/>
    <w:tmpl w:val="FABA3730"/>
    <w:lvl w:ilvl="0" w:tplc="2DE280C6">
      <w:start w:val="1"/>
      <w:numFmt w:val="bullet"/>
      <w:lvlText w:val=""/>
      <w:lvlJc w:val="left"/>
      <w:pPr>
        <w:ind w:left="720" w:hanging="360"/>
      </w:pPr>
      <w:rPr>
        <w:rFonts w:ascii="Symbol" w:hAnsi="Symbol" w:hint="default"/>
      </w:rPr>
    </w:lvl>
    <w:lvl w:ilvl="1" w:tplc="B81EE7C0" w:tentative="1">
      <w:start w:val="1"/>
      <w:numFmt w:val="bullet"/>
      <w:lvlText w:val="o"/>
      <w:lvlJc w:val="left"/>
      <w:pPr>
        <w:ind w:left="1440" w:hanging="360"/>
      </w:pPr>
      <w:rPr>
        <w:rFonts w:ascii="Courier New" w:hAnsi="Courier New" w:cs="Courier New" w:hint="default"/>
      </w:rPr>
    </w:lvl>
    <w:lvl w:ilvl="2" w:tplc="39A008D6" w:tentative="1">
      <w:start w:val="1"/>
      <w:numFmt w:val="bullet"/>
      <w:lvlText w:val=""/>
      <w:lvlJc w:val="left"/>
      <w:pPr>
        <w:ind w:left="2160" w:hanging="360"/>
      </w:pPr>
      <w:rPr>
        <w:rFonts w:ascii="Wingdings" w:hAnsi="Wingdings" w:hint="default"/>
      </w:rPr>
    </w:lvl>
    <w:lvl w:ilvl="3" w:tplc="744016BC" w:tentative="1">
      <w:start w:val="1"/>
      <w:numFmt w:val="bullet"/>
      <w:lvlText w:val=""/>
      <w:lvlJc w:val="left"/>
      <w:pPr>
        <w:ind w:left="2880" w:hanging="360"/>
      </w:pPr>
      <w:rPr>
        <w:rFonts w:ascii="Symbol" w:hAnsi="Symbol" w:hint="default"/>
      </w:rPr>
    </w:lvl>
    <w:lvl w:ilvl="4" w:tplc="B3648E72" w:tentative="1">
      <w:start w:val="1"/>
      <w:numFmt w:val="bullet"/>
      <w:lvlText w:val="o"/>
      <w:lvlJc w:val="left"/>
      <w:pPr>
        <w:ind w:left="3600" w:hanging="360"/>
      </w:pPr>
      <w:rPr>
        <w:rFonts w:ascii="Courier New" w:hAnsi="Courier New" w:cs="Courier New" w:hint="default"/>
      </w:rPr>
    </w:lvl>
    <w:lvl w:ilvl="5" w:tplc="47529ACC" w:tentative="1">
      <w:start w:val="1"/>
      <w:numFmt w:val="bullet"/>
      <w:lvlText w:val=""/>
      <w:lvlJc w:val="left"/>
      <w:pPr>
        <w:ind w:left="4320" w:hanging="360"/>
      </w:pPr>
      <w:rPr>
        <w:rFonts w:ascii="Wingdings" w:hAnsi="Wingdings" w:hint="default"/>
      </w:rPr>
    </w:lvl>
    <w:lvl w:ilvl="6" w:tplc="069251CC" w:tentative="1">
      <w:start w:val="1"/>
      <w:numFmt w:val="bullet"/>
      <w:lvlText w:val=""/>
      <w:lvlJc w:val="left"/>
      <w:pPr>
        <w:ind w:left="5040" w:hanging="360"/>
      </w:pPr>
      <w:rPr>
        <w:rFonts w:ascii="Symbol" w:hAnsi="Symbol" w:hint="default"/>
      </w:rPr>
    </w:lvl>
    <w:lvl w:ilvl="7" w:tplc="747E6820" w:tentative="1">
      <w:start w:val="1"/>
      <w:numFmt w:val="bullet"/>
      <w:lvlText w:val="o"/>
      <w:lvlJc w:val="left"/>
      <w:pPr>
        <w:ind w:left="5760" w:hanging="360"/>
      </w:pPr>
      <w:rPr>
        <w:rFonts w:ascii="Courier New" w:hAnsi="Courier New" w:cs="Courier New" w:hint="default"/>
      </w:rPr>
    </w:lvl>
    <w:lvl w:ilvl="8" w:tplc="2B2C80E6" w:tentative="1">
      <w:start w:val="1"/>
      <w:numFmt w:val="bullet"/>
      <w:lvlText w:val=""/>
      <w:lvlJc w:val="left"/>
      <w:pPr>
        <w:ind w:left="6480" w:hanging="360"/>
      </w:pPr>
      <w:rPr>
        <w:rFonts w:ascii="Wingdings" w:hAnsi="Wingdings" w:hint="default"/>
      </w:rPr>
    </w:lvl>
  </w:abstractNum>
  <w:abstractNum w:abstractNumId="52" w15:restartNumberingAfterBreak="0">
    <w:nsid w:val="5F0D4B03"/>
    <w:multiLevelType w:val="multilevel"/>
    <w:tmpl w:val="009EEC8A"/>
    <w:lvl w:ilvl="0">
      <w:start w:val="1"/>
      <w:numFmt w:val="bullet"/>
      <w:pStyle w:val="Heading4"/>
      <w:lvlText w:val=""/>
      <w:lvlJc w:val="left"/>
      <w:pPr>
        <w:tabs>
          <w:tab w:val="num" w:pos="397"/>
        </w:tabs>
        <w:ind w:left="397" w:hanging="397"/>
      </w:pPr>
      <w:rPr>
        <w:rFonts w:ascii="Symbol" w:hAnsi="Symbol"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3" w15:restartNumberingAfterBreak="0">
    <w:nsid w:val="606B2D2D"/>
    <w:multiLevelType w:val="hybridMultilevel"/>
    <w:tmpl w:val="16284350"/>
    <w:lvl w:ilvl="0" w:tplc="CD3CEE68">
      <w:start w:val="1"/>
      <w:numFmt w:val="bullet"/>
      <w:pStyle w:val="StyleBullets3"/>
      <w:lvlText w:val=""/>
      <w:lvlJc w:val="left"/>
      <w:pPr>
        <w:ind w:left="2520" w:hanging="360"/>
      </w:pPr>
      <w:rPr>
        <w:rFonts w:ascii="Wingdings" w:hAnsi="Wingdings" w:hint="default"/>
      </w:rPr>
    </w:lvl>
    <w:lvl w:ilvl="1" w:tplc="355EC3A2" w:tentative="1">
      <w:start w:val="1"/>
      <w:numFmt w:val="bullet"/>
      <w:lvlText w:val="o"/>
      <w:lvlJc w:val="left"/>
      <w:pPr>
        <w:ind w:left="3240" w:hanging="360"/>
      </w:pPr>
      <w:rPr>
        <w:rFonts w:ascii="Courier New" w:hAnsi="Courier New" w:cs="Courier New" w:hint="default"/>
      </w:rPr>
    </w:lvl>
    <w:lvl w:ilvl="2" w:tplc="A9B2C6C4" w:tentative="1">
      <w:start w:val="1"/>
      <w:numFmt w:val="bullet"/>
      <w:lvlText w:val=""/>
      <w:lvlJc w:val="left"/>
      <w:pPr>
        <w:ind w:left="3960" w:hanging="360"/>
      </w:pPr>
      <w:rPr>
        <w:rFonts w:ascii="Wingdings" w:hAnsi="Wingdings" w:hint="default"/>
      </w:rPr>
    </w:lvl>
    <w:lvl w:ilvl="3" w:tplc="06484254" w:tentative="1">
      <w:start w:val="1"/>
      <w:numFmt w:val="bullet"/>
      <w:lvlText w:val=""/>
      <w:lvlJc w:val="left"/>
      <w:pPr>
        <w:ind w:left="4680" w:hanging="360"/>
      </w:pPr>
      <w:rPr>
        <w:rFonts w:ascii="Symbol" w:hAnsi="Symbol" w:hint="default"/>
      </w:rPr>
    </w:lvl>
    <w:lvl w:ilvl="4" w:tplc="E174A5F4" w:tentative="1">
      <w:start w:val="1"/>
      <w:numFmt w:val="bullet"/>
      <w:lvlText w:val="o"/>
      <w:lvlJc w:val="left"/>
      <w:pPr>
        <w:ind w:left="5400" w:hanging="360"/>
      </w:pPr>
      <w:rPr>
        <w:rFonts w:ascii="Courier New" w:hAnsi="Courier New" w:cs="Courier New" w:hint="default"/>
      </w:rPr>
    </w:lvl>
    <w:lvl w:ilvl="5" w:tplc="1EC83E00" w:tentative="1">
      <w:start w:val="1"/>
      <w:numFmt w:val="bullet"/>
      <w:lvlText w:val=""/>
      <w:lvlJc w:val="left"/>
      <w:pPr>
        <w:ind w:left="6120" w:hanging="360"/>
      </w:pPr>
      <w:rPr>
        <w:rFonts w:ascii="Wingdings" w:hAnsi="Wingdings" w:hint="default"/>
      </w:rPr>
    </w:lvl>
    <w:lvl w:ilvl="6" w:tplc="E4F8BD72" w:tentative="1">
      <w:start w:val="1"/>
      <w:numFmt w:val="bullet"/>
      <w:lvlText w:val=""/>
      <w:lvlJc w:val="left"/>
      <w:pPr>
        <w:ind w:left="6840" w:hanging="360"/>
      </w:pPr>
      <w:rPr>
        <w:rFonts w:ascii="Symbol" w:hAnsi="Symbol" w:hint="default"/>
      </w:rPr>
    </w:lvl>
    <w:lvl w:ilvl="7" w:tplc="6EC86DC4" w:tentative="1">
      <w:start w:val="1"/>
      <w:numFmt w:val="bullet"/>
      <w:lvlText w:val="o"/>
      <w:lvlJc w:val="left"/>
      <w:pPr>
        <w:ind w:left="7560" w:hanging="360"/>
      </w:pPr>
      <w:rPr>
        <w:rFonts w:ascii="Courier New" w:hAnsi="Courier New" w:cs="Courier New" w:hint="default"/>
      </w:rPr>
    </w:lvl>
    <w:lvl w:ilvl="8" w:tplc="5FB07526" w:tentative="1">
      <w:start w:val="1"/>
      <w:numFmt w:val="bullet"/>
      <w:lvlText w:val=""/>
      <w:lvlJc w:val="left"/>
      <w:pPr>
        <w:ind w:left="8280" w:hanging="360"/>
      </w:pPr>
      <w:rPr>
        <w:rFonts w:ascii="Wingdings" w:hAnsi="Wingdings" w:hint="default"/>
      </w:rPr>
    </w:lvl>
  </w:abstractNum>
  <w:abstractNum w:abstractNumId="54" w15:restartNumberingAfterBreak="0">
    <w:nsid w:val="63F57F52"/>
    <w:multiLevelType w:val="singleLevel"/>
    <w:tmpl w:val="B3D2204A"/>
    <w:lvl w:ilvl="0">
      <w:start w:val="1"/>
      <w:numFmt w:val="bullet"/>
      <w:pStyle w:val="Proc3"/>
      <w:lvlText w:val=""/>
      <w:lvlJc w:val="left"/>
      <w:pPr>
        <w:tabs>
          <w:tab w:val="num" w:pos="567"/>
        </w:tabs>
        <w:ind w:left="567" w:hanging="567"/>
      </w:pPr>
      <w:rPr>
        <w:rFonts w:ascii="Symbol" w:hAnsi="Symbol" w:hint="default"/>
      </w:rPr>
    </w:lvl>
  </w:abstractNum>
  <w:abstractNum w:abstractNumId="55" w15:restartNumberingAfterBreak="0">
    <w:nsid w:val="65635E16"/>
    <w:multiLevelType w:val="hybridMultilevel"/>
    <w:tmpl w:val="D5162A84"/>
    <w:lvl w:ilvl="0" w:tplc="B0F89CB8">
      <w:start w:val="1"/>
      <w:numFmt w:val="bullet"/>
      <w:lvlText w:val=""/>
      <w:lvlJc w:val="left"/>
      <w:pPr>
        <w:ind w:left="720" w:hanging="360"/>
      </w:pPr>
      <w:rPr>
        <w:rFonts w:ascii="Symbol" w:hAnsi="Symbol" w:hint="default"/>
      </w:rPr>
    </w:lvl>
    <w:lvl w:ilvl="1" w:tplc="CCC0659A" w:tentative="1">
      <w:start w:val="1"/>
      <w:numFmt w:val="bullet"/>
      <w:lvlText w:val="o"/>
      <w:lvlJc w:val="left"/>
      <w:pPr>
        <w:ind w:left="1440" w:hanging="360"/>
      </w:pPr>
      <w:rPr>
        <w:rFonts w:ascii="Courier New" w:hAnsi="Courier New" w:cs="Courier New" w:hint="default"/>
      </w:rPr>
    </w:lvl>
    <w:lvl w:ilvl="2" w:tplc="2382A952" w:tentative="1">
      <w:start w:val="1"/>
      <w:numFmt w:val="bullet"/>
      <w:lvlText w:val=""/>
      <w:lvlJc w:val="left"/>
      <w:pPr>
        <w:ind w:left="2160" w:hanging="360"/>
      </w:pPr>
      <w:rPr>
        <w:rFonts w:ascii="Wingdings" w:hAnsi="Wingdings" w:hint="default"/>
      </w:rPr>
    </w:lvl>
    <w:lvl w:ilvl="3" w:tplc="38F811AC" w:tentative="1">
      <w:start w:val="1"/>
      <w:numFmt w:val="bullet"/>
      <w:lvlText w:val=""/>
      <w:lvlJc w:val="left"/>
      <w:pPr>
        <w:ind w:left="2880" w:hanging="360"/>
      </w:pPr>
      <w:rPr>
        <w:rFonts w:ascii="Symbol" w:hAnsi="Symbol" w:hint="default"/>
      </w:rPr>
    </w:lvl>
    <w:lvl w:ilvl="4" w:tplc="7B2A6650" w:tentative="1">
      <w:start w:val="1"/>
      <w:numFmt w:val="bullet"/>
      <w:lvlText w:val="o"/>
      <w:lvlJc w:val="left"/>
      <w:pPr>
        <w:ind w:left="3600" w:hanging="360"/>
      </w:pPr>
      <w:rPr>
        <w:rFonts w:ascii="Courier New" w:hAnsi="Courier New" w:cs="Courier New" w:hint="default"/>
      </w:rPr>
    </w:lvl>
    <w:lvl w:ilvl="5" w:tplc="889654A0" w:tentative="1">
      <w:start w:val="1"/>
      <w:numFmt w:val="bullet"/>
      <w:lvlText w:val=""/>
      <w:lvlJc w:val="left"/>
      <w:pPr>
        <w:ind w:left="4320" w:hanging="360"/>
      </w:pPr>
      <w:rPr>
        <w:rFonts w:ascii="Wingdings" w:hAnsi="Wingdings" w:hint="default"/>
      </w:rPr>
    </w:lvl>
    <w:lvl w:ilvl="6" w:tplc="CE2ADC2C" w:tentative="1">
      <w:start w:val="1"/>
      <w:numFmt w:val="bullet"/>
      <w:lvlText w:val=""/>
      <w:lvlJc w:val="left"/>
      <w:pPr>
        <w:ind w:left="5040" w:hanging="360"/>
      </w:pPr>
      <w:rPr>
        <w:rFonts w:ascii="Symbol" w:hAnsi="Symbol" w:hint="default"/>
      </w:rPr>
    </w:lvl>
    <w:lvl w:ilvl="7" w:tplc="15D032EC" w:tentative="1">
      <w:start w:val="1"/>
      <w:numFmt w:val="bullet"/>
      <w:lvlText w:val="o"/>
      <w:lvlJc w:val="left"/>
      <w:pPr>
        <w:ind w:left="5760" w:hanging="360"/>
      </w:pPr>
      <w:rPr>
        <w:rFonts w:ascii="Courier New" w:hAnsi="Courier New" w:cs="Courier New" w:hint="default"/>
      </w:rPr>
    </w:lvl>
    <w:lvl w:ilvl="8" w:tplc="D062D37C" w:tentative="1">
      <w:start w:val="1"/>
      <w:numFmt w:val="bullet"/>
      <w:lvlText w:val=""/>
      <w:lvlJc w:val="left"/>
      <w:pPr>
        <w:ind w:left="6480" w:hanging="360"/>
      </w:pPr>
      <w:rPr>
        <w:rFonts w:ascii="Wingdings" w:hAnsi="Wingdings" w:hint="default"/>
      </w:rPr>
    </w:lvl>
  </w:abstractNum>
  <w:abstractNum w:abstractNumId="56" w15:restartNumberingAfterBreak="0">
    <w:nsid w:val="65E66AFF"/>
    <w:multiLevelType w:val="hybridMultilevel"/>
    <w:tmpl w:val="FF505F32"/>
    <w:lvl w:ilvl="0" w:tplc="836655F4">
      <w:start w:val="1"/>
      <w:numFmt w:val="bullet"/>
      <w:lvlText w:val=""/>
      <w:lvlJc w:val="left"/>
      <w:pPr>
        <w:ind w:left="720" w:hanging="360"/>
      </w:pPr>
      <w:rPr>
        <w:rFonts w:ascii="Symbol" w:hAnsi="Symbol" w:hint="default"/>
      </w:rPr>
    </w:lvl>
    <w:lvl w:ilvl="1" w:tplc="9F727CC0">
      <w:start w:val="1"/>
      <w:numFmt w:val="bullet"/>
      <w:pStyle w:val="Style5"/>
      <w:lvlText w:val=""/>
      <w:lvlJc w:val="left"/>
      <w:pPr>
        <w:ind w:left="1440" w:hanging="360"/>
      </w:pPr>
      <w:rPr>
        <w:rFonts w:ascii="Symbol" w:hAnsi="Symbol" w:hint="default"/>
      </w:rPr>
    </w:lvl>
    <w:lvl w:ilvl="2" w:tplc="AC48F086" w:tentative="1">
      <w:start w:val="1"/>
      <w:numFmt w:val="bullet"/>
      <w:lvlText w:val=""/>
      <w:lvlJc w:val="left"/>
      <w:pPr>
        <w:ind w:left="2160" w:hanging="360"/>
      </w:pPr>
      <w:rPr>
        <w:rFonts w:ascii="Wingdings" w:hAnsi="Wingdings" w:hint="default"/>
      </w:rPr>
    </w:lvl>
    <w:lvl w:ilvl="3" w:tplc="CEE22A28" w:tentative="1">
      <w:start w:val="1"/>
      <w:numFmt w:val="bullet"/>
      <w:lvlText w:val=""/>
      <w:lvlJc w:val="left"/>
      <w:pPr>
        <w:ind w:left="2880" w:hanging="360"/>
      </w:pPr>
      <w:rPr>
        <w:rFonts w:ascii="Symbol" w:hAnsi="Symbol" w:hint="default"/>
      </w:rPr>
    </w:lvl>
    <w:lvl w:ilvl="4" w:tplc="90521F78" w:tentative="1">
      <w:start w:val="1"/>
      <w:numFmt w:val="bullet"/>
      <w:lvlText w:val="o"/>
      <w:lvlJc w:val="left"/>
      <w:pPr>
        <w:ind w:left="3600" w:hanging="360"/>
      </w:pPr>
      <w:rPr>
        <w:rFonts w:ascii="Courier New" w:hAnsi="Courier New" w:cs="Courier New" w:hint="default"/>
      </w:rPr>
    </w:lvl>
    <w:lvl w:ilvl="5" w:tplc="9178167C" w:tentative="1">
      <w:start w:val="1"/>
      <w:numFmt w:val="bullet"/>
      <w:lvlText w:val=""/>
      <w:lvlJc w:val="left"/>
      <w:pPr>
        <w:ind w:left="4320" w:hanging="360"/>
      </w:pPr>
      <w:rPr>
        <w:rFonts w:ascii="Wingdings" w:hAnsi="Wingdings" w:hint="default"/>
      </w:rPr>
    </w:lvl>
    <w:lvl w:ilvl="6" w:tplc="0D967C10" w:tentative="1">
      <w:start w:val="1"/>
      <w:numFmt w:val="bullet"/>
      <w:lvlText w:val=""/>
      <w:lvlJc w:val="left"/>
      <w:pPr>
        <w:ind w:left="5040" w:hanging="360"/>
      </w:pPr>
      <w:rPr>
        <w:rFonts w:ascii="Symbol" w:hAnsi="Symbol" w:hint="default"/>
      </w:rPr>
    </w:lvl>
    <w:lvl w:ilvl="7" w:tplc="D632EA9C" w:tentative="1">
      <w:start w:val="1"/>
      <w:numFmt w:val="bullet"/>
      <w:lvlText w:val="o"/>
      <w:lvlJc w:val="left"/>
      <w:pPr>
        <w:ind w:left="5760" w:hanging="360"/>
      </w:pPr>
      <w:rPr>
        <w:rFonts w:ascii="Courier New" w:hAnsi="Courier New" w:cs="Courier New" w:hint="default"/>
      </w:rPr>
    </w:lvl>
    <w:lvl w:ilvl="8" w:tplc="E4485558" w:tentative="1">
      <w:start w:val="1"/>
      <w:numFmt w:val="bullet"/>
      <w:lvlText w:val=""/>
      <w:lvlJc w:val="left"/>
      <w:pPr>
        <w:ind w:left="6480" w:hanging="360"/>
      </w:pPr>
      <w:rPr>
        <w:rFonts w:ascii="Wingdings" w:hAnsi="Wingdings" w:hint="default"/>
      </w:rPr>
    </w:lvl>
  </w:abstractNum>
  <w:abstractNum w:abstractNumId="57" w15:restartNumberingAfterBreak="0">
    <w:nsid w:val="669A0168"/>
    <w:multiLevelType w:val="hybridMultilevel"/>
    <w:tmpl w:val="2DA2112E"/>
    <w:lvl w:ilvl="0" w:tplc="0BE229AE">
      <w:start w:val="1"/>
      <w:numFmt w:val="bullet"/>
      <w:lvlText w:val=""/>
      <w:lvlJc w:val="left"/>
      <w:pPr>
        <w:tabs>
          <w:tab w:val="num" w:pos="720"/>
        </w:tabs>
        <w:ind w:left="720" w:hanging="360"/>
      </w:pPr>
      <w:rPr>
        <w:rFonts w:ascii="Symbol" w:hAnsi="Symbol" w:hint="default"/>
      </w:rPr>
    </w:lvl>
    <w:lvl w:ilvl="1" w:tplc="7C3EC9B4">
      <w:start w:val="1"/>
      <w:numFmt w:val="bullet"/>
      <w:lvlText w:val="o"/>
      <w:lvlJc w:val="left"/>
      <w:pPr>
        <w:tabs>
          <w:tab w:val="num" w:pos="1440"/>
        </w:tabs>
        <w:ind w:left="1440" w:hanging="360"/>
      </w:pPr>
      <w:rPr>
        <w:rFonts w:ascii="Courier New" w:hAnsi="Courier New" w:cs="Courier New" w:hint="default"/>
      </w:rPr>
    </w:lvl>
    <w:lvl w:ilvl="2" w:tplc="8F7046FC">
      <w:start w:val="1"/>
      <w:numFmt w:val="bullet"/>
      <w:lvlText w:val=""/>
      <w:lvlJc w:val="left"/>
      <w:pPr>
        <w:tabs>
          <w:tab w:val="num" w:pos="2160"/>
        </w:tabs>
        <w:ind w:left="2160" w:hanging="360"/>
      </w:pPr>
      <w:rPr>
        <w:rFonts w:ascii="Wingdings" w:hAnsi="Wingdings" w:hint="default"/>
      </w:rPr>
    </w:lvl>
    <w:lvl w:ilvl="3" w:tplc="AB86C84A" w:tentative="1">
      <w:start w:val="1"/>
      <w:numFmt w:val="bullet"/>
      <w:lvlText w:val=""/>
      <w:lvlJc w:val="left"/>
      <w:pPr>
        <w:tabs>
          <w:tab w:val="num" w:pos="2880"/>
        </w:tabs>
        <w:ind w:left="2880" w:hanging="360"/>
      </w:pPr>
      <w:rPr>
        <w:rFonts w:ascii="Symbol" w:hAnsi="Symbol" w:hint="default"/>
      </w:rPr>
    </w:lvl>
    <w:lvl w:ilvl="4" w:tplc="57E8DA34" w:tentative="1">
      <w:start w:val="1"/>
      <w:numFmt w:val="bullet"/>
      <w:lvlText w:val="o"/>
      <w:lvlJc w:val="left"/>
      <w:pPr>
        <w:tabs>
          <w:tab w:val="num" w:pos="3600"/>
        </w:tabs>
        <w:ind w:left="3600" w:hanging="360"/>
      </w:pPr>
      <w:rPr>
        <w:rFonts w:ascii="Courier New" w:hAnsi="Courier New" w:cs="Courier New" w:hint="default"/>
      </w:rPr>
    </w:lvl>
    <w:lvl w:ilvl="5" w:tplc="A6FA6168" w:tentative="1">
      <w:start w:val="1"/>
      <w:numFmt w:val="bullet"/>
      <w:lvlText w:val=""/>
      <w:lvlJc w:val="left"/>
      <w:pPr>
        <w:tabs>
          <w:tab w:val="num" w:pos="4320"/>
        </w:tabs>
        <w:ind w:left="4320" w:hanging="360"/>
      </w:pPr>
      <w:rPr>
        <w:rFonts w:ascii="Wingdings" w:hAnsi="Wingdings" w:hint="default"/>
      </w:rPr>
    </w:lvl>
    <w:lvl w:ilvl="6" w:tplc="5052C1B2" w:tentative="1">
      <w:start w:val="1"/>
      <w:numFmt w:val="bullet"/>
      <w:lvlText w:val=""/>
      <w:lvlJc w:val="left"/>
      <w:pPr>
        <w:tabs>
          <w:tab w:val="num" w:pos="5040"/>
        </w:tabs>
        <w:ind w:left="5040" w:hanging="360"/>
      </w:pPr>
      <w:rPr>
        <w:rFonts w:ascii="Symbol" w:hAnsi="Symbol" w:hint="default"/>
      </w:rPr>
    </w:lvl>
    <w:lvl w:ilvl="7" w:tplc="4238D950" w:tentative="1">
      <w:start w:val="1"/>
      <w:numFmt w:val="bullet"/>
      <w:lvlText w:val="o"/>
      <w:lvlJc w:val="left"/>
      <w:pPr>
        <w:tabs>
          <w:tab w:val="num" w:pos="5760"/>
        </w:tabs>
        <w:ind w:left="5760" w:hanging="360"/>
      </w:pPr>
      <w:rPr>
        <w:rFonts w:ascii="Courier New" w:hAnsi="Courier New" w:cs="Courier New" w:hint="default"/>
      </w:rPr>
    </w:lvl>
    <w:lvl w:ilvl="8" w:tplc="7172BFC0"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9E4155D"/>
    <w:multiLevelType w:val="hybridMultilevel"/>
    <w:tmpl w:val="ECFC0E68"/>
    <w:lvl w:ilvl="0" w:tplc="8B12C69A">
      <w:start w:val="1"/>
      <w:numFmt w:val="bullet"/>
      <w:lvlText w:val=""/>
      <w:lvlJc w:val="left"/>
      <w:pPr>
        <w:tabs>
          <w:tab w:val="num" w:pos="720"/>
        </w:tabs>
        <w:ind w:left="720" w:hanging="360"/>
      </w:pPr>
      <w:rPr>
        <w:rFonts w:ascii="Symbol" w:hAnsi="Symbol" w:hint="default"/>
      </w:rPr>
    </w:lvl>
    <w:lvl w:ilvl="1" w:tplc="85022CB4">
      <w:start w:val="1"/>
      <w:numFmt w:val="bullet"/>
      <w:lvlText w:val="o"/>
      <w:lvlJc w:val="left"/>
      <w:pPr>
        <w:tabs>
          <w:tab w:val="num" w:pos="1440"/>
        </w:tabs>
        <w:ind w:left="1440" w:hanging="360"/>
      </w:pPr>
      <w:rPr>
        <w:rFonts w:ascii="Courier New" w:hAnsi="Courier New" w:cs="Courier New" w:hint="default"/>
      </w:rPr>
    </w:lvl>
    <w:lvl w:ilvl="2" w:tplc="3B801346">
      <w:start w:val="1"/>
      <w:numFmt w:val="bullet"/>
      <w:lvlText w:val=""/>
      <w:lvlJc w:val="left"/>
      <w:pPr>
        <w:tabs>
          <w:tab w:val="num" w:pos="2160"/>
        </w:tabs>
        <w:ind w:left="2160" w:hanging="360"/>
      </w:pPr>
      <w:rPr>
        <w:rFonts w:ascii="Wingdings" w:hAnsi="Wingdings" w:hint="default"/>
      </w:rPr>
    </w:lvl>
    <w:lvl w:ilvl="3" w:tplc="D360C418" w:tentative="1">
      <w:start w:val="1"/>
      <w:numFmt w:val="bullet"/>
      <w:lvlText w:val=""/>
      <w:lvlJc w:val="left"/>
      <w:pPr>
        <w:tabs>
          <w:tab w:val="num" w:pos="2880"/>
        </w:tabs>
        <w:ind w:left="2880" w:hanging="360"/>
      </w:pPr>
      <w:rPr>
        <w:rFonts w:ascii="Symbol" w:hAnsi="Symbol" w:hint="default"/>
      </w:rPr>
    </w:lvl>
    <w:lvl w:ilvl="4" w:tplc="5CDE48F8" w:tentative="1">
      <w:start w:val="1"/>
      <w:numFmt w:val="bullet"/>
      <w:lvlText w:val="o"/>
      <w:lvlJc w:val="left"/>
      <w:pPr>
        <w:tabs>
          <w:tab w:val="num" w:pos="3600"/>
        </w:tabs>
        <w:ind w:left="3600" w:hanging="360"/>
      </w:pPr>
      <w:rPr>
        <w:rFonts w:ascii="Courier New" w:hAnsi="Courier New" w:cs="Courier New" w:hint="default"/>
      </w:rPr>
    </w:lvl>
    <w:lvl w:ilvl="5" w:tplc="E4BC8854" w:tentative="1">
      <w:start w:val="1"/>
      <w:numFmt w:val="bullet"/>
      <w:lvlText w:val=""/>
      <w:lvlJc w:val="left"/>
      <w:pPr>
        <w:tabs>
          <w:tab w:val="num" w:pos="4320"/>
        </w:tabs>
        <w:ind w:left="4320" w:hanging="360"/>
      </w:pPr>
      <w:rPr>
        <w:rFonts w:ascii="Wingdings" w:hAnsi="Wingdings" w:hint="default"/>
      </w:rPr>
    </w:lvl>
    <w:lvl w:ilvl="6" w:tplc="6CA21FC2" w:tentative="1">
      <w:start w:val="1"/>
      <w:numFmt w:val="bullet"/>
      <w:lvlText w:val=""/>
      <w:lvlJc w:val="left"/>
      <w:pPr>
        <w:tabs>
          <w:tab w:val="num" w:pos="5040"/>
        </w:tabs>
        <w:ind w:left="5040" w:hanging="360"/>
      </w:pPr>
      <w:rPr>
        <w:rFonts w:ascii="Symbol" w:hAnsi="Symbol" w:hint="default"/>
      </w:rPr>
    </w:lvl>
    <w:lvl w:ilvl="7" w:tplc="D1AC4C72" w:tentative="1">
      <w:start w:val="1"/>
      <w:numFmt w:val="bullet"/>
      <w:lvlText w:val="o"/>
      <w:lvlJc w:val="left"/>
      <w:pPr>
        <w:tabs>
          <w:tab w:val="num" w:pos="5760"/>
        </w:tabs>
        <w:ind w:left="5760" w:hanging="360"/>
      </w:pPr>
      <w:rPr>
        <w:rFonts w:ascii="Courier New" w:hAnsi="Courier New" w:cs="Courier New" w:hint="default"/>
      </w:rPr>
    </w:lvl>
    <w:lvl w:ilvl="8" w:tplc="0E90FC62"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A411E7D"/>
    <w:multiLevelType w:val="hybridMultilevel"/>
    <w:tmpl w:val="C2E2E3EA"/>
    <w:lvl w:ilvl="0" w:tplc="5192E31E">
      <w:start w:val="1"/>
      <w:numFmt w:val="bullet"/>
      <w:lvlText w:val=""/>
      <w:lvlJc w:val="left"/>
      <w:pPr>
        <w:tabs>
          <w:tab w:val="num" w:pos="360"/>
        </w:tabs>
        <w:ind w:left="360" w:hanging="360"/>
      </w:pPr>
      <w:rPr>
        <w:rFonts w:ascii="Symbol" w:hAnsi="Symbol" w:hint="default"/>
      </w:rPr>
    </w:lvl>
    <w:lvl w:ilvl="1" w:tplc="8AFEA5D0" w:tentative="1">
      <w:start w:val="1"/>
      <w:numFmt w:val="bullet"/>
      <w:lvlText w:val="o"/>
      <w:lvlJc w:val="left"/>
      <w:pPr>
        <w:tabs>
          <w:tab w:val="num" w:pos="1080"/>
        </w:tabs>
        <w:ind w:left="1080" w:hanging="360"/>
      </w:pPr>
      <w:rPr>
        <w:rFonts w:ascii="Courier New" w:hAnsi="Courier New" w:cs="Courier New" w:hint="default"/>
      </w:rPr>
    </w:lvl>
    <w:lvl w:ilvl="2" w:tplc="8A9042F6" w:tentative="1">
      <w:start w:val="1"/>
      <w:numFmt w:val="bullet"/>
      <w:lvlText w:val=""/>
      <w:lvlJc w:val="left"/>
      <w:pPr>
        <w:tabs>
          <w:tab w:val="num" w:pos="1800"/>
        </w:tabs>
        <w:ind w:left="1800" w:hanging="360"/>
      </w:pPr>
      <w:rPr>
        <w:rFonts w:ascii="Wingdings" w:hAnsi="Wingdings" w:hint="default"/>
      </w:rPr>
    </w:lvl>
    <w:lvl w:ilvl="3" w:tplc="4A6A1A80" w:tentative="1">
      <w:start w:val="1"/>
      <w:numFmt w:val="bullet"/>
      <w:lvlText w:val=""/>
      <w:lvlJc w:val="left"/>
      <w:pPr>
        <w:tabs>
          <w:tab w:val="num" w:pos="2520"/>
        </w:tabs>
        <w:ind w:left="2520" w:hanging="360"/>
      </w:pPr>
      <w:rPr>
        <w:rFonts w:ascii="Symbol" w:hAnsi="Symbol" w:hint="default"/>
      </w:rPr>
    </w:lvl>
    <w:lvl w:ilvl="4" w:tplc="12849B66" w:tentative="1">
      <w:start w:val="1"/>
      <w:numFmt w:val="bullet"/>
      <w:lvlText w:val="o"/>
      <w:lvlJc w:val="left"/>
      <w:pPr>
        <w:tabs>
          <w:tab w:val="num" w:pos="3240"/>
        </w:tabs>
        <w:ind w:left="3240" w:hanging="360"/>
      </w:pPr>
      <w:rPr>
        <w:rFonts w:ascii="Courier New" w:hAnsi="Courier New" w:cs="Courier New" w:hint="default"/>
      </w:rPr>
    </w:lvl>
    <w:lvl w:ilvl="5" w:tplc="FF9A480A" w:tentative="1">
      <w:start w:val="1"/>
      <w:numFmt w:val="bullet"/>
      <w:lvlText w:val=""/>
      <w:lvlJc w:val="left"/>
      <w:pPr>
        <w:tabs>
          <w:tab w:val="num" w:pos="3960"/>
        </w:tabs>
        <w:ind w:left="3960" w:hanging="360"/>
      </w:pPr>
      <w:rPr>
        <w:rFonts w:ascii="Wingdings" w:hAnsi="Wingdings" w:hint="default"/>
      </w:rPr>
    </w:lvl>
    <w:lvl w:ilvl="6" w:tplc="0D0865A6" w:tentative="1">
      <w:start w:val="1"/>
      <w:numFmt w:val="bullet"/>
      <w:lvlText w:val=""/>
      <w:lvlJc w:val="left"/>
      <w:pPr>
        <w:tabs>
          <w:tab w:val="num" w:pos="4680"/>
        </w:tabs>
        <w:ind w:left="4680" w:hanging="360"/>
      </w:pPr>
      <w:rPr>
        <w:rFonts w:ascii="Symbol" w:hAnsi="Symbol" w:hint="default"/>
      </w:rPr>
    </w:lvl>
    <w:lvl w:ilvl="7" w:tplc="E7485314" w:tentative="1">
      <w:start w:val="1"/>
      <w:numFmt w:val="bullet"/>
      <w:lvlText w:val="o"/>
      <w:lvlJc w:val="left"/>
      <w:pPr>
        <w:tabs>
          <w:tab w:val="num" w:pos="5400"/>
        </w:tabs>
        <w:ind w:left="5400" w:hanging="360"/>
      </w:pPr>
      <w:rPr>
        <w:rFonts w:ascii="Courier New" w:hAnsi="Courier New" w:cs="Courier New" w:hint="default"/>
      </w:rPr>
    </w:lvl>
    <w:lvl w:ilvl="8" w:tplc="8026AF56"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A6908DC"/>
    <w:multiLevelType w:val="hybridMultilevel"/>
    <w:tmpl w:val="349A5322"/>
    <w:lvl w:ilvl="0" w:tplc="C480061C">
      <w:start w:val="1"/>
      <w:numFmt w:val="bullet"/>
      <w:lvlText w:val=""/>
      <w:lvlJc w:val="left"/>
      <w:pPr>
        <w:tabs>
          <w:tab w:val="num" w:pos="720"/>
        </w:tabs>
        <w:ind w:left="720" w:hanging="360"/>
      </w:pPr>
      <w:rPr>
        <w:rFonts w:ascii="Symbol" w:hAnsi="Symbol" w:hint="default"/>
      </w:rPr>
    </w:lvl>
    <w:lvl w:ilvl="1" w:tplc="D960F08A">
      <w:start w:val="1"/>
      <w:numFmt w:val="bullet"/>
      <w:lvlText w:val="o"/>
      <w:lvlJc w:val="left"/>
      <w:pPr>
        <w:tabs>
          <w:tab w:val="num" w:pos="1440"/>
        </w:tabs>
        <w:ind w:left="1440" w:hanging="360"/>
      </w:pPr>
      <w:rPr>
        <w:rFonts w:ascii="Courier New" w:hAnsi="Courier New" w:cs="Courier New" w:hint="default"/>
      </w:rPr>
    </w:lvl>
    <w:lvl w:ilvl="2" w:tplc="68C6D77C" w:tentative="1">
      <w:start w:val="1"/>
      <w:numFmt w:val="bullet"/>
      <w:lvlText w:val=""/>
      <w:lvlJc w:val="left"/>
      <w:pPr>
        <w:tabs>
          <w:tab w:val="num" w:pos="2160"/>
        </w:tabs>
        <w:ind w:left="2160" w:hanging="360"/>
      </w:pPr>
      <w:rPr>
        <w:rFonts w:ascii="Wingdings" w:hAnsi="Wingdings" w:hint="default"/>
      </w:rPr>
    </w:lvl>
    <w:lvl w:ilvl="3" w:tplc="26FE65F2" w:tentative="1">
      <w:start w:val="1"/>
      <w:numFmt w:val="bullet"/>
      <w:lvlText w:val=""/>
      <w:lvlJc w:val="left"/>
      <w:pPr>
        <w:tabs>
          <w:tab w:val="num" w:pos="2880"/>
        </w:tabs>
        <w:ind w:left="2880" w:hanging="360"/>
      </w:pPr>
      <w:rPr>
        <w:rFonts w:ascii="Symbol" w:hAnsi="Symbol" w:hint="default"/>
      </w:rPr>
    </w:lvl>
    <w:lvl w:ilvl="4" w:tplc="95C87D52" w:tentative="1">
      <w:start w:val="1"/>
      <w:numFmt w:val="bullet"/>
      <w:lvlText w:val="o"/>
      <w:lvlJc w:val="left"/>
      <w:pPr>
        <w:tabs>
          <w:tab w:val="num" w:pos="3600"/>
        </w:tabs>
        <w:ind w:left="3600" w:hanging="360"/>
      </w:pPr>
      <w:rPr>
        <w:rFonts w:ascii="Courier New" w:hAnsi="Courier New" w:cs="Courier New" w:hint="default"/>
      </w:rPr>
    </w:lvl>
    <w:lvl w:ilvl="5" w:tplc="499E9CD6" w:tentative="1">
      <w:start w:val="1"/>
      <w:numFmt w:val="bullet"/>
      <w:lvlText w:val=""/>
      <w:lvlJc w:val="left"/>
      <w:pPr>
        <w:tabs>
          <w:tab w:val="num" w:pos="4320"/>
        </w:tabs>
        <w:ind w:left="4320" w:hanging="360"/>
      </w:pPr>
      <w:rPr>
        <w:rFonts w:ascii="Wingdings" w:hAnsi="Wingdings" w:hint="default"/>
      </w:rPr>
    </w:lvl>
    <w:lvl w:ilvl="6" w:tplc="2E5610E4" w:tentative="1">
      <w:start w:val="1"/>
      <w:numFmt w:val="bullet"/>
      <w:lvlText w:val=""/>
      <w:lvlJc w:val="left"/>
      <w:pPr>
        <w:tabs>
          <w:tab w:val="num" w:pos="5040"/>
        </w:tabs>
        <w:ind w:left="5040" w:hanging="360"/>
      </w:pPr>
      <w:rPr>
        <w:rFonts w:ascii="Symbol" w:hAnsi="Symbol" w:hint="default"/>
      </w:rPr>
    </w:lvl>
    <w:lvl w:ilvl="7" w:tplc="43103472" w:tentative="1">
      <w:start w:val="1"/>
      <w:numFmt w:val="bullet"/>
      <w:lvlText w:val="o"/>
      <w:lvlJc w:val="left"/>
      <w:pPr>
        <w:tabs>
          <w:tab w:val="num" w:pos="5760"/>
        </w:tabs>
        <w:ind w:left="5760" w:hanging="360"/>
      </w:pPr>
      <w:rPr>
        <w:rFonts w:ascii="Courier New" w:hAnsi="Courier New" w:cs="Courier New" w:hint="default"/>
      </w:rPr>
    </w:lvl>
    <w:lvl w:ilvl="8" w:tplc="543A9C2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F9337D0"/>
    <w:multiLevelType w:val="hybridMultilevel"/>
    <w:tmpl w:val="95101FDC"/>
    <w:lvl w:ilvl="0" w:tplc="CC74310C">
      <w:start w:val="1"/>
      <w:numFmt w:val="bullet"/>
      <w:lvlText w:val=""/>
      <w:lvlJc w:val="left"/>
      <w:pPr>
        <w:tabs>
          <w:tab w:val="num" w:pos="720"/>
        </w:tabs>
        <w:ind w:left="720" w:hanging="360"/>
      </w:pPr>
      <w:rPr>
        <w:rFonts w:ascii="Symbol" w:hAnsi="Symbol" w:hint="default"/>
      </w:rPr>
    </w:lvl>
    <w:lvl w:ilvl="1" w:tplc="1D3AA6E2" w:tentative="1">
      <w:start w:val="1"/>
      <w:numFmt w:val="bullet"/>
      <w:lvlText w:val="o"/>
      <w:lvlJc w:val="left"/>
      <w:pPr>
        <w:tabs>
          <w:tab w:val="num" w:pos="1440"/>
        </w:tabs>
        <w:ind w:left="1440" w:hanging="360"/>
      </w:pPr>
      <w:rPr>
        <w:rFonts w:ascii="Courier New" w:hAnsi="Courier New" w:cs="Courier New" w:hint="default"/>
      </w:rPr>
    </w:lvl>
    <w:lvl w:ilvl="2" w:tplc="DB001B6C" w:tentative="1">
      <w:start w:val="1"/>
      <w:numFmt w:val="bullet"/>
      <w:lvlText w:val=""/>
      <w:lvlJc w:val="left"/>
      <w:pPr>
        <w:tabs>
          <w:tab w:val="num" w:pos="2160"/>
        </w:tabs>
        <w:ind w:left="2160" w:hanging="360"/>
      </w:pPr>
      <w:rPr>
        <w:rFonts w:ascii="Wingdings" w:hAnsi="Wingdings" w:hint="default"/>
      </w:rPr>
    </w:lvl>
    <w:lvl w:ilvl="3" w:tplc="741E14F2" w:tentative="1">
      <w:start w:val="1"/>
      <w:numFmt w:val="bullet"/>
      <w:lvlText w:val=""/>
      <w:lvlJc w:val="left"/>
      <w:pPr>
        <w:tabs>
          <w:tab w:val="num" w:pos="2880"/>
        </w:tabs>
        <w:ind w:left="2880" w:hanging="360"/>
      </w:pPr>
      <w:rPr>
        <w:rFonts w:ascii="Symbol" w:hAnsi="Symbol" w:hint="default"/>
      </w:rPr>
    </w:lvl>
    <w:lvl w:ilvl="4" w:tplc="D0502424" w:tentative="1">
      <w:start w:val="1"/>
      <w:numFmt w:val="bullet"/>
      <w:lvlText w:val="o"/>
      <w:lvlJc w:val="left"/>
      <w:pPr>
        <w:tabs>
          <w:tab w:val="num" w:pos="3600"/>
        </w:tabs>
        <w:ind w:left="3600" w:hanging="360"/>
      </w:pPr>
      <w:rPr>
        <w:rFonts w:ascii="Courier New" w:hAnsi="Courier New" w:cs="Courier New" w:hint="default"/>
      </w:rPr>
    </w:lvl>
    <w:lvl w:ilvl="5" w:tplc="F43C56D2" w:tentative="1">
      <w:start w:val="1"/>
      <w:numFmt w:val="bullet"/>
      <w:lvlText w:val=""/>
      <w:lvlJc w:val="left"/>
      <w:pPr>
        <w:tabs>
          <w:tab w:val="num" w:pos="4320"/>
        </w:tabs>
        <w:ind w:left="4320" w:hanging="360"/>
      </w:pPr>
      <w:rPr>
        <w:rFonts w:ascii="Wingdings" w:hAnsi="Wingdings" w:hint="default"/>
      </w:rPr>
    </w:lvl>
    <w:lvl w:ilvl="6" w:tplc="474CBEBC" w:tentative="1">
      <w:start w:val="1"/>
      <w:numFmt w:val="bullet"/>
      <w:lvlText w:val=""/>
      <w:lvlJc w:val="left"/>
      <w:pPr>
        <w:tabs>
          <w:tab w:val="num" w:pos="5040"/>
        </w:tabs>
        <w:ind w:left="5040" w:hanging="360"/>
      </w:pPr>
      <w:rPr>
        <w:rFonts w:ascii="Symbol" w:hAnsi="Symbol" w:hint="default"/>
      </w:rPr>
    </w:lvl>
    <w:lvl w:ilvl="7" w:tplc="ADEA6F20" w:tentative="1">
      <w:start w:val="1"/>
      <w:numFmt w:val="bullet"/>
      <w:lvlText w:val="o"/>
      <w:lvlJc w:val="left"/>
      <w:pPr>
        <w:tabs>
          <w:tab w:val="num" w:pos="5760"/>
        </w:tabs>
        <w:ind w:left="5760" w:hanging="360"/>
      </w:pPr>
      <w:rPr>
        <w:rFonts w:ascii="Courier New" w:hAnsi="Courier New" w:cs="Courier New" w:hint="default"/>
      </w:rPr>
    </w:lvl>
    <w:lvl w:ilvl="8" w:tplc="88D01E0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33F127C"/>
    <w:multiLevelType w:val="hybridMultilevel"/>
    <w:tmpl w:val="91620312"/>
    <w:lvl w:ilvl="0" w:tplc="144C23D8">
      <w:start w:val="1"/>
      <w:numFmt w:val="bullet"/>
      <w:lvlText w:val=""/>
      <w:lvlJc w:val="left"/>
      <w:pPr>
        <w:ind w:left="720" w:hanging="360"/>
      </w:pPr>
      <w:rPr>
        <w:rFonts w:ascii="Symbol" w:hAnsi="Symbol" w:hint="default"/>
      </w:rPr>
    </w:lvl>
    <w:lvl w:ilvl="1" w:tplc="70CE093C" w:tentative="1">
      <w:start w:val="1"/>
      <w:numFmt w:val="bullet"/>
      <w:lvlText w:val="o"/>
      <w:lvlJc w:val="left"/>
      <w:pPr>
        <w:ind w:left="1440" w:hanging="360"/>
      </w:pPr>
      <w:rPr>
        <w:rFonts w:ascii="Courier New" w:hAnsi="Courier New" w:cs="Courier New" w:hint="default"/>
      </w:rPr>
    </w:lvl>
    <w:lvl w:ilvl="2" w:tplc="9DEE49BE" w:tentative="1">
      <w:start w:val="1"/>
      <w:numFmt w:val="bullet"/>
      <w:lvlText w:val=""/>
      <w:lvlJc w:val="left"/>
      <w:pPr>
        <w:ind w:left="2160" w:hanging="360"/>
      </w:pPr>
      <w:rPr>
        <w:rFonts w:ascii="Wingdings" w:hAnsi="Wingdings" w:hint="default"/>
      </w:rPr>
    </w:lvl>
    <w:lvl w:ilvl="3" w:tplc="590EEB6E" w:tentative="1">
      <w:start w:val="1"/>
      <w:numFmt w:val="bullet"/>
      <w:lvlText w:val=""/>
      <w:lvlJc w:val="left"/>
      <w:pPr>
        <w:ind w:left="2880" w:hanging="360"/>
      </w:pPr>
      <w:rPr>
        <w:rFonts w:ascii="Symbol" w:hAnsi="Symbol" w:hint="default"/>
      </w:rPr>
    </w:lvl>
    <w:lvl w:ilvl="4" w:tplc="6F72D912" w:tentative="1">
      <w:start w:val="1"/>
      <w:numFmt w:val="bullet"/>
      <w:lvlText w:val="o"/>
      <w:lvlJc w:val="left"/>
      <w:pPr>
        <w:ind w:left="3600" w:hanging="360"/>
      </w:pPr>
      <w:rPr>
        <w:rFonts w:ascii="Courier New" w:hAnsi="Courier New" w:cs="Courier New" w:hint="default"/>
      </w:rPr>
    </w:lvl>
    <w:lvl w:ilvl="5" w:tplc="211A2ED6" w:tentative="1">
      <w:start w:val="1"/>
      <w:numFmt w:val="bullet"/>
      <w:lvlText w:val=""/>
      <w:lvlJc w:val="left"/>
      <w:pPr>
        <w:ind w:left="4320" w:hanging="360"/>
      </w:pPr>
      <w:rPr>
        <w:rFonts w:ascii="Wingdings" w:hAnsi="Wingdings" w:hint="default"/>
      </w:rPr>
    </w:lvl>
    <w:lvl w:ilvl="6" w:tplc="17EE75F8" w:tentative="1">
      <w:start w:val="1"/>
      <w:numFmt w:val="bullet"/>
      <w:lvlText w:val=""/>
      <w:lvlJc w:val="left"/>
      <w:pPr>
        <w:ind w:left="5040" w:hanging="360"/>
      </w:pPr>
      <w:rPr>
        <w:rFonts w:ascii="Symbol" w:hAnsi="Symbol" w:hint="default"/>
      </w:rPr>
    </w:lvl>
    <w:lvl w:ilvl="7" w:tplc="208855F8" w:tentative="1">
      <w:start w:val="1"/>
      <w:numFmt w:val="bullet"/>
      <w:lvlText w:val="o"/>
      <w:lvlJc w:val="left"/>
      <w:pPr>
        <w:ind w:left="5760" w:hanging="360"/>
      </w:pPr>
      <w:rPr>
        <w:rFonts w:ascii="Courier New" w:hAnsi="Courier New" w:cs="Courier New" w:hint="default"/>
      </w:rPr>
    </w:lvl>
    <w:lvl w:ilvl="8" w:tplc="73B6A888" w:tentative="1">
      <w:start w:val="1"/>
      <w:numFmt w:val="bullet"/>
      <w:lvlText w:val=""/>
      <w:lvlJc w:val="left"/>
      <w:pPr>
        <w:ind w:left="6480" w:hanging="360"/>
      </w:pPr>
      <w:rPr>
        <w:rFonts w:ascii="Wingdings" w:hAnsi="Wingdings" w:hint="default"/>
      </w:rPr>
    </w:lvl>
  </w:abstractNum>
  <w:abstractNum w:abstractNumId="63" w15:restartNumberingAfterBreak="0">
    <w:nsid w:val="77793953"/>
    <w:multiLevelType w:val="hybridMultilevel"/>
    <w:tmpl w:val="730AACCA"/>
    <w:lvl w:ilvl="0" w:tplc="43684E60">
      <w:start w:val="1"/>
      <w:numFmt w:val="bullet"/>
      <w:lvlText w:val=""/>
      <w:lvlJc w:val="left"/>
      <w:pPr>
        <w:tabs>
          <w:tab w:val="num" w:pos="720"/>
        </w:tabs>
        <w:ind w:left="720" w:hanging="360"/>
      </w:pPr>
      <w:rPr>
        <w:rFonts w:ascii="Symbol" w:hAnsi="Symbol" w:hint="default"/>
      </w:rPr>
    </w:lvl>
    <w:lvl w:ilvl="1" w:tplc="489610AE">
      <w:start w:val="1"/>
      <w:numFmt w:val="bullet"/>
      <w:lvlText w:val="o"/>
      <w:lvlJc w:val="left"/>
      <w:pPr>
        <w:tabs>
          <w:tab w:val="num" w:pos="1440"/>
        </w:tabs>
        <w:ind w:left="1440" w:hanging="360"/>
      </w:pPr>
      <w:rPr>
        <w:rFonts w:ascii="Courier New" w:hAnsi="Courier New" w:hint="default"/>
      </w:rPr>
    </w:lvl>
    <w:lvl w:ilvl="2" w:tplc="44422C28">
      <w:start w:val="1"/>
      <w:numFmt w:val="bullet"/>
      <w:lvlText w:val=""/>
      <w:lvlJc w:val="left"/>
      <w:pPr>
        <w:tabs>
          <w:tab w:val="num" w:pos="2160"/>
        </w:tabs>
        <w:ind w:left="2160" w:hanging="360"/>
      </w:pPr>
      <w:rPr>
        <w:rFonts w:ascii="Wingdings" w:hAnsi="Wingdings" w:hint="default"/>
      </w:rPr>
    </w:lvl>
    <w:lvl w:ilvl="3" w:tplc="6FF0CD3E">
      <w:start w:val="1"/>
      <w:numFmt w:val="bullet"/>
      <w:lvlText w:val=""/>
      <w:lvlJc w:val="left"/>
      <w:pPr>
        <w:tabs>
          <w:tab w:val="num" w:pos="2880"/>
        </w:tabs>
        <w:ind w:left="2880" w:hanging="360"/>
      </w:pPr>
      <w:rPr>
        <w:rFonts w:ascii="Symbol" w:hAnsi="Symbol" w:hint="default"/>
      </w:rPr>
    </w:lvl>
    <w:lvl w:ilvl="4" w:tplc="479EEC36">
      <w:start w:val="1"/>
      <w:numFmt w:val="bullet"/>
      <w:lvlText w:val="o"/>
      <w:lvlJc w:val="left"/>
      <w:pPr>
        <w:tabs>
          <w:tab w:val="num" w:pos="3600"/>
        </w:tabs>
        <w:ind w:left="3600" w:hanging="360"/>
      </w:pPr>
      <w:rPr>
        <w:rFonts w:ascii="Courier New" w:hAnsi="Courier New" w:hint="default"/>
      </w:rPr>
    </w:lvl>
    <w:lvl w:ilvl="5" w:tplc="68B8BE1C" w:tentative="1">
      <w:start w:val="1"/>
      <w:numFmt w:val="bullet"/>
      <w:lvlText w:val=""/>
      <w:lvlJc w:val="left"/>
      <w:pPr>
        <w:tabs>
          <w:tab w:val="num" w:pos="4320"/>
        </w:tabs>
        <w:ind w:left="4320" w:hanging="360"/>
      </w:pPr>
      <w:rPr>
        <w:rFonts w:ascii="Wingdings" w:hAnsi="Wingdings" w:hint="default"/>
      </w:rPr>
    </w:lvl>
    <w:lvl w:ilvl="6" w:tplc="B0EAB484" w:tentative="1">
      <w:start w:val="1"/>
      <w:numFmt w:val="bullet"/>
      <w:lvlText w:val=""/>
      <w:lvlJc w:val="left"/>
      <w:pPr>
        <w:tabs>
          <w:tab w:val="num" w:pos="5040"/>
        </w:tabs>
        <w:ind w:left="5040" w:hanging="360"/>
      </w:pPr>
      <w:rPr>
        <w:rFonts w:ascii="Symbol" w:hAnsi="Symbol" w:hint="default"/>
      </w:rPr>
    </w:lvl>
    <w:lvl w:ilvl="7" w:tplc="BC522488" w:tentative="1">
      <w:start w:val="1"/>
      <w:numFmt w:val="bullet"/>
      <w:lvlText w:val="o"/>
      <w:lvlJc w:val="left"/>
      <w:pPr>
        <w:tabs>
          <w:tab w:val="num" w:pos="5760"/>
        </w:tabs>
        <w:ind w:left="5760" w:hanging="360"/>
      </w:pPr>
      <w:rPr>
        <w:rFonts w:ascii="Courier New" w:hAnsi="Courier New" w:hint="default"/>
      </w:rPr>
    </w:lvl>
    <w:lvl w:ilvl="8" w:tplc="C5E4352A"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8AB0C21"/>
    <w:multiLevelType w:val="hybridMultilevel"/>
    <w:tmpl w:val="BF2A33D0"/>
    <w:lvl w:ilvl="0" w:tplc="A648BD8C">
      <w:start w:val="1"/>
      <w:numFmt w:val="bullet"/>
      <w:lvlText w:val=""/>
      <w:lvlJc w:val="left"/>
      <w:pPr>
        <w:tabs>
          <w:tab w:val="num" w:pos="780"/>
        </w:tabs>
        <w:ind w:left="780" w:hanging="360"/>
      </w:pPr>
      <w:rPr>
        <w:rFonts w:ascii="Symbol" w:hAnsi="Symbol" w:hint="default"/>
      </w:rPr>
    </w:lvl>
    <w:lvl w:ilvl="1" w:tplc="33B62CB0">
      <w:start w:val="1"/>
      <w:numFmt w:val="bullet"/>
      <w:lvlText w:val="o"/>
      <w:lvlJc w:val="left"/>
      <w:pPr>
        <w:tabs>
          <w:tab w:val="num" w:pos="1500"/>
        </w:tabs>
        <w:ind w:left="1500" w:hanging="360"/>
      </w:pPr>
      <w:rPr>
        <w:rFonts w:ascii="Courier New" w:hAnsi="Courier New" w:cs="Courier New" w:hint="default"/>
      </w:rPr>
    </w:lvl>
    <w:lvl w:ilvl="2" w:tplc="D1007882" w:tentative="1">
      <w:start w:val="1"/>
      <w:numFmt w:val="bullet"/>
      <w:lvlText w:val=""/>
      <w:lvlJc w:val="left"/>
      <w:pPr>
        <w:tabs>
          <w:tab w:val="num" w:pos="2220"/>
        </w:tabs>
        <w:ind w:left="2220" w:hanging="360"/>
      </w:pPr>
      <w:rPr>
        <w:rFonts w:ascii="Wingdings" w:hAnsi="Wingdings" w:hint="default"/>
      </w:rPr>
    </w:lvl>
    <w:lvl w:ilvl="3" w:tplc="97984D08" w:tentative="1">
      <w:start w:val="1"/>
      <w:numFmt w:val="bullet"/>
      <w:lvlText w:val=""/>
      <w:lvlJc w:val="left"/>
      <w:pPr>
        <w:tabs>
          <w:tab w:val="num" w:pos="2940"/>
        </w:tabs>
        <w:ind w:left="2940" w:hanging="360"/>
      </w:pPr>
      <w:rPr>
        <w:rFonts w:ascii="Symbol" w:hAnsi="Symbol" w:hint="default"/>
      </w:rPr>
    </w:lvl>
    <w:lvl w:ilvl="4" w:tplc="A28A329E" w:tentative="1">
      <w:start w:val="1"/>
      <w:numFmt w:val="bullet"/>
      <w:lvlText w:val="o"/>
      <w:lvlJc w:val="left"/>
      <w:pPr>
        <w:tabs>
          <w:tab w:val="num" w:pos="3660"/>
        </w:tabs>
        <w:ind w:left="3660" w:hanging="360"/>
      </w:pPr>
      <w:rPr>
        <w:rFonts w:ascii="Courier New" w:hAnsi="Courier New" w:cs="Courier New" w:hint="default"/>
      </w:rPr>
    </w:lvl>
    <w:lvl w:ilvl="5" w:tplc="526C61FA" w:tentative="1">
      <w:start w:val="1"/>
      <w:numFmt w:val="bullet"/>
      <w:lvlText w:val=""/>
      <w:lvlJc w:val="left"/>
      <w:pPr>
        <w:tabs>
          <w:tab w:val="num" w:pos="4380"/>
        </w:tabs>
        <w:ind w:left="4380" w:hanging="360"/>
      </w:pPr>
      <w:rPr>
        <w:rFonts w:ascii="Wingdings" w:hAnsi="Wingdings" w:hint="default"/>
      </w:rPr>
    </w:lvl>
    <w:lvl w:ilvl="6" w:tplc="3FB08EA8" w:tentative="1">
      <w:start w:val="1"/>
      <w:numFmt w:val="bullet"/>
      <w:lvlText w:val=""/>
      <w:lvlJc w:val="left"/>
      <w:pPr>
        <w:tabs>
          <w:tab w:val="num" w:pos="5100"/>
        </w:tabs>
        <w:ind w:left="5100" w:hanging="360"/>
      </w:pPr>
      <w:rPr>
        <w:rFonts w:ascii="Symbol" w:hAnsi="Symbol" w:hint="default"/>
      </w:rPr>
    </w:lvl>
    <w:lvl w:ilvl="7" w:tplc="5AF01F3E" w:tentative="1">
      <w:start w:val="1"/>
      <w:numFmt w:val="bullet"/>
      <w:lvlText w:val="o"/>
      <w:lvlJc w:val="left"/>
      <w:pPr>
        <w:tabs>
          <w:tab w:val="num" w:pos="5820"/>
        </w:tabs>
        <w:ind w:left="5820" w:hanging="360"/>
      </w:pPr>
      <w:rPr>
        <w:rFonts w:ascii="Courier New" w:hAnsi="Courier New" w:cs="Courier New" w:hint="default"/>
      </w:rPr>
    </w:lvl>
    <w:lvl w:ilvl="8" w:tplc="DBB2C420" w:tentative="1">
      <w:start w:val="1"/>
      <w:numFmt w:val="bullet"/>
      <w:lvlText w:val=""/>
      <w:lvlJc w:val="left"/>
      <w:pPr>
        <w:tabs>
          <w:tab w:val="num" w:pos="6540"/>
        </w:tabs>
        <w:ind w:left="6540" w:hanging="360"/>
      </w:pPr>
      <w:rPr>
        <w:rFonts w:ascii="Wingdings" w:hAnsi="Wingdings" w:hint="default"/>
      </w:rPr>
    </w:lvl>
  </w:abstractNum>
  <w:abstractNum w:abstractNumId="65" w15:restartNumberingAfterBreak="0">
    <w:nsid w:val="78CB67BF"/>
    <w:multiLevelType w:val="hybridMultilevel"/>
    <w:tmpl w:val="05A613E6"/>
    <w:lvl w:ilvl="0" w:tplc="A0A2011E">
      <w:start w:val="1"/>
      <w:numFmt w:val="bullet"/>
      <w:pStyle w:val="StyleBullets"/>
      <w:lvlText w:val=""/>
      <w:lvlJc w:val="left"/>
      <w:pPr>
        <w:tabs>
          <w:tab w:val="num" w:pos="720"/>
        </w:tabs>
        <w:ind w:left="720" w:hanging="360"/>
      </w:pPr>
      <w:rPr>
        <w:rFonts w:ascii="Symbol" w:hAnsi="Symbol" w:hint="default"/>
      </w:rPr>
    </w:lvl>
    <w:lvl w:ilvl="1" w:tplc="CF2424C8">
      <w:start w:val="1"/>
      <w:numFmt w:val="bullet"/>
      <w:pStyle w:val="StyleBullets2"/>
      <w:lvlText w:val="o"/>
      <w:lvlJc w:val="left"/>
      <w:pPr>
        <w:tabs>
          <w:tab w:val="num" w:pos="1440"/>
        </w:tabs>
        <w:ind w:left="1440" w:hanging="360"/>
      </w:pPr>
      <w:rPr>
        <w:rFonts w:ascii="Courier New" w:hAnsi="Courier New" w:cs="Courier New" w:hint="default"/>
      </w:rPr>
    </w:lvl>
    <w:lvl w:ilvl="2" w:tplc="30688332">
      <w:start w:val="1"/>
      <w:numFmt w:val="bullet"/>
      <w:lvlText w:val=""/>
      <w:lvlJc w:val="left"/>
      <w:pPr>
        <w:tabs>
          <w:tab w:val="num" w:pos="2160"/>
        </w:tabs>
        <w:ind w:left="2160" w:hanging="360"/>
      </w:pPr>
      <w:rPr>
        <w:rFonts w:ascii="Wingdings" w:hAnsi="Wingdings" w:hint="default"/>
      </w:rPr>
    </w:lvl>
    <w:lvl w:ilvl="3" w:tplc="97285452" w:tentative="1">
      <w:start w:val="1"/>
      <w:numFmt w:val="bullet"/>
      <w:lvlText w:val=""/>
      <w:lvlJc w:val="left"/>
      <w:pPr>
        <w:tabs>
          <w:tab w:val="num" w:pos="2880"/>
        </w:tabs>
        <w:ind w:left="2880" w:hanging="360"/>
      </w:pPr>
      <w:rPr>
        <w:rFonts w:ascii="Symbol" w:hAnsi="Symbol" w:hint="default"/>
      </w:rPr>
    </w:lvl>
    <w:lvl w:ilvl="4" w:tplc="3D5C74CA" w:tentative="1">
      <w:start w:val="1"/>
      <w:numFmt w:val="bullet"/>
      <w:lvlText w:val="o"/>
      <w:lvlJc w:val="left"/>
      <w:pPr>
        <w:tabs>
          <w:tab w:val="num" w:pos="3600"/>
        </w:tabs>
        <w:ind w:left="3600" w:hanging="360"/>
      </w:pPr>
      <w:rPr>
        <w:rFonts w:ascii="Courier New" w:hAnsi="Courier New" w:cs="Courier New" w:hint="default"/>
      </w:rPr>
    </w:lvl>
    <w:lvl w:ilvl="5" w:tplc="FD80D084" w:tentative="1">
      <w:start w:val="1"/>
      <w:numFmt w:val="bullet"/>
      <w:lvlText w:val=""/>
      <w:lvlJc w:val="left"/>
      <w:pPr>
        <w:tabs>
          <w:tab w:val="num" w:pos="4320"/>
        </w:tabs>
        <w:ind w:left="4320" w:hanging="360"/>
      </w:pPr>
      <w:rPr>
        <w:rFonts w:ascii="Wingdings" w:hAnsi="Wingdings" w:hint="default"/>
      </w:rPr>
    </w:lvl>
    <w:lvl w:ilvl="6" w:tplc="0436EDF8" w:tentative="1">
      <w:start w:val="1"/>
      <w:numFmt w:val="bullet"/>
      <w:lvlText w:val=""/>
      <w:lvlJc w:val="left"/>
      <w:pPr>
        <w:tabs>
          <w:tab w:val="num" w:pos="5040"/>
        </w:tabs>
        <w:ind w:left="5040" w:hanging="360"/>
      </w:pPr>
      <w:rPr>
        <w:rFonts w:ascii="Symbol" w:hAnsi="Symbol" w:hint="default"/>
      </w:rPr>
    </w:lvl>
    <w:lvl w:ilvl="7" w:tplc="F8DCABEE" w:tentative="1">
      <w:start w:val="1"/>
      <w:numFmt w:val="bullet"/>
      <w:lvlText w:val="o"/>
      <w:lvlJc w:val="left"/>
      <w:pPr>
        <w:tabs>
          <w:tab w:val="num" w:pos="5760"/>
        </w:tabs>
        <w:ind w:left="5760" w:hanging="360"/>
      </w:pPr>
      <w:rPr>
        <w:rFonts w:ascii="Courier New" w:hAnsi="Courier New" w:cs="Courier New" w:hint="default"/>
      </w:rPr>
    </w:lvl>
    <w:lvl w:ilvl="8" w:tplc="7FBCC65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A7409FD"/>
    <w:multiLevelType w:val="hybridMultilevel"/>
    <w:tmpl w:val="B732A350"/>
    <w:lvl w:ilvl="0" w:tplc="344237B6">
      <w:start w:val="1"/>
      <w:numFmt w:val="bullet"/>
      <w:lvlText w:val=""/>
      <w:lvlJc w:val="left"/>
      <w:pPr>
        <w:ind w:left="720" w:hanging="360"/>
      </w:pPr>
      <w:rPr>
        <w:rFonts w:ascii="Symbol" w:hAnsi="Symbol" w:hint="default"/>
      </w:rPr>
    </w:lvl>
    <w:lvl w:ilvl="1" w:tplc="9FBECB04">
      <w:start w:val="1"/>
      <w:numFmt w:val="bullet"/>
      <w:lvlText w:val="o"/>
      <w:lvlJc w:val="left"/>
      <w:pPr>
        <w:ind w:left="1440" w:hanging="360"/>
      </w:pPr>
      <w:rPr>
        <w:rFonts w:ascii="Courier New" w:hAnsi="Courier New" w:cs="Courier New" w:hint="default"/>
      </w:rPr>
    </w:lvl>
    <w:lvl w:ilvl="2" w:tplc="E4E48EC2" w:tentative="1">
      <w:start w:val="1"/>
      <w:numFmt w:val="bullet"/>
      <w:lvlText w:val=""/>
      <w:lvlJc w:val="left"/>
      <w:pPr>
        <w:ind w:left="2160" w:hanging="360"/>
      </w:pPr>
      <w:rPr>
        <w:rFonts w:ascii="Wingdings" w:hAnsi="Wingdings" w:hint="default"/>
      </w:rPr>
    </w:lvl>
    <w:lvl w:ilvl="3" w:tplc="0DFA99EE" w:tentative="1">
      <w:start w:val="1"/>
      <w:numFmt w:val="bullet"/>
      <w:lvlText w:val=""/>
      <w:lvlJc w:val="left"/>
      <w:pPr>
        <w:ind w:left="2880" w:hanging="360"/>
      </w:pPr>
      <w:rPr>
        <w:rFonts w:ascii="Symbol" w:hAnsi="Symbol" w:hint="default"/>
      </w:rPr>
    </w:lvl>
    <w:lvl w:ilvl="4" w:tplc="DB88990C" w:tentative="1">
      <w:start w:val="1"/>
      <w:numFmt w:val="bullet"/>
      <w:lvlText w:val="o"/>
      <w:lvlJc w:val="left"/>
      <w:pPr>
        <w:ind w:left="3600" w:hanging="360"/>
      </w:pPr>
      <w:rPr>
        <w:rFonts w:ascii="Courier New" w:hAnsi="Courier New" w:cs="Courier New" w:hint="default"/>
      </w:rPr>
    </w:lvl>
    <w:lvl w:ilvl="5" w:tplc="11D807F4" w:tentative="1">
      <w:start w:val="1"/>
      <w:numFmt w:val="bullet"/>
      <w:lvlText w:val=""/>
      <w:lvlJc w:val="left"/>
      <w:pPr>
        <w:ind w:left="4320" w:hanging="360"/>
      </w:pPr>
      <w:rPr>
        <w:rFonts w:ascii="Wingdings" w:hAnsi="Wingdings" w:hint="default"/>
      </w:rPr>
    </w:lvl>
    <w:lvl w:ilvl="6" w:tplc="69BE30A6" w:tentative="1">
      <w:start w:val="1"/>
      <w:numFmt w:val="bullet"/>
      <w:lvlText w:val=""/>
      <w:lvlJc w:val="left"/>
      <w:pPr>
        <w:ind w:left="5040" w:hanging="360"/>
      </w:pPr>
      <w:rPr>
        <w:rFonts w:ascii="Symbol" w:hAnsi="Symbol" w:hint="default"/>
      </w:rPr>
    </w:lvl>
    <w:lvl w:ilvl="7" w:tplc="D4F2DE8E" w:tentative="1">
      <w:start w:val="1"/>
      <w:numFmt w:val="bullet"/>
      <w:lvlText w:val="o"/>
      <w:lvlJc w:val="left"/>
      <w:pPr>
        <w:ind w:left="5760" w:hanging="360"/>
      </w:pPr>
      <w:rPr>
        <w:rFonts w:ascii="Courier New" w:hAnsi="Courier New" w:cs="Courier New" w:hint="default"/>
      </w:rPr>
    </w:lvl>
    <w:lvl w:ilvl="8" w:tplc="978A0C88" w:tentative="1">
      <w:start w:val="1"/>
      <w:numFmt w:val="bullet"/>
      <w:lvlText w:val=""/>
      <w:lvlJc w:val="left"/>
      <w:pPr>
        <w:ind w:left="6480" w:hanging="360"/>
      </w:pPr>
      <w:rPr>
        <w:rFonts w:ascii="Wingdings" w:hAnsi="Wingdings" w:hint="default"/>
      </w:rPr>
    </w:lvl>
  </w:abstractNum>
  <w:abstractNum w:abstractNumId="67" w15:restartNumberingAfterBreak="0">
    <w:nsid w:val="7B7A586C"/>
    <w:multiLevelType w:val="hybridMultilevel"/>
    <w:tmpl w:val="D39A4C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7D5625E9"/>
    <w:multiLevelType w:val="hybridMultilevel"/>
    <w:tmpl w:val="202A48F2"/>
    <w:lvl w:ilvl="0" w:tplc="53F412EC">
      <w:start w:val="1"/>
      <w:numFmt w:val="bullet"/>
      <w:lvlText w:val=""/>
      <w:lvlJc w:val="left"/>
      <w:pPr>
        <w:tabs>
          <w:tab w:val="num" w:pos="720"/>
        </w:tabs>
        <w:ind w:left="720" w:hanging="360"/>
      </w:pPr>
      <w:rPr>
        <w:rFonts w:ascii="Symbol" w:hAnsi="Symbol" w:hint="default"/>
      </w:rPr>
    </w:lvl>
    <w:lvl w:ilvl="1" w:tplc="5E402EF8" w:tentative="1">
      <w:start w:val="1"/>
      <w:numFmt w:val="bullet"/>
      <w:lvlText w:val="o"/>
      <w:lvlJc w:val="left"/>
      <w:pPr>
        <w:tabs>
          <w:tab w:val="num" w:pos="1440"/>
        </w:tabs>
        <w:ind w:left="1440" w:hanging="360"/>
      </w:pPr>
      <w:rPr>
        <w:rFonts w:ascii="Courier New" w:hAnsi="Courier New" w:cs="Courier New" w:hint="default"/>
      </w:rPr>
    </w:lvl>
    <w:lvl w:ilvl="2" w:tplc="24CC0968" w:tentative="1">
      <w:start w:val="1"/>
      <w:numFmt w:val="bullet"/>
      <w:lvlText w:val=""/>
      <w:lvlJc w:val="left"/>
      <w:pPr>
        <w:tabs>
          <w:tab w:val="num" w:pos="2160"/>
        </w:tabs>
        <w:ind w:left="2160" w:hanging="360"/>
      </w:pPr>
      <w:rPr>
        <w:rFonts w:ascii="Wingdings" w:hAnsi="Wingdings" w:hint="default"/>
      </w:rPr>
    </w:lvl>
    <w:lvl w:ilvl="3" w:tplc="2110BE92" w:tentative="1">
      <w:start w:val="1"/>
      <w:numFmt w:val="bullet"/>
      <w:lvlText w:val=""/>
      <w:lvlJc w:val="left"/>
      <w:pPr>
        <w:tabs>
          <w:tab w:val="num" w:pos="2880"/>
        </w:tabs>
        <w:ind w:left="2880" w:hanging="360"/>
      </w:pPr>
      <w:rPr>
        <w:rFonts w:ascii="Symbol" w:hAnsi="Symbol" w:hint="default"/>
      </w:rPr>
    </w:lvl>
    <w:lvl w:ilvl="4" w:tplc="8EA243D8" w:tentative="1">
      <w:start w:val="1"/>
      <w:numFmt w:val="bullet"/>
      <w:lvlText w:val="o"/>
      <w:lvlJc w:val="left"/>
      <w:pPr>
        <w:tabs>
          <w:tab w:val="num" w:pos="3600"/>
        </w:tabs>
        <w:ind w:left="3600" w:hanging="360"/>
      </w:pPr>
      <w:rPr>
        <w:rFonts w:ascii="Courier New" w:hAnsi="Courier New" w:cs="Courier New" w:hint="default"/>
      </w:rPr>
    </w:lvl>
    <w:lvl w:ilvl="5" w:tplc="36AEFBFC" w:tentative="1">
      <w:start w:val="1"/>
      <w:numFmt w:val="bullet"/>
      <w:lvlText w:val=""/>
      <w:lvlJc w:val="left"/>
      <w:pPr>
        <w:tabs>
          <w:tab w:val="num" w:pos="4320"/>
        </w:tabs>
        <w:ind w:left="4320" w:hanging="360"/>
      </w:pPr>
      <w:rPr>
        <w:rFonts w:ascii="Wingdings" w:hAnsi="Wingdings" w:hint="default"/>
      </w:rPr>
    </w:lvl>
    <w:lvl w:ilvl="6" w:tplc="831416C6" w:tentative="1">
      <w:start w:val="1"/>
      <w:numFmt w:val="bullet"/>
      <w:lvlText w:val=""/>
      <w:lvlJc w:val="left"/>
      <w:pPr>
        <w:tabs>
          <w:tab w:val="num" w:pos="5040"/>
        </w:tabs>
        <w:ind w:left="5040" w:hanging="360"/>
      </w:pPr>
      <w:rPr>
        <w:rFonts w:ascii="Symbol" w:hAnsi="Symbol" w:hint="default"/>
      </w:rPr>
    </w:lvl>
    <w:lvl w:ilvl="7" w:tplc="30161348" w:tentative="1">
      <w:start w:val="1"/>
      <w:numFmt w:val="bullet"/>
      <w:lvlText w:val="o"/>
      <w:lvlJc w:val="left"/>
      <w:pPr>
        <w:tabs>
          <w:tab w:val="num" w:pos="5760"/>
        </w:tabs>
        <w:ind w:left="5760" w:hanging="360"/>
      </w:pPr>
      <w:rPr>
        <w:rFonts w:ascii="Courier New" w:hAnsi="Courier New" w:cs="Courier New" w:hint="default"/>
      </w:rPr>
    </w:lvl>
    <w:lvl w:ilvl="8" w:tplc="F7EA9878" w:tentative="1">
      <w:start w:val="1"/>
      <w:numFmt w:val="bullet"/>
      <w:lvlText w:val=""/>
      <w:lvlJc w:val="left"/>
      <w:pPr>
        <w:tabs>
          <w:tab w:val="num" w:pos="6480"/>
        </w:tabs>
        <w:ind w:left="6480" w:hanging="360"/>
      </w:pPr>
      <w:rPr>
        <w:rFonts w:ascii="Wingdings" w:hAnsi="Wingdings" w:hint="default"/>
      </w:rPr>
    </w:lvl>
  </w:abstractNum>
  <w:num w:numId="1" w16cid:durableId="1972469129">
    <w:abstractNumId w:val="26"/>
  </w:num>
  <w:num w:numId="2" w16cid:durableId="779420059">
    <w:abstractNumId w:val="54"/>
  </w:num>
  <w:num w:numId="3" w16cid:durableId="643589130">
    <w:abstractNumId w:val="6"/>
  </w:num>
  <w:num w:numId="4" w16cid:durableId="173502207">
    <w:abstractNumId w:val="52"/>
  </w:num>
  <w:num w:numId="5" w16cid:durableId="1447309287">
    <w:abstractNumId w:val="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916036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5223177">
    <w:abstractNumId w:val="65"/>
  </w:num>
  <w:num w:numId="8" w16cid:durableId="1570848060">
    <w:abstractNumId w:val="57"/>
  </w:num>
  <w:num w:numId="9" w16cid:durableId="1192886639">
    <w:abstractNumId w:val="46"/>
  </w:num>
  <w:num w:numId="10" w16cid:durableId="465392937">
    <w:abstractNumId w:val="22"/>
  </w:num>
  <w:num w:numId="11" w16cid:durableId="1815876402">
    <w:abstractNumId w:val="9"/>
  </w:num>
  <w:num w:numId="12" w16cid:durableId="14498489">
    <w:abstractNumId w:val="60"/>
  </w:num>
  <w:num w:numId="13" w16cid:durableId="1090849865">
    <w:abstractNumId w:val="59"/>
  </w:num>
  <w:num w:numId="14" w16cid:durableId="925186708">
    <w:abstractNumId w:val="18"/>
  </w:num>
  <w:num w:numId="15" w16cid:durableId="2115393416">
    <w:abstractNumId w:val="19"/>
  </w:num>
  <w:num w:numId="16" w16cid:durableId="814219834">
    <w:abstractNumId w:val="44"/>
  </w:num>
  <w:num w:numId="17" w16cid:durableId="469061293">
    <w:abstractNumId w:val="27"/>
  </w:num>
  <w:num w:numId="18" w16cid:durableId="2052418179">
    <w:abstractNumId w:val="0"/>
    <w:lvlOverride w:ilvl="0">
      <w:lvl w:ilvl="0">
        <w:start w:val="1"/>
        <w:numFmt w:val="bullet"/>
        <w:lvlText w:val="-"/>
        <w:legacy w:legacy="1" w:legacySpace="0" w:legacyIndent="360"/>
        <w:lvlJc w:val="left"/>
        <w:pPr>
          <w:ind w:left="360" w:hanging="360"/>
        </w:pPr>
      </w:lvl>
    </w:lvlOverride>
  </w:num>
  <w:num w:numId="19" w16cid:durableId="771512411">
    <w:abstractNumId w:val="13"/>
  </w:num>
  <w:num w:numId="20" w16cid:durableId="1193836363">
    <w:abstractNumId w:val="2"/>
  </w:num>
  <w:num w:numId="21" w16cid:durableId="1953701879">
    <w:abstractNumId w:val="32"/>
  </w:num>
  <w:num w:numId="22" w16cid:durableId="940987288">
    <w:abstractNumId w:val="50"/>
  </w:num>
  <w:num w:numId="23" w16cid:durableId="1050542865">
    <w:abstractNumId w:val="12"/>
  </w:num>
  <w:num w:numId="24" w16cid:durableId="2126922881">
    <w:abstractNumId w:val="24"/>
  </w:num>
  <w:num w:numId="25" w16cid:durableId="210847202">
    <w:abstractNumId w:val="16"/>
  </w:num>
  <w:num w:numId="26" w16cid:durableId="1088884241">
    <w:abstractNumId w:val="68"/>
  </w:num>
  <w:num w:numId="27" w16cid:durableId="1400401068">
    <w:abstractNumId w:val="47"/>
  </w:num>
  <w:num w:numId="28" w16cid:durableId="283121482">
    <w:abstractNumId w:val="38"/>
  </w:num>
  <w:num w:numId="29" w16cid:durableId="1851288834">
    <w:abstractNumId w:val="39"/>
  </w:num>
  <w:num w:numId="30" w16cid:durableId="1019158890">
    <w:abstractNumId w:val="37"/>
  </w:num>
  <w:num w:numId="31" w16cid:durableId="1187787282">
    <w:abstractNumId w:val="61"/>
  </w:num>
  <w:num w:numId="32" w16cid:durableId="1827432719">
    <w:abstractNumId w:val="25"/>
  </w:num>
  <w:num w:numId="33" w16cid:durableId="1974480763">
    <w:abstractNumId w:val="58"/>
  </w:num>
  <w:num w:numId="34" w16cid:durableId="912664812">
    <w:abstractNumId w:val="29"/>
  </w:num>
  <w:num w:numId="35" w16cid:durableId="813644377">
    <w:abstractNumId w:val="20"/>
  </w:num>
  <w:num w:numId="36" w16cid:durableId="650909217">
    <w:abstractNumId w:val="41"/>
  </w:num>
  <w:num w:numId="37" w16cid:durableId="476335171">
    <w:abstractNumId w:val="3"/>
  </w:num>
  <w:num w:numId="38" w16cid:durableId="1094935178">
    <w:abstractNumId w:val="40"/>
  </w:num>
  <w:num w:numId="39" w16cid:durableId="1598437482">
    <w:abstractNumId w:val="56"/>
  </w:num>
  <w:num w:numId="40" w16cid:durableId="981815590">
    <w:abstractNumId w:val="51"/>
  </w:num>
  <w:num w:numId="41" w16cid:durableId="1410497646">
    <w:abstractNumId w:val="62"/>
  </w:num>
  <w:num w:numId="42" w16cid:durableId="1507743580">
    <w:abstractNumId w:val="5"/>
  </w:num>
  <w:num w:numId="43" w16cid:durableId="1237545090">
    <w:abstractNumId w:val="10"/>
  </w:num>
  <w:num w:numId="44" w16cid:durableId="1445806693">
    <w:abstractNumId w:val="28"/>
  </w:num>
  <w:num w:numId="45" w16cid:durableId="1535802377">
    <w:abstractNumId w:val="66"/>
  </w:num>
  <w:num w:numId="46" w16cid:durableId="1988583935">
    <w:abstractNumId w:val="8"/>
  </w:num>
  <w:num w:numId="47" w16cid:durableId="1650279559">
    <w:abstractNumId w:val="45"/>
  </w:num>
  <w:num w:numId="48" w16cid:durableId="338315421">
    <w:abstractNumId w:val="36"/>
  </w:num>
  <w:num w:numId="49" w16cid:durableId="237136598">
    <w:abstractNumId w:val="34"/>
  </w:num>
  <w:num w:numId="50" w16cid:durableId="1165822943">
    <w:abstractNumId w:val="14"/>
  </w:num>
  <w:num w:numId="51" w16cid:durableId="1107307532">
    <w:abstractNumId w:val="33"/>
  </w:num>
  <w:num w:numId="52" w16cid:durableId="1395810073">
    <w:abstractNumId w:val="42"/>
  </w:num>
  <w:num w:numId="53" w16cid:durableId="1646813039">
    <w:abstractNumId w:val="4"/>
  </w:num>
  <w:num w:numId="54" w16cid:durableId="325672041">
    <w:abstractNumId w:val="55"/>
  </w:num>
  <w:num w:numId="55" w16cid:durableId="843128513">
    <w:abstractNumId w:val="11"/>
  </w:num>
  <w:num w:numId="56" w16cid:durableId="2097050932">
    <w:abstractNumId w:val="21"/>
  </w:num>
  <w:num w:numId="57" w16cid:durableId="1551843466">
    <w:abstractNumId w:val="15"/>
  </w:num>
  <w:num w:numId="58" w16cid:durableId="567349435">
    <w:abstractNumId w:val="31"/>
  </w:num>
  <w:num w:numId="59" w16cid:durableId="196700882">
    <w:abstractNumId w:val="63"/>
  </w:num>
  <w:num w:numId="60" w16cid:durableId="709765775">
    <w:abstractNumId w:val="53"/>
  </w:num>
  <w:num w:numId="61" w16cid:durableId="1252860638">
    <w:abstractNumId w:val="43"/>
  </w:num>
  <w:num w:numId="62" w16cid:durableId="577178356">
    <w:abstractNumId w:val="48"/>
  </w:num>
  <w:num w:numId="63" w16cid:durableId="1327319806">
    <w:abstractNumId w:val="1"/>
  </w:num>
  <w:num w:numId="64" w16cid:durableId="1386953415">
    <w:abstractNumId w:val="17"/>
  </w:num>
  <w:num w:numId="65" w16cid:durableId="1521241811">
    <w:abstractNumId w:val="30"/>
  </w:num>
  <w:num w:numId="66" w16cid:durableId="930629691">
    <w:abstractNumId w:val="35"/>
  </w:num>
  <w:num w:numId="67" w16cid:durableId="1652950093">
    <w:abstractNumId w:val="23"/>
  </w:num>
  <w:num w:numId="68" w16cid:durableId="1836188578">
    <w:abstractNumId w:val="67"/>
  </w:num>
  <w:num w:numId="69" w16cid:durableId="573203601">
    <w:abstractNumId w:val="4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9C5C6F"/>
    <w:rsid w:val="000006C3"/>
    <w:rsid w:val="00000D99"/>
    <w:rsid w:val="00001442"/>
    <w:rsid w:val="000016B8"/>
    <w:rsid w:val="00001A50"/>
    <w:rsid w:val="00002D99"/>
    <w:rsid w:val="00003103"/>
    <w:rsid w:val="00003D91"/>
    <w:rsid w:val="00003F49"/>
    <w:rsid w:val="000045BC"/>
    <w:rsid w:val="00005034"/>
    <w:rsid w:val="000060DF"/>
    <w:rsid w:val="0000683E"/>
    <w:rsid w:val="00010907"/>
    <w:rsid w:val="00010C7B"/>
    <w:rsid w:val="000110CE"/>
    <w:rsid w:val="000114A6"/>
    <w:rsid w:val="00013138"/>
    <w:rsid w:val="00013AC6"/>
    <w:rsid w:val="00013C9E"/>
    <w:rsid w:val="000143CA"/>
    <w:rsid w:val="00014962"/>
    <w:rsid w:val="00014D20"/>
    <w:rsid w:val="00014E15"/>
    <w:rsid w:val="000152A5"/>
    <w:rsid w:val="00015516"/>
    <w:rsid w:val="00016CF2"/>
    <w:rsid w:val="000177B4"/>
    <w:rsid w:val="00020469"/>
    <w:rsid w:val="00020E8E"/>
    <w:rsid w:val="00021727"/>
    <w:rsid w:val="000220A3"/>
    <w:rsid w:val="00022405"/>
    <w:rsid w:val="00022A07"/>
    <w:rsid w:val="00022ACA"/>
    <w:rsid w:val="00022E69"/>
    <w:rsid w:val="00022FFB"/>
    <w:rsid w:val="000231EE"/>
    <w:rsid w:val="00024328"/>
    <w:rsid w:val="00024AF0"/>
    <w:rsid w:val="00024B92"/>
    <w:rsid w:val="0002536E"/>
    <w:rsid w:val="0002580D"/>
    <w:rsid w:val="00030FCF"/>
    <w:rsid w:val="0003110B"/>
    <w:rsid w:val="00031499"/>
    <w:rsid w:val="000319AC"/>
    <w:rsid w:val="00031D1D"/>
    <w:rsid w:val="00032453"/>
    <w:rsid w:val="00033F4E"/>
    <w:rsid w:val="000342E2"/>
    <w:rsid w:val="000360A7"/>
    <w:rsid w:val="00036363"/>
    <w:rsid w:val="00037582"/>
    <w:rsid w:val="00037A88"/>
    <w:rsid w:val="00037BF3"/>
    <w:rsid w:val="00037EAB"/>
    <w:rsid w:val="00040168"/>
    <w:rsid w:val="00040D57"/>
    <w:rsid w:val="000413CA"/>
    <w:rsid w:val="0004156B"/>
    <w:rsid w:val="00041C76"/>
    <w:rsid w:val="0004284C"/>
    <w:rsid w:val="00043244"/>
    <w:rsid w:val="00043A75"/>
    <w:rsid w:val="0004414A"/>
    <w:rsid w:val="00044296"/>
    <w:rsid w:val="00044FDD"/>
    <w:rsid w:val="00045A5F"/>
    <w:rsid w:val="00045F78"/>
    <w:rsid w:val="00046A92"/>
    <w:rsid w:val="0004787B"/>
    <w:rsid w:val="000479A6"/>
    <w:rsid w:val="00047B7F"/>
    <w:rsid w:val="00047D38"/>
    <w:rsid w:val="00047E68"/>
    <w:rsid w:val="00051F1E"/>
    <w:rsid w:val="00051F8A"/>
    <w:rsid w:val="00051F90"/>
    <w:rsid w:val="00052CF6"/>
    <w:rsid w:val="000536F4"/>
    <w:rsid w:val="00054ECD"/>
    <w:rsid w:val="000553A4"/>
    <w:rsid w:val="00055821"/>
    <w:rsid w:val="000566E0"/>
    <w:rsid w:val="00057924"/>
    <w:rsid w:val="00060FB9"/>
    <w:rsid w:val="00062302"/>
    <w:rsid w:val="0006323C"/>
    <w:rsid w:val="00064117"/>
    <w:rsid w:val="000659DE"/>
    <w:rsid w:val="00065A0B"/>
    <w:rsid w:val="00065C14"/>
    <w:rsid w:val="00065F0D"/>
    <w:rsid w:val="00065FB3"/>
    <w:rsid w:val="00067537"/>
    <w:rsid w:val="0006763A"/>
    <w:rsid w:val="00071BB7"/>
    <w:rsid w:val="00071E8A"/>
    <w:rsid w:val="00071F25"/>
    <w:rsid w:val="00072932"/>
    <w:rsid w:val="00072A9D"/>
    <w:rsid w:val="0007349A"/>
    <w:rsid w:val="00074DBF"/>
    <w:rsid w:val="00074FEF"/>
    <w:rsid w:val="0007505A"/>
    <w:rsid w:val="0007508D"/>
    <w:rsid w:val="00075163"/>
    <w:rsid w:val="0007555D"/>
    <w:rsid w:val="000767D6"/>
    <w:rsid w:val="00077676"/>
    <w:rsid w:val="00077B02"/>
    <w:rsid w:val="000807F6"/>
    <w:rsid w:val="0008261B"/>
    <w:rsid w:val="00082ECA"/>
    <w:rsid w:val="000831C2"/>
    <w:rsid w:val="000835BD"/>
    <w:rsid w:val="000839AD"/>
    <w:rsid w:val="00083E6A"/>
    <w:rsid w:val="00085084"/>
    <w:rsid w:val="000851CE"/>
    <w:rsid w:val="00085643"/>
    <w:rsid w:val="00085D13"/>
    <w:rsid w:val="0008616E"/>
    <w:rsid w:val="000877C0"/>
    <w:rsid w:val="00087F4C"/>
    <w:rsid w:val="000904DD"/>
    <w:rsid w:val="00091C1C"/>
    <w:rsid w:val="00091CBB"/>
    <w:rsid w:val="00091DD0"/>
    <w:rsid w:val="000920A8"/>
    <w:rsid w:val="00093240"/>
    <w:rsid w:val="00093805"/>
    <w:rsid w:val="00094544"/>
    <w:rsid w:val="00094628"/>
    <w:rsid w:val="00095A82"/>
    <w:rsid w:val="00096039"/>
    <w:rsid w:val="0009727D"/>
    <w:rsid w:val="000976E3"/>
    <w:rsid w:val="000A005F"/>
    <w:rsid w:val="000A0513"/>
    <w:rsid w:val="000A0D65"/>
    <w:rsid w:val="000A1778"/>
    <w:rsid w:val="000A20D2"/>
    <w:rsid w:val="000A2D64"/>
    <w:rsid w:val="000A2EFC"/>
    <w:rsid w:val="000A3664"/>
    <w:rsid w:val="000A3938"/>
    <w:rsid w:val="000A3D78"/>
    <w:rsid w:val="000A3ECE"/>
    <w:rsid w:val="000A4073"/>
    <w:rsid w:val="000A48C5"/>
    <w:rsid w:val="000A4BC1"/>
    <w:rsid w:val="000A585D"/>
    <w:rsid w:val="000A5CBE"/>
    <w:rsid w:val="000A6C8C"/>
    <w:rsid w:val="000A6DCE"/>
    <w:rsid w:val="000A6EA6"/>
    <w:rsid w:val="000A7062"/>
    <w:rsid w:val="000A774D"/>
    <w:rsid w:val="000A77C9"/>
    <w:rsid w:val="000A7B11"/>
    <w:rsid w:val="000A7D62"/>
    <w:rsid w:val="000A7FFE"/>
    <w:rsid w:val="000B15F4"/>
    <w:rsid w:val="000B209A"/>
    <w:rsid w:val="000B4438"/>
    <w:rsid w:val="000B4BA6"/>
    <w:rsid w:val="000B4FF0"/>
    <w:rsid w:val="000B5FDE"/>
    <w:rsid w:val="000B6D02"/>
    <w:rsid w:val="000C0229"/>
    <w:rsid w:val="000C07B7"/>
    <w:rsid w:val="000C0AA0"/>
    <w:rsid w:val="000C0ADA"/>
    <w:rsid w:val="000C0E69"/>
    <w:rsid w:val="000C119D"/>
    <w:rsid w:val="000C24F1"/>
    <w:rsid w:val="000C29B4"/>
    <w:rsid w:val="000C29E4"/>
    <w:rsid w:val="000C2E41"/>
    <w:rsid w:val="000C322E"/>
    <w:rsid w:val="000C3993"/>
    <w:rsid w:val="000C527F"/>
    <w:rsid w:val="000C5406"/>
    <w:rsid w:val="000C5507"/>
    <w:rsid w:val="000C6820"/>
    <w:rsid w:val="000C6A29"/>
    <w:rsid w:val="000C6A57"/>
    <w:rsid w:val="000C6B2E"/>
    <w:rsid w:val="000C72FC"/>
    <w:rsid w:val="000C7A1E"/>
    <w:rsid w:val="000C7F93"/>
    <w:rsid w:val="000D015A"/>
    <w:rsid w:val="000D0E17"/>
    <w:rsid w:val="000D12F8"/>
    <w:rsid w:val="000D1385"/>
    <w:rsid w:val="000D1400"/>
    <w:rsid w:val="000D1766"/>
    <w:rsid w:val="000D32EE"/>
    <w:rsid w:val="000D39BC"/>
    <w:rsid w:val="000D44A3"/>
    <w:rsid w:val="000D4D69"/>
    <w:rsid w:val="000D5DA4"/>
    <w:rsid w:val="000D5E92"/>
    <w:rsid w:val="000D6720"/>
    <w:rsid w:val="000E02C9"/>
    <w:rsid w:val="000E130C"/>
    <w:rsid w:val="000E1787"/>
    <w:rsid w:val="000E1D5F"/>
    <w:rsid w:val="000E2538"/>
    <w:rsid w:val="000E2650"/>
    <w:rsid w:val="000E2C0A"/>
    <w:rsid w:val="000E3767"/>
    <w:rsid w:val="000E38F9"/>
    <w:rsid w:val="000E4900"/>
    <w:rsid w:val="000E4A7A"/>
    <w:rsid w:val="000E4AF7"/>
    <w:rsid w:val="000E4C89"/>
    <w:rsid w:val="000E503F"/>
    <w:rsid w:val="000E58E7"/>
    <w:rsid w:val="000E5A86"/>
    <w:rsid w:val="000E5AFA"/>
    <w:rsid w:val="000E5C04"/>
    <w:rsid w:val="000E60BE"/>
    <w:rsid w:val="000E617A"/>
    <w:rsid w:val="000E70C6"/>
    <w:rsid w:val="000E728E"/>
    <w:rsid w:val="000F0050"/>
    <w:rsid w:val="000F07FA"/>
    <w:rsid w:val="000F0ECB"/>
    <w:rsid w:val="000F0F9C"/>
    <w:rsid w:val="000F180E"/>
    <w:rsid w:val="000F1B71"/>
    <w:rsid w:val="000F2CE1"/>
    <w:rsid w:val="000F34A1"/>
    <w:rsid w:val="000F3568"/>
    <w:rsid w:val="000F3776"/>
    <w:rsid w:val="000F3ADE"/>
    <w:rsid w:val="000F3FAD"/>
    <w:rsid w:val="000F402C"/>
    <w:rsid w:val="000F44F3"/>
    <w:rsid w:val="000F4E1A"/>
    <w:rsid w:val="000F54AF"/>
    <w:rsid w:val="000F5657"/>
    <w:rsid w:val="000F5C00"/>
    <w:rsid w:val="000F62E6"/>
    <w:rsid w:val="000F6597"/>
    <w:rsid w:val="000F6787"/>
    <w:rsid w:val="000F687F"/>
    <w:rsid w:val="000F69F2"/>
    <w:rsid w:val="000F6B8E"/>
    <w:rsid w:val="000F6F78"/>
    <w:rsid w:val="000F77D2"/>
    <w:rsid w:val="000F7923"/>
    <w:rsid w:val="00100CC7"/>
    <w:rsid w:val="00100EC3"/>
    <w:rsid w:val="001012C9"/>
    <w:rsid w:val="00101716"/>
    <w:rsid w:val="001017D5"/>
    <w:rsid w:val="00101A58"/>
    <w:rsid w:val="001026E5"/>
    <w:rsid w:val="001035F7"/>
    <w:rsid w:val="00103B88"/>
    <w:rsid w:val="00104718"/>
    <w:rsid w:val="001047FC"/>
    <w:rsid w:val="001054F6"/>
    <w:rsid w:val="001055D9"/>
    <w:rsid w:val="001068C7"/>
    <w:rsid w:val="0011000D"/>
    <w:rsid w:val="0011055E"/>
    <w:rsid w:val="00110889"/>
    <w:rsid w:val="001120BE"/>
    <w:rsid w:val="00112603"/>
    <w:rsid w:val="00112EE9"/>
    <w:rsid w:val="0011315D"/>
    <w:rsid w:val="0011360A"/>
    <w:rsid w:val="00113636"/>
    <w:rsid w:val="00114300"/>
    <w:rsid w:val="0011436F"/>
    <w:rsid w:val="0011510C"/>
    <w:rsid w:val="0011522C"/>
    <w:rsid w:val="00116196"/>
    <w:rsid w:val="0011638E"/>
    <w:rsid w:val="00117538"/>
    <w:rsid w:val="0012004E"/>
    <w:rsid w:val="0012047D"/>
    <w:rsid w:val="00120958"/>
    <w:rsid w:val="00120F5F"/>
    <w:rsid w:val="001225D7"/>
    <w:rsid w:val="00122613"/>
    <w:rsid w:val="00123A98"/>
    <w:rsid w:val="00124A4A"/>
    <w:rsid w:val="00124D26"/>
    <w:rsid w:val="00124DF1"/>
    <w:rsid w:val="00124E9F"/>
    <w:rsid w:val="00124FE5"/>
    <w:rsid w:val="00125154"/>
    <w:rsid w:val="001257AD"/>
    <w:rsid w:val="00126D3A"/>
    <w:rsid w:val="00127370"/>
    <w:rsid w:val="00127DE2"/>
    <w:rsid w:val="001304AF"/>
    <w:rsid w:val="00130B56"/>
    <w:rsid w:val="001312FE"/>
    <w:rsid w:val="0013261D"/>
    <w:rsid w:val="00133639"/>
    <w:rsid w:val="00134162"/>
    <w:rsid w:val="00134346"/>
    <w:rsid w:val="00134554"/>
    <w:rsid w:val="00134B6E"/>
    <w:rsid w:val="00134E26"/>
    <w:rsid w:val="00134F9F"/>
    <w:rsid w:val="0013555D"/>
    <w:rsid w:val="00136F41"/>
    <w:rsid w:val="00136FBC"/>
    <w:rsid w:val="00136FCE"/>
    <w:rsid w:val="00137727"/>
    <w:rsid w:val="001417AF"/>
    <w:rsid w:val="00142917"/>
    <w:rsid w:val="00142E90"/>
    <w:rsid w:val="00143E4F"/>
    <w:rsid w:val="001458D0"/>
    <w:rsid w:val="00145A35"/>
    <w:rsid w:val="00146F69"/>
    <w:rsid w:val="0014735B"/>
    <w:rsid w:val="00147D13"/>
    <w:rsid w:val="00152785"/>
    <w:rsid w:val="00154C69"/>
    <w:rsid w:val="0015529A"/>
    <w:rsid w:val="00155378"/>
    <w:rsid w:val="001555FD"/>
    <w:rsid w:val="00155C4D"/>
    <w:rsid w:val="0015632D"/>
    <w:rsid w:val="0015656A"/>
    <w:rsid w:val="00156723"/>
    <w:rsid w:val="001567AE"/>
    <w:rsid w:val="00156C49"/>
    <w:rsid w:val="0015776E"/>
    <w:rsid w:val="00157F1E"/>
    <w:rsid w:val="00161EFE"/>
    <w:rsid w:val="00162862"/>
    <w:rsid w:val="00163251"/>
    <w:rsid w:val="00163825"/>
    <w:rsid w:val="00163908"/>
    <w:rsid w:val="00164C5F"/>
    <w:rsid w:val="00164D10"/>
    <w:rsid w:val="00164E29"/>
    <w:rsid w:val="00164FDC"/>
    <w:rsid w:val="00165D4D"/>
    <w:rsid w:val="00166147"/>
    <w:rsid w:val="001664BC"/>
    <w:rsid w:val="00166A65"/>
    <w:rsid w:val="0016769E"/>
    <w:rsid w:val="001676ED"/>
    <w:rsid w:val="00167849"/>
    <w:rsid w:val="00167AD8"/>
    <w:rsid w:val="00170E9E"/>
    <w:rsid w:val="00171372"/>
    <w:rsid w:val="00171601"/>
    <w:rsid w:val="00171672"/>
    <w:rsid w:val="00173F16"/>
    <w:rsid w:val="00174C5E"/>
    <w:rsid w:val="0017562A"/>
    <w:rsid w:val="00176E51"/>
    <w:rsid w:val="00177A0A"/>
    <w:rsid w:val="00177D06"/>
    <w:rsid w:val="001800B2"/>
    <w:rsid w:val="00181050"/>
    <w:rsid w:val="001814BC"/>
    <w:rsid w:val="001816DB"/>
    <w:rsid w:val="00181BAF"/>
    <w:rsid w:val="00181EB5"/>
    <w:rsid w:val="00182769"/>
    <w:rsid w:val="0018307F"/>
    <w:rsid w:val="001831B2"/>
    <w:rsid w:val="00184513"/>
    <w:rsid w:val="00184B42"/>
    <w:rsid w:val="00185922"/>
    <w:rsid w:val="00185DD0"/>
    <w:rsid w:val="00185F8B"/>
    <w:rsid w:val="001871AC"/>
    <w:rsid w:val="00187D50"/>
    <w:rsid w:val="00190F1C"/>
    <w:rsid w:val="00191C52"/>
    <w:rsid w:val="001926DF"/>
    <w:rsid w:val="00192EC0"/>
    <w:rsid w:val="00194440"/>
    <w:rsid w:val="00194505"/>
    <w:rsid w:val="00195786"/>
    <w:rsid w:val="001962FE"/>
    <w:rsid w:val="0019671D"/>
    <w:rsid w:val="00197086"/>
    <w:rsid w:val="00197184"/>
    <w:rsid w:val="0019732B"/>
    <w:rsid w:val="001A0FB5"/>
    <w:rsid w:val="001A1093"/>
    <w:rsid w:val="001A1E33"/>
    <w:rsid w:val="001A2407"/>
    <w:rsid w:val="001A321B"/>
    <w:rsid w:val="001A34EB"/>
    <w:rsid w:val="001A496D"/>
    <w:rsid w:val="001A5898"/>
    <w:rsid w:val="001A5CC6"/>
    <w:rsid w:val="001A5D88"/>
    <w:rsid w:val="001A60C0"/>
    <w:rsid w:val="001A7349"/>
    <w:rsid w:val="001B0CAA"/>
    <w:rsid w:val="001B0D2A"/>
    <w:rsid w:val="001B16D6"/>
    <w:rsid w:val="001B1FA7"/>
    <w:rsid w:val="001B25CD"/>
    <w:rsid w:val="001B3EA0"/>
    <w:rsid w:val="001B449D"/>
    <w:rsid w:val="001B4F8B"/>
    <w:rsid w:val="001B548D"/>
    <w:rsid w:val="001B5CA0"/>
    <w:rsid w:val="001B718B"/>
    <w:rsid w:val="001B7879"/>
    <w:rsid w:val="001B78E1"/>
    <w:rsid w:val="001B7E67"/>
    <w:rsid w:val="001C0693"/>
    <w:rsid w:val="001C086F"/>
    <w:rsid w:val="001C0FF1"/>
    <w:rsid w:val="001C125D"/>
    <w:rsid w:val="001C12A3"/>
    <w:rsid w:val="001C1EE3"/>
    <w:rsid w:val="001C381C"/>
    <w:rsid w:val="001C3F7E"/>
    <w:rsid w:val="001C4BA9"/>
    <w:rsid w:val="001C5066"/>
    <w:rsid w:val="001C5B2D"/>
    <w:rsid w:val="001C5E99"/>
    <w:rsid w:val="001C68BC"/>
    <w:rsid w:val="001C68D1"/>
    <w:rsid w:val="001C7720"/>
    <w:rsid w:val="001C7B98"/>
    <w:rsid w:val="001D0177"/>
    <w:rsid w:val="001D0B6D"/>
    <w:rsid w:val="001D0EB9"/>
    <w:rsid w:val="001D1C77"/>
    <w:rsid w:val="001D2547"/>
    <w:rsid w:val="001D2727"/>
    <w:rsid w:val="001D28EA"/>
    <w:rsid w:val="001D2A32"/>
    <w:rsid w:val="001D2BD9"/>
    <w:rsid w:val="001D2DDD"/>
    <w:rsid w:val="001D3554"/>
    <w:rsid w:val="001D4434"/>
    <w:rsid w:val="001D48BE"/>
    <w:rsid w:val="001D4A15"/>
    <w:rsid w:val="001D4EBF"/>
    <w:rsid w:val="001D523F"/>
    <w:rsid w:val="001D5ADC"/>
    <w:rsid w:val="001D5BB7"/>
    <w:rsid w:val="001D60E0"/>
    <w:rsid w:val="001D7544"/>
    <w:rsid w:val="001D79F3"/>
    <w:rsid w:val="001D7C21"/>
    <w:rsid w:val="001E028A"/>
    <w:rsid w:val="001E028D"/>
    <w:rsid w:val="001E0DC2"/>
    <w:rsid w:val="001E2759"/>
    <w:rsid w:val="001E283D"/>
    <w:rsid w:val="001E2A67"/>
    <w:rsid w:val="001E564F"/>
    <w:rsid w:val="001E5EA6"/>
    <w:rsid w:val="001E6F8B"/>
    <w:rsid w:val="001E7B13"/>
    <w:rsid w:val="001F0904"/>
    <w:rsid w:val="001F1379"/>
    <w:rsid w:val="001F225E"/>
    <w:rsid w:val="001F2C98"/>
    <w:rsid w:val="001F2DF9"/>
    <w:rsid w:val="001F360D"/>
    <w:rsid w:val="001F3814"/>
    <w:rsid w:val="001F3A4C"/>
    <w:rsid w:val="001F4649"/>
    <w:rsid w:val="001F6C97"/>
    <w:rsid w:val="0020013D"/>
    <w:rsid w:val="00200765"/>
    <w:rsid w:val="00201D3E"/>
    <w:rsid w:val="00201DAD"/>
    <w:rsid w:val="00202B6F"/>
    <w:rsid w:val="00202D50"/>
    <w:rsid w:val="00204AA6"/>
    <w:rsid w:val="002058AC"/>
    <w:rsid w:val="00206519"/>
    <w:rsid w:val="002066FF"/>
    <w:rsid w:val="00207245"/>
    <w:rsid w:val="00207A6C"/>
    <w:rsid w:val="00207D28"/>
    <w:rsid w:val="00207F56"/>
    <w:rsid w:val="00210473"/>
    <w:rsid w:val="00210A49"/>
    <w:rsid w:val="0021253E"/>
    <w:rsid w:val="002126B1"/>
    <w:rsid w:val="002136F9"/>
    <w:rsid w:val="0021402A"/>
    <w:rsid w:val="002141A9"/>
    <w:rsid w:val="00214418"/>
    <w:rsid w:val="00214979"/>
    <w:rsid w:val="00214A5E"/>
    <w:rsid w:val="00215FA6"/>
    <w:rsid w:val="00216FD0"/>
    <w:rsid w:val="00217DB4"/>
    <w:rsid w:val="00220992"/>
    <w:rsid w:val="00220FF1"/>
    <w:rsid w:val="00221259"/>
    <w:rsid w:val="00221DD2"/>
    <w:rsid w:val="0022253E"/>
    <w:rsid w:val="00222F1B"/>
    <w:rsid w:val="00223604"/>
    <w:rsid w:val="002239B1"/>
    <w:rsid w:val="002239CB"/>
    <w:rsid w:val="00223D79"/>
    <w:rsid w:val="0022449A"/>
    <w:rsid w:val="00224C34"/>
    <w:rsid w:val="00225188"/>
    <w:rsid w:val="00225B6E"/>
    <w:rsid w:val="00225E0F"/>
    <w:rsid w:val="00225FB8"/>
    <w:rsid w:val="002300A4"/>
    <w:rsid w:val="00230505"/>
    <w:rsid w:val="00231E2B"/>
    <w:rsid w:val="00231F82"/>
    <w:rsid w:val="002334FA"/>
    <w:rsid w:val="0023396E"/>
    <w:rsid w:val="0023448C"/>
    <w:rsid w:val="00234684"/>
    <w:rsid w:val="002364EC"/>
    <w:rsid w:val="002371B7"/>
    <w:rsid w:val="002403A3"/>
    <w:rsid w:val="002417A7"/>
    <w:rsid w:val="0024189B"/>
    <w:rsid w:val="00241ADC"/>
    <w:rsid w:val="00241F20"/>
    <w:rsid w:val="002427DD"/>
    <w:rsid w:val="00242982"/>
    <w:rsid w:val="00242FD7"/>
    <w:rsid w:val="002436F8"/>
    <w:rsid w:val="00244545"/>
    <w:rsid w:val="002451C1"/>
    <w:rsid w:val="00245B10"/>
    <w:rsid w:val="00245CC0"/>
    <w:rsid w:val="002472B6"/>
    <w:rsid w:val="002514E3"/>
    <w:rsid w:val="00251B9B"/>
    <w:rsid w:val="00251BBD"/>
    <w:rsid w:val="00253B29"/>
    <w:rsid w:val="002544E6"/>
    <w:rsid w:val="0025476B"/>
    <w:rsid w:val="002547DD"/>
    <w:rsid w:val="00254F92"/>
    <w:rsid w:val="00255081"/>
    <w:rsid w:val="00255709"/>
    <w:rsid w:val="002558A9"/>
    <w:rsid w:val="00256A68"/>
    <w:rsid w:val="00257C62"/>
    <w:rsid w:val="00260B2B"/>
    <w:rsid w:val="00260CA9"/>
    <w:rsid w:val="0026122E"/>
    <w:rsid w:val="00261B6E"/>
    <w:rsid w:val="0026339C"/>
    <w:rsid w:val="00263508"/>
    <w:rsid w:val="0026513D"/>
    <w:rsid w:val="002663AA"/>
    <w:rsid w:val="00267099"/>
    <w:rsid w:val="002677A8"/>
    <w:rsid w:val="002678C9"/>
    <w:rsid w:val="00267CB6"/>
    <w:rsid w:val="002700C2"/>
    <w:rsid w:val="0027018E"/>
    <w:rsid w:val="00270557"/>
    <w:rsid w:val="002706FA"/>
    <w:rsid w:val="002710BA"/>
    <w:rsid w:val="002726B6"/>
    <w:rsid w:val="002733D9"/>
    <w:rsid w:val="00273FF9"/>
    <w:rsid w:val="0027476A"/>
    <w:rsid w:val="00274D73"/>
    <w:rsid w:val="002757E0"/>
    <w:rsid w:val="00275A31"/>
    <w:rsid w:val="00276E37"/>
    <w:rsid w:val="002770B5"/>
    <w:rsid w:val="002804BA"/>
    <w:rsid w:val="002812A4"/>
    <w:rsid w:val="002817BC"/>
    <w:rsid w:val="00281C58"/>
    <w:rsid w:val="00283149"/>
    <w:rsid w:val="0028353B"/>
    <w:rsid w:val="0028385A"/>
    <w:rsid w:val="002857DC"/>
    <w:rsid w:val="00285869"/>
    <w:rsid w:val="00285B4C"/>
    <w:rsid w:val="0028629F"/>
    <w:rsid w:val="002862DF"/>
    <w:rsid w:val="002869C3"/>
    <w:rsid w:val="002869C5"/>
    <w:rsid w:val="002875D5"/>
    <w:rsid w:val="0028766A"/>
    <w:rsid w:val="00287EFB"/>
    <w:rsid w:val="00291143"/>
    <w:rsid w:val="00291476"/>
    <w:rsid w:val="00291F80"/>
    <w:rsid w:val="00292074"/>
    <w:rsid w:val="0029258E"/>
    <w:rsid w:val="00293948"/>
    <w:rsid w:val="002945E4"/>
    <w:rsid w:val="00295DA0"/>
    <w:rsid w:val="002969F0"/>
    <w:rsid w:val="002975F5"/>
    <w:rsid w:val="002A0250"/>
    <w:rsid w:val="002A096B"/>
    <w:rsid w:val="002A0B45"/>
    <w:rsid w:val="002A0E17"/>
    <w:rsid w:val="002A2C15"/>
    <w:rsid w:val="002A2E5E"/>
    <w:rsid w:val="002A301D"/>
    <w:rsid w:val="002A370F"/>
    <w:rsid w:val="002A389F"/>
    <w:rsid w:val="002A5331"/>
    <w:rsid w:val="002A6311"/>
    <w:rsid w:val="002A6C35"/>
    <w:rsid w:val="002A6E9D"/>
    <w:rsid w:val="002A7482"/>
    <w:rsid w:val="002A7701"/>
    <w:rsid w:val="002B035D"/>
    <w:rsid w:val="002B3B4D"/>
    <w:rsid w:val="002B3BA7"/>
    <w:rsid w:val="002B4157"/>
    <w:rsid w:val="002B456A"/>
    <w:rsid w:val="002B4814"/>
    <w:rsid w:val="002B4A96"/>
    <w:rsid w:val="002B51AA"/>
    <w:rsid w:val="002B57D3"/>
    <w:rsid w:val="002B5AB9"/>
    <w:rsid w:val="002B5DAD"/>
    <w:rsid w:val="002B65A6"/>
    <w:rsid w:val="002B6C73"/>
    <w:rsid w:val="002B6EC7"/>
    <w:rsid w:val="002B738E"/>
    <w:rsid w:val="002B7B5A"/>
    <w:rsid w:val="002B7F7A"/>
    <w:rsid w:val="002C0BA3"/>
    <w:rsid w:val="002C174C"/>
    <w:rsid w:val="002C1F7D"/>
    <w:rsid w:val="002C338F"/>
    <w:rsid w:val="002C3402"/>
    <w:rsid w:val="002C347E"/>
    <w:rsid w:val="002C3570"/>
    <w:rsid w:val="002C35A9"/>
    <w:rsid w:val="002C3E1A"/>
    <w:rsid w:val="002C4AC8"/>
    <w:rsid w:val="002C4D11"/>
    <w:rsid w:val="002C5912"/>
    <w:rsid w:val="002D082A"/>
    <w:rsid w:val="002D256C"/>
    <w:rsid w:val="002D4553"/>
    <w:rsid w:val="002D4C2A"/>
    <w:rsid w:val="002D529F"/>
    <w:rsid w:val="002D5643"/>
    <w:rsid w:val="002D6157"/>
    <w:rsid w:val="002D64CE"/>
    <w:rsid w:val="002D6759"/>
    <w:rsid w:val="002D6AC4"/>
    <w:rsid w:val="002D6E48"/>
    <w:rsid w:val="002D7853"/>
    <w:rsid w:val="002D7C5F"/>
    <w:rsid w:val="002E0152"/>
    <w:rsid w:val="002E04FE"/>
    <w:rsid w:val="002E1ACC"/>
    <w:rsid w:val="002E1BCD"/>
    <w:rsid w:val="002E2C68"/>
    <w:rsid w:val="002E3999"/>
    <w:rsid w:val="002E456A"/>
    <w:rsid w:val="002E4A35"/>
    <w:rsid w:val="002E5CF7"/>
    <w:rsid w:val="002E5D96"/>
    <w:rsid w:val="002E6769"/>
    <w:rsid w:val="002E6F89"/>
    <w:rsid w:val="002E7825"/>
    <w:rsid w:val="002E7985"/>
    <w:rsid w:val="002F14B7"/>
    <w:rsid w:val="002F24E6"/>
    <w:rsid w:val="002F2EAE"/>
    <w:rsid w:val="002F2FD5"/>
    <w:rsid w:val="002F39CA"/>
    <w:rsid w:val="002F48F2"/>
    <w:rsid w:val="002F6512"/>
    <w:rsid w:val="002F77BE"/>
    <w:rsid w:val="002F7BF5"/>
    <w:rsid w:val="00300C73"/>
    <w:rsid w:val="003018AD"/>
    <w:rsid w:val="003028B4"/>
    <w:rsid w:val="003032C7"/>
    <w:rsid w:val="00303528"/>
    <w:rsid w:val="00303621"/>
    <w:rsid w:val="003039B4"/>
    <w:rsid w:val="00304F30"/>
    <w:rsid w:val="003069F9"/>
    <w:rsid w:val="00306BCA"/>
    <w:rsid w:val="0031003A"/>
    <w:rsid w:val="003110EF"/>
    <w:rsid w:val="003119A2"/>
    <w:rsid w:val="003119C8"/>
    <w:rsid w:val="00311A6F"/>
    <w:rsid w:val="00312317"/>
    <w:rsid w:val="003123BD"/>
    <w:rsid w:val="00312995"/>
    <w:rsid w:val="00312B52"/>
    <w:rsid w:val="00312DED"/>
    <w:rsid w:val="003134AC"/>
    <w:rsid w:val="0031368B"/>
    <w:rsid w:val="00313AD4"/>
    <w:rsid w:val="00313BEB"/>
    <w:rsid w:val="003149DE"/>
    <w:rsid w:val="00314FE8"/>
    <w:rsid w:val="0031533D"/>
    <w:rsid w:val="003159B8"/>
    <w:rsid w:val="00315A7D"/>
    <w:rsid w:val="00315EE0"/>
    <w:rsid w:val="00316351"/>
    <w:rsid w:val="00316FA4"/>
    <w:rsid w:val="00317BC7"/>
    <w:rsid w:val="003205EA"/>
    <w:rsid w:val="00321124"/>
    <w:rsid w:val="003217E8"/>
    <w:rsid w:val="00321F0D"/>
    <w:rsid w:val="00322268"/>
    <w:rsid w:val="00322D2A"/>
    <w:rsid w:val="003239DA"/>
    <w:rsid w:val="003244D9"/>
    <w:rsid w:val="00324B66"/>
    <w:rsid w:val="0032549E"/>
    <w:rsid w:val="00326909"/>
    <w:rsid w:val="00327B26"/>
    <w:rsid w:val="00330006"/>
    <w:rsid w:val="00330ECA"/>
    <w:rsid w:val="00331503"/>
    <w:rsid w:val="00332091"/>
    <w:rsid w:val="00332130"/>
    <w:rsid w:val="003328FA"/>
    <w:rsid w:val="00332FE8"/>
    <w:rsid w:val="003330D3"/>
    <w:rsid w:val="00333629"/>
    <w:rsid w:val="00333980"/>
    <w:rsid w:val="00333C21"/>
    <w:rsid w:val="00334F1B"/>
    <w:rsid w:val="003362DB"/>
    <w:rsid w:val="00336840"/>
    <w:rsid w:val="00337EFF"/>
    <w:rsid w:val="003407D6"/>
    <w:rsid w:val="00340B39"/>
    <w:rsid w:val="00340D4F"/>
    <w:rsid w:val="00344422"/>
    <w:rsid w:val="003446C8"/>
    <w:rsid w:val="00344C22"/>
    <w:rsid w:val="00345C47"/>
    <w:rsid w:val="003464A1"/>
    <w:rsid w:val="00346A8F"/>
    <w:rsid w:val="00346D59"/>
    <w:rsid w:val="00346F7A"/>
    <w:rsid w:val="00347999"/>
    <w:rsid w:val="00347F96"/>
    <w:rsid w:val="0035030A"/>
    <w:rsid w:val="00350D96"/>
    <w:rsid w:val="0035170B"/>
    <w:rsid w:val="00351DFF"/>
    <w:rsid w:val="00351FCD"/>
    <w:rsid w:val="00352C5C"/>
    <w:rsid w:val="00352EBB"/>
    <w:rsid w:val="003537DE"/>
    <w:rsid w:val="00353B14"/>
    <w:rsid w:val="00354369"/>
    <w:rsid w:val="00354F55"/>
    <w:rsid w:val="00355A55"/>
    <w:rsid w:val="00355DC8"/>
    <w:rsid w:val="00356029"/>
    <w:rsid w:val="00356C6E"/>
    <w:rsid w:val="00357F27"/>
    <w:rsid w:val="0036099E"/>
    <w:rsid w:val="00360E5A"/>
    <w:rsid w:val="00360FD6"/>
    <w:rsid w:val="0036190B"/>
    <w:rsid w:val="0036253F"/>
    <w:rsid w:val="0036259B"/>
    <w:rsid w:val="00362821"/>
    <w:rsid w:val="00363069"/>
    <w:rsid w:val="00363E0D"/>
    <w:rsid w:val="00365D78"/>
    <w:rsid w:val="00370103"/>
    <w:rsid w:val="0037015A"/>
    <w:rsid w:val="003716D8"/>
    <w:rsid w:val="00373670"/>
    <w:rsid w:val="00374352"/>
    <w:rsid w:val="003744AA"/>
    <w:rsid w:val="003746D7"/>
    <w:rsid w:val="003749D5"/>
    <w:rsid w:val="00375284"/>
    <w:rsid w:val="003754AF"/>
    <w:rsid w:val="00375917"/>
    <w:rsid w:val="00375C97"/>
    <w:rsid w:val="00375EAB"/>
    <w:rsid w:val="00376630"/>
    <w:rsid w:val="0037668B"/>
    <w:rsid w:val="00376A55"/>
    <w:rsid w:val="00377447"/>
    <w:rsid w:val="00377E93"/>
    <w:rsid w:val="003801D7"/>
    <w:rsid w:val="003814E7"/>
    <w:rsid w:val="003820F1"/>
    <w:rsid w:val="0038277F"/>
    <w:rsid w:val="00383594"/>
    <w:rsid w:val="003836CA"/>
    <w:rsid w:val="00383EA9"/>
    <w:rsid w:val="003843D4"/>
    <w:rsid w:val="0038601C"/>
    <w:rsid w:val="003860B5"/>
    <w:rsid w:val="0038627D"/>
    <w:rsid w:val="0038636B"/>
    <w:rsid w:val="00387796"/>
    <w:rsid w:val="00387F34"/>
    <w:rsid w:val="0039003C"/>
    <w:rsid w:val="003905CE"/>
    <w:rsid w:val="00390EF6"/>
    <w:rsid w:val="0039215D"/>
    <w:rsid w:val="003921BE"/>
    <w:rsid w:val="003927E7"/>
    <w:rsid w:val="003928A3"/>
    <w:rsid w:val="00393919"/>
    <w:rsid w:val="0039449F"/>
    <w:rsid w:val="003948BA"/>
    <w:rsid w:val="00395256"/>
    <w:rsid w:val="0039527E"/>
    <w:rsid w:val="0039699F"/>
    <w:rsid w:val="003A0899"/>
    <w:rsid w:val="003A0F81"/>
    <w:rsid w:val="003A11E6"/>
    <w:rsid w:val="003A12D9"/>
    <w:rsid w:val="003A13F2"/>
    <w:rsid w:val="003A1703"/>
    <w:rsid w:val="003A188F"/>
    <w:rsid w:val="003A18D0"/>
    <w:rsid w:val="003A27C9"/>
    <w:rsid w:val="003A29FE"/>
    <w:rsid w:val="003A2FD6"/>
    <w:rsid w:val="003A34D6"/>
    <w:rsid w:val="003A39E2"/>
    <w:rsid w:val="003A3C9F"/>
    <w:rsid w:val="003A3FB8"/>
    <w:rsid w:val="003A4728"/>
    <w:rsid w:val="003A4F9D"/>
    <w:rsid w:val="003A5489"/>
    <w:rsid w:val="003A5C4E"/>
    <w:rsid w:val="003A5F8F"/>
    <w:rsid w:val="003A6908"/>
    <w:rsid w:val="003A76A4"/>
    <w:rsid w:val="003A77D5"/>
    <w:rsid w:val="003B0F89"/>
    <w:rsid w:val="003B1C6F"/>
    <w:rsid w:val="003B25A0"/>
    <w:rsid w:val="003B3443"/>
    <w:rsid w:val="003B3E32"/>
    <w:rsid w:val="003B4B7E"/>
    <w:rsid w:val="003B514D"/>
    <w:rsid w:val="003B52AB"/>
    <w:rsid w:val="003B53C0"/>
    <w:rsid w:val="003B5C0D"/>
    <w:rsid w:val="003B5C39"/>
    <w:rsid w:val="003B5EC4"/>
    <w:rsid w:val="003B637C"/>
    <w:rsid w:val="003B680C"/>
    <w:rsid w:val="003B6F20"/>
    <w:rsid w:val="003B7313"/>
    <w:rsid w:val="003C0A92"/>
    <w:rsid w:val="003C0E2B"/>
    <w:rsid w:val="003C0EB4"/>
    <w:rsid w:val="003C1023"/>
    <w:rsid w:val="003C1431"/>
    <w:rsid w:val="003C16F9"/>
    <w:rsid w:val="003C316C"/>
    <w:rsid w:val="003C33E0"/>
    <w:rsid w:val="003C365C"/>
    <w:rsid w:val="003C376D"/>
    <w:rsid w:val="003C3803"/>
    <w:rsid w:val="003C3A8F"/>
    <w:rsid w:val="003C40BA"/>
    <w:rsid w:val="003C463C"/>
    <w:rsid w:val="003C5086"/>
    <w:rsid w:val="003C60F0"/>
    <w:rsid w:val="003C78FC"/>
    <w:rsid w:val="003C7C2D"/>
    <w:rsid w:val="003D0997"/>
    <w:rsid w:val="003D0A2D"/>
    <w:rsid w:val="003D0A5D"/>
    <w:rsid w:val="003D0F60"/>
    <w:rsid w:val="003D173C"/>
    <w:rsid w:val="003D2313"/>
    <w:rsid w:val="003D2738"/>
    <w:rsid w:val="003D2B6A"/>
    <w:rsid w:val="003D2BBC"/>
    <w:rsid w:val="003D381C"/>
    <w:rsid w:val="003D3C82"/>
    <w:rsid w:val="003D4815"/>
    <w:rsid w:val="003D4BAA"/>
    <w:rsid w:val="003D544A"/>
    <w:rsid w:val="003D598E"/>
    <w:rsid w:val="003D6332"/>
    <w:rsid w:val="003D66DE"/>
    <w:rsid w:val="003D75D1"/>
    <w:rsid w:val="003D7D91"/>
    <w:rsid w:val="003E1536"/>
    <w:rsid w:val="003E264C"/>
    <w:rsid w:val="003E2D4E"/>
    <w:rsid w:val="003E34C3"/>
    <w:rsid w:val="003E36C8"/>
    <w:rsid w:val="003E53BE"/>
    <w:rsid w:val="003E6230"/>
    <w:rsid w:val="003E634D"/>
    <w:rsid w:val="003E6E48"/>
    <w:rsid w:val="003E7798"/>
    <w:rsid w:val="003E7A81"/>
    <w:rsid w:val="003E7BE6"/>
    <w:rsid w:val="003F000D"/>
    <w:rsid w:val="003F02AF"/>
    <w:rsid w:val="003F057C"/>
    <w:rsid w:val="003F0874"/>
    <w:rsid w:val="003F107A"/>
    <w:rsid w:val="003F13DA"/>
    <w:rsid w:val="003F17BB"/>
    <w:rsid w:val="003F2A99"/>
    <w:rsid w:val="003F2DCE"/>
    <w:rsid w:val="003F2FAE"/>
    <w:rsid w:val="003F32EA"/>
    <w:rsid w:val="003F3983"/>
    <w:rsid w:val="003F3C40"/>
    <w:rsid w:val="003F3F52"/>
    <w:rsid w:val="003F4218"/>
    <w:rsid w:val="003F4667"/>
    <w:rsid w:val="003F4A76"/>
    <w:rsid w:val="003F4A9A"/>
    <w:rsid w:val="003F4D06"/>
    <w:rsid w:val="003F570E"/>
    <w:rsid w:val="003F5F59"/>
    <w:rsid w:val="003F6194"/>
    <w:rsid w:val="003F6208"/>
    <w:rsid w:val="003F62AE"/>
    <w:rsid w:val="003F662A"/>
    <w:rsid w:val="003F6A39"/>
    <w:rsid w:val="003F72FF"/>
    <w:rsid w:val="003F7A96"/>
    <w:rsid w:val="00400CAA"/>
    <w:rsid w:val="00401403"/>
    <w:rsid w:val="0040176B"/>
    <w:rsid w:val="00401A79"/>
    <w:rsid w:val="00401AC3"/>
    <w:rsid w:val="00401E6F"/>
    <w:rsid w:val="00401F9A"/>
    <w:rsid w:val="004022C9"/>
    <w:rsid w:val="004023FA"/>
    <w:rsid w:val="00403C5F"/>
    <w:rsid w:val="00404BB4"/>
    <w:rsid w:val="004052AC"/>
    <w:rsid w:val="0040574D"/>
    <w:rsid w:val="00405FB6"/>
    <w:rsid w:val="00406595"/>
    <w:rsid w:val="00407151"/>
    <w:rsid w:val="0040728D"/>
    <w:rsid w:val="004102F2"/>
    <w:rsid w:val="00411238"/>
    <w:rsid w:val="004121B6"/>
    <w:rsid w:val="0041333F"/>
    <w:rsid w:val="0041438E"/>
    <w:rsid w:val="00414432"/>
    <w:rsid w:val="0041490B"/>
    <w:rsid w:val="004149C1"/>
    <w:rsid w:val="00415095"/>
    <w:rsid w:val="0041670E"/>
    <w:rsid w:val="00416BDD"/>
    <w:rsid w:val="00417F57"/>
    <w:rsid w:val="0042049B"/>
    <w:rsid w:val="0042080A"/>
    <w:rsid w:val="0042233B"/>
    <w:rsid w:val="0042265B"/>
    <w:rsid w:val="00422A8B"/>
    <w:rsid w:val="004230B4"/>
    <w:rsid w:val="00423FB5"/>
    <w:rsid w:val="0042469A"/>
    <w:rsid w:val="00424CD7"/>
    <w:rsid w:val="0042633A"/>
    <w:rsid w:val="00426775"/>
    <w:rsid w:val="00427253"/>
    <w:rsid w:val="00427656"/>
    <w:rsid w:val="00427F1D"/>
    <w:rsid w:val="00431AE8"/>
    <w:rsid w:val="00431D5F"/>
    <w:rsid w:val="0043272B"/>
    <w:rsid w:val="00432816"/>
    <w:rsid w:val="00433A29"/>
    <w:rsid w:val="00434885"/>
    <w:rsid w:val="00434C64"/>
    <w:rsid w:val="00436526"/>
    <w:rsid w:val="00436A43"/>
    <w:rsid w:val="00436DBA"/>
    <w:rsid w:val="0043719B"/>
    <w:rsid w:val="00437270"/>
    <w:rsid w:val="00437A60"/>
    <w:rsid w:val="00437C1C"/>
    <w:rsid w:val="00437CAF"/>
    <w:rsid w:val="00440CB1"/>
    <w:rsid w:val="00440CF1"/>
    <w:rsid w:val="00441121"/>
    <w:rsid w:val="004412A2"/>
    <w:rsid w:val="00441B74"/>
    <w:rsid w:val="0044246C"/>
    <w:rsid w:val="004433B4"/>
    <w:rsid w:val="0044543E"/>
    <w:rsid w:val="004458E1"/>
    <w:rsid w:val="0044641C"/>
    <w:rsid w:val="0044708A"/>
    <w:rsid w:val="004506EF"/>
    <w:rsid w:val="00450726"/>
    <w:rsid w:val="004509C4"/>
    <w:rsid w:val="0045105D"/>
    <w:rsid w:val="00451E6F"/>
    <w:rsid w:val="00452007"/>
    <w:rsid w:val="00452896"/>
    <w:rsid w:val="00453DE9"/>
    <w:rsid w:val="004550EF"/>
    <w:rsid w:val="00455742"/>
    <w:rsid w:val="00455A05"/>
    <w:rsid w:val="00455E74"/>
    <w:rsid w:val="00456ABF"/>
    <w:rsid w:val="004572CE"/>
    <w:rsid w:val="004576DE"/>
    <w:rsid w:val="004578F9"/>
    <w:rsid w:val="004613E1"/>
    <w:rsid w:val="00461DAB"/>
    <w:rsid w:val="0046423C"/>
    <w:rsid w:val="004656D0"/>
    <w:rsid w:val="00465B00"/>
    <w:rsid w:val="00467065"/>
    <w:rsid w:val="004674BF"/>
    <w:rsid w:val="0046790E"/>
    <w:rsid w:val="00471C64"/>
    <w:rsid w:val="00471CC0"/>
    <w:rsid w:val="00472133"/>
    <w:rsid w:val="004723C2"/>
    <w:rsid w:val="0047242E"/>
    <w:rsid w:val="00472CBA"/>
    <w:rsid w:val="00473439"/>
    <w:rsid w:val="004737AE"/>
    <w:rsid w:val="004758B0"/>
    <w:rsid w:val="00475F8D"/>
    <w:rsid w:val="00475FC3"/>
    <w:rsid w:val="00477176"/>
    <w:rsid w:val="0047782F"/>
    <w:rsid w:val="00477C4D"/>
    <w:rsid w:val="00481CA5"/>
    <w:rsid w:val="00481DC7"/>
    <w:rsid w:val="0048213C"/>
    <w:rsid w:val="004833BC"/>
    <w:rsid w:val="00483E17"/>
    <w:rsid w:val="00485C19"/>
    <w:rsid w:val="00485F5D"/>
    <w:rsid w:val="00486167"/>
    <w:rsid w:val="00486967"/>
    <w:rsid w:val="00486E95"/>
    <w:rsid w:val="00490D68"/>
    <w:rsid w:val="00490E8B"/>
    <w:rsid w:val="00491813"/>
    <w:rsid w:val="004922D0"/>
    <w:rsid w:val="00492322"/>
    <w:rsid w:val="00492A05"/>
    <w:rsid w:val="00493B01"/>
    <w:rsid w:val="00493B1A"/>
    <w:rsid w:val="00493CD6"/>
    <w:rsid w:val="00495653"/>
    <w:rsid w:val="00495E08"/>
    <w:rsid w:val="004965F6"/>
    <w:rsid w:val="004A0512"/>
    <w:rsid w:val="004A0555"/>
    <w:rsid w:val="004A2E66"/>
    <w:rsid w:val="004A306A"/>
    <w:rsid w:val="004A4407"/>
    <w:rsid w:val="004A46E7"/>
    <w:rsid w:val="004A4902"/>
    <w:rsid w:val="004A4E67"/>
    <w:rsid w:val="004A4F9A"/>
    <w:rsid w:val="004A523E"/>
    <w:rsid w:val="004A54B7"/>
    <w:rsid w:val="004A5A1A"/>
    <w:rsid w:val="004A6447"/>
    <w:rsid w:val="004A6B13"/>
    <w:rsid w:val="004A7D74"/>
    <w:rsid w:val="004B0078"/>
    <w:rsid w:val="004B0493"/>
    <w:rsid w:val="004B071E"/>
    <w:rsid w:val="004B0C5E"/>
    <w:rsid w:val="004B14EF"/>
    <w:rsid w:val="004B1856"/>
    <w:rsid w:val="004B2477"/>
    <w:rsid w:val="004B2D79"/>
    <w:rsid w:val="004B330B"/>
    <w:rsid w:val="004B4562"/>
    <w:rsid w:val="004B470D"/>
    <w:rsid w:val="004B5B87"/>
    <w:rsid w:val="004B5F1B"/>
    <w:rsid w:val="004B61C7"/>
    <w:rsid w:val="004B62B3"/>
    <w:rsid w:val="004B71DC"/>
    <w:rsid w:val="004C0888"/>
    <w:rsid w:val="004C2019"/>
    <w:rsid w:val="004C2F1B"/>
    <w:rsid w:val="004C40FF"/>
    <w:rsid w:val="004C4664"/>
    <w:rsid w:val="004C4AF3"/>
    <w:rsid w:val="004C570C"/>
    <w:rsid w:val="004C5A1E"/>
    <w:rsid w:val="004C6037"/>
    <w:rsid w:val="004C61FD"/>
    <w:rsid w:val="004C6968"/>
    <w:rsid w:val="004C6BEE"/>
    <w:rsid w:val="004C7685"/>
    <w:rsid w:val="004C794A"/>
    <w:rsid w:val="004C7F33"/>
    <w:rsid w:val="004D0C2D"/>
    <w:rsid w:val="004D0F47"/>
    <w:rsid w:val="004D118D"/>
    <w:rsid w:val="004D171F"/>
    <w:rsid w:val="004D1DE1"/>
    <w:rsid w:val="004D1FF1"/>
    <w:rsid w:val="004D261A"/>
    <w:rsid w:val="004D2F25"/>
    <w:rsid w:val="004D34F4"/>
    <w:rsid w:val="004D3A2E"/>
    <w:rsid w:val="004D3BDB"/>
    <w:rsid w:val="004D3DE2"/>
    <w:rsid w:val="004D46A3"/>
    <w:rsid w:val="004D4B9E"/>
    <w:rsid w:val="004D574E"/>
    <w:rsid w:val="004D5B26"/>
    <w:rsid w:val="004D5BE3"/>
    <w:rsid w:val="004D5DA4"/>
    <w:rsid w:val="004D7025"/>
    <w:rsid w:val="004D73FD"/>
    <w:rsid w:val="004D7757"/>
    <w:rsid w:val="004D78AE"/>
    <w:rsid w:val="004E0D60"/>
    <w:rsid w:val="004E1BA6"/>
    <w:rsid w:val="004E1DF5"/>
    <w:rsid w:val="004E2CB4"/>
    <w:rsid w:val="004E2FCB"/>
    <w:rsid w:val="004E4343"/>
    <w:rsid w:val="004E6198"/>
    <w:rsid w:val="004E6365"/>
    <w:rsid w:val="004E6662"/>
    <w:rsid w:val="004E6782"/>
    <w:rsid w:val="004E6E0C"/>
    <w:rsid w:val="004E720F"/>
    <w:rsid w:val="004E74B6"/>
    <w:rsid w:val="004E7AFF"/>
    <w:rsid w:val="004E7E3F"/>
    <w:rsid w:val="004F07A1"/>
    <w:rsid w:val="004F1886"/>
    <w:rsid w:val="004F1AA8"/>
    <w:rsid w:val="004F204E"/>
    <w:rsid w:val="004F26E7"/>
    <w:rsid w:val="004F2898"/>
    <w:rsid w:val="004F2A1B"/>
    <w:rsid w:val="004F3DB3"/>
    <w:rsid w:val="004F3FD0"/>
    <w:rsid w:val="004F4942"/>
    <w:rsid w:val="004F6477"/>
    <w:rsid w:val="004F692E"/>
    <w:rsid w:val="004F6B74"/>
    <w:rsid w:val="004F7445"/>
    <w:rsid w:val="004F7982"/>
    <w:rsid w:val="004F7BE2"/>
    <w:rsid w:val="00500080"/>
    <w:rsid w:val="005002CC"/>
    <w:rsid w:val="00501A5F"/>
    <w:rsid w:val="0050217A"/>
    <w:rsid w:val="00502841"/>
    <w:rsid w:val="005033DA"/>
    <w:rsid w:val="0050437E"/>
    <w:rsid w:val="00505532"/>
    <w:rsid w:val="00505BDC"/>
    <w:rsid w:val="00506322"/>
    <w:rsid w:val="005069FC"/>
    <w:rsid w:val="0050700C"/>
    <w:rsid w:val="00507610"/>
    <w:rsid w:val="0051032E"/>
    <w:rsid w:val="00510522"/>
    <w:rsid w:val="00510E66"/>
    <w:rsid w:val="0051165D"/>
    <w:rsid w:val="00513426"/>
    <w:rsid w:val="005138AA"/>
    <w:rsid w:val="005142A6"/>
    <w:rsid w:val="00514381"/>
    <w:rsid w:val="00514887"/>
    <w:rsid w:val="005157CA"/>
    <w:rsid w:val="00516246"/>
    <w:rsid w:val="005164E0"/>
    <w:rsid w:val="00516FCC"/>
    <w:rsid w:val="00517E51"/>
    <w:rsid w:val="00520B8C"/>
    <w:rsid w:val="00522C68"/>
    <w:rsid w:val="00523095"/>
    <w:rsid w:val="005233AE"/>
    <w:rsid w:val="00523AEC"/>
    <w:rsid w:val="00523D9C"/>
    <w:rsid w:val="0052411F"/>
    <w:rsid w:val="005253A7"/>
    <w:rsid w:val="005254CB"/>
    <w:rsid w:val="005265C9"/>
    <w:rsid w:val="00526C90"/>
    <w:rsid w:val="00527FC5"/>
    <w:rsid w:val="005305CE"/>
    <w:rsid w:val="005315FB"/>
    <w:rsid w:val="00531B86"/>
    <w:rsid w:val="00531BB2"/>
    <w:rsid w:val="005332C1"/>
    <w:rsid w:val="00533956"/>
    <w:rsid w:val="00533AB0"/>
    <w:rsid w:val="005351AE"/>
    <w:rsid w:val="0053521C"/>
    <w:rsid w:val="005354ED"/>
    <w:rsid w:val="00535732"/>
    <w:rsid w:val="00535933"/>
    <w:rsid w:val="00535AC0"/>
    <w:rsid w:val="00536273"/>
    <w:rsid w:val="0053640F"/>
    <w:rsid w:val="005366A3"/>
    <w:rsid w:val="00536A5B"/>
    <w:rsid w:val="00540730"/>
    <w:rsid w:val="00540B04"/>
    <w:rsid w:val="00542CD0"/>
    <w:rsid w:val="00543F76"/>
    <w:rsid w:val="00544443"/>
    <w:rsid w:val="00544455"/>
    <w:rsid w:val="00544E64"/>
    <w:rsid w:val="0054546C"/>
    <w:rsid w:val="00545971"/>
    <w:rsid w:val="00545BC6"/>
    <w:rsid w:val="005461B2"/>
    <w:rsid w:val="005468CE"/>
    <w:rsid w:val="00546E45"/>
    <w:rsid w:val="005479FB"/>
    <w:rsid w:val="00547E5F"/>
    <w:rsid w:val="00550673"/>
    <w:rsid w:val="0055072F"/>
    <w:rsid w:val="00551841"/>
    <w:rsid w:val="005521E8"/>
    <w:rsid w:val="00552AE9"/>
    <w:rsid w:val="005555D2"/>
    <w:rsid w:val="0055562D"/>
    <w:rsid w:val="00556342"/>
    <w:rsid w:val="005571C6"/>
    <w:rsid w:val="00557B84"/>
    <w:rsid w:val="00557F81"/>
    <w:rsid w:val="0056123B"/>
    <w:rsid w:val="00561D7F"/>
    <w:rsid w:val="0056207A"/>
    <w:rsid w:val="005623E7"/>
    <w:rsid w:val="00562875"/>
    <w:rsid w:val="00562CDE"/>
    <w:rsid w:val="005639A5"/>
    <w:rsid w:val="0056408E"/>
    <w:rsid w:val="005648B2"/>
    <w:rsid w:val="00564CA7"/>
    <w:rsid w:val="00565BE1"/>
    <w:rsid w:val="00567581"/>
    <w:rsid w:val="005676CE"/>
    <w:rsid w:val="00567B75"/>
    <w:rsid w:val="00570184"/>
    <w:rsid w:val="00572962"/>
    <w:rsid w:val="00573B5E"/>
    <w:rsid w:val="005741BB"/>
    <w:rsid w:val="005752A0"/>
    <w:rsid w:val="005758D9"/>
    <w:rsid w:val="00575AB0"/>
    <w:rsid w:val="00575E47"/>
    <w:rsid w:val="00576438"/>
    <w:rsid w:val="005764D5"/>
    <w:rsid w:val="005766C1"/>
    <w:rsid w:val="00576F8C"/>
    <w:rsid w:val="005771EB"/>
    <w:rsid w:val="005779E4"/>
    <w:rsid w:val="005810AB"/>
    <w:rsid w:val="00581E3C"/>
    <w:rsid w:val="00581F8E"/>
    <w:rsid w:val="005820C8"/>
    <w:rsid w:val="00582A4D"/>
    <w:rsid w:val="00582D7F"/>
    <w:rsid w:val="005834B4"/>
    <w:rsid w:val="00584D5A"/>
    <w:rsid w:val="00586DB6"/>
    <w:rsid w:val="00587031"/>
    <w:rsid w:val="00587200"/>
    <w:rsid w:val="005875B9"/>
    <w:rsid w:val="00587844"/>
    <w:rsid w:val="005904F2"/>
    <w:rsid w:val="0059345A"/>
    <w:rsid w:val="005938C4"/>
    <w:rsid w:val="00594A56"/>
    <w:rsid w:val="005955E4"/>
    <w:rsid w:val="005957DE"/>
    <w:rsid w:val="00596708"/>
    <w:rsid w:val="00596AB3"/>
    <w:rsid w:val="005A0114"/>
    <w:rsid w:val="005A02AC"/>
    <w:rsid w:val="005A336D"/>
    <w:rsid w:val="005A3C84"/>
    <w:rsid w:val="005A3E14"/>
    <w:rsid w:val="005A3F70"/>
    <w:rsid w:val="005A41E6"/>
    <w:rsid w:val="005A445F"/>
    <w:rsid w:val="005A4EE1"/>
    <w:rsid w:val="005A4F49"/>
    <w:rsid w:val="005A5CBB"/>
    <w:rsid w:val="005A6785"/>
    <w:rsid w:val="005A6846"/>
    <w:rsid w:val="005A686B"/>
    <w:rsid w:val="005A720E"/>
    <w:rsid w:val="005A7E48"/>
    <w:rsid w:val="005A7F88"/>
    <w:rsid w:val="005B096A"/>
    <w:rsid w:val="005B0A3F"/>
    <w:rsid w:val="005B0B1D"/>
    <w:rsid w:val="005B1C3D"/>
    <w:rsid w:val="005B1FAF"/>
    <w:rsid w:val="005B1FF9"/>
    <w:rsid w:val="005B20B1"/>
    <w:rsid w:val="005B2C24"/>
    <w:rsid w:val="005B2C6E"/>
    <w:rsid w:val="005B3075"/>
    <w:rsid w:val="005B34E1"/>
    <w:rsid w:val="005B3816"/>
    <w:rsid w:val="005B4F46"/>
    <w:rsid w:val="005B5384"/>
    <w:rsid w:val="005B5B03"/>
    <w:rsid w:val="005B5BE9"/>
    <w:rsid w:val="005B7F82"/>
    <w:rsid w:val="005C049E"/>
    <w:rsid w:val="005C0E3D"/>
    <w:rsid w:val="005C12DF"/>
    <w:rsid w:val="005C1DD5"/>
    <w:rsid w:val="005C2081"/>
    <w:rsid w:val="005C2270"/>
    <w:rsid w:val="005C33B3"/>
    <w:rsid w:val="005C3C38"/>
    <w:rsid w:val="005C417F"/>
    <w:rsid w:val="005C41E8"/>
    <w:rsid w:val="005C4392"/>
    <w:rsid w:val="005C4ED3"/>
    <w:rsid w:val="005C4F92"/>
    <w:rsid w:val="005C5012"/>
    <w:rsid w:val="005C550A"/>
    <w:rsid w:val="005C6035"/>
    <w:rsid w:val="005C655E"/>
    <w:rsid w:val="005C7881"/>
    <w:rsid w:val="005D001A"/>
    <w:rsid w:val="005D07E9"/>
    <w:rsid w:val="005D1103"/>
    <w:rsid w:val="005D1CA8"/>
    <w:rsid w:val="005D2460"/>
    <w:rsid w:val="005D2F36"/>
    <w:rsid w:val="005D30B7"/>
    <w:rsid w:val="005D3DA1"/>
    <w:rsid w:val="005D3FED"/>
    <w:rsid w:val="005D6615"/>
    <w:rsid w:val="005D6C1A"/>
    <w:rsid w:val="005D748C"/>
    <w:rsid w:val="005D74B0"/>
    <w:rsid w:val="005E0115"/>
    <w:rsid w:val="005E04BB"/>
    <w:rsid w:val="005E1C57"/>
    <w:rsid w:val="005E1CE6"/>
    <w:rsid w:val="005E275F"/>
    <w:rsid w:val="005E3657"/>
    <w:rsid w:val="005E4694"/>
    <w:rsid w:val="005E47A2"/>
    <w:rsid w:val="005E5212"/>
    <w:rsid w:val="005E5B2D"/>
    <w:rsid w:val="005E5B90"/>
    <w:rsid w:val="005E6B57"/>
    <w:rsid w:val="005E6C6C"/>
    <w:rsid w:val="005E6D18"/>
    <w:rsid w:val="005E7546"/>
    <w:rsid w:val="005E765B"/>
    <w:rsid w:val="005E7A69"/>
    <w:rsid w:val="005E7DE4"/>
    <w:rsid w:val="005F0880"/>
    <w:rsid w:val="005F0949"/>
    <w:rsid w:val="005F0AA5"/>
    <w:rsid w:val="005F11A1"/>
    <w:rsid w:val="005F1491"/>
    <w:rsid w:val="005F1A3C"/>
    <w:rsid w:val="005F1AB8"/>
    <w:rsid w:val="005F1F17"/>
    <w:rsid w:val="005F2EB1"/>
    <w:rsid w:val="005F2F3E"/>
    <w:rsid w:val="005F55F2"/>
    <w:rsid w:val="005F5DAE"/>
    <w:rsid w:val="005F6029"/>
    <w:rsid w:val="005F6667"/>
    <w:rsid w:val="005F75E5"/>
    <w:rsid w:val="0060063B"/>
    <w:rsid w:val="00600D46"/>
    <w:rsid w:val="00601714"/>
    <w:rsid w:val="00601B19"/>
    <w:rsid w:val="00601C1E"/>
    <w:rsid w:val="00602308"/>
    <w:rsid w:val="00602F3F"/>
    <w:rsid w:val="00603A0B"/>
    <w:rsid w:val="006040B9"/>
    <w:rsid w:val="00604DE4"/>
    <w:rsid w:val="00604FDD"/>
    <w:rsid w:val="006054AB"/>
    <w:rsid w:val="00605A4E"/>
    <w:rsid w:val="00606057"/>
    <w:rsid w:val="0060680F"/>
    <w:rsid w:val="00606B31"/>
    <w:rsid w:val="006074B2"/>
    <w:rsid w:val="0060768D"/>
    <w:rsid w:val="006101A1"/>
    <w:rsid w:val="00610A7E"/>
    <w:rsid w:val="006116F5"/>
    <w:rsid w:val="00611818"/>
    <w:rsid w:val="00611D89"/>
    <w:rsid w:val="00612014"/>
    <w:rsid w:val="0061213F"/>
    <w:rsid w:val="0061224B"/>
    <w:rsid w:val="00612364"/>
    <w:rsid w:val="00612BD4"/>
    <w:rsid w:val="00613D1A"/>
    <w:rsid w:val="00613FEE"/>
    <w:rsid w:val="00614031"/>
    <w:rsid w:val="00614493"/>
    <w:rsid w:val="00614E0B"/>
    <w:rsid w:val="006159CD"/>
    <w:rsid w:val="00616303"/>
    <w:rsid w:val="006163F7"/>
    <w:rsid w:val="00616F45"/>
    <w:rsid w:val="0061717C"/>
    <w:rsid w:val="00617511"/>
    <w:rsid w:val="0061763F"/>
    <w:rsid w:val="00617686"/>
    <w:rsid w:val="006210E9"/>
    <w:rsid w:val="006215CD"/>
    <w:rsid w:val="00621C4E"/>
    <w:rsid w:val="00621DBE"/>
    <w:rsid w:val="006226FD"/>
    <w:rsid w:val="00622DB3"/>
    <w:rsid w:val="0062427C"/>
    <w:rsid w:val="0062461D"/>
    <w:rsid w:val="006252BA"/>
    <w:rsid w:val="006255E7"/>
    <w:rsid w:val="00625972"/>
    <w:rsid w:val="006259D7"/>
    <w:rsid w:val="00625C41"/>
    <w:rsid w:val="00625D40"/>
    <w:rsid w:val="00625D46"/>
    <w:rsid w:val="00626BC7"/>
    <w:rsid w:val="00627DE2"/>
    <w:rsid w:val="00631C8F"/>
    <w:rsid w:val="006327B8"/>
    <w:rsid w:val="00632C69"/>
    <w:rsid w:val="00632F15"/>
    <w:rsid w:val="006333B1"/>
    <w:rsid w:val="0063350C"/>
    <w:rsid w:val="00634626"/>
    <w:rsid w:val="006359C6"/>
    <w:rsid w:val="00635AE8"/>
    <w:rsid w:val="00637017"/>
    <w:rsid w:val="006377BB"/>
    <w:rsid w:val="00637ED6"/>
    <w:rsid w:val="00640901"/>
    <w:rsid w:val="0064116A"/>
    <w:rsid w:val="006416B5"/>
    <w:rsid w:val="00642223"/>
    <w:rsid w:val="00642512"/>
    <w:rsid w:val="006436BA"/>
    <w:rsid w:val="00643E31"/>
    <w:rsid w:val="006464C2"/>
    <w:rsid w:val="006471DB"/>
    <w:rsid w:val="00647C0E"/>
    <w:rsid w:val="00650567"/>
    <w:rsid w:val="00650F92"/>
    <w:rsid w:val="006511D4"/>
    <w:rsid w:val="00651871"/>
    <w:rsid w:val="00651A9A"/>
    <w:rsid w:val="006526F0"/>
    <w:rsid w:val="00653066"/>
    <w:rsid w:val="006535A8"/>
    <w:rsid w:val="0065434A"/>
    <w:rsid w:val="00654E1A"/>
    <w:rsid w:val="00654F8C"/>
    <w:rsid w:val="00655828"/>
    <w:rsid w:val="00655B18"/>
    <w:rsid w:val="00655B2B"/>
    <w:rsid w:val="006560F3"/>
    <w:rsid w:val="0065724A"/>
    <w:rsid w:val="0065728B"/>
    <w:rsid w:val="00660EAE"/>
    <w:rsid w:val="00662CA0"/>
    <w:rsid w:val="00663353"/>
    <w:rsid w:val="0066360E"/>
    <w:rsid w:val="00664DA1"/>
    <w:rsid w:val="006650B7"/>
    <w:rsid w:val="00665CF9"/>
    <w:rsid w:val="00665FB9"/>
    <w:rsid w:val="00666251"/>
    <w:rsid w:val="00666604"/>
    <w:rsid w:val="0066666F"/>
    <w:rsid w:val="00666E64"/>
    <w:rsid w:val="0066777C"/>
    <w:rsid w:val="0067032C"/>
    <w:rsid w:val="00670924"/>
    <w:rsid w:val="00670B88"/>
    <w:rsid w:val="00671252"/>
    <w:rsid w:val="00671685"/>
    <w:rsid w:val="0067236B"/>
    <w:rsid w:val="006748BD"/>
    <w:rsid w:val="00676BB8"/>
    <w:rsid w:val="00676D10"/>
    <w:rsid w:val="00676FD8"/>
    <w:rsid w:val="00676FED"/>
    <w:rsid w:val="006777DE"/>
    <w:rsid w:val="00677FBF"/>
    <w:rsid w:val="00680AD4"/>
    <w:rsid w:val="00680FC1"/>
    <w:rsid w:val="00681021"/>
    <w:rsid w:val="006811FA"/>
    <w:rsid w:val="006813B3"/>
    <w:rsid w:val="00681983"/>
    <w:rsid w:val="00681C31"/>
    <w:rsid w:val="00682372"/>
    <w:rsid w:val="006828A6"/>
    <w:rsid w:val="00683A4E"/>
    <w:rsid w:val="00683BDA"/>
    <w:rsid w:val="0068431C"/>
    <w:rsid w:val="00684BA7"/>
    <w:rsid w:val="00686034"/>
    <w:rsid w:val="00686D8E"/>
    <w:rsid w:val="006873A5"/>
    <w:rsid w:val="00690C9A"/>
    <w:rsid w:val="00691879"/>
    <w:rsid w:val="00692DF2"/>
    <w:rsid w:val="0069374F"/>
    <w:rsid w:val="00693CBF"/>
    <w:rsid w:val="00694376"/>
    <w:rsid w:val="00695074"/>
    <w:rsid w:val="00696041"/>
    <w:rsid w:val="006963E7"/>
    <w:rsid w:val="006966D4"/>
    <w:rsid w:val="00696BA2"/>
    <w:rsid w:val="00697A92"/>
    <w:rsid w:val="00697C4E"/>
    <w:rsid w:val="006A0981"/>
    <w:rsid w:val="006A22EA"/>
    <w:rsid w:val="006A31B2"/>
    <w:rsid w:val="006A39BF"/>
    <w:rsid w:val="006A5D4C"/>
    <w:rsid w:val="006A6537"/>
    <w:rsid w:val="006A65BA"/>
    <w:rsid w:val="006A65D8"/>
    <w:rsid w:val="006A7572"/>
    <w:rsid w:val="006A77D1"/>
    <w:rsid w:val="006B0AB2"/>
    <w:rsid w:val="006B2DB0"/>
    <w:rsid w:val="006B3C70"/>
    <w:rsid w:val="006B40A9"/>
    <w:rsid w:val="006B5CC3"/>
    <w:rsid w:val="006B5D3E"/>
    <w:rsid w:val="006B6503"/>
    <w:rsid w:val="006B68EB"/>
    <w:rsid w:val="006B72FB"/>
    <w:rsid w:val="006B77D5"/>
    <w:rsid w:val="006B7D29"/>
    <w:rsid w:val="006B7FED"/>
    <w:rsid w:val="006C014D"/>
    <w:rsid w:val="006C08EC"/>
    <w:rsid w:val="006C0CAA"/>
    <w:rsid w:val="006C0D16"/>
    <w:rsid w:val="006C0E0C"/>
    <w:rsid w:val="006C1312"/>
    <w:rsid w:val="006C3096"/>
    <w:rsid w:val="006C325A"/>
    <w:rsid w:val="006C360E"/>
    <w:rsid w:val="006C452C"/>
    <w:rsid w:val="006C5771"/>
    <w:rsid w:val="006C5A8E"/>
    <w:rsid w:val="006C5E8C"/>
    <w:rsid w:val="006C6381"/>
    <w:rsid w:val="006C68C5"/>
    <w:rsid w:val="006C6C03"/>
    <w:rsid w:val="006C7A09"/>
    <w:rsid w:val="006D040F"/>
    <w:rsid w:val="006D17A6"/>
    <w:rsid w:val="006D1DD4"/>
    <w:rsid w:val="006D22BC"/>
    <w:rsid w:val="006D37A8"/>
    <w:rsid w:val="006D3D0E"/>
    <w:rsid w:val="006D56B1"/>
    <w:rsid w:val="006D5A96"/>
    <w:rsid w:val="006D709A"/>
    <w:rsid w:val="006D7EAC"/>
    <w:rsid w:val="006E03D5"/>
    <w:rsid w:val="006E1495"/>
    <w:rsid w:val="006E1C46"/>
    <w:rsid w:val="006E1E50"/>
    <w:rsid w:val="006E23DC"/>
    <w:rsid w:val="006E24B6"/>
    <w:rsid w:val="006E28E9"/>
    <w:rsid w:val="006E2D55"/>
    <w:rsid w:val="006E3ADA"/>
    <w:rsid w:val="006E3BC8"/>
    <w:rsid w:val="006E3CFD"/>
    <w:rsid w:val="006E55A7"/>
    <w:rsid w:val="006E5E58"/>
    <w:rsid w:val="006E60E0"/>
    <w:rsid w:val="006E637E"/>
    <w:rsid w:val="006E6575"/>
    <w:rsid w:val="006E6647"/>
    <w:rsid w:val="006E713F"/>
    <w:rsid w:val="006E79D5"/>
    <w:rsid w:val="006E7AAF"/>
    <w:rsid w:val="006F03AF"/>
    <w:rsid w:val="006F0AFB"/>
    <w:rsid w:val="006F0CBF"/>
    <w:rsid w:val="006F1EE0"/>
    <w:rsid w:val="006F375A"/>
    <w:rsid w:val="006F3F8B"/>
    <w:rsid w:val="006F47D6"/>
    <w:rsid w:val="006F4BEF"/>
    <w:rsid w:val="006F4E32"/>
    <w:rsid w:val="006F6DEB"/>
    <w:rsid w:val="006F757F"/>
    <w:rsid w:val="006F790A"/>
    <w:rsid w:val="006F7923"/>
    <w:rsid w:val="007011F8"/>
    <w:rsid w:val="00701551"/>
    <w:rsid w:val="00701593"/>
    <w:rsid w:val="00701B87"/>
    <w:rsid w:val="00701B93"/>
    <w:rsid w:val="00701DED"/>
    <w:rsid w:val="007041C1"/>
    <w:rsid w:val="00706998"/>
    <w:rsid w:val="0070775E"/>
    <w:rsid w:val="00707823"/>
    <w:rsid w:val="00707B17"/>
    <w:rsid w:val="00707B98"/>
    <w:rsid w:val="00707E51"/>
    <w:rsid w:val="00710002"/>
    <w:rsid w:val="007101A0"/>
    <w:rsid w:val="00710411"/>
    <w:rsid w:val="007105B1"/>
    <w:rsid w:val="007106C4"/>
    <w:rsid w:val="007107D9"/>
    <w:rsid w:val="0071153F"/>
    <w:rsid w:val="00711BE9"/>
    <w:rsid w:val="00711DF6"/>
    <w:rsid w:val="007134B4"/>
    <w:rsid w:val="00713783"/>
    <w:rsid w:val="007138DD"/>
    <w:rsid w:val="00715E24"/>
    <w:rsid w:val="0071660E"/>
    <w:rsid w:val="00720642"/>
    <w:rsid w:val="00721367"/>
    <w:rsid w:val="0072177E"/>
    <w:rsid w:val="00721F2D"/>
    <w:rsid w:val="00721FCD"/>
    <w:rsid w:val="00722093"/>
    <w:rsid w:val="00722FAE"/>
    <w:rsid w:val="00723836"/>
    <w:rsid w:val="00725299"/>
    <w:rsid w:val="0072586C"/>
    <w:rsid w:val="00726030"/>
    <w:rsid w:val="00726942"/>
    <w:rsid w:val="00726B90"/>
    <w:rsid w:val="00726E85"/>
    <w:rsid w:val="007275B3"/>
    <w:rsid w:val="00727781"/>
    <w:rsid w:val="00727FE1"/>
    <w:rsid w:val="00730CC1"/>
    <w:rsid w:val="00730E0B"/>
    <w:rsid w:val="00730F4F"/>
    <w:rsid w:val="0073155F"/>
    <w:rsid w:val="00731829"/>
    <w:rsid w:val="0073192A"/>
    <w:rsid w:val="007323D3"/>
    <w:rsid w:val="0073252B"/>
    <w:rsid w:val="007330BE"/>
    <w:rsid w:val="007336DF"/>
    <w:rsid w:val="00733877"/>
    <w:rsid w:val="00733C30"/>
    <w:rsid w:val="00733F73"/>
    <w:rsid w:val="0073468B"/>
    <w:rsid w:val="00734E66"/>
    <w:rsid w:val="007354EC"/>
    <w:rsid w:val="007363BE"/>
    <w:rsid w:val="00736986"/>
    <w:rsid w:val="00737283"/>
    <w:rsid w:val="007373A4"/>
    <w:rsid w:val="00737552"/>
    <w:rsid w:val="007375E1"/>
    <w:rsid w:val="007400BC"/>
    <w:rsid w:val="007400F6"/>
    <w:rsid w:val="0074279A"/>
    <w:rsid w:val="00742ED2"/>
    <w:rsid w:val="0074318D"/>
    <w:rsid w:val="007431AB"/>
    <w:rsid w:val="0074336D"/>
    <w:rsid w:val="00743862"/>
    <w:rsid w:val="007451EE"/>
    <w:rsid w:val="007452AA"/>
    <w:rsid w:val="00745C11"/>
    <w:rsid w:val="007461BE"/>
    <w:rsid w:val="007466DF"/>
    <w:rsid w:val="00746713"/>
    <w:rsid w:val="00747C76"/>
    <w:rsid w:val="0075041E"/>
    <w:rsid w:val="00750759"/>
    <w:rsid w:val="007508DF"/>
    <w:rsid w:val="00750AE6"/>
    <w:rsid w:val="00751278"/>
    <w:rsid w:val="007520E2"/>
    <w:rsid w:val="00752E80"/>
    <w:rsid w:val="00753373"/>
    <w:rsid w:val="00753D3F"/>
    <w:rsid w:val="0075408C"/>
    <w:rsid w:val="00756B2A"/>
    <w:rsid w:val="0075720B"/>
    <w:rsid w:val="00757464"/>
    <w:rsid w:val="00757926"/>
    <w:rsid w:val="00757F3B"/>
    <w:rsid w:val="007617B0"/>
    <w:rsid w:val="00761AA7"/>
    <w:rsid w:val="00762DF6"/>
    <w:rsid w:val="007643AC"/>
    <w:rsid w:val="0076491A"/>
    <w:rsid w:val="00764996"/>
    <w:rsid w:val="00765242"/>
    <w:rsid w:val="0076559E"/>
    <w:rsid w:val="00766257"/>
    <w:rsid w:val="00766539"/>
    <w:rsid w:val="0077023E"/>
    <w:rsid w:val="00770825"/>
    <w:rsid w:val="00770985"/>
    <w:rsid w:val="00770A76"/>
    <w:rsid w:val="0077119D"/>
    <w:rsid w:val="007717EE"/>
    <w:rsid w:val="00773985"/>
    <w:rsid w:val="00774B7E"/>
    <w:rsid w:val="00775C7B"/>
    <w:rsid w:val="00776319"/>
    <w:rsid w:val="00776644"/>
    <w:rsid w:val="00776A17"/>
    <w:rsid w:val="00776EEC"/>
    <w:rsid w:val="007776D3"/>
    <w:rsid w:val="00777ADF"/>
    <w:rsid w:val="00777CEC"/>
    <w:rsid w:val="007814F6"/>
    <w:rsid w:val="00781E2A"/>
    <w:rsid w:val="007828E5"/>
    <w:rsid w:val="00784B5A"/>
    <w:rsid w:val="00784BB5"/>
    <w:rsid w:val="00787DC2"/>
    <w:rsid w:val="00790013"/>
    <w:rsid w:val="00790571"/>
    <w:rsid w:val="00790D3A"/>
    <w:rsid w:val="00790F40"/>
    <w:rsid w:val="00791C4A"/>
    <w:rsid w:val="00792899"/>
    <w:rsid w:val="00792F9F"/>
    <w:rsid w:val="0079317A"/>
    <w:rsid w:val="007932B0"/>
    <w:rsid w:val="0079449F"/>
    <w:rsid w:val="00795603"/>
    <w:rsid w:val="00795938"/>
    <w:rsid w:val="00795B2A"/>
    <w:rsid w:val="00795E43"/>
    <w:rsid w:val="0079734E"/>
    <w:rsid w:val="007973F9"/>
    <w:rsid w:val="00797860"/>
    <w:rsid w:val="007A0000"/>
    <w:rsid w:val="007A018F"/>
    <w:rsid w:val="007A02C2"/>
    <w:rsid w:val="007A0BAD"/>
    <w:rsid w:val="007A1753"/>
    <w:rsid w:val="007A1B25"/>
    <w:rsid w:val="007A327B"/>
    <w:rsid w:val="007A3682"/>
    <w:rsid w:val="007A3945"/>
    <w:rsid w:val="007A3B89"/>
    <w:rsid w:val="007A47EB"/>
    <w:rsid w:val="007A61D1"/>
    <w:rsid w:val="007A6756"/>
    <w:rsid w:val="007A69B0"/>
    <w:rsid w:val="007B0EEF"/>
    <w:rsid w:val="007B187C"/>
    <w:rsid w:val="007B299F"/>
    <w:rsid w:val="007B3326"/>
    <w:rsid w:val="007B34FF"/>
    <w:rsid w:val="007B4FED"/>
    <w:rsid w:val="007B5A21"/>
    <w:rsid w:val="007B5F6E"/>
    <w:rsid w:val="007B6ABC"/>
    <w:rsid w:val="007B7A58"/>
    <w:rsid w:val="007B7E54"/>
    <w:rsid w:val="007C0D10"/>
    <w:rsid w:val="007C1069"/>
    <w:rsid w:val="007C1482"/>
    <w:rsid w:val="007C1A5A"/>
    <w:rsid w:val="007C1D39"/>
    <w:rsid w:val="007C1DF4"/>
    <w:rsid w:val="007C22F2"/>
    <w:rsid w:val="007C234E"/>
    <w:rsid w:val="007C237C"/>
    <w:rsid w:val="007C2F7B"/>
    <w:rsid w:val="007C33D9"/>
    <w:rsid w:val="007C3412"/>
    <w:rsid w:val="007C364F"/>
    <w:rsid w:val="007C4258"/>
    <w:rsid w:val="007C473C"/>
    <w:rsid w:val="007C661D"/>
    <w:rsid w:val="007C75E3"/>
    <w:rsid w:val="007D0119"/>
    <w:rsid w:val="007D057B"/>
    <w:rsid w:val="007D05A0"/>
    <w:rsid w:val="007D0844"/>
    <w:rsid w:val="007D0F7D"/>
    <w:rsid w:val="007D1704"/>
    <w:rsid w:val="007D2311"/>
    <w:rsid w:val="007D2930"/>
    <w:rsid w:val="007D2AEB"/>
    <w:rsid w:val="007D2AF2"/>
    <w:rsid w:val="007D341C"/>
    <w:rsid w:val="007D50BC"/>
    <w:rsid w:val="007D54A1"/>
    <w:rsid w:val="007D56CD"/>
    <w:rsid w:val="007D58FF"/>
    <w:rsid w:val="007D5AE5"/>
    <w:rsid w:val="007D6991"/>
    <w:rsid w:val="007D6AC4"/>
    <w:rsid w:val="007D75DD"/>
    <w:rsid w:val="007D771C"/>
    <w:rsid w:val="007D7740"/>
    <w:rsid w:val="007E0ABC"/>
    <w:rsid w:val="007E137D"/>
    <w:rsid w:val="007E278D"/>
    <w:rsid w:val="007E3D42"/>
    <w:rsid w:val="007E4814"/>
    <w:rsid w:val="007E6009"/>
    <w:rsid w:val="007E604C"/>
    <w:rsid w:val="007E6E41"/>
    <w:rsid w:val="007E73AD"/>
    <w:rsid w:val="007E7D56"/>
    <w:rsid w:val="007E7F09"/>
    <w:rsid w:val="007F09CC"/>
    <w:rsid w:val="007F12F9"/>
    <w:rsid w:val="007F13E1"/>
    <w:rsid w:val="007F14F2"/>
    <w:rsid w:val="007F1620"/>
    <w:rsid w:val="007F177B"/>
    <w:rsid w:val="007F257E"/>
    <w:rsid w:val="007F2E2D"/>
    <w:rsid w:val="007F3C95"/>
    <w:rsid w:val="007F43A6"/>
    <w:rsid w:val="007F4D13"/>
    <w:rsid w:val="007F6942"/>
    <w:rsid w:val="007F6DFD"/>
    <w:rsid w:val="007F70F1"/>
    <w:rsid w:val="007F714F"/>
    <w:rsid w:val="007F7D64"/>
    <w:rsid w:val="00800817"/>
    <w:rsid w:val="00801004"/>
    <w:rsid w:val="008012A2"/>
    <w:rsid w:val="008012BF"/>
    <w:rsid w:val="00801738"/>
    <w:rsid w:val="00802054"/>
    <w:rsid w:val="00802EE3"/>
    <w:rsid w:val="00803056"/>
    <w:rsid w:val="00803297"/>
    <w:rsid w:val="0080400B"/>
    <w:rsid w:val="00804BEF"/>
    <w:rsid w:val="0080524E"/>
    <w:rsid w:val="00805E1A"/>
    <w:rsid w:val="00806EB0"/>
    <w:rsid w:val="008075F7"/>
    <w:rsid w:val="00811FB2"/>
    <w:rsid w:val="00813A2F"/>
    <w:rsid w:val="00813BE3"/>
    <w:rsid w:val="008158BD"/>
    <w:rsid w:val="008165A1"/>
    <w:rsid w:val="00816684"/>
    <w:rsid w:val="00817181"/>
    <w:rsid w:val="00820026"/>
    <w:rsid w:val="00820F57"/>
    <w:rsid w:val="008248FB"/>
    <w:rsid w:val="00824C3C"/>
    <w:rsid w:val="0082551E"/>
    <w:rsid w:val="00825660"/>
    <w:rsid w:val="008257C1"/>
    <w:rsid w:val="008258F1"/>
    <w:rsid w:val="0082756D"/>
    <w:rsid w:val="00827D16"/>
    <w:rsid w:val="00830767"/>
    <w:rsid w:val="00830CE9"/>
    <w:rsid w:val="00830D1A"/>
    <w:rsid w:val="008314A3"/>
    <w:rsid w:val="00831A76"/>
    <w:rsid w:val="00831BDF"/>
    <w:rsid w:val="00832323"/>
    <w:rsid w:val="008331EC"/>
    <w:rsid w:val="008336DB"/>
    <w:rsid w:val="00833712"/>
    <w:rsid w:val="008339B0"/>
    <w:rsid w:val="00834086"/>
    <w:rsid w:val="008341B7"/>
    <w:rsid w:val="008350E2"/>
    <w:rsid w:val="00835EF1"/>
    <w:rsid w:val="008361C8"/>
    <w:rsid w:val="00836272"/>
    <w:rsid w:val="00836EB8"/>
    <w:rsid w:val="008371CE"/>
    <w:rsid w:val="00837257"/>
    <w:rsid w:val="0083738B"/>
    <w:rsid w:val="00840A09"/>
    <w:rsid w:val="00840A68"/>
    <w:rsid w:val="00840E48"/>
    <w:rsid w:val="008416FD"/>
    <w:rsid w:val="00842188"/>
    <w:rsid w:val="0084275A"/>
    <w:rsid w:val="00842C8B"/>
    <w:rsid w:val="00843791"/>
    <w:rsid w:val="00843E9C"/>
    <w:rsid w:val="008450C0"/>
    <w:rsid w:val="008451CD"/>
    <w:rsid w:val="0084579A"/>
    <w:rsid w:val="008459FB"/>
    <w:rsid w:val="00846784"/>
    <w:rsid w:val="00851043"/>
    <w:rsid w:val="008510BF"/>
    <w:rsid w:val="0085156A"/>
    <w:rsid w:val="00851F08"/>
    <w:rsid w:val="00851F0E"/>
    <w:rsid w:val="00852076"/>
    <w:rsid w:val="008525E3"/>
    <w:rsid w:val="00852E5A"/>
    <w:rsid w:val="0085457A"/>
    <w:rsid w:val="00854B50"/>
    <w:rsid w:val="00854FBF"/>
    <w:rsid w:val="0085509D"/>
    <w:rsid w:val="008555EE"/>
    <w:rsid w:val="0085651C"/>
    <w:rsid w:val="0085665B"/>
    <w:rsid w:val="008576B3"/>
    <w:rsid w:val="008619FE"/>
    <w:rsid w:val="00861B74"/>
    <w:rsid w:val="008623B9"/>
    <w:rsid w:val="00862740"/>
    <w:rsid w:val="00863910"/>
    <w:rsid w:val="008641BF"/>
    <w:rsid w:val="008646AB"/>
    <w:rsid w:val="0086484D"/>
    <w:rsid w:val="00864990"/>
    <w:rsid w:val="00864F7A"/>
    <w:rsid w:val="0086533B"/>
    <w:rsid w:val="00865413"/>
    <w:rsid w:val="0086792D"/>
    <w:rsid w:val="00871299"/>
    <w:rsid w:val="00871D27"/>
    <w:rsid w:val="00871F53"/>
    <w:rsid w:val="00872E47"/>
    <w:rsid w:val="00873AE0"/>
    <w:rsid w:val="00874CC1"/>
    <w:rsid w:val="00875215"/>
    <w:rsid w:val="0087587A"/>
    <w:rsid w:val="008769B2"/>
    <w:rsid w:val="00876EAE"/>
    <w:rsid w:val="0087711D"/>
    <w:rsid w:val="0087718C"/>
    <w:rsid w:val="008777B1"/>
    <w:rsid w:val="008779F0"/>
    <w:rsid w:val="00877FFD"/>
    <w:rsid w:val="008805EC"/>
    <w:rsid w:val="00880B2B"/>
    <w:rsid w:val="00881F0E"/>
    <w:rsid w:val="00883494"/>
    <w:rsid w:val="0088364B"/>
    <w:rsid w:val="00885E4F"/>
    <w:rsid w:val="0088635E"/>
    <w:rsid w:val="00886F7A"/>
    <w:rsid w:val="00887A1E"/>
    <w:rsid w:val="00887E2E"/>
    <w:rsid w:val="0089096E"/>
    <w:rsid w:val="00891AFF"/>
    <w:rsid w:val="00891C7F"/>
    <w:rsid w:val="00892955"/>
    <w:rsid w:val="00892AA4"/>
    <w:rsid w:val="00892CA1"/>
    <w:rsid w:val="00892CC9"/>
    <w:rsid w:val="00892DF1"/>
    <w:rsid w:val="0089393A"/>
    <w:rsid w:val="00893A08"/>
    <w:rsid w:val="00893DB3"/>
    <w:rsid w:val="008946CE"/>
    <w:rsid w:val="00894B3B"/>
    <w:rsid w:val="00897BEC"/>
    <w:rsid w:val="00897D1D"/>
    <w:rsid w:val="008A0122"/>
    <w:rsid w:val="008A0304"/>
    <w:rsid w:val="008A0875"/>
    <w:rsid w:val="008A09B3"/>
    <w:rsid w:val="008A0CAB"/>
    <w:rsid w:val="008A12E0"/>
    <w:rsid w:val="008A1905"/>
    <w:rsid w:val="008A23C6"/>
    <w:rsid w:val="008A2402"/>
    <w:rsid w:val="008A275D"/>
    <w:rsid w:val="008A2B07"/>
    <w:rsid w:val="008A3013"/>
    <w:rsid w:val="008A3242"/>
    <w:rsid w:val="008A3B0C"/>
    <w:rsid w:val="008A59F2"/>
    <w:rsid w:val="008A5F8B"/>
    <w:rsid w:val="008A65EC"/>
    <w:rsid w:val="008A67A3"/>
    <w:rsid w:val="008A6C31"/>
    <w:rsid w:val="008B00DD"/>
    <w:rsid w:val="008B0971"/>
    <w:rsid w:val="008B1B56"/>
    <w:rsid w:val="008B1E5E"/>
    <w:rsid w:val="008B1E9F"/>
    <w:rsid w:val="008B232E"/>
    <w:rsid w:val="008B2A83"/>
    <w:rsid w:val="008B2AA1"/>
    <w:rsid w:val="008B2D0B"/>
    <w:rsid w:val="008B3614"/>
    <w:rsid w:val="008B3B7B"/>
    <w:rsid w:val="008B3C05"/>
    <w:rsid w:val="008B3D77"/>
    <w:rsid w:val="008B3F4D"/>
    <w:rsid w:val="008B4D3A"/>
    <w:rsid w:val="008B4FBA"/>
    <w:rsid w:val="008B50E1"/>
    <w:rsid w:val="008B58A1"/>
    <w:rsid w:val="008B5B9A"/>
    <w:rsid w:val="008B6201"/>
    <w:rsid w:val="008B74EA"/>
    <w:rsid w:val="008B7680"/>
    <w:rsid w:val="008B77BF"/>
    <w:rsid w:val="008B7A42"/>
    <w:rsid w:val="008C013E"/>
    <w:rsid w:val="008C0494"/>
    <w:rsid w:val="008C2D99"/>
    <w:rsid w:val="008C3450"/>
    <w:rsid w:val="008C3586"/>
    <w:rsid w:val="008C3A07"/>
    <w:rsid w:val="008C3A4C"/>
    <w:rsid w:val="008C3EAD"/>
    <w:rsid w:val="008C47F8"/>
    <w:rsid w:val="008C4A7C"/>
    <w:rsid w:val="008C5740"/>
    <w:rsid w:val="008C5F9C"/>
    <w:rsid w:val="008C60B4"/>
    <w:rsid w:val="008C6381"/>
    <w:rsid w:val="008C68C6"/>
    <w:rsid w:val="008C7731"/>
    <w:rsid w:val="008D092A"/>
    <w:rsid w:val="008D1EBE"/>
    <w:rsid w:val="008D1F09"/>
    <w:rsid w:val="008D2708"/>
    <w:rsid w:val="008D2B95"/>
    <w:rsid w:val="008D306F"/>
    <w:rsid w:val="008D3DAE"/>
    <w:rsid w:val="008D3DF1"/>
    <w:rsid w:val="008D41E2"/>
    <w:rsid w:val="008D4852"/>
    <w:rsid w:val="008D4879"/>
    <w:rsid w:val="008D4D69"/>
    <w:rsid w:val="008D4EE6"/>
    <w:rsid w:val="008D5CC4"/>
    <w:rsid w:val="008D620B"/>
    <w:rsid w:val="008D6220"/>
    <w:rsid w:val="008D62C5"/>
    <w:rsid w:val="008D64D2"/>
    <w:rsid w:val="008D6F0A"/>
    <w:rsid w:val="008D7151"/>
    <w:rsid w:val="008D7A9A"/>
    <w:rsid w:val="008D7D0C"/>
    <w:rsid w:val="008E077A"/>
    <w:rsid w:val="008E09E3"/>
    <w:rsid w:val="008E0A7D"/>
    <w:rsid w:val="008E0CC3"/>
    <w:rsid w:val="008E11DA"/>
    <w:rsid w:val="008E12E0"/>
    <w:rsid w:val="008E1604"/>
    <w:rsid w:val="008E16F6"/>
    <w:rsid w:val="008E1D51"/>
    <w:rsid w:val="008E267D"/>
    <w:rsid w:val="008E2956"/>
    <w:rsid w:val="008E3098"/>
    <w:rsid w:val="008E32C7"/>
    <w:rsid w:val="008E355F"/>
    <w:rsid w:val="008E3972"/>
    <w:rsid w:val="008E3ED6"/>
    <w:rsid w:val="008E5161"/>
    <w:rsid w:val="008E5435"/>
    <w:rsid w:val="008E5E73"/>
    <w:rsid w:val="008E63FD"/>
    <w:rsid w:val="008E7050"/>
    <w:rsid w:val="008E71EC"/>
    <w:rsid w:val="008E7563"/>
    <w:rsid w:val="008E7B32"/>
    <w:rsid w:val="008E7D34"/>
    <w:rsid w:val="008F21F0"/>
    <w:rsid w:val="008F24B9"/>
    <w:rsid w:val="008F3112"/>
    <w:rsid w:val="008F3261"/>
    <w:rsid w:val="008F4047"/>
    <w:rsid w:val="008F446A"/>
    <w:rsid w:val="008F464E"/>
    <w:rsid w:val="008F4BCE"/>
    <w:rsid w:val="008F4EF2"/>
    <w:rsid w:val="008F6887"/>
    <w:rsid w:val="008F72A7"/>
    <w:rsid w:val="008F767B"/>
    <w:rsid w:val="008F7C14"/>
    <w:rsid w:val="008F7E93"/>
    <w:rsid w:val="00901899"/>
    <w:rsid w:val="00902032"/>
    <w:rsid w:val="00903DB1"/>
    <w:rsid w:val="00904785"/>
    <w:rsid w:val="0090493A"/>
    <w:rsid w:val="00904DC9"/>
    <w:rsid w:val="00905930"/>
    <w:rsid w:val="009063A2"/>
    <w:rsid w:val="009069F1"/>
    <w:rsid w:val="00906D97"/>
    <w:rsid w:val="009076FC"/>
    <w:rsid w:val="00910039"/>
    <w:rsid w:val="00910205"/>
    <w:rsid w:val="0091066B"/>
    <w:rsid w:val="00911183"/>
    <w:rsid w:val="00911C1B"/>
    <w:rsid w:val="009129E1"/>
    <w:rsid w:val="00913291"/>
    <w:rsid w:val="009147F2"/>
    <w:rsid w:val="00914AA8"/>
    <w:rsid w:val="00915EBF"/>
    <w:rsid w:val="0091713D"/>
    <w:rsid w:val="00917537"/>
    <w:rsid w:val="00917625"/>
    <w:rsid w:val="00920A96"/>
    <w:rsid w:val="00920F19"/>
    <w:rsid w:val="00921391"/>
    <w:rsid w:val="00921FB9"/>
    <w:rsid w:val="0092239E"/>
    <w:rsid w:val="0092249E"/>
    <w:rsid w:val="0092269E"/>
    <w:rsid w:val="00923270"/>
    <w:rsid w:val="00923353"/>
    <w:rsid w:val="009233D1"/>
    <w:rsid w:val="00924BF7"/>
    <w:rsid w:val="009254A1"/>
    <w:rsid w:val="009259D4"/>
    <w:rsid w:val="00925D5C"/>
    <w:rsid w:val="0092715B"/>
    <w:rsid w:val="00927962"/>
    <w:rsid w:val="00927D8C"/>
    <w:rsid w:val="00927FF9"/>
    <w:rsid w:val="009309DC"/>
    <w:rsid w:val="009311F8"/>
    <w:rsid w:val="00931CD5"/>
    <w:rsid w:val="009328DD"/>
    <w:rsid w:val="00932A1B"/>
    <w:rsid w:val="00933061"/>
    <w:rsid w:val="00933803"/>
    <w:rsid w:val="00933BF3"/>
    <w:rsid w:val="00933FAD"/>
    <w:rsid w:val="0093553D"/>
    <w:rsid w:val="00936706"/>
    <w:rsid w:val="009368AB"/>
    <w:rsid w:val="00937014"/>
    <w:rsid w:val="00940B12"/>
    <w:rsid w:val="00940F7B"/>
    <w:rsid w:val="00941537"/>
    <w:rsid w:val="00941F85"/>
    <w:rsid w:val="00942C37"/>
    <w:rsid w:val="00943411"/>
    <w:rsid w:val="00943B0E"/>
    <w:rsid w:val="00943D95"/>
    <w:rsid w:val="0094465B"/>
    <w:rsid w:val="00944F6E"/>
    <w:rsid w:val="0094597D"/>
    <w:rsid w:val="00945BF5"/>
    <w:rsid w:val="00947013"/>
    <w:rsid w:val="009476E1"/>
    <w:rsid w:val="00950BF0"/>
    <w:rsid w:val="009517F0"/>
    <w:rsid w:val="00952969"/>
    <w:rsid w:val="00952B51"/>
    <w:rsid w:val="00952DC9"/>
    <w:rsid w:val="009536C8"/>
    <w:rsid w:val="00953819"/>
    <w:rsid w:val="0095440E"/>
    <w:rsid w:val="0095581C"/>
    <w:rsid w:val="00955AAA"/>
    <w:rsid w:val="00955AE6"/>
    <w:rsid w:val="00956174"/>
    <w:rsid w:val="009569CA"/>
    <w:rsid w:val="00956F09"/>
    <w:rsid w:val="00962251"/>
    <w:rsid w:val="00962935"/>
    <w:rsid w:val="00963E12"/>
    <w:rsid w:val="009640D7"/>
    <w:rsid w:val="00964595"/>
    <w:rsid w:val="009648F8"/>
    <w:rsid w:val="009653C1"/>
    <w:rsid w:val="00966D31"/>
    <w:rsid w:val="00967382"/>
    <w:rsid w:val="00967610"/>
    <w:rsid w:val="00967DF6"/>
    <w:rsid w:val="0097011C"/>
    <w:rsid w:val="00970500"/>
    <w:rsid w:val="00970CE6"/>
    <w:rsid w:val="0097251D"/>
    <w:rsid w:val="00972D10"/>
    <w:rsid w:val="00972F83"/>
    <w:rsid w:val="009731DA"/>
    <w:rsid w:val="009738E5"/>
    <w:rsid w:val="00973E52"/>
    <w:rsid w:val="00974070"/>
    <w:rsid w:val="009746ED"/>
    <w:rsid w:val="00974AA0"/>
    <w:rsid w:val="00974DDD"/>
    <w:rsid w:val="0097536F"/>
    <w:rsid w:val="00975674"/>
    <w:rsid w:val="009756FF"/>
    <w:rsid w:val="009757B9"/>
    <w:rsid w:val="009758B9"/>
    <w:rsid w:val="00975B2B"/>
    <w:rsid w:val="009762BB"/>
    <w:rsid w:val="009765C9"/>
    <w:rsid w:val="00976BED"/>
    <w:rsid w:val="0097736A"/>
    <w:rsid w:val="00977712"/>
    <w:rsid w:val="00977C1B"/>
    <w:rsid w:val="0098016D"/>
    <w:rsid w:val="00980189"/>
    <w:rsid w:val="009801CB"/>
    <w:rsid w:val="00980B68"/>
    <w:rsid w:val="00981015"/>
    <w:rsid w:val="00982D08"/>
    <w:rsid w:val="0098342E"/>
    <w:rsid w:val="00983466"/>
    <w:rsid w:val="00983938"/>
    <w:rsid w:val="009848F0"/>
    <w:rsid w:val="00985359"/>
    <w:rsid w:val="009858DD"/>
    <w:rsid w:val="009868C3"/>
    <w:rsid w:val="00987AA4"/>
    <w:rsid w:val="00987BD4"/>
    <w:rsid w:val="00990103"/>
    <w:rsid w:val="009904D1"/>
    <w:rsid w:val="00990D1B"/>
    <w:rsid w:val="00990D2C"/>
    <w:rsid w:val="00991D1C"/>
    <w:rsid w:val="00992DE0"/>
    <w:rsid w:val="00992FBA"/>
    <w:rsid w:val="00993095"/>
    <w:rsid w:val="00993803"/>
    <w:rsid w:val="00993CC7"/>
    <w:rsid w:val="00994B05"/>
    <w:rsid w:val="00995553"/>
    <w:rsid w:val="009955C1"/>
    <w:rsid w:val="00995E67"/>
    <w:rsid w:val="0099602A"/>
    <w:rsid w:val="00996248"/>
    <w:rsid w:val="0099629B"/>
    <w:rsid w:val="00996A85"/>
    <w:rsid w:val="00997C70"/>
    <w:rsid w:val="00997E1D"/>
    <w:rsid w:val="009A0A79"/>
    <w:rsid w:val="009A11D3"/>
    <w:rsid w:val="009A1943"/>
    <w:rsid w:val="009A20AB"/>
    <w:rsid w:val="009A247D"/>
    <w:rsid w:val="009A299A"/>
    <w:rsid w:val="009A30F6"/>
    <w:rsid w:val="009A4EB2"/>
    <w:rsid w:val="009A526D"/>
    <w:rsid w:val="009A66E6"/>
    <w:rsid w:val="009A6802"/>
    <w:rsid w:val="009A684F"/>
    <w:rsid w:val="009A70DB"/>
    <w:rsid w:val="009A71D1"/>
    <w:rsid w:val="009A78CC"/>
    <w:rsid w:val="009B03D6"/>
    <w:rsid w:val="009B0B42"/>
    <w:rsid w:val="009B0DE8"/>
    <w:rsid w:val="009B144A"/>
    <w:rsid w:val="009B1C95"/>
    <w:rsid w:val="009B2C97"/>
    <w:rsid w:val="009B34A9"/>
    <w:rsid w:val="009B3CDC"/>
    <w:rsid w:val="009B4E07"/>
    <w:rsid w:val="009B53EC"/>
    <w:rsid w:val="009B658D"/>
    <w:rsid w:val="009B666C"/>
    <w:rsid w:val="009B78D9"/>
    <w:rsid w:val="009B7A10"/>
    <w:rsid w:val="009C0768"/>
    <w:rsid w:val="009C0EC9"/>
    <w:rsid w:val="009C0FBE"/>
    <w:rsid w:val="009C1CB2"/>
    <w:rsid w:val="009C3008"/>
    <w:rsid w:val="009C3281"/>
    <w:rsid w:val="009C3AB8"/>
    <w:rsid w:val="009C41F8"/>
    <w:rsid w:val="009C5C6F"/>
    <w:rsid w:val="009C6199"/>
    <w:rsid w:val="009C637A"/>
    <w:rsid w:val="009C6DC9"/>
    <w:rsid w:val="009C70EB"/>
    <w:rsid w:val="009C71D5"/>
    <w:rsid w:val="009C73AC"/>
    <w:rsid w:val="009C7488"/>
    <w:rsid w:val="009C74E4"/>
    <w:rsid w:val="009C7CFB"/>
    <w:rsid w:val="009D03F7"/>
    <w:rsid w:val="009D0E5D"/>
    <w:rsid w:val="009D1957"/>
    <w:rsid w:val="009D23C9"/>
    <w:rsid w:val="009D333B"/>
    <w:rsid w:val="009D68B7"/>
    <w:rsid w:val="009D7262"/>
    <w:rsid w:val="009D75D4"/>
    <w:rsid w:val="009E002D"/>
    <w:rsid w:val="009E1179"/>
    <w:rsid w:val="009E11E2"/>
    <w:rsid w:val="009E1707"/>
    <w:rsid w:val="009E1A13"/>
    <w:rsid w:val="009E1BBC"/>
    <w:rsid w:val="009E24A2"/>
    <w:rsid w:val="009E2626"/>
    <w:rsid w:val="009E2901"/>
    <w:rsid w:val="009E309C"/>
    <w:rsid w:val="009E3354"/>
    <w:rsid w:val="009E544D"/>
    <w:rsid w:val="009E6329"/>
    <w:rsid w:val="009E68FC"/>
    <w:rsid w:val="009E7A1E"/>
    <w:rsid w:val="009F041C"/>
    <w:rsid w:val="009F35EB"/>
    <w:rsid w:val="009F36C7"/>
    <w:rsid w:val="009F3BFB"/>
    <w:rsid w:val="009F4C37"/>
    <w:rsid w:val="009F541B"/>
    <w:rsid w:val="009F6394"/>
    <w:rsid w:val="009F759C"/>
    <w:rsid w:val="00A00CB6"/>
    <w:rsid w:val="00A00E61"/>
    <w:rsid w:val="00A01BF8"/>
    <w:rsid w:val="00A01E14"/>
    <w:rsid w:val="00A022E0"/>
    <w:rsid w:val="00A02D2A"/>
    <w:rsid w:val="00A03614"/>
    <w:rsid w:val="00A03618"/>
    <w:rsid w:val="00A03A67"/>
    <w:rsid w:val="00A03B40"/>
    <w:rsid w:val="00A04E10"/>
    <w:rsid w:val="00A06314"/>
    <w:rsid w:val="00A0730D"/>
    <w:rsid w:val="00A077F8"/>
    <w:rsid w:val="00A07A4C"/>
    <w:rsid w:val="00A07D82"/>
    <w:rsid w:val="00A10D8E"/>
    <w:rsid w:val="00A11CFC"/>
    <w:rsid w:val="00A12052"/>
    <w:rsid w:val="00A1265B"/>
    <w:rsid w:val="00A12927"/>
    <w:rsid w:val="00A12EEA"/>
    <w:rsid w:val="00A12FE6"/>
    <w:rsid w:val="00A13564"/>
    <w:rsid w:val="00A13EBE"/>
    <w:rsid w:val="00A1443C"/>
    <w:rsid w:val="00A1579C"/>
    <w:rsid w:val="00A173CE"/>
    <w:rsid w:val="00A21446"/>
    <w:rsid w:val="00A22523"/>
    <w:rsid w:val="00A2276B"/>
    <w:rsid w:val="00A2409D"/>
    <w:rsid w:val="00A244A6"/>
    <w:rsid w:val="00A2494A"/>
    <w:rsid w:val="00A257CE"/>
    <w:rsid w:val="00A2624F"/>
    <w:rsid w:val="00A2748E"/>
    <w:rsid w:val="00A27498"/>
    <w:rsid w:val="00A27631"/>
    <w:rsid w:val="00A276E5"/>
    <w:rsid w:val="00A301DD"/>
    <w:rsid w:val="00A305D6"/>
    <w:rsid w:val="00A30D17"/>
    <w:rsid w:val="00A31A83"/>
    <w:rsid w:val="00A32085"/>
    <w:rsid w:val="00A32143"/>
    <w:rsid w:val="00A33BC0"/>
    <w:rsid w:val="00A3480B"/>
    <w:rsid w:val="00A34B68"/>
    <w:rsid w:val="00A35153"/>
    <w:rsid w:val="00A3574F"/>
    <w:rsid w:val="00A366B2"/>
    <w:rsid w:val="00A36C96"/>
    <w:rsid w:val="00A37312"/>
    <w:rsid w:val="00A3742F"/>
    <w:rsid w:val="00A37479"/>
    <w:rsid w:val="00A37839"/>
    <w:rsid w:val="00A37A9D"/>
    <w:rsid w:val="00A40BB7"/>
    <w:rsid w:val="00A41451"/>
    <w:rsid w:val="00A43795"/>
    <w:rsid w:val="00A4397A"/>
    <w:rsid w:val="00A43DDB"/>
    <w:rsid w:val="00A442C8"/>
    <w:rsid w:val="00A445A8"/>
    <w:rsid w:val="00A458FB"/>
    <w:rsid w:val="00A45C7E"/>
    <w:rsid w:val="00A464CE"/>
    <w:rsid w:val="00A47050"/>
    <w:rsid w:val="00A50D11"/>
    <w:rsid w:val="00A525C7"/>
    <w:rsid w:val="00A52F47"/>
    <w:rsid w:val="00A53FD2"/>
    <w:rsid w:val="00A53FFD"/>
    <w:rsid w:val="00A549C8"/>
    <w:rsid w:val="00A55231"/>
    <w:rsid w:val="00A554B3"/>
    <w:rsid w:val="00A5619C"/>
    <w:rsid w:val="00A56A4B"/>
    <w:rsid w:val="00A56C26"/>
    <w:rsid w:val="00A570A4"/>
    <w:rsid w:val="00A57684"/>
    <w:rsid w:val="00A57A5F"/>
    <w:rsid w:val="00A57CA4"/>
    <w:rsid w:val="00A601FF"/>
    <w:rsid w:val="00A60471"/>
    <w:rsid w:val="00A60C04"/>
    <w:rsid w:val="00A60DF7"/>
    <w:rsid w:val="00A6192D"/>
    <w:rsid w:val="00A62516"/>
    <w:rsid w:val="00A64F13"/>
    <w:rsid w:val="00A6545B"/>
    <w:rsid w:val="00A6571D"/>
    <w:rsid w:val="00A65A45"/>
    <w:rsid w:val="00A66074"/>
    <w:rsid w:val="00A6641A"/>
    <w:rsid w:val="00A66451"/>
    <w:rsid w:val="00A66F83"/>
    <w:rsid w:val="00A67C72"/>
    <w:rsid w:val="00A70350"/>
    <w:rsid w:val="00A70764"/>
    <w:rsid w:val="00A708F4"/>
    <w:rsid w:val="00A717A8"/>
    <w:rsid w:val="00A722F3"/>
    <w:rsid w:val="00A72994"/>
    <w:rsid w:val="00A72F01"/>
    <w:rsid w:val="00A72FF9"/>
    <w:rsid w:val="00A7395C"/>
    <w:rsid w:val="00A73A22"/>
    <w:rsid w:val="00A73D64"/>
    <w:rsid w:val="00A743C2"/>
    <w:rsid w:val="00A74AC0"/>
    <w:rsid w:val="00A76B3B"/>
    <w:rsid w:val="00A76FDB"/>
    <w:rsid w:val="00A7733F"/>
    <w:rsid w:val="00A773E5"/>
    <w:rsid w:val="00A77E18"/>
    <w:rsid w:val="00A80C34"/>
    <w:rsid w:val="00A81BF6"/>
    <w:rsid w:val="00A823AD"/>
    <w:rsid w:val="00A8391F"/>
    <w:rsid w:val="00A84652"/>
    <w:rsid w:val="00A84B34"/>
    <w:rsid w:val="00A84C16"/>
    <w:rsid w:val="00A84CCC"/>
    <w:rsid w:val="00A84D22"/>
    <w:rsid w:val="00A85171"/>
    <w:rsid w:val="00A852C7"/>
    <w:rsid w:val="00A85501"/>
    <w:rsid w:val="00A85758"/>
    <w:rsid w:val="00A85B08"/>
    <w:rsid w:val="00A85DD8"/>
    <w:rsid w:val="00A8669C"/>
    <w:rsid w:val="00A86FBC"/>
    <w:rsid w:val="00A87711"/>
    <w:rsid w:val="00A87E65"/>
    <w:rsid w:val="00A90462"/>
    <w:rsid w:val="00A915A9"/>
    <w:rsid w:val="00A91838"/>
    <w:rsid w:val="00A928C9"/>
    <w:rsid w:val="00A92BD0"/>
    <w:rsid w:val="00A9324F"/>
    <w:rsid w:val="00A93946"/>
    <w:rsid w:val="00A94E08"/>
    <w:rsid w:val="00A94EE0"/>
    <w:rsid w:val="00A95031"/>
    <w:rsid w:val="00A955AD"/>
    <w:rsid w:val="00A957C3"/>
    <w:rsid w:val="00A95A39"/>
    <w:rsid w:val="00A96185"/>
    <w:rsid w:val="00A96273"/>
    <w:rsid w:val="00A96330"/>
    <w:rsid w:val="00A971A8"/>
    <w:rsid w:val="00A97E52"/>
    <w:rsid w:val="00A97F0A"/>
    <w:rsid w:val="00AA0199"/>
    <w:rsid w:val="00AA09E8"/>
    <w:rsid w:val="00AA1840"/>
    <w:rsid w:val="00AA18EC"/>
    <w:rsid w:val="00AA1AB1"/>
    <w:rsid w:val="00AA1C62"/>
    <w:rsid w:val="00AA26EC"/>
    <w:rsid w:val="00AA3872"/>
    <w:rsid w:val="00AA3B62"/>
    <w:rsid w:val="00AA4919"/>
    <w:rsid w:val="00AA5A0B"/>
    <w:rsid w:val="00AA5DAC"/>
    <w:rsid w:val="00AA6291"/>
    <w:rsid w:val="00AA673F"/>
    <w:rsid w:val="00AA6797"/>
    <w:rsid w:val="00AA6B43"/>
    <w:rsid w:val="00AA76BE"/>
    <w:rsid w:val="00AA7763"/>
    <w:rsid w:val="00AA7CF5"/>
    <w:rsid w:val="00AA7FE1"/>
    <w:rsid w:val="00AB0025"/>
    <w:rsid w:val="00AB0414"/>
    <w:rsid w:val="00AB0739"/>
    <w:rsid w:val="00AB0D87"/>
    <w:rsid w:val="00AB2988"/>
    <w:rsid w:val="00AB4666"/>
    <w:rsid w:val="00AB522F"/>
    <w:rsid w:val="00AB5E0B"/>
    <w:rsid w:val="00AB65FF"/>
    <w:rsid w:val="00AB6682"/>
    <w:rsid w:val="00AB7473"/>
    <w:rsid w:val="00AB7ACC"/>
    <w:rsid w:val="00AB7E22"/>
    <w:rsid w:val="00AC00A0"/>
    <w:rsid w:val="00AC04D1"/>
    <w:rsid w:val="00AC0794"/>
    <w:rsid w:val="00AC09BD"/>
    <w:rsid w:val="00AC09FD"/>
    <w:rsid w:val="00AC2323"/>
    <w:rsid w:val="00AC250C"/>
    <w:rsid w:val="00AC3677"/>
    <w:rsid w:val="00AC4470"/>
    <w:rsid w:val="00AC4694"/>
    <w:rsid w:val="00AC502F"/>
    <w:rsid w:val="00AC5923"/>
    <w:rsid w:val="00AC5DBD"/>
    <w:rsid w:val="00AC6C7C"/>
    <w:rsid w:val="00AC6DBD"/>
    <w:rsid w:val="00AC75CE"/>
    <w:rsid w:val="00AD04EF"/>
    <w:rsid w:val="00AD0A21"/>
    <w:rsid w:val="00AD1833"/>
    <w:rsid w:val="00AD1A3D"/>
    <w:rsid w:val="00AD2C9C"/>
    <w:rsid w:val="00AD2EA9"/>
    <w:rsid w:val="00AD2F13"/>
    <w:rsid w:val="00AD39C6"/>
    <w:rsid w:val="00AD3D1A"/>
    <w:rsid w:val="00AD4FBE"/>
    <w:rsid w:val="00AD5121"/>
    <w:rsid w:val="00AD517D"/>
    <w:rsid w:val="00AD5624"/>
    <w:rsid w:val="00AD5DCD"/>
    <w:rsid w:val="00AD65A7"/>
    <w:rsid w:val="00AD7165"/>
    <w:rsid w:val="00AD7C48"/>
    <w:rsid w:val="00AD7E1A"/>
    <w:rsid w:val="00AE0536"/>
    <w:rsid w:val="00AE1353"/>
    <w:rsid w:val="00AE1554"/>
    <w:rsid w:val="00AE15C6"/>
    <w:rsid w:val="00AE2445"/>
    <w:rsid w:val="00AE2D8A"/>
    <w:rsid w:val="00AE2ECF"/>
    <w:rsid w:val="00AE306A"/>
    <w:rsid w:val="00AE3835"/>
    <w:rsid w:val="00AE38C3"/>
    <w:rsid w:val="00AE3D84"/>
    <w:rsid w:val="00AE3E4A"/>
    <w:rsid w:val="00AE4FF7"/>
    <w:rsid w:val="00AE52BB"/>
    <w:rsid w:val="00AE5FB3"/>
    <w:rsid w:val="00AE6213"/>
    <w:rsid w:val="00AE6771"/>
    <w:rsid w:val="00AE6A10"/>
    <w:rsid w:val="00AE6AE4"/>
    <w:rsid w:val="00AE71DA"/>
    <w:rsid w:val="00AE73B2"/>
    <w:rsid w:val="00AE7425"/>
    <w:rsid w:val="00AE7BC4"/>
    <w:rsid w:val="00AF0BA9"/>
    <w:rsid w:val="00AF19A4"/>
    <w:rsid w:val="00AF2044"/>
    <w:rsid w:val="00AF4003"/>
    <w:rsid w:val="00AF50EC"/>
    <w:rsid w:val="00AF54BF"/>
    <w:rsid w:val="00AF5520"/>
    <w:rsid w:val="00AF5712"/>
    <w:rsid w:val="00AF5BB6"/>
    <w:rsid w:val="00AF5D32"/>
    <w:rsid w:val="00AF6182"/>
    <w:rsid w:val="00AF6343"/>
    <w:rsid w:val="00AF661C"/>
    <w:rsid w:val="00AF69B3"/>
    <w:rsid w:val="00AF6B16"/>
    <w:rsid w:val="00AF6D1C"/>
    <w:rsid w:val="00AF7799"/>
    <w:rsid w:val="00AF79E4"/>
    <w:rsid w:val="00B00565"/>
    <w:rsid w:val="00B0158E"/>
    <w:rsid w:val="00B01926"/>
    <w:rsid w:val="00B02CCD"/>
    <w:rsid w:val="00B03C8B"/>
    <w:rsid w:val="00B03EDC"/>
    <w:rsid w:val="00B0413C"/>
    <w:rsid w:val="00B05A23"/>
    <w:rsid w:val="00B05A58"/>
    <w:rsid w:val="00B066BE"/>
    <w:rsid w:val="00B0697A"/>
    <w:rsid w:val="00B06F44"/>
    <w:rsid w:val="00B07AFB"/>
    <w:rsid w:val="00B07E04"/>
    <w:rsid w:val="00B10212"/>
    <w:rsid w:val="00B1046C"/>
    <w:rsid w:val="00B10CB8"/>
    <w:rsid w:val="00B12105"/>
    <w:rsid w:val="00B1288D"/>
    <w:rsid w:val="00B12D5B"/>
    <w:rsid w:val="00B14160"/>
    <w:rsid w:val="00B158BA"/>
    <w:rsid w:val="00B1617A"/>
    <w:rsid w:val="00B1671E"/>
    <w:rsid w:val="00B17A75"/>
    <w:rsid w:val="00B17EDE"/>
    <w:rsid w:val="00B17EE0"/>
    <w:rsid w:val="00B17FBE"/>
    <w:rsid w:val="00B2000C"/>
    <w:rsid w:val="00B20135"/>
    <w:rsid w:val="00B20FAB"/>
    <w:rsid w:val="00B213D4"/>
    <w:rsid w:val="00B21736"/>
    <w:rsid w:val="00B227F5"/>
    <w:rsid w:val="00B22E04"/>
    <w:rsid w:val="00B23013"/>
    <w:rsid w:val="00B230CB"/>
    <w:rsid w:val="00B24841"/>
    <w:rsid w:val="00B2511D"/>
    <w:rsid w:val="00B26067"/>
    <w:rsid w:val="00B26BF2"/>
    <w:rsid w:val="00B2701A"/>
    <w:rsid w:val="00B2723D"/>
    <w:rsid w:val="00B27581"/>
    <w:rsid w:val="00B278C2"/>
    <w:rsid w:val="00B32020"/>
    <w:rsid w:val="00B33A5A"/>
    <w:rsid w:val="00B33DD7"/>
    <w:rsid w:val="00B33DE6"/>
    <w:rsid w:val="00B35F0F"/>
    <w:rsid w:val="00B36B47"/>
    <w:rsid w:val="00B37040"/>
    <w:rsid w:val="00B372E6"/>
    <w:rsid w:val="00B3785C"/>
    <w:rsid w:val="00B41E26"/>
    <w:rsid w:val="00B43587"/>
    <w:rsid w:val="00B44593"/>
    <w:rsid w:val="00B449DE"/>
    <w:rsid w:val="00B45C32"/>
    <w:rsid w:val="00B46B87"/>
    <w:rsid w:val="00B47451"/>
    <w:rsid w:val="00B47767"/>
    <w:rsid w:val="00B47B0F"/>
    <w:rsid w:val="00B50E22"/>
    <w:rsid w:val="00B50E57"/>
    <w:rsid w:val="00B51A8E"/>
    <w:rsid w:val="00B51D43"/>
    <w:rsid w:val="00B52266"/>
    <w:rsid w:val="00B5297E"/>
    <w:rsid w:val="00B52CEE"/>
    <w:rsid w:val="00B52DEC"/>
    <w:rsid w:val="00B53203"/>
    <w:rsid w:val="00B535E6"/>
    <w:rsid w:val="00B5398B"/>
    <w:rsid w:val="00B53C16"/>
    <w:rsid w:val="00B541EB"/>
    <w:rsid w:val="00B54A37"/>
    <w:rsid w:val="00B54B76"/>
    <w:rsid w:val="00B55614"/>
    <w:rsid w:val="00B560F0"/>
    <w:rsid w:val="00B564C7"/>
    <w:rsid w:val="00B56AFA"/>
    <w:rsid w:val="00B56E09"/>
    <w:rsid w:val="00B57210"/>
    <w:rsid w:val="00B60BCD"/>
    <w:rsid w:val="00B60CA3"/>
    <w:rsid w:val="00B61338"/>
    <w:rsid w:val="00B61AE8"/>
    <w:rsid w:val="00B61ED7"/>
    <w:rsid w:val="00B622F7"/>
    <w:rsid w:val="00B625FE"/>
    <w:rsid w:val="00B626DD"/>
    <w:rsid w:val="00B634D4"/>
    <w:rsid w:val="00B6526F"/>
    <w:rsid w:val="00B65FDB"/>
    <w:rsid w:val="00B662DF"/>
    <w:rsid w:val="00B66DC4"/>
    <w:rsid w:val="00B6707F"/>
    <w:rsid w:val="00B6759F"/>
    <w:rsid w:val="00B67E3A"/>
    <w:rsid w:val="00B706E7"/>
    <w:rsid w:val="00B70BE2"/>
    <w:rsid w:val="00B70C81"/>
    <w:rsid w:val="00B717F1"/>
    <w:rsid w:val="00B72B34"/>
    <w:rsid w:val="00B735D7"/>
    <w:rsid w:val="00B7441B"/>
    <w:rsid w:val="00B745A2"/>
    <w:rsid w:val="00B755E3"/>
    <w:rsid w:val="00B75715"/>
    <w:rsid w:val="00B75B5F"/>
    <w:rsid w:val="00B76C8A"/>
    <w:rsid w:val="00B76E59"/>
    <w:rsid w:val="00B770F6"/>
    <w:rsid w:val="00B773A6"/>
    <w:rsid w:val="00B77BE9"/>
    <w:rsid w:val="00B801D9"/>
    <w:rsid w:val="00B803B9"/>
    <w:rsid w:val="00B81771"/>
    <w:rsid w:val="00B81EC4"/>
    <w:rsid w:val="00B82504"/>
    <w:rsid w:val="00B82FD9"/>
    <w:rsid w:val="00B84B4C"/>
    <w:rsid w:val="00B84F0C"/>
    <w:rsid w:val="00B84F6B"/>
    <w:rsid w:val="00B8519F"/>
    <w:rsid w:val="00B85D62"/>
    <w:rsid w:val="00B8678E"/>
    <w:rsid w:val="00B86B14"/>
    <w:rsid w:val="00B8723A"/>
    <w:rsid w:val="00B87682"/>
    <w:rsid w:val="00B903A6"/>
    <w:rsid w:val="00B9056A"/>
    <w:rsid w:val="00B90AEC"/>
    <w:rsid w:val="00B90B6A"/>
    <w:rsid w:val="00B90C3B"/>
    <w:rsid w:val="00B90D6B"/>
    <w:rsid w:val="00B911BD"/>
    <w:rsid w:val="00B9194E"/>
    <w:rsid w:val="00B92557"/>
    <w:rsid w:val="00B92645"/>
    <w:rsid w:val="00B92802"/>
    <w:rsid w:val="00B936C6"/>
    <w:rsid w:val="00B93D16"/>
    <w:rsid w:val="00B95F91"/>
    <w:rsid w:val="00B96C82"/>
    <w:rsid w:val="00B96D0B"/>
    <w:rsid w:val="00B974A9"/>
    <w:rsid w:val="00B9765C"/>
    <w:rsid w:val="00B9798E"/>
    <w:rsid w:val="00B97D1C"/>
    <w:rsid w:val="00BA1287"/>
    <w:rsid w:val="00BA2B39"/>
    <w:rsid w:val="00BA3804"/>
    <w:rsid w:val="00BA4338"/>
    <w:rsid w:val="00BA4614"/>
    <w:rsid w:val="00BA5145"/>
    <w:rsid w:val="00BA7077"/>
    <w:rsid w:val="00BB036E"/>
    <w:rsid w:val="00BB0667"/>
    <w:rsid w:val="00BB26E9"/>
    <w:rsid w:val="00BB2926"/>
    <w:rsid w:val="00BB2CA8"/>
    <w:rsid w:val="00BB2E76"/>
    <w:rsid w:val="00BB3487"/>
    <w:rsid w:val="00BB4881"/>
    <w:rsid w:val="00BB48F1"/>
    <w:rsid w:val="00BB5065"/>
    <w:rsid w:val="00BB5068"/>
    <w:rsid w:val="00BB5292"/>
    <w:rsid w:val="00BB54A4"/>
    <w:rsid w:val="00BB5715"/>
    <w:rsid w:val="00BB65CB"/>
    <w:rsid w:val="00BB6A7A"/>
    <w:rsid w:val="00BB6FDA"/>
    <w:rsid w:val="00BB7056"/>
    <w:rsid w:val="00BC0455"/>
    <w:rsid w:val="00BC050F"/>
    <w:rsid w:val="00BC0A92"/>
    <w:rsid w:val="00BC0FEF"/>
    <w:rsid w:val="00BC1397"/>
    <w:rsid w:val="00BC1539"/>
    <w:rsid w:val="00BC15C7"/>
    <w:rsid w:val="00BC1E80"/>
    <w:rsid w:val="00BC1FE8"/>
    <w:rsid w:val="00BC22B1"/>
    <w:rsid w:val="00BC23B8"/>
    <w:rsid w:val="00BC26EE"/>
    <w:rsid w:val="00BC33CE"/>
    <w:rsid w:val="00BC3ABF"/>
    <w:rsid w:val="00BC3B68"/>
    <w:rsid w:val="00BC4087"/>
    <w:rsid w:val="00BC432B"/>
    <w:rsid w:val="00BC488B"/>
    <w:rsid w:val="00BC585F"/>
    <w:rsid w:val="00BC5B62"/>
    <w:rsid w:val="00BC6800"/>
    <w:rsid w:val="00BC6C3E"/>
    <w:rsid w:val="00BC6DF1"/>
    <w:rsid w:val="00BC7A2E"/>
    <w:rsid w:val="00BD0FBE"/>
    <w:rsid w:val="00BD1CEF"/>
    <w:rsid w:val="00BD2532"/>
    <w:rsid w:val="00BD35B9"/>
    <w:rsid w:val="00BD3C79"/>
    <w:rsid w:val="00BD4146"/>
    <w:rsid w:val="00BD4410"/>
    <w:rsid w:val="00BD46C8"/>
    <w:rsid w:val="00BD47E4"/>
    <w:rsid w:val="00BD55BA"/>
    <w:rsid w:val="00BD5683"/>
    <w:rsid w:val="00BD56D9"/>
    <w:rsid w:val="00BD5A9F"/>
    <w:rsid w:val="00BD69CF"/>
    <w:rsid w:val="00BD712A"/>
    <w:rsid w:val="00BD73EC"/>
    <w:rsid w:val="00BD7CEE"/>
    <w:rsid w:val="00BD7E46"/>
    <w:rsid w:val="00BE07E2"/>
    <w:rsid w:val="00BE0D2B"/>
    <w:rsid w:val="00BE0DCD"/>
    <w:rsid w:val="00BE151D"/>
    <w:rsid w:val="00BE2545"/>
    <w:rsid w:val="00BE2DDD"/>
    <w:rsid w:val="00BE2E2F"/>
    <w:rsid w:val="00BE3145"/>
    <w:rsid w:val="00BE3CA5"/>
    <w:rsid w:val="00BE5D43"/>
    <w:rsid w:val="00BE6702"/>
    <w:rsid w:val="00BE6869"/>
    <w:rsid w:val="00BE6B42"/>
    <w:rsid w:val="00BF07E3"/>
    <w:rsid w:val="00BF0CB5"/>
    <w:rsid w:val="00BF1EE1"/>
    <w:rsid w:val="00BF21A6"/>
    <w:rsid w:val="00BF3627"/>
    <w:rsid w:val="00BF3B31"/>
    <w:rsid w:val="00BF4710"/>
    <w:rsid w:val="00BF4B86"/>
    <w:rsid w:val="00BF54E9"/>
    <w:rsid w:val="00BF64FE"/>
    <w:rsid w:val="00BF65DC"/>
    <w:rsid w:val="00BF6D85"/>
    <w:rsid w:val="00BF6EB0"/>
    <w:rsid w:val="00BF716B"/>
    <w:rsid w:val="00BF71F2"/>
    <w:rsid w:val="00BF7395"/>
    <w:rsid w:val="00BF77EF"/>
    <w:rsid w:val="00BF7F1A"/>
    <w:rsid w:val="00C00D12"/>
    <w:rsid w:val="00C00E76"/>
    <w:rsid w:val="00C01359"/>
    <w:rsid w:val="00C015A8"/>
    <w:rsid w:val="00C01680"/>
    <w:rsid w:val="00C01AF0"/>
    <w:rsid w:val="00C01B49"/>
    <w:rsid w:val="00C02C7D"/>
    <w:rsid w:val="00C02D77"/>
    <w:rsid w:val="00C03636"/>
    <w:rsid w:val="00C0367E"/>
    <w:rsid w:val="00C04D25"/>
    <w:rsid w:val="00C05413"/>
    <w:rsid w:val="00C05634"/>
    <w:rsid w:val="00C0669C"/>
    <w:rsid w:val="00C067A6"/>
    <w:rsid w:val="00C067FD"/>
    <w:rsid w:val="00C10760"/>
    <w:rsid w:val="00C10E14"/>
    <w:rsid w:val="00C112FE"/>
    <w:rsid w:val="00C115FC"/>
    <w:rsid w:val="00C11FD2"/>
    <w:rsid w:val="00C12188"/>
    <w:rsid w:val="00C126E9"/>
    <w:rsid w:val="00C1318A"/>
    <w:rsid w:val="00C13784"/>
    <w:rsid w:val="00C1483A"/>
    <w:rsid w:val="00C14EA8"/>
    <w:rsid w:val="00C14F1B"/>
    <w:rsid w:val="00C150ED"/>
    <w:rsid w:val="00C163BF"/>
    <w:rsid w:val="00C16DCB"/>
    <w:rsid w:val="00C16E2F"/>
    <w:rsid w:val="00C1777A"/>
    <w:rsid w:val="00C2047C"/>
    <w:rsid w:val="00C2199A"/>
    <w:rsid w:val="00C21B02"/>
    <w:rsid w:val="00C22363"/>
    <w:rsid w:val="00C23123"/>
    <w:rsid w:val="00C232F7"/>
    <w:rsid w:val="00C238AA"/>
    <w:rsid w:val="00C23A17"/>
    <w:rsid w:val="00C23B35"/>
    <w:rsid w:val="00C24015"/>
    <w:rsid w:val="00C240F2"/>
    <w:rsid w:val="00C245F0"/>
    <w:rsid w:val="00C246E5"/>
    <w:rsid w:val="00C24D19"/>
    <w:rsid w:val="00C24EE7"/>
    <w:rsid w:val="00C25374"/>
    <w:rsid w:val="00C258DE"/>
    <w:rsid w:val="00C25A57"/>
    <w:rsid w:val="00C25F65"/>
    <w:rsid w:val="00C26B92"/>
    <w:rsid w:val="00C30476"/>
    <w:rsid w:val="00C30998"/>
    <w:rsid w:val="00C30E34"/>
    <w:rsid w:val="00C30FCF"/>
    <w:rsid w:val="00C3144D"/>
    <w:rsid w:val="00C31F2B"/>
    <w:rsid w:val="00C32D99"/>
    <w:rsid w:val="00C333D9"/>
    <w:rsid w:val="00C335A9"/>
    <w:rsid w:val="00C33C14"/>
    <w:rsid w:val="00C33EF2"/>
    <w:rsid w:val="00C343A7"/>
    <w:rsid w:val="00C35346"/>
    <w:rsid w:val="00C40435"/>
    <w:rsid w:val="00C4091A"/>
    <w:rsid w:val="00C4098D"/>
    <w:rsid w:val="00C40E07"/>
    <w:rsid w:val="00C41DBA"/>
    <w:rsid w:val="00C42348"/>
    <w:rsid w:val="00C425DB"/>
    <w:rsid w:val="00C425DF"/>
    <w:rsid w:val="00C4336A"/>
    <w:rsid w:val="00C43DD3"/>
    <w:rsid w:val="00C44303"/>
    <w:rsid w:val="00C44446"/>
    <w:rsid w:val="00C445F9"/>
    <w:rsid w:val="00C44B0C"/>
    <w:rsid w:val="00C45873"/>
    <w:rsid w:val="00C46020"/>
    <w:rsid w:val="00C4770F"/>
    <w:rsid w:val="00C4794F"/>
    <w:rsid w:val="00C517A1"/>
    <w:rsid w:val="00C51ACA"/>
    <w:rsid w:val="00C53A14"/>
    <w:rsid w:val="00C53DDD"/>
    <w:rsid w:val="00C53E47"/>
    <w:rsid w:val="00C543FE"/>
    <w:rsid w:val="00C567AE"/>
    <w:rsid w:val="00C56A27"/>
    <w:rsid w:val="00C575DD"/>
    <w:rsid w:val="00C57E00"/>
    <w:rsid w:val="00C57E1D"/>
    <w:rsid w:val="00C57E56"/>
    <w:rsid w:val="00C607B5"/>
    <w:rsid w:val="00C6204E"/>
    <w:rsid w:val="00C62C3B"/>
    <w:rsid w:val="00C63BE4"/>
    <w:rsid w:val="00C63FF5"/>
    <w:rsid w:val="00C64245"/>
    <w:rsid w:val="00C64448"/>
    <w:rsid w:val="00C6471B"/>
    <w:rsid w:val="00C64DFD"/>
    <w:rsid w:val="00C6512A"/>
    <w:rsid w:val="00C6515D"/>
    <w:rsid w:val="00C66272"/>
    <w:rsid w:val="00C66B1D"/>
    <w:rsid w:val="00C673B8"/>
    <w:rsid w:val="00C7046D"/>
    <w:rsid w:val="00C712EA"/>
    <w:rsid w:val="00C716C4"/>
    <w:rsid w:val="00C72E89"/>
    <w:rsid w:val="00C73149"/>
    <w:rsid w:val="00C73B3B"/>
    <w:rsid w:val="00C73CCB"/>
    <w:rsid w:val="00C73D34"/>
    <w:rsid w:val="00C74208"/>
    <w:rsid w:val="00C74243"/>
    <w:rsid w:val="00C75A88"/>
    <w:rsid w:val="00C7655E"/>
    <w:rsid w:val="00C766CB"/>
    <w:rsid w:val="00C77818"/>
    <w:rsid w:val="00C77A4A"/>
    <w:rsid w:val="00C80313"/>
    <w:rsid w:val="00C80808"/>
    <w:rsid w:val="00C81ADF"/>
    <w:rsid w:val="00C834DF"/>
    <w:rsid w:val="00C83620"/>
    <w:rsid w:val="00C83659"/>
    <w:rsid w:val="00C838C2"/>
    <w:rsid w:val="00C839B6"/>
    <w:rsid w:val="00C83A76"/>
    <w:rsid w:val="00C83F5D"/>
    <w:rsid w:val="00C84197"/>
    <w:rsid w:val="00C845D9"/>
    <w:rsid w:val="00C846C3"/>
    <w:rsid w:val="00C84A36"/>
    <w:rsid w:val="00C84AF3"/>
    <w:rsid w:val="00C853A4"/>
    <w:rsid w:val="00C85C02"/>
    <w:rsid w:val="00C85C63"/>
    <w:rsid w:val="00C85FB9"/>
    <w:rsid w:val="00C86670"/>
    <w:rsid w:val="00C867EF"/>
    <w:rsid w:val="00C86C5A"/>
    <w:rsid w:val="00C87CEA"/>
    <w:rsid w:val="00C90049"/>
    <w:rsid w:val="00C900DE"/>
    <w:rsid w:val="00C908F3"/>
    <w:rsid w:val="00C921B2"/>
    <w:rsid w:val="00C92722"/>
    <w:rsid w:val="00C92E93"/>
    <w:rsid w:val="00C931DF"/>
    <w:rsid w:val="00C939F0"/>
    <w:rsid w:val="00C93B37"/>
    <w:rsid w:val="00C93C76"/>
    <w:rsid w:val="00C93F83"/>
    <w:rsid w:val="00C9577C"/>
    <w:rsid w:val="00C959D5"/>
    <w:rsid w:val="00C966F4"/>
    <w:rsid w:val="00C96725"/>
    <w:rsid w:val="00C96DB9"/>
    <w:rsid w:val="00C97755"/>
    <w:rsid w:val="00C97E64"/>
    <w:rsid w:val="00CA040E"/>
    <w:rsid w:val="00CA11E9"/>
    <w:rsid w:val="00CA142D"/>
    <w:rsid w:val="00CA1481"/>
    <w:rsid w:val="00CA1C90"/>
    <w:rsid w:val="00CA1E50"/>
    <w:rsid w:val="00CA1F91"/>
    <w:rsid w:val="00CA3209"/>
    <w:rsid w:val="00CA35FD"/>
    <w:rsid w:val="00CA3D5E"/>
    <w:rsid w:val="00CA430A"/>
    <w:rsid w:val="00CA501D"/>
    <w:rsid w:val="00CA5528"/>
    <w:rsid w:val="00CA5DD6"/>
    <w:rsid w:val="00CA621E"/>
    <w:rsid w:val="00CB00E3"/>
    <w:rsid w:val="00CB08F5"/>
    <w:rsid w:val="00CB0A80"/>
    <w:rsid w:val="00CB0DFB"/>
    <w:rsid w:val="00CB1F7F"/>
    <w:rsid w:val="00CB20AB"/>
    <w:rsid w:val="00CB2552"/>
    <w:rsid w:val="00CB3D9F"/>
    <w:rsid w:val="00CB407F"/>
    <w:rsid w:val="00CB4774"/>
    <w:rsid w:val="00CB49E1"/>
    <w:rsid w:val="00CB4F70"/>
    <w:rsid w:val="00CB5653"/>
    <w:rsid w:val="00CB5CCE"/>
    <w:rsid w:val="00CB5D87"/>
    <w:rsid w:val="00CB628C"/>
    <w:rsid w:val="00CB64EE"/>
    <w:rsid w:val="00CB74BB"/>
    <w:rsid w:val="00CB783D"/>
    <w:rsid w:val="00CB7F02"/>
    <w:rsid w:val="00CC029C"/>
    <w:rsid w:val="00CC0819"/>
    <w:rsid w:val="00CC15E7"/>
    <w:rsid w:val="00CC1AA9"/>
    <w:rsid w:val="00CC2172"/>
    <w:rsid w:val="00CC22B0"/>
    <w:rsid w:val="00CC2802"/>
    <w:rsid w:val="00CC2BF1"/>
    <w:rsid w:val="00CC3EB4"/>
    <w:rsid w:val="00CC5009"/>
    <w:rsid w:val="00CC5E86"/>
    <w:rsid w:val="00CC630E"/>
    <w:rsid w:val="00CC6776"/>
    <w:rsid w:val="00CC6A30"/>
    <w:rsid w:val="00CC707F"/>
    <w:rsid w:val="00CC7ACA"/>
    <w:rsid w:val="00CC7C00"/>
    <w:rsid w:val="00CD0109"/>
    <w:rsid w:val="00CD010B"/>
    <w:rsid w:val="00CD0531"/>
    <w:rsid w:val="00CD07A7"/>
    <w:rsid w:val="00CD0B80"/>
    <w:rsid w:val="00CD103C"/>
    <w:rsid w:val="00CD20F7"/>
    <w:rsid w:val="00CD2462"/>
    <w:rsid w:val="00CD2EFA"/>
    <w:rsid w:val="00CD2F71"/>
    <w:rsid w:val="00CD4BCD"/>
    <w:rsid w:val="00CD4DC6"/>
    <w:rsid w:val="00CD4FC7"/>
    <w:rsid w:val="00CD5972"/>
    <w:rsid w:val="00CD59BE"/>
    <w:rsid w:val="00CD5BD3"/>
    <w:rsid w:val="00CD64D0"/>
    <w:rsid w:val="00CD692B"/>
    <w:rsid w:val="00CD6EEA"/>
    <w:rsid w:val="00CD7617"/>
    <w:rsid w:val="00CD7FDE"/>
    <w:rsid w:val="00CE0A3F"/>
    <w:rsid w:val="00CE101F"/>
    <w:rsid w:val="00CE1A4F"/>
    <w:rsid w:val="00CE3329"/>
    <w:rsid w:val="00CE340D"/>
    <w:rsid w:val="00CE3F16"/>
    <w:rsid w:val="00CE4844"/>
    <w:rsid w:val="00CE49ED"/>
    <w:rsid w:val="00CE4BEC"/>
    <w:rsid w:val="00CE4C3D"/>
    <w:rsid w:val="00CE4D06"/>
    <w:rsid w:val="00CE52F6"/>
    <w:rsid w:val="00CE616F"/>
    <w:rsid w:val="00CF1170"/>
    <w:rsid w:val="00CF1A5D"/>
    <w:rsid w:val="00CF2B32"/>
    <w:rsid w:val="00CF34BD"/>
    <w:rsid w:val="00CF3BEB"/>
    <w:rsid w:val="00CF403B"/>
    <w:rsid w:val="00CF423C"/>
    <w:rsid w:val="00CF7468"/>
    <w:rsid w:val="00D0037A"/>
    <w:rsid w:val="00D005D6"/>
    <w:rsid w:val="00D009DD"/>
    <w:rsid w:val="00D00EB7"/>
    <w:rsid w:val="00D01FE8"/>
    <w:rsid w:val="00D0252D"/>
    <w:rsid w:val="00D03759"/>
    <w:rsid w:val="00D048D5"/>
    <w:rsid w:val="00D0682A"/>
    <w:rsid w:val="00D07387"/>
    <w:rsid w:val="00D111D9"/>
    <w:rsid w:val="00D115C6"/>
    <w:rsid w:val="00D11955"/>
    <w:rsid w:val="00D12143"/>
    <w:rsid w:val="00D121D2"/>
    <w:rsid w:val="00D128CB"/>
    <w:rsid w:val="00D13962"/>
    <w:rsid w:val="00D13E12"/>
    <w:rsid w:val="00D14A24"/>
    <w:rsid w:val="00D15AF1"/>
    <w:rsid w:val="00D15F22"/>
    <w:rsid w:val="00D1624A"/>
    <w:rsid w:val="00D169A4"/>
    <w:rsid w:val="00D170D4"/>
    <w:rsid w:val="00D17BBF"/>
    <w:rsid w:val="00D2025A"/>
    <w:rsid w:val="00D20389"/>
    <w:rsid w:val="00D20F5C"/>
    <w:rsid w:val="00D2126A"/>
    <w:rsid w:val="00D21A0B"/>
    <w:rsid w:val="00D22692"/>
    <w:rsid w:val="00D22B66"/>
    <w:rsid w:val="00D22D3A"/>
    <w:rsid w:val="00D2343F"/>
    <w:rsid w:val="00D23CD8"/>
    <w:rsid w:val="00D23F21"/>
    <w:rsid w:val="00D242F8"/>
    <w:rsid w:val="00D2434B"/>
    <w:rsid w:val="00D245F4"/>
    <w:rsid w:val="00D2480E"/>
    <w:rsid w:val="00D26228"/>
    <w:rsid w:val="00D2773E"/>
    <w:rsid w:val="00D27964"/>
    <w:rsid w:val="00D30B0B"/>
    <w:rsid w:val="00D30B28"/>
    <w:rsid w:val="00D30BE5"/>
    <w:rsid w:val="00D326C7"/>
    <w:rsid w:val="00D32878"/>
    <w:rsid w:val="00D32D26"/>
    <w:rsid w:val="00D3352B"/>
    <w:rsid w:val="00D3359D"/>
    <w:rsid w:val="00D33A81"/>
    <w:rsid w:val="00D343D5"/>
    <w:rsid w:val="00D353FA"/>
    <w:rsid w:val="00D355A3"/>
    <w:rsid w:val="00D357FF"/>
    <w:rsid w:val="00D35E33"/>
    <w:rsid w:val="00D36028"/>
    <w:rsid w:val="00D36483"/>
    <w:rsid w:val="00D365C0"/>
    <w:rsid w:val="00D37579"/>
    <w:rsid w:val="00D42066"/>
    <w:rsid w:val="00D42157"/>
    <w:rsid w:val="00D428B6"/>
    <w:rsid w:val="00D435C1"/>
    <w:rsid w:val="00D4427B"/>
    <w:rsid w:val="00D443D2"/>
    <w:rsid w:val="00D44483"/>
    <w:rsid w:val="00D44B11"/>
    <w:rsid w:val="00D4631F"/>
    <w:rsid w:val="00D46A2E"/>
    <w:rsid w:val="00D46C6D"/>
    <w:rsid w:val="00D47723"/>
    <w:rsid w:val="00D47907"/>
    <w:rsid w:val="00D47DA1"/>
    <w:rsid w:val="00D47F43"/>
    <w:rsid w:val="00D50A27"/>
    <w:rsid w:val="00D50FAB"/>
    <w:rsid w:val="00D510AA"/>
    <w:rsid w:val="00D51EAA"/>
    <w:rsid w:val="00D52484"/>
    <w:rsid w:val="00D525E6"/>
    <w:rsid w:val="00D526D5"/>
    <w:rsid w:val="00D52FCA"/>
    <w:rsid w:val="00D5301C"/>
    <w:rsid w:val="00D5485C"/>
    <w:rsid w:val="00D557D7"/>
    <w:rsid w:val="00D55996"/>
    <w:rsid w:val="00D56F21"/>
    <w:rsid w:val="00D5751C"/>
    <w:rsid w:val="00D576CD"/>
    <w:rsid w:val="00D57BD6"/>
    <w:rsid w:val="00D57BDC"/>
    <w:rsid w:val="00D57E5C"/>
    <w:rsid w:val="00D6008D"/>
    <w:rsid w:val="00D614DB"/>
    <w:rsid w:val="00D62167"/>
    <w:rsid w:val="00D624E9"/>
    <w:rsid w:val="00D63B2C"/>
    <w:rsid w:val="00D648B1"/>
    <w:rsid w:val="00D64DD3"/>
    <w:rsid w:val="00D65ABA"/>
    <w:rsid w:val="00D66001"/>
    <w:rsid w:val="00D671EB"/>
    <w:rsid w:val="00D70373"/>
    <w:rsid w:val="00D707ED"/>
    <w:rsid w:val="00D7104B"/>
    <w:rsid w:val="00D720E4"/>
    <w:rsid w:val="00D724DB"/>
    <w:rsid w:val="00D72601"/>
    <w:rsid w:val="00D72797"/>
    <w:rsid w:val="00D72C25"/>
    <w:rsid w:val="00D72EF5"/>
    <w:rsid w:val="00D7303E"/>
    <w:rsid w:val="00D731FA"/>
    <w:rsid w:val="00D73599"/>
    <w:rsid w:val="00D73F18"/>
    <w:rsid w:val="00D74862"/>
    <w:rsid w:val="00D74BDB"/>
    <w:rsid w:val="00D75F3C"/>
    <w:rsid w:val="00D76FC0"/>
    <w:rsid w:val="00D7725B"/>
    <w:rsid w:val="00D7754D"/>
    <w:rsid w:val="00D806DA"/>
    <w:rsid w:val="00D8080C"/>
    <w:rsid w:val="00D80CF2"/>
    <w:rsid w:val="00D82560"/>
    <w:rsid w:val="00D8273C"/>
    <w:rsid w:val="00D831D3"/>
    <w:rsid w:val="00D8390E"/>
    <w:rsid w:val="00D8443D"/>
    <w:rsid w:val="00D8451D"/>
    <w:rsid w:val="00D8469F"/>
    <w:rsid w:val="00D84912"/>
    <w:rsid w:val="00D84AC5"/>
    <w:rsid w:val="00D84B4E"/>
    <w:rsid w:val="00D84D97"/>
    <w:rsid w:val="00D862A3"/>
    <w:rsid w:val="00D86BD8"/>
    <w:rsid w:val="00D87D3E"/>
    <w:rsid w:val="00D91061"/>
    <w:rsid w:val="00D92EBE"/>
    <w:rsid w:val="00D92ECB"/>
    <w:rsid w:val="00D92EDC"/>
    <w:rsid w:val="00D95CD3"/>
    <w:rsid w:val="00D96ABF"/>
    <w:rsid w:val="00D96BB7"/>
    <w:rsid w:val="00D97487"/>
    <w:rsid w:val="00D978EF"/>
    <w:rsid w:val="00DA18EA"/>
    <w:rsid w:val="00DA23E7"/>
    <w:rsid w:val="00DA2B1E"/>
    <w:rsid w:val="00DA32B2"/>
    <w:rsid w:val="00DA3A53"/>
    <w:rsid w:val="00DA3D23"/>
    <w:rsid w:val="00DA3F3E"/>
    <w:rsid w:val="00DA45F0"/>
    <w:rsid w:val="00DA4D3A"/>
    <w:rsid w:val="00DA5AB8"/>
    <w:rsid w:val="00DA5EB3"/>
    <w:rsid w:val="00DA6824"/>
    <w:rsid w:val="00DA694F"/>
    <w:rsid w:val="00DA7E78"/>
    <w:rsid w:val="00DB0B84"/>
    <w:rsid w:val="00DB0C5B"/>
    <w:rsid w:val="00DB12F2"/>
    <w:rsid w:val="00DB185D"/>
    <w:rsid w:val="00DB2BEA"/>
    <w:rsid w:val="00DB34E1"/>
    <w:rsid w:val="00DB443D"/>
    <w:rsid w:val="00DB4CDC"/>
    <w:rsid w:val="00DB56AA"/>
    <w:rsid w:val="00DB5845"/>
    <w:rsid w:val="00DB6754"/>
    <w:rsid w:val="00DB67B1"/>
    <w:rsid w:val="00DB6E45"/>
    <w:rsid w:val="00DB7B84"/>
    <w:rsid w:val="00DB7C83"/>
    <w:rsid w:val="00DB7FCE"/>
    <w:rsid w:val="00DC0B57"/>
    <w:rsid w:val="00DC1102"/>
    <w:rsid w:val="00DC1E65"/>
    <w:rsid w:val="00DC23BF"/>
    <w:rsid w:val="00DC24BE"/>
    <w:rsid w:val="00DC325A"/>
    <w:rsid w:val="00DC335B"/>
    <w:rsid w:val="00DC37AE"/>
    <w:rsid w:val="00DC3EA0"/>
    <w:rsid w:val="00DC3F39"/>
    <w:rsid w:val="00DC427B"/>
    <w:rsid w:val="00DC43C4"/>
    <w:rsid w:val="00DC4F94"/>
    <w:rsid w:val="00DC568A"/>
    <w:rsid w:val="00DC571D"/>
    <w:rsid w:val="00DC6404"/>
    <w:rsid w:val="00DC6A75"/>
    <w:rsid w:val="00DC6D1E"/>
    <w:rsid w:val="00DC7213"/>
    <w:rsid w:val="00DC7285"/>
    <w:rsid w:val="00DC7F27"/>
    <w:rsid w:val="00DD05EE"/>
    <w:rsid w:val="00DD08E4"/>
    <w:rsid w:val="00DD15F7"/>
    <w:rsid w:val="00DD1B78"/>
    <w:rsid w:val="00DD24CD"/>
    <w:rsid w:val="00DD2E86"/>
    <w:rsid w:val="00DD4149"/>
    <w:rsid w:val="00DD56EF"/>
    <w:rsid w:val="00DD5AB2"/>
    <w:rsid w:val="00DD5D0A"/>
    <w:rsid w:val="00DD601A"/>
    <w:rsid w:val="00DD6083"/>
    <w:rsid w:val="00DD60B4"/>
    <w:rsid w:val="00DD6D1B"/>
    <w:rsid w:val="00DD76FB"/>
    <w:rsid w:val="00DE04EA"/>
    <w:rsid w:val="00DE0660"/>
    <w:rsid w:val="00DE0693"/>
    <w:rsid w:val="00DE0B59"/>
    <w:rsid w:val="00DE172D"/>
    <w:rsid w:val="00DE1839"/>
    <w:rsid w:val="00DE189D"/>
    <w:rsid w:val="00DE1DF4"/>
    <w:rsid w:val="00DE2145"/>
    <w:rsid w:val="00DE2359"/>
    <w:rsid w:val="00DE286D"/>
    <w:rsid w:val="00DE2A04"/>
    <w:rsid w:val="00DE3850"/>
    <w:rsid w:val="00DE3C5F"/>
    <w:rsid w:val="00DE4EAE"/>
    <w:rsid w:val="00DE7BF5"/>
    <w:rsid w:val="00DF01DC"/>
    <w:rsid w:val="00DF0DAE"/>
    <w:rsid w:val="00DF11E0"/>
    <w:rsid w:val="00DF154F"/>
    <w:rsid w:val="00DF15F2"/>
    <w:rsid w:val="00DF17D5"/>
    <w:rsid w:val="00DF1E69"/>
    <w:rsid w:val="00DF31DD"/>
    <w:rsid w:val="00DF3459"/>
    <w:rsid w:val="00DF4E44"/>
    <w:rsid w:val="00DF58B2"/>
    <w:rsid w:val="00DF60A8"/>
    <w:rsid w:val="00DF6108"/>
    <w:rsid w:val="00DF6841"/>
    <w:rsid w:val="00DF6DE4"/>
    <w:rsid w:val="00DF73A0"/>
    <w:rsid w:val="00DF749B"/>
    <w:rsid w:val="00DF7619"/>
    <w:rsid w:val="00DF767A"/>
    <w:rsid w:val="00DF7C08"/>
    <w:rsid w:val="00E007EA"/>
    <w:rsid w:val="00E02082"/>
    <w:rsid w:val="00E03650"/>
    <w:rsid w:val="00E03BD4"/>
    <w:rsid w:val="00E03DB7"/>
    <w:rsid w:val="00E044B2"/>
    <w:rsid w:val="00E04E97"/>
    <w:rsid w:val="00E05B86"/>
    <w:rsid w:val="00E06D28"/>
    <w:rsid w:val="00E10122"/>
    <w:rsid w:val="00E1043F"/>
    <w:rsid w:val="00E10F4C"/>
    <w:rsid w:val="00E1101C"/>
    <w:rsid w:val="00E11430"/>
    <w:rsid w:val="00E11F16"/>
    <w:rsid w:val="00E123BB"/>
    <w:rsid w:val="00E1546C"/>
    <w:rsid w:val="00E164E6"/>
    <w:rsid w:val="00E167D0"/>
    <w:rsid w:val="00E1767C"/>
    <w:rsid w:val="00E17C8B"/>
    <w:rsid w:val="00E17F3E"/>
    <w:rsid w:val="00E17F99"/>
    <w:rsid w:val="00E213BE"/>
    <w:rsid w:val="00E2197D"/>
    <w:rsid w:val="00E22364"/>
    <w:rsid w:val="00E2269D"/>
    <w:rsid w:val="00E2374F"/>
    <w:rsid w:val="00E238B1"/>
    <w:rsid w:val="00E23F63"/>
    <w:rsid w:val="00E23FC1"/>
    <w:rsid w:val="00E24D86"/>
    <w:rsid w:val="00E24EAC"/>
    <w:rsid w:val="00E26294"/>
    <w:rsid w:val="00E262EA"/>
    <w:rsid w:val="00E26483"/>
    <w:rsid w:val="00E26629"/>
    <w:rsid w:val="00E26902"/>
    <w:rsid w:val="00E27CB7"/>
    <w:rsid w:val="00E3150F"/>
    <w:rsid w:val="00E3223B"/>
    <w:rsid w:val="00E323B2"/>
    <w:rsid w:val="00E32B9E"/>
    <w:rsid w:val="00E32C38"/>
    <w:rsid w:val="00E33254"/>
    <w:rsid w:val="00E34111"/>
    <w:rsid w:val="00E3466E"/>
    <w:rsid w:val="00E34CF4"/>
    <w:rsid w:val="00E34F90"/>
    <w:rsid w:val="00E35064"/>
    <w:rsid w:val="00E354E7"/>
    <w:rsid w:val="00E359A8"/>
    <w:rsid w:val="00E37BA3"/>
    <w:rsid w:val="00E40A99"/>
    <w:rsid w:val="00E414D4"/>
    <w:rsid w:val="00E41A33"/>
    <w:rsid w:val="00E41B98"/>
    <w:rsid w:val="00E42D00"/>
    <w:rsid w:val="00E43D3C"/>
    <w:rsid w:val="00E442C0"/>
    <w:rsid w:val="00E44650"/>
    <w:rsid w:val="00E44856"/>
    <w:rsid w:val="00E44C8B"/>
    <w:rsid w:val="00E44D59"/>
    <w:rsid w:val="00E454CF"/>
    <w:rsid w:val="00E45929"/>
    <w:rsid w:val="00E465AA"/>
    <w:rsid w:val="00E46E26"/>
    <w:rsid w:val="00E47BA3"/>
    <w:rsid w:val="00E5053E"/>
    <w:rsid w:val="00E51CC6"/>
    <w:rsid w:val="00E51D01"/>
    <w:rsid w:val="00E51FC8"/>
    <w:rsid w:val="00E527BD"/>
    <w:rsid w:val="00E52BEA"/>
    <w:rsid w:val="00E533FC"/>
    <w:rsid w:val="00E535A8"/>
    <w:rsid w:val="00E540AF"/>
    <w:rsid w:val="00E548BF"/>
    <w:rsid w:val="00E54DC2"/>
    <w:rsid w:val="00E55763"/>
    <w:rsid w:val="00E55E5E"/>
    <w:rsid w:val="00E55F97"/>
    <w:rsid w:val="00E5647E"/>
    <w:rsid w:val="00E56847"/>
    <w:rsid w:val="00E56D5D"/>
    <w:rsid w:val="00E578C8"/>
    <w:rsid w:val="00E60313"/>
    <w:rsid w:val="00E605DC"/>
    <w:rsid w:val="00E60966"/>
    <w:rsid w:val="00E60FC5"/>
    <w:rsid w:val="00E620E3"/>
    <w:rsid w:val="00E6216E"/>
    <w:rsid w:val="00E62173"/>
    <w:rsid w:val="00E63480"/>
    <w:rsid w:val="00E66048"/>
    <w:rsid w:val="00E66394"/>
    <w:rsid w:val="00E66F56"/>
    <w:rsid w:val="00E67266"/>
    <w:rsid w:val="00E679CB"/>
    <w:rsid w:val="00E67AFC"/>
    <w:rsid w:val="00E67ECE"/>
    <w:rsid w:val="00E70D12"/>
    <w:rsid w:val="00E71005"/>
    <w:rsid w:val="00E7177D"/>
    <w:rsid w:val="00E719AD"/>
    <w:rsid w:val="00E7242E"/>
    <w:rsid w:val="00E73F74"/>
    <w:rsid w:val="00E73FDC"/>
    <w:rsid w:val="00E74314"/>
    <w:rsid w:val="00E74B54"/>
    <w:rsid w:val="00E752A1"/>
    <w:rsid w:val="00E76A61"/>
    <w:rsid w:val="00E76C24"/>
    <w:rsid w:val="00E7702D"/>
    <w:rsid w:val="00E77CB4"/>
    <w:rsid w:val="00E77F7B"/>
    <w:rsid w:val="00E80126"/>
    <w:rsid w:val="00E80243"/>
    <w:rsid w:val="00E86BC8"/>
    <w:rsid w:val="00E878D0"/>
    <w:rsid w:val="00E87AED"/>
    <w:rsid w:val="00E87D7E"/>
    <w:rsid w:val="00E901B3"/>
    <w:rsid w:val="00E901F1"/>
    <w:rsid w:val="00E903B2"/>
    <w:rsid w:val="00E90B86"/>
    <w:rsid w:val="00E92022"/>
    <w:rsid w:val="00E920AF"/>
    <w:rsid w:val="00E922AD"/>
    <w:rsid w:val="00E923AA"/>
    <w:rsid w:val="00E9242B"/>
    <w:rsid w:val="00E92C6D"/>
    <w:rsid w:val="00E92CE2"/>
    <w:rsid w:val="00E92F9E"/>
    <w:rsid w:val="00E93417"/>
    <w:rsid w:val="00E94A8D"/>
    <w:rsid w:val="00E95175"/>
    <w:rsid w:val="00E95210"/>
    <w:rsid w:val="00E954BC"/>
    <w:rsid w:val="00E955FB"/>
    <w:rsid w:val="00E9584E"/>
    <w:rsid w:val="00E95E39"/>
    <w:rsid w:val="00E963CB"/>
    <w:rsid w:val="00E97056"/>
    <w:rsid w:val="00E9749E"/>
    <w:rsid w:val="00E97B80"/>
    <w:rsid w:val="00EA0065"/>
    <w:rsid w:val="00EA17C9"/>
    <w:rsid w:val="00EA2359"/>
    <w:rsid w:val="00EA2362"/>
    <w:rsid w:val="00EA246A"/>
    <w:rsid w:val="00EA280E"/>
    <w:rsid w:val="00EA33E5"/>
    <w:rsid w:val="00EA5ADA"/>
    <w:rsid w:val="00EA5BBD"/>
    <w:rsid w:val="00EA6D3C"/>
    <w:rsid w:val="00EA7524"/>
    <w:rsid w:val="00EA78D0"/>
    <w:rsid w:val="00EA7F69"/>
    <w:rsid w:val="00EB0C31"/>
    <w:rsid w:val="00EB0DFB"/>
    <w:rsid w:val="00EB1517"/>
    <w:rsid w:val="00EB16ED"/>
    <w:rsid w:val="00EB1855"/>
    <w:rsid w:val="00EB238F"/>
    <w:rsid w:val="00EB2B15"/>
    <w:rsid w:val="00EB2BC3"/>
    <w:rsid w:val="00EB3EB0"/>
    <w:rsid w:val="00EB416F"/>
    <w:rsid w:val="00EB488D"/>
    <w:rsid w:val="00EB5DA4"/>
    <w:rsid w:val="00EB69A2"/>
    <w:rsid w:val="00EB72D2"/>
    <w:rsid w:val="00EB7BB3"/>
    <w:rsid w:val="00EB7CB7"/>
    <w:rsid w:val="00EC0B98"/>
    <w:rsid w:val="00EC11FD"/>
    <w:rsid w:val="00EC144C"/>
    <w:rsid w:val="00EC1517"/>
    <w:rsid w:val="00EC19AB"/>
    <w:rsid w:val="00EC1B63"/>
    <w:rsid w:val="00EC225E"/>
    <w:rsid w:val="00EC27B6"/>
    <w:rsid w:val="00EC2B1D"/>
    <w:rsid w:val="00EC42DA"/>
    <w:rsid w:val="00EC5112"/>
    <w:rsid w:val="00EC5E60"/>
    <w:rsid w:val="00EC6152"/>
    <w:rsid w:val="00EC6E5B"/>
    <w:rsid w:val="00ED04CE"/>
    <w:rsid w:val="00ED05EA"/>
    <w:rsid w:val="00ED11F0"/>
    <w:rsid w:val="00ED1381"/>
    <w:rsid w:val="00ED1D50"/>
    <w:rsid w:val="00ED2338"/>
    <w:rsid w:val="00ED275F"/>
    <w:rsid w:val="00ED28B9"/>
    <w:rsid w:val="00ED3009"/>
    <w:rsid w:val="00ED3D5F"/>
    <w:rsid w:val="00ED3F10"/>
    <w:rsid w:val="00ED4AB8"/>
    <w:rsid w:val="00ED4E7A"/>
    <w:rsid w:val="00ED52B0"/>
    <w:rsid w:val="00ED540F"/>
    <w:rsid w:val="00ED6A67"/>
    <w:rsid w:val="00ED73D9"/>
    <w:rsid w:val="00ED7D09"/>
    <w:rsid w:val="00EE0213"/>
    <w:rsid w:val="00EE1093"/>
    <w:rsid w:val="00EE1274"/>
    <w:rsid w:val="00EE1406"/>
    <w:rsid w:val="00EE19EC"/>
    <w:rsid w:val="00EE272D"/>
    <w:rsid w:val="00EE27D1"/>
    <w:rsid w:val="00EE50FD"/>
    <w:rsid w:val="00EE53EC"/>
    <w:rsid w:val="00EE5861"/>
    <w:rsid w:val="00EE5D60"/>
    <w:rsid w:val="00EE621A"/>
    <w:rsid w:val="00EE65D2"/>
    <w:rsid w:val="00EE670A"/>
    <w:rsid w:val="00EE6F01"/>
    <w:rsid w:val="00EE6FEE"/>
    <w:rsid w:val="00EF0387"/>
    <w:rsid w:val="00EF118D"/>
    <w:rsid w:val="00EF15D3"/>
    <w:rsid w:val="00EF3593"/>
    <w:rsid w:val="00EF3698"/>
    <w:rsid w:val="00EF4171"/>
    <w:rsid w:val="00EF4323"/>
    <w:rsid w:val="00EF4D4B"/>
    <w:rsid w:val="00EF5413"/>
    <w:rsid w:val="00EF546B"/>
    <w:rsid w:val="00EF546C"/>
    <w:rsid w:val="00EF59B1"/>
    <w:rsid w:val="00EF64FF"/>
    <w:rsid w:val="00EF7BD9"/>
    <w:rsid w:val="00F0014A"/>
    <w:rsid w:val="00F003F4"/>
    <w:rsid w:val="00F01322"/>
    <w:rsid w:val="00F014BB"/>
    <w:rsid w:val="00F0246E"/>
    <w:rsid w:val="00F027BE"/>
    <w:rsid w:val="00F02ABD"/>
    <w:rsid w:val="00F02F61"/>
    <w:rsid w:val="00F03CA0"/>
    <w:rsid w:val="00F03F32"/>
    <w:rsid w:val="00F04278"/>
    <w:rsid w:val="00F04529"/>
    <w:rsid w:val="00F05136"/>
    <w:rsid w:val="00F05DF0"/>
    <w:rsid w:val="00F05F60"/>
    <w:rsid w:val="00F06070"/>
    <w:rsid w:val="00F06371"/>
    <w:rsid w:val="00F07397"/>
    <w:rsid w:val="00F07A6C"/>
    <w:rsid w:val="00F07C19"/>
    <w:rsid w:val="00F07D1A"/>
    <w:rsid w:val="00F1105C"/>
    <w:rsid w:val="00F1301E"/>
    <w:rsid w:val="00F13B8C"/>
    <w:rsid w:val="00F13BDC"/>
    <w:rsid w:val="00F14373"/>
    <w:rsid w:val="00F148D2"/>
    <w:rsid w:val="00F169A6"/>
    <w:rsid w:val="00F17D91"/>
    <w:rsid w:val="00F201EC"/>
    <w:rsid w:val="00F20A18"/>
    <w:rsid w:val="00F2178A"/>
    <w:rsid w:val="00F21A54"/>
    <w:rsid w:val="00F21E8B"/>
    <w:rsid w:val="00F21F95"/>
    <w:rsid w:val="00F225E9"/>
    <w:rsid w:val="00F22614"/>
    <w:rsid w:val="00F23567"/>
    <w:rsid w:val="00F248BD"/>
    <w:rsid w:val="00F24C8A"/>
    <w:rsid w:val="00F25873"/>
    <w:rsid w:val="00F25B7A"/>
    <w:rsid w:val="00F307BF"/>
    <w:rsid w:val="00F30DC3"/>
    <w:rsid w:val="00F317A8"/>
    <w:rsid w:val="00F32A81"/>
    <w:rsid w:val="00F33199"/>
    <w:rsid w:val="00F332B1"/>
    <w:rsid w:val="00F33445"/>
    <w:rsid w:val="00F33A10"/>
    <w:rsid w:val="00F33AC2"/>
    <w:rsid w:val="00F34613"/>
    <w:rsid w:val="00F3495F"/>
    <w:rsid w:val="00F35806"/>
    <w:rsid w:val="00F35EDD"/>
    <w:rsid w:val="00F36412"/>
    <w:rsid w:val="00F3644F"/>
    <w:rsid w:val="00F36682"/>
    <w:rsid w:val="00F36AE3"/>
    <w:rsid w:val="00F376C1"/>
    <w:rsid w:val="00F3775C"/>
    <w:rsid w:val="00F3799E"/>
    <w:rsid w:val="00F37A42"/>
    <w:rsid w:val="00F37E1C"/>
    <w:rsid w:val="00F37F1A"/>
    <w:rsid w:val="00F37F7D"/>
    <w:rsid w:val="00F40082"/>
    <w:rsid w:val="00F407FE"/>
    <w:rsid w:val="00F40B27"/>
    <w:rsid w:val="00F4109F"/>
    <w:rsid w:val="00F431E5"/>
    <w:rsid w:val="00F43391"/>
    <w:rsid w:val="00F43599"/>
    <w:rsid w:val="00F435B4"/>
    <w:rsid w:val="00F4397D"/>
    <w:rsid w:val="00F446D2"/>
    <w:rsid w:val="00F44ACE"/>
    <w:rsid w:val="00F455E2"/>
    <w:rsid w:val="00F45B41"/>
    <w:rsid w:val="00F45CC7"/>
    <w:rsid w:val="00F46AFC"/>
    <w:rsid w:val="00F46CC9"/>
    <w:rsid w:val="00F47548"/>
    <w:rsid w:val="00F47AEE"/>
    <w:rsid w:val="00F50987"/>
    <w:rsid w:val="00F5116E"/>
    <w:rsid w:val="00F515F8"/>
    <w:rsid w:val="00F537EC"/>
    <w:rsid w:val="00F541F9"/>
    <w:rsid w:val="00F5481D"/>
    <w:rsid w:val="00F55EE0"/>
    <w:rsid w:val="00F55EF5"/>
    <w:rsid w:val="00F5670C"/>
    <w:rsid w:val="00F56887"/>
    <w:rsid w:val="00F572DA"/>
    <w:rsid w:val="00F60456"/>
    <w:rsid w:val="00F60594"/>
    <w:rsid w:val="00F622BB"/>
    <w:rsid w:val="00F62FEF"/>
    <w:rsid w:val="00F63073"/>
    <w:rsid w:val="00F6371F"/>
    <w:rsid w:val="00F63C45"/>
    <w:rsid w:val="00F648FB"/>
    <w:rsid w:val="00F64B04"/>
    <w:rsid w:val="00F64B48"/>
    <w:rsid w:val="00F64B85"/>
    <w:rsid w:val="00F64E14"/>
    <w:rsid w:val="00F65034"/>
    <w:rsid w:val="00F650BA"/>
    <w:rsid w:val="00F6516E"/>
    <w:rsid w:val="00F66411"/>
    <w:rsid w:val="00F66FD0"/>
    <w:rsid w:val="00F7013F"/>
    <w:rsid w:val="00F72974"/>
    <w:rsid w:val="00F7620D"/>
    <w:rsid w:val="00F76337"/>
    <w:rsid w:val="00F76B5E"/>
    <w:rsid w:val="00F77415"/>
    <w:rsid w:val="00F77BCA"/>
    <w:rsid w:val="00F8078C"/>
    <w:rsid w:val="00F8112A"/>
    <w:rsid w:val="00F814E2"/>
    <w:rsid w:val="00F82285"/>
    <w:rsid w:val="00F82EF2"/>
    <w:rsid w:val="00F835E6"/>
    <w:rsid w:val="00F840E5"/>
    <w:rsid w:val="00F8471F"/>
    <w:rsid w:val="00F84CDF"/>
    <w:rsid w:val="00F85069"/>
    <w:rsid w:val="00F8689E"/>
    <w:rsid w:val="00F86AF3"/>
    <w:rsid w:val="00F913F4"/>
    <w:rsid w:val="00F927F5"/>
    <w:rsid w:val="00F9361C"/>
    <w:rsid w:val="00F939CE"/>
    <w:rsid w:val="00F9414B"/>
    <w:rsid w:val="00F9451F"/>
    <w:rsid w:val="00F953F6"/>
    <w:rsid w:val="00F956BD"/>
    <w:rsid w:val="00F95E3B"/>
    <w:rsid w:val="00F96111"/>
    <w:rsid w:val="00F9656A"/>
    <w:rsid w:val="00F967BE"/>
    <w:rsid w:val="00F97EAC"/>
    <w:rsid w:val="00FA28A7"/>
    <w:rsid w:val="00FA4703"/>
    <w:rsid w:val="00FA47CE"/>
    <w:rsid w:val="00FA5860"/>
    <w:rsid w:val="00FA5E72"/>
    <w:rsid w:val="00FA67BF"/>
    <w:rsid w:val="00FA6925"/>
    <w:rsid w:val="00FA6972"/>
    <w:rsid w:val="00FA6A05"/>
    <w:rsid w:val="00FA6E3A"/>
    <w:rsid w:val="00FA76CF"/>
    <w:rsid w:val="00FA7CB9"/>
    <w:rsid w:val="00FA7EEE"/>
    <w:rsid w:val="00FB11A8"/>
    <w:rsid w:val="00FB1BFD"/>
    <w:rsid w:val="00FB2A38"/>
    <w:rsid w:val="00FB31E4"/>
    <w:rsid w:val="00FB35AD"/>
    <w:rsid w:val="00FB415C"/>
    <w:rsid w:val="00FB5142"/>
    <w:rsid w:val="00FB5483"/>
    <w:rsid w:val="00FB548F"/>
    <w:rsid w:val="00FB6E18"/>
    <w:rsid w:val="00FB7187"/>
    <w:rsid w:val="00FB7972"/>
    <w:rsid w:val="00FC0B8C"/>
    <w:rsid w:val="00FC0FF7"/>
    <w:rsid w:val="00FC2061"/>
    <w:rsid w:val="00FC2303"/>
    <w:rsid w:val="00FC2B78"/>
    <w:rsid w:val="00FC2E5E"/>
    <w:rsid w:val="00FC358D"/>
    <w:rsid w:val="00FC3D3D"/>
    <w:rsid w:val="00FC429F"/>
    <w:rsid w:val="00FC43BF"/>
    <w:rsid w:val="00FC456B"/>
    <w:rsid w:val="00FC4A62"/>
    <w:rsid w:val="00FC4BD5"/>
    <w:rsid w:val="00FC5549"/>
    <w:rsid w:val="00FD0B9C"/>
    <w:rsid w:val="00FD1AD7"/>
    <w:rsid w:val="00FD2B76"/>
    <w:rsid w:val="00FD34F3"/>
    <w:rsid w:val="00FD3E71"/>
    <w:rsid w:val="00FD42BC"/>
    <w:rsid w:val="00FD49F3"/>
    <w:rsid w:val="00FD4D9E"/>
    <w:rsid w:val="00FD597E"/>
    <w:rsid w:val="00FD5B1E"/>
    <w:rsid w:val="00FD7965"/>
    <w:rsid w:val="00FE02F9"/>
    <w:rsid w:val="00FE1313"/>
    <w:rsid w:val="00FE1BEC"/>
    <w:rsid w:val="00FE2C3D"/>
    <w:rsid w:val="00FE36C9"/>
    <w:rsid w:val="00FE3AB6"/>
    <w:rsid w:val="00FE3ADE"/>
    <w:rsid w:val="00FE3AFD"/>
    <w:rsid w:val="00FE4765"/>
    <w:rsid w:val="00FE4872"/>
    <w:rsid w:val="00FE4937"/>
    <w:rsid w:val="00FE5548"/>
    <w:rsid w:val="00FE5FC3"/>
    <w:rsid w:val="00FE68AB"/>
    <w:rsid w:val="00FE6944"/>
    <w:rsid w:val="00FE6E65"/>
    <w:rsid w:val="00FE737F"/>
    <w:rsid w:val="00FE78F7"/>
    <w:rsid w:val="00FF105C"/>
    <w:rsid w:val="00FF16A0"/>
    <w:rsid w:val="00FF1AD3"/>
    <w:rsid w:val="00FF3324"/>
    <w:rsid w:val="00FF3C75"/>
    <w:rsid w:val="00FF402B"/>
    <w:rsid w:val="00FF5744"/>
    <w:rsid w:val="00FF598A"/>
    <w:rsid w:val="00FF6D86"/>
    <w:rsid w:val="00FF732E"/>
    <w:rsid w:val="00FF7777"/>
    <w:rsid w:val="00FF798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D4317"/>
  <w15:chartTrackingRefBased/>
  <w15:docId w15:val="{25576257-5F5E-4E58-B23A-D1477CB5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Date"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kepa"/>
    <w:next w:val="Date"/>
    <w:qFormat/>
    <w:rsid w:val="00085084"/>
    <w:rPr>
      <w:sz w:val="22"/>
      <w:szCs w:val="22"/>
      <w:lang w:val="fr-FR" w:eastAsia="en-US"/>
    </w:rPr>
  </w:style>
  <w:style w:type="paragraph" w:styleId="Heading1">
    <w:name w:val="heading 1"/>
    <w:aliases w:val="D70AR,Info rubrik 1,WLI Heading Level a,heading 1,titel 1"/>
    <w:basedOn w:val="Normal"/>
    <w:next w:val="Normal"/>
    <w:qFormat/>
    <w:rsid w:val="007643AC"/>
    <w:pPr>
      <w:keepNext/>
      <w:tabs>
        <w:tab w:val="right" w:pos="-1843"/>
      </w:tabs>
      <w:spacing w:before="120" w:after="120" w:line="360" w:lineRule="auto"/>
      <w:jc w:val="center"/>
      <w:outlineLvl w:val="0"/>
    </w:pPr>
    <w:rPr>
      <w:b/>
      <w:sz w:val="28"/>
    </w:rPr>
  </w:style>
  <w:style w:type="paragraph" w:styleId="Heading2">
    <w:name w:val="heading 2"/>
    <w:aliases w:val="D70AR2"/>
    <w:basedOn w:val="Normal"/>
    <w:next w:val="Normal"/>
    <w:qFormat/>
    <w:rsid w:val="007643AC"/>
    <w:pPr>
      <w:keepNext/>
      <w:numPr>
        <w:ilvl w:val="1"/>
        <w:numId w:val="3"/>
      </w:numPr>
      <w:ind w:left="567" w:hanging="567"/>
      <w:outlineLvl w:val="1"/>
    </w:pPr>
    <w:rPr>
      <w:b/>
      <w:sz w:val="24"/>
    </w:rPr>
  </w:style>
  <w:style w:type="paragraph" w:styleId="Heading3">
    <w:name w:val="heading 3"/>
    <w:aliases w:val="D70AR3"/>
    <w:basedOn w:val="Normal"/>
    <w:next w:val="Normal"/>
    <w:qFormat/>
    <w:rsid w:val="007643AC"/>
    <w:pPr>
      <w:keepNext/>
      <w:jc w:val="center"/>
      <w:outlineLvl w:val="2"/>
    </w:pPr>
    <w:rPr>
      <w:b/>
    </w:rPr>
  </w:style>
  <w:style w:type="paragraph" w:styleId="Heading4">
    <w:name w:val="heading 4"/>
    <w:aliases w:val="D70AR4"/>
    <w:basedOn w:val="Normal"/>
    <w:next w:val="Normal"/>
    <w:qFormat/>
    <w:rsid w:val="007643AC"/>
    <w:pPr>
      <w:keepNext/>
      <w:numPr>
        <w:numId w:val="4"/>
      </w:numPr>
      <w:outlineLvl w:val="3"/>
    </w:pPr>
    <w:rPr>
      <w:snapToGrid w:val="0"/>
    </w:rPr>
  </w:style>
  <w:style w:type="paragraph" w:styleId="Heading5">
    <w:name w:val="heading 5"/>
    <w:aliases w:val="D70AR5"/>
    <w:basedOn w:val="Normal"/>
    <w:next w:val="Normal"/>
    <w:qFormat/>
    <w:rsid w:val="007643AC"/>
    <w:pPr>
      <w:outlineLvl w:val="4"/>
    </w:pPr>
    <w:rPr>
      <w:smallCaps/>
      <w:snapToGrid w:val="0"/>
      <w:u w:val="single"/>
    </w:rPr>
  </w:style>
  <w:style w:type="paragraph" w:styleId="Heading6">
    <w:name w:val="heading 6"/>
    <w:basedOn w:val="Normal"/>
    <w:next w:val="Normal"/>
    <w:qFormat/>
    <w:rsid w:val="007643AC"/>
    <w:pPr>
      <w:spacing w:before="240" w:after="60"/>
      <w:outlineLvl w:val="5"/>
    </w:pPr>
    <w:rPr>
      <w:b/>
      <w:bCs/>
    </w:rPr>
  </w:style>
  <w:style w:type="paragraph" w:styleId="Heading7">
    <w:name w:val="heading 7"/>
    <w:basedOn w:val="Normal"/>
    <w:next w:val="Normal"/>
    <w:qFormat/>
    <w:rsid w:val="007643AC"/>
    <w:pPr>
      <w:spacing w:before="240" w:after="60"/>
      <w:outlineLvl w:val="6"/>
    </w:pPr>
  </w:style>
  <w:style w:type="paragraph" w:styleId="Heading8">
    <w:name w:val="heading 8"/>
    <w:basedOn w:val="Normal"/>
    <w:next w:val="Normal"/>
    <w:qFormat/>
    <w:rsid w:val="007643AC"/>
    <w:pPr>
      <w:spacing w:before="240" w:after="60"/>
      <w:outlineLvl w:val="7"/>
    </w:pPr>
  </w:style>
  <w:style w:type="paragraph" w:styleId="Heading9">
    <w:name w:val="heading 9"/>
    <w:basedOn w:val="Normal"/>
    <w:next w:val="Normal"/>
    <w:qFormat/>
    <w:rsid w:val="007643AC"/>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43AC"/>
    <w:pPr>
      <w:tabs>
        <w:tab w:val="center" w:pos="4536"/>
        <w:tab w:val="right" w:pos="8306"/>
      </w:tabs>
    </w:pPr>
    <w:rPr>
      <w:rFonts w:ascii="Arial" w:hAnsi="Arial"/>
      <w:noProof/>
      <w:sz w:val="16"/>
    </w:rPr>
  </w:style>
  <w:style w:type="paragraph" w:styleId="Header">
    <w:name w:val="header"/>
    <w:basedOn w:val="Normal"/>
    <w:link w:val="HeaderChar"/>
    <w:rsid w:val="007643AC"/>
    <w:pPr>
      <w:tabs>
        <w:tab w:val="center" w:pos="4153"/>
        <w:tab w:val="right" w:pos="8306"/>
      </w:tabs>
    </w:pPr>
    <w:rPr>
      <w:rFonts w:ascii="Arial" w:hAnsi="Arial"/>
      <w:sz w:val="20"/>
    </w:rPr>
  </w:style>
  <w:style w:type="paragraph" w:customStyle="1" w:styleId="MemoHeaderStyle">
    <w:name w:val="MemoHeaderStyle"/>
    <w:basedOn w:val="Normal"/>
    <w:next w:val="Normal"/>
    <w:rsid w:val="007643AC"/>
    <w:pPr>
      <w:spacing w:line="120" w:lineRule="atLeast"/>
      <w:ind w:left="1418"/>
      <w:jc w:val="both"/>
    </w:pPr>
    <w:rPr>
      <w:rFonts w:ascii="Arial" w:hAnsi="Arial"/>
      <w:b/>
      <w:smallCaps/>
    </w:rPr>
  </w:style>
  <w:style w:type="paragraph" w:styleId="BodyText3">
    <w:name w:val="Body Text 3"/>
    <w:basedOn w:val="Normal"/>
    <w:rsid w:val="007643AC"/>
    <w:pPr>
      <w:ind w:right="-7"/>
      <w:jc w:val="both"/>
    </w:pPr>
  </w:style>
  <w:style w:type="paragraph" w:customStyle="1" w:styleId="Text">
    <w:name w:val="Text"/>
    <w:basedOn w:val="Normal"/>
    <w:rsid w:val="007643AC"/>
    <w:pPr>
      <w:spacing w:after="240" w:line="312" w:lineRule="atLeast"/>
    </w:pPr>
  </w:style>
  <w:style w:type="paragraph" w:customStyle="1" w:styleId="Normal1">
    <w:name w:val="Normal1"/>
    <w:basedOn w:val="Heading1"/>
    <w:rsid w:val="007643AC"/>
    <w:pPr>
      <w:keepNext w:val="0"/>
      <w:tabs>
        <w:tab w:val="clear" w:pos="-1843"/>
        <w:tab w:val="num" w:pos="570"/>
      </w:tabs>
      <w:spacing w:before="0" w:after="0" w:line="240" w:lineRule="auto"/>
      <w:ind w:left="570" w:hanging="570"/>
    </w:pPr>
    <w:rPr>
      <w:b w:val="0"/>
      <w:caps/>
    </w:rPr>
  </w:style>
  <w:style w:type="character" w:customStyle="1" w:styleId="t101">
    <w:name w:val="t101"/>
    <w:rsid w:val="007643AC"/>
    <w:rPr>
      <w:rFonts w:ascii="Arial" w:hAnsi="Arial" w:cs="Arial" w:hint="default"/>
      <w:b w:val="0"/>
      <w:bCs w:val="0"/>
      <w:i w:val="0"/>
      <w:iCs w:val="0"/>
      <w:smallCaps w:val="0"/>
      <w:spacing w:val="255"/>
      <w:sz w:val="18"/>
      <w:szCs w:val="18"/>
    </w:rPr>
  </w:style>
  <w:style w:type="paragraph" w:customStyle="1" w:styleId="Proc1">
    <w:name w:val="Proc 1"/>
    <w:basedOn w:val="bullethead"/>
    <w:rsid w:val="007643AC"/>
    <w:pPr>
      <w:numPr>
        <w:numId w:val="1"/>
      </w:numPr>
    </w:pPr>
  </w:style>
  <w:style w:type="paragraph" w:customStyle="1" w:styleId="bullethead">
    <w:name w:val="bullet head"/>
    <w:basedOn w:val="Normal"/>
    <w:rsid w:val="007643AC"/>
    <w:pPr>
      <w:spacing w:before="240" w:line="240" w:lineRule="exact"/>
    </w:pPr>
    <w:rPr>
      <w:b/>
      <w:kern w:val="28"/>
    </w:rPr>
  </w:style>
  <w:style w:type="paragraph" w:customStyle="1" w:styleId="Proc2">
    <w:name w:val="Proc 2"/>
    <w:basedOn w:val="bullethead"/>
    <w:rsid w:val="007643AC"/>
    <w:pPr>
      <w:numPr>
        <w:ilvl w:val="1"/>
        <w:numId w:val="2"/>
      </w:numPr>
    </w:pPr>
  </w:style>
  <w:style w:type="paragraph" w:customStyle="1" w:styleId="Proc3">
    <w:name w:val="Proc 3"/>
    <w:basedOn w:val="bulletlist"/>
    <w:rsid w:val="007643AC"/>
    <w:pPr>
      <w:numPr>
        <w:ilvl w:val="2"/>
        <w:numId w:val="2"/>
      </w:numPr>
    </w:pPr>
  </w:style>
  <w:style w:type="paragraph" w:customStyle="1" w:styleId="bulletlist">
    <w:name w:val="bullet list"/>
    <w:basedOn w:val="Normal"/>
    <w:rsid w:val="007643AC"/>
    <w:pPr>
      <w:spacing w:before="120" w:line="240" w:lineRule="exact"/>
    </w:pPr>
    <w:rPr>
      <w:kern w:val="28"/>
    </w:rPr>
  </w:style>
  <w:style w:type="paragraph" w:customStyle="1" w:styleId="PlainText1">
    <w:name w:val="Plain Text1"/>
    <w:basedOn w:val="bullethead"/>
    <w:rsid w:val="007643AC"/>
    <w:pPr>
      <w:ind w:left="567" w:hanging="567"/>
    </w:pPr>
    <w:rPr>
      <w:b w:val="0"/>
    </w:rPr>
  </w:style>
  <w:style w:type="character" w:styleId="Hyperlink">
    <w:name w:val="Hyperlink"/>
    <w:rsid w:val="007643AC"/>
    <w:rPr>
      <w:color w:val="0000FF"/>
      <w:u w:val="single"/>
    </w:rPr>
  </w:style>
  <w:style w:type="paragraph" w:styleId="TOC1">
    <w:name w:val="toc 1"/>
    <w:basedOn w:val="Normal"/>
    <w:next w:val="Normal"/>
    <w:autoRedefine/>
    <w:semiHidden/>
    <w:rsid w:val="007643AC"/>
    <w:pPr>
      <w:spacing w:before="120" w:after="120"/>
    </w:pPr>
    <w:rPr>
      <w:b/>
      <w:caps/>
    </w:rPr>
  </w:style>
  <w:style w:type="paragraph" w:styleId="TOC2">
    <w:name w:val="toc 2"/>
    <w:basedOn w:val="Normal"/>
    <w:next w:val="Normal"/>
    <w:autoRedefine/>
    <w:semiHidden/>
    <w:rsid w:val="007643AC"/>
    <w:pPr>
      <w:tabs>
        <w:tab w:val="right" w:leader="dot" w:pos="9055"/>
      </w:tabs>
      <w:spacing w:after="120"/>
      <w:ind w:left="851" w:hanging="709"/>
    </w:pPr>
    <w:rPr>
      <w:noProof/>
    </w:rPr>
  </w:style>
  <w:style w:type="paragraph" w:styleId="IndexHeading">
    <w:name w:val="index heading"/>
    <w:basedOn w:val="Normal"/>
    <w:next w:val="Index1"/>
    <w:semiHidden/>
    <w:rsid w:val="007643AC"/>
  </w:style>
  <w:style w:type="paragraph" w:styleId="Index1">
    <w:name w:val="index 1"/>
    <w:basedOn w:val="Normal"/>
    <w:next w:val="Normal"/>
    <w:autoRedefine/>
    <w:semiHidden/>
    <w:rsid w:val="007643AC"/>
    <w:pPr>
      <w:tabs>
        <w:tab w:val="right" w:leader="dot" w:pos="4172"/>
      </w:tabs>
      <w:spacing w:before="120" w:after="120"/>
      <w:ind w:left="680" w:hanging="680"/>
    </w:pPr>
  </w:style>
  <w:style w:type="paragraph" w:styleId="FootnoteText">
    <w:name w:val="footnote text"/>
    <w:basedOn w:val="Normal"/>
    <w:semiHidden/>
    <w:rsid w:val="007643AC"/>
    <w:pPr>
      <w:tabs>
        <w:tab w:val="left" w:pos="567"/>
      </w:tabs>
      <w:spacing w:line="260" w:lineRule="exact"/>
    </w:pPr>
    <w:rPr>
      <w:sz w:val="20"/>
    </w:rPr>
  </w:style>
  <w:style w:type="paragraph" w:styleId="Date">
    <w:name w:val="Date"/>
    <w:basedOn w:val="Normal"/>
    <w:next w:val="Normal"/>
    <w:link w:val="DateChar1"/>
    <w:uiPriority w:val="99"/>
    <w:rsid w:val="007643AC"/>
  </w:style>
  <w:style w:type="paragraph" w:styleId="BodyTextIndent">
    <w:name w:val="Body Text Indent"/>
    <w:basedOn w:val="Normal"/>
    <w:link w:val="BodyTextIndentChar"/>
    <w:rsid w:val="007643AC"/>
    <w:pPr>
      <w:spacing w:after="120"/>
      <w:ind w:left="283"/>
    </w:pPr>
  </w:style>
  <w:style w:type="character" w:styleId="CommentReference">
    <w:name w:val="annotation reference"/>
    <w:uiPriority w:val="99"/>
    <w:rsid w:val="007643AC"/>
    <w:rPr>
      <w:sz w:val="16"/>
      <w:szCs w:val="16"/>
    </w:rPr>
  </w:style>
  <w:style w:type="paragraph" w:styleId="CommentText">
    <w:name w:val="annotation text"/>
    <w:aliases w:val="Char,Comment Text Char Char Char,Comment Text Char1,Comment Text Char1 Char"/>
    <w:basedOn w:val="Normal"/>
    <w:link w:val="CommentTextChar"/>
    <w:uiPriority w:val="99"/>
    <w:rsid w:val="007643AC"/>
    <w:rPr>
      <w:sz w:val="20"/>
      <w:lang w:eastAsia="x-none"/>
    </w:rPr>
  </w:style>
  <w:style w:type="paragraph" w:styleId="BlockText">
    <w:name w:val="Block Text"/>
    <w:basedOn w:val="Normal"/>
    <w:rsid w:val="007643AC"/>
    <w:pPr>
      <w:ind w:left="1701" w:right="1416" w:hanging="708"/>
    </w:pPr>
    <w:rPr>
      <w:b/>
      <w:noProof/>
    </w:rPr>
  </w:style>
  <w:style w:type="paragraph" w:styleId="BodyText">
    <w:name w:val="Body Text"/>
    <w:basedOn w:val="Normal"/>
    <w:rsid w:val="007643AC"/>
    <w:pPr>
      <w:jc w:val="both"/>
    </w:pPr>
  </w:style>
  <w:style w:type="paragraph" w:styleId="BalloonText">
    <w:name w:val="Balloon Text"/>
    <w:basedOn w:val="Normal"/>
    <w:semiHidden/>
    <w:rsid w:val="007643AC"/>
    <w:rPr>
      <w:rFonts w:ascii="Tahoma" w:hAnsi="Tahoma" w:cs="Tahoma"/>
      <w:sz w:val="16"/>
      <w:szCs w:val="16"/>
    </w:rPr>
  </w:style>
  <w:style w:type="paragraph" w:styleId="CommentSubject">
    <w:name w:val="annotation subject"/>
    <w:basedOn w:val="CommentText"/>
    <w:next w:val="CommentText"/>
    <w:semiHidden/>
    <w:rsid w:val="007643AC"/>
    <w:rPr>
      <w:b/>
      <w:bCs/>
    </w:rPr>
  </w:style>
  <w:style w:type="paragraph" w:styleId="BodyTextIndent2">
    <w:name w:val="Body Text Indent 2"/>
    <w:basedOn w:val="Normal"/>
    <w:rsid w:val="007643AC"/>
    <w:pPr>
      <w:spacing w:after="120" w:line="480" w:lineRule="auto"/>
      <w:ind w:left="283"/>
    </w:pPr>
  </w:style>
  <w:style w:type="paragraph" w:styleId="Caption">
    <w:name w:val="caption"/>
    <w:aliases w:val=" Char1,Caption Char,Caption Char Char,Caption Char Char Char,Caption Char1,Caption Char1 Char,Char1,c"/>
    <w:basedOn w:val="Normal"/>
    <w:next w:val="Normal"/>
    <w:link w:val="CaptionChar2"/>
    <w:qFormat/>
    <w:rsid w:val="007643AC"/>
    <w:pPr>
      <w:suppressAutoHyphens/>
      <w:spacing w:before="120" w:after="120"/>
    </w:pPr>
    <w:rPr>
      <w:rFonts w:ascii="Arial" w:hAnsi="Arial"/>
      <w:b/>
      <w:bCs/>
      <w:sz w:val="20"/>
    </w:rPr>
  </w:style>
  <w:style w:type="character" w:customStyle="1" w:styleId="C-BodyTextChar">
    <w:name w:val="C-Body Text Char"/>
    <w:link w:val="C-BodyText"/>
    <w:rsid w:val="007643AC"/>
    <w:rPr>
      <w:sz w:val="24"/>
      <w:lang w:val="fr-FR" w:eastAsia="en-US" w:bidi="ar-SA"/>
    </w:rPr>
  </w:style>
  <w:style w:type="paragraph" w:customStyle="1" w:styleId="C-Bullet">
    <w:name w:val="C-Bullet"/>
    <w:rsid w:val="007643AC"/>
    <w:pPr>
      <w:tabs>
        <w:tab w:val="num" w:pos="567"/>
      </w:tabs>
      <w:spacing w:before="120" w:after="120" w:line="280" w:lineRule="atLeast"/>
      <w:ind w:left="567" w:hanging="567"/>
    </w:pPr>
    <w:rPr>
      <w:sz w:val="24"/>
      <w:lang w:val="fr-FR" w:eastAsia="en-US"/>
    </w:rPr>
  </w:style>
  <w:style w:type="paragraph" w:customStyle="1" w:styleId="C-TableText">
    <w:name w:val="C-Table Text"/>
    <w:link w:val="C-TableTextChar"/>
    <w:rsid w:val="007643AC"/>
    <w:pPr>
      <w:spacing w:before="60" w:after="60"/>
    </w:pPr>
    <w:rPr>
      <w:sz w:val="22"/>
      <w:lang w:val="fr-FR" w:eastAsia="en-US"/>
    </w:rPr>
  </w:style>
  <w:style w:type="paragraph" w:customStyle="1" w:styleId="C-TableHeader">
    <w:name w:val="C-Table Header"/>
    <w:next w:val="C-TableText"/>
    <w:link w:val="C-TableHeaderChar"/>
    <w:rsid w:val="007643AC"/>
    <w:pPr>
      <w:keepNext/>
      <w:spacing w:before="60" w:after="60"/>
    </w:pPr>
    <w:rPr>
      <w:b/>
      <w:sz w:val="22"/>
      <w:lang w:val="fr-FR" w:eastAsia="en-US"/>
    </w:rPr>
  </w:style>
  <w:style w:type="paragraph" w:customStyle="1" w:styleId="C-TableFootnote">
    <w:name w:val="C-Table Footnote"/>
    <w:next w:val="Normal"/>
    <w:link w:val="C-TableFootnoteChar"/>
    <w:rsid w:val="007643AC"/>
    <w:pPr>
      <w:tabs>
        <w:tab w:val="left" w:pos="432"/>
      </w:tabs>
      <w:ind w:left="432" w:hanging="432"/>
    </w:pPr>
    <w:rPr>
      <w:rFonts w:cs="Arial"/>
      <w:lang w:val="fr-FR" w:eastAsia="en-US"/>
    </w:rPr>
  </w:style>
  <w:style w:type="character" w:styleId="PageNumber">
    <w:name w:val="page number"/>
    <w:basedOn w:val="DefaultParagraphFont"/>
    <w:rsid w:val="007643AC"/>
  </w:style>
  <w:style w:type="paragraph" w:customStyle="1" w:styleId="TitleA">
    <w:name w:val="Title A"/>
    <w:basedOn w:val="Normal"/>
    <w:rsid w:val="007643AC"/>
    <w:pPr>
      <w:jc w:val="center"/>
    </w:pPr>
    <w:rPr>
      <w:b/>
    </w:rPr>
  </w:style>
  <w:style w:type="paragraph" w:customStyle="1" w:styleId="TitleB">
    <w:name w:val="Title B"/>
    <w:basedOn w:val="Normal"/>
    <w:rsid w:val="007643AC"/>
    <w:pPr>
      <w:ind w:left="567" w:hanging="567"/>
    </w:pPr>
    <w:rPr>
      <w:b/>
      <w:noProof/>
    </w:rPr>
  </w:style>
  <w:style w:type="character" w:customStyle="1" w:styleId="TitleBChar">
    <w:name w:val="Title B Char"/>
    <w:rsid w:val="007643AC"/>
    <w:rPr>
      <w:b/>
      <w:noProof/>
      <w:sz w:val="22"/>
      <w:lang w:val="fr-FR" w:eastAsia="en-US" w:bidi="ar-SA"/>
    </w:rPr>
  </w:style>
  <w:style w:type="character" w:customStyle="1" w:styleId="DateChar">
    <w:name w:val="Date Char"/>
    <w:uiPriority w:val="99"/>
    <w:locked/>
    <w:rsid w:val="007643AC"/>
    <w:rPr>
      <w:sz w:val="22"/>
      <w:lang w:val="fr-FR" w:eastAsia="en-US" w:bidi="ar-SA"/>
    </w:rPr>
  </w:style>
  <w:style w:type="paragraph" w:customStyle="1" w:styleId="Style2">
    <w:name w:val="Style 2"/>
    <w:basedOn w:val="Normal"/>
    <w:rsid w:val="004B5F1B"/>
    <w:pPr>
      <w:widowControl w:val="0"/>
      <w:autoSpaceDE w:val="0"/>
      <w:autoSpaceDN w:val="0"/>
      <w:spacing w:before="108"/>
      <w:ind w:right="72"/>
    </w:pPr>
    <w:rPr>
      <w:sz w:val="24"/>
      <w:szCs w:val="24"/>
      <w:lang w:eastAsia="fr-FR"/>
    </w:rPr>
  </w:style>
  <w:style w:type="paragraph" w:customStyle="1" w:styleId="style20">
    <w:name w:val="style2"/>
    <w:basedOn w:val="Normal"/>
    <w:rsid w:val="003F02AF"/>
    <w:pPr>
      <w:autoSpaceDE w:val="0"/>
      <w:autoSpaceDN w:val="0"/>
      <w:spacing w:before="108"/>
      <w:ind w:right="72"/>
    </w:pPr>
    <w:rPr>
      <w:sz w:val="24"/>
      <w:szCs w:val="24"/>
    </w:rPr>
  </w:style>
  <w:style w:type="paragraph" w:customStyle="1" w:styleId="C-AlphabeticList">
    <w:name w:val="C-Alphabetic List"/>
    <w:rsid w:val="00EF546B"/>
    <w:rPr>
      <w:sz w:val="24"/>
      <w:lang w:val="fr-FR" w:eastAsia="en-US"/>
    </w:rPr>
  </w:style>
  <w:style w:type="paragraph" w:customStyle="1" w:styleId="C-BodyText">
    <w:name w:val="C-Body Text"/>
    <w:link w:val="C-BodyTextChar"/>
    <w:qFormat/>
    <w:rsid w:val="00EF546B"/>
    <w:pPr>
      <w:spacing w:before="120" w:after="120" w:line="280" w:lineRule="atLeast"/>
    </w:pPr>
    <w:rPr>
      <w:sz w:val="24"/>
      <w:lang w:val="fr-FR" w:eastAsia="en-US"/>
    </w:rPr>
  </w:style>
  <w:style w:type="paragraph" w:customStyle="1" w:styleId="Default">
    <w:name w:val="Default"/>
    <w:rsid w:val="00EF546B"/>
    <w:pPr>
      <w:autoSpaceDE w:val="0"/>
      <w:autoSpaceDN w:val="0"/>
      <w:adjustRightInd w:val="0"/>
    </w:pPr>
    <w:rPr>
      <w:color w:val="000000"/>
      <w:sz w:val="24"/>
      <w:szCs w:val="24"/>
      <w:lang w:val="fr-FR" w:eastAsia="fr-FR"/>
    </w:rPr>
  </w:style>
  <w:style w:type="character" w:customStyle="1" w:styleId="DateChar1">
    <w:name w:val="Date Char1"/>
    <w:link w:val="Date"/>
    <w:uiPriority w:val="99"/>
    <w:locked/>
    <w:rsid w:val="00EF546B"/>
    <w:rPr>
      <w:sz w:val="22"/>
      <w:lang w:val="fr-FR" w:eastAsia="en-US" w:bidi="ar-SA"/>
    </w:rPr>
  </w:style>
  <w:style w:type="character" w:customStyle="1" w:styleId="CharChar">
    <w:name w:val="Char Char"/>
    <w:semiHidden/>
    <w:locked/>
    <w:rsid w:val="00635AE8"/>
    <w:rPr>
      <w:sz w:val="22"/>
      <w:lang w:val="fr-FR" w:eastAsia="en-US" w:bidi="ar-SA"/>
    </w:rPr>
  </w:style>
  <w:style w:type="character" w:styleId="FollowedHyperlink">
    <w:name w:val="FollowedHyperlink"/>
    <w:rsid w:val="00E26294"/>
    <w:rPr>
      <w:color w:val="800080"/>
      <w:u w:val="single"/>
    </w:rPr>
  </w:style>
  <w:style w:type="character" w:styleId="LineNumber">
    <w:name w:val="line number"/>
    <w:basedOn w:val="DefaultParagraphFont"/>
    <w:rsid w:val="006F4E32"/>
  </w:style>
  <w:style w:type="paragraph" w:customStyle="1" w:styleId="EMEAEnBodyText">
    <w:name w:val="EMEA En Body Text"/>
    <w:basedOn w:val="Normal"/>
    <w:rsid w:val="00AE2D8A"/>
    <w:pPr>
      <w:spacing w:before="120" w:after="120"/>
      <w:jc w:val="both"/>
    </w:pPr>
  </w:style>
  <w:style w:type="paragraph" w:customStyle="1" w:styleId="normalagency">
    <w:name w:val="normalagency"/>
    <w:basedOn w:val="Normal"/>
    <w:uiPriority w:val="99"/>
    <w:rsid w:val="003C0A92"/>
    <w:pPr>
      <w:spacing w:before="100" w:beforeAutospacing="1" w:after="100" w:afterAutospacing="1"/>
    </w:pPr>
    <w:rPr>
      <w:sz w:val="24"/>
      <w:szCs w:val="24"/>
      <w:lang w:eastAsia="zh-CN"/>
    </w:rPr>
  </w:style>
  <w:style w:type="paragraph" w:customStyle="1" w:styleId="bodytextagency">
    <w:name w:val="bodytextagency"/>
    <w:basedOn w:val="Normal"/>
    <w:uiPriority w:val="99"/>
    <w:rsid w:val="003C0A92"/>
    <w:pPr>
      <w:spacing w:before="100" w:beforeAutospacing="1" w:after="100" w:afterAutospacing="1"/>
    </w:pPr>
    <w:rPr>
      <w:sz w:val="24"/>
      <w:szCs w:val="24"/>
      <w:lang w:eastAsia="zh-CN"/>
    </w:rPr>
  </w:style>
  <w:style w:type="paragraph" w:styleId="DocumentMap">
    <w:name w:val="Document Map"/>
    <w:basedOn w:val="Normal"/>
    <w:link w:val="DocumentMapChar"/>
    <w:rsid w:val="00055821"/>
    <w:rPr>
      <w:rFonts w:ascii="Tahoma" w:hAnsi="Tahoma"/>
      <w:sz w:val="16"/>
      <w:szCs w:val="16"/>
    </w:rPr>
  </w:style>
  <w:style w:type="character" w:customStyle="1" w:styleId="DocumentMapChar">
    <w:name w:val="Document Map Char"/>
    <w:link w:val="DocumentMap"/>
    <w:rsid w:val="00055821"/>
    <w:rPr>
      <w:rFonts w:ascii="Tahoma" w:hAnsi="Tahoma" w:cs="Tahoma"/>
      <w:sz w:val="16"/>
      <w:szCs w:val="16"/>
      <w:lang w:val="fr-FR" w:eastAsia="en-US"/>
    </w:rPr>
  </w:style>
  <w:style w:type="paragraph" w:styleId="Revision">
    <w:name w:val="Revision"/>
    <w:hidden/>
    <w:uiPriority w:val="99"/>
    <w:semiHidden/>
    <w:rsid w:val="001D2547"/>
    <w:rPr>
      <w:sz w:val="22"/>
      <w:lang w:val="fr-FR" w:eastAsia="en-US"/>
    </w:rPr>
  </w:style>
  <w:style w:type="character" w:customStyle="1" w:styleId="C-TableTextChar">
    <w:name w:val="C-Table Text Char"/>
    <w:link w:val="C-TableText"/>
    <w:rsid w:val="0083738B"/>
    <w:rPr>
      <w:sz w:val="22"/>
      <w:lang w:val="fr-FR" w:eastAsia="en-US" w:bidi="ar-SA"/>
    </w:rPr>
  </w:style>
  <w:style w:type="paragraph" w:styleId="NormalWeb">
    <w:name w:val="Normal (Web)"/>
    <w:basedOn w:val="Normal"/>
    <w:uiPriority w:val="99"/>
    <w:rsid w:val="00D36483"/>
    <w:pPr>
      <w:spacing w:before="100" w:beforeAutospacing="1" w:after="75"/>
    </w:pPr>
    <w:rPr>
      <w:color w:val="000000"/>
      <w:sz w:val="24"/>
      <w:szCs w:val="24"/>
      <w:lang w:eastAsia="zh-CN"/>
    </w:rPr>
  </w:style>
  <w:style w:type="table" w:styleId="TableGrid">
    <w:name w:val="Table Grid"/>
    <w:basedOn w:val="TableNormal"/>
    <w:rsid w:val="00303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18D"/>
    <w:pPr>
      <w:ind w:left="720"/>
    </w:pPr>
    <w:rPr>
      <w:rFonts w:ascii="Calibri" w:eastAsia="Calibri" w:hAnsi="Calibri" w:cs="Calibri"/>
    </w:rPr>
  </w:style>
  <w:style w:type="paragraph" w:customStyle="1" w:styleId="BodytextAgency0">
    <w:name w:val="Body text (Agency)"/>
    <w:basedOn w:val="Normal"/>
    <w:link w:val="BodytextAgencyChar"/>
    <w:qFormat/>
    <w:rsid w:val="00285B4C"/>
    <w:pPr>
      <w:spacing w:after="140" w:line="280" w:lineRule="atLeast"/>
    </w:pPr>
    <w:rPr>
      <w:rFonts w:ascii="Verdana" w:eastAsia="Calibri" w:hAnsi="Verdana"/>
      <w:sz w:val="18"/>
      <w:szCs w:val="18"/>
      <w:lang w:eastAsia="en-GB"/>
    </w:rPr>
  </w:style>
  <w:style w:type="character" w:customStyle="1" w:styleId="BodytextAgencyChar">
    <w:name w:val="Body text (Agency) Char"/>
    <w:link w:val="BodytextAgency0"/>
    <w:qFormat/>
    <w:locked/>
    <w:rsid w:val="00285B4C"/>
    <w:rPr>
      <w:rFonts w:ascii="Verdana" w:eastAsia="Calibri" w:hAnsi="Verdana" w:cs="Verdana"/>
      <w:sz w:val="18"/>
      <w:szCs w:val="18"/>
      <w:lang w:val="fr-FR" w:eastAsia="en-GB"/>
    </w:rPr>
  </w:style>
  <w:style w:type="paragraph" w:customStyle="1" w:styleId="DraftingNotesAgency">
    <w:name w:val="Drafting Notes (Agency)"/>
    <w:basedOn w:val="Normal"/>
    <w:next w:val="BodytextAgency0"/>
    <w:link w:val="DraftingNotesAgencyChar"/>
    <w:uiPriority w:val="99"/>
    <w:qFormat/>
    <w:rsid w:val="003F662A"/>
    <w:pPr>
      <w:spacing w:after="140" w:line="280" w:lineRule="atLeast"/>
    </w:pPr>
    <w:rPr>
      <w:rFonts w:ascii="Courier New" w:eastAsia="Verdana" w:hAnsi="Courier New"/>
      <w:i/>
      <w:color w:val="339966"/>
      <w:sz w:val="20"/>
      <w:szCs w:val="18"/>
      <w:lang w:eastAsia="x-none"/>
    </w:rPr>
  </w:style>
  <w:style w:type="paragraph" w:customStyle="1" w:styleId="No-numheading3Agency">
    <w:name w:val="No-num heading 3 (Agency)"/>
    <w:basedOn w:val="Normal"/>
    <w:next w:val="BodytextAgency0"/>
    <w:link w:val="No-numheading3AgencyChar"/>
    <w:rsid w:val="003F662A"/>
    <w:pPr>
      <w:keepNext/>
      <w:spacing w:before="280" w:after="220"/>
      <w:outlineLvl w:val="2"/>
    </w:pPr>
    <w:rPr>
      <w:rFonts w:ascii="Verdana" w:eastAsia="Verdana" w:hAnsi="Verdana"/>
      <w:b/>
      <w:bCs/>
      <w:kern w:val="32"/>
      <w:sz w:val="20"/>
      <w:lang w:eastAsia="x-none"/>
    </w:rPr>
  </w:style>
  <w:style w:type="paragraph" w:customStyle="1" w:styleId="NormalAgency0">
    <w:name w:val="Normal (Agency)"/>
    <w:link w:val="NormalAgencyChar"/>
    <w:rsid w:val="003F662A"/>
    <w:rPr>
      <w:rFonts w:ascii="Verdana" w:eastAsia="Verdana" w:hAnsi="Verdana"/>
      <w:sz w:val="18"/>
      <w:szCs w:val="18"/>
      <w:lang w:val="fr-FR" w:eastAsia="en-GB"/>
    </w:rPr>
  </w:style>
  <w:style w:type="character" w:customStyle="1" w:styleId="NormalAgencyChar">
    <w:name w:val="Normal (Agency) Char"/>
    <w:link w:val="NormalAgency0"/>
    <w:rsid w:val="003F662A"/>
    <w:rPr>
      <w:rFonts w:ascii="Verdana" w:eastAsia="Verdana" w:hAnsi="Verdana"/>
      <w:sz w:val="18"/>
      <w:szCs w:val="18"/>
      <w:lang w:val="fr-FR" w:eastAsia="en-GB" w:bidi="ar-SA"/>
    </w:rPr>
  </w:style>
  <w:style w:type="character" w:customStyle="1" w:styleId="DraftingNotesAgencyChar">
    <w:name w:val="Drafting Notes (Agency) Char"/>
    <w:link w:val="DraftingNotesAgency"/>
    <w:rsid w:val="003F662A"/>
    <w:rPr>
      <w:rFonts w:ascii="Courier New" w:eastAsia="Verdana" w:hAnsi="Courier New"/>
      <w:i/>
      <w:color w:val="339966"/>
      <w:szCs w:val="18"/>
    </w:rPr>
  </w:style>
  <w:style w:type="character" w:customStyle="1" w:styleId="No-numheading3AgencyChar">
    <w:name w:val="No-num heading 3 (Agency) Char"/>
    <w:link w:val="No-numheading3Agency"/>
    <w:rsid w:val="003F662A"/>
    <w:rPr>
      <w:rFonts w:ascii="Verdana" w:eastAsia="Verdana" w:hAnsi="Verdana"/>
      <w:b/>
      <w:bCs/>
      <w:kern w:val="32"/>
    </w:rPr>
  </w:style>
  <w:style w:type="character" w:customStyle="1" w:styleId="FooterChar">
    <w:name w:val="Footer Char"/>
    <w:link w:val="Footer"/>
    <w:uiPriority w:val="99"/>
    <w:rsid w:val="0038636B"/>
    <w:rPr>
      <w:rFonts w:ascii="Arial" w:hAnsi="Arial"/>
      <w:noProof/>
      <w:sz w:val="16"/>
      <w:lang w:val="fr-FR" w:eastAsia="en-US"/>
    </w:rPr>
  </w:style>
  <w:style w:type="paragraph" w:customStyle="1" w:styleId="FooterblueAgency">
    <w:name w:val="Footer blue (Agency)"/>
    <w:basedOn w:val="Normal"/>
    <w:link w:val="FooterblueAgencyCharChar"/>
    <w:semiHidden/>
    <w:rsid w:val="00DC325A"/>
    <w:rPr>
      <w:rFonts w:ascii="Verdana" w:eastAsia="Verdana" w:hAnsi="Verdana"/>
      <w:b/>
      <w:color w:val="003399"/>
      <w:sz w:val="13"/>
      <w:szCs w:val="14"/>
      <w:lang w:eastAsia="en-GB"/>
    </w:rPr>
  </w:style>
  <w:style w:type="character" w:customStyle="1" w:styleId="FooterblueAgencyCharChar">
    <w:name w:val="Footer blue (Agency) Char Char"/>
    <w:link w:val="FooterblueAgency"/>
    <w:semiHidden/>
    <w:rsid w:val="00DC325A"/>
    <w:rPr>
      <w:rFonts w:ascii="Verdana" w:eastAsia="Verdana" w:hAnsi="Verdana" w:cs="Verdana"/>
      <w:b/>
      <w:color w:val="003399"/>
      <w:sz w:val="13"/>
      <w:szCs w:val="14"/>
      <w:lang w:val="fr-FR" w:eastAsia="en-GB"/>
    </w:rPr>
  </w:style>
  <w:style w:type="paragraph" w:styleId="NoSpacing">
    <w:name w:val="No Spacing"/>
    <w:uiPriority w:val="1"/>
    <w:qFormat/>
    <w:rsid w:val="0086792D"/>
    <w:rPr>
      <w:sz w:val="22"/>
      <w:lang w:val="fr-FR" w:eastAsia="en-US"/>
    </w:rPr>
  </w:style>
  <w:style w:type="character" w:customStyle="1" w:styleId="HeaderChar">
    <w:name w:val="Header Char"/>
    <w:link w:val="Header"/>
    <w:rsid w:val="00DE172D"/>
    <w:rPr>
      <w:rFonts w:ascii="Arial" w:hAnsi="Arial"/>
      <w:lang w:val="fr-FR" w:eastAsia="en-US"/>
    </w:rPr>
  </w:style>
  <w:style w:type="character" w:customStyle="1" w:styleId="C-TableFootnoteChar">
    <w:name w:val="C-Table Footnote Char"/>
    <w:link w:val="C-TableFootnote"/>
    <w:rsid w:val="00DE172D"/>
    <w:rPr>
      <w:rFonts w:cs="Arial"/>
      <w:lang w:val="fr-FR" w:eastAsia="en-US" w:bidi="ar-SA"/>
    </w:rPr>
  </w:style>
  <w:style w:type="character" w:customStyle="1" w:styleId="C-TableHeaderChar">
    <w:name w:val="C-Table Header Char"/>
    <w:link w:val="C-TableHeader"/>
    <w:rsid w:val="00DE172D"/>
    <w:rPr>
      <w:b/>
      <w:sz w:val="22"/>
      <w:lang w:val="fr-FR" w:eastAsia="en-US" w:bidi="ar-SA"/>
    </w:rPr>
  </w:style>
  <w:style w:type="character" w:customStyle="1" w:styleId="CommentTextChar">
    <w:name w:val="Comment Text Char"/>
    <w:aliases w:val="Char Char1,Comment Text Char Char Char Char,Comment Text Char1 Char1,Comment Text Char1 Char Char"/>
    <w:link w:val="CommentText"/>
    <w:uiPriority w:val="99"/>
    <w:rsid w:val="004F07A1"/>
    <w:rPr>
      <w:lang w:val="fr-FR"/>
    </w:rPr>
  </w:style>
  <w:style w:type="character" w:customStyle="1" w:styleId="inlineview">
    <w:name w:val="inline_view"/>
    <w:rsid w:val="004F7BE2"/>
  </w:style>
  <w:style w:type="character" w:customStyle="1" w:styleId="CaptionChar2">
    <w:name w:val="Caption Char2"/>
    <w:aliases w:val=" Char1 Char,Caption Char Char1,Caption Char Char Char1,Caption Char Char Char Char,Caption Char1 Char1,Caption Char1 Char Char,Char1 Char,c Char"/>
    <w:link w:val="Caption"/>
    <w:rsid w:val="008D41E2"/>
    <w:rPr>
      <w:rFonts w:ascii="Arial" w:hAnsi="Arial"/>
      <w:b/>
      <w:bCs/>
      <w:lang w:val="fr-FR" w:eastAsia="en-US"/>
    </w:rPr>
  </w:style>
  <w:style w:type="character" w:styleId="FootnoteReference">
    <w:name w:val="footnote reference"/>
    <w:uiPriority w:val="99"/>
    <w:unhideWhenUsed/>
    <w:rsid w:val="006E6647"/>
    <w:rPr>
      <w:vertAlign w:val="superscript"/>
    </w:rPr>
  </w:style>
  <w:style w:type="paragraph" w:customStyle="1" w:styleId="C-Footnote">
    <w:name w:val="C-Footnote"/>
    <w:basedOn w:val="C-TableFootnote"/>
    <w:qFormat/>
    <w:rsid w:val="006E6647"/>
    <w:pPr>
      <w:tabs>
        <w:tab w:val="clear" w:pos="432"/>
        <w:tab w:val="left" w:pos="144"/>
      </w:tabs>
      <w:ind w:left="0" w:firstLine="0"/>
    </w:pPr>
    <w:rPr>
      <w:rFonts w:eastAsia="MS Mincho" w:cs="Times New Roman"/>
    </w:rPr>
  </w:style>
  <w:style w:type="paragraph" w:styleId="TOC6">
    <w:name w:val="toc 6"/>
    <w:basedOn w:val="Normal"/>
    <w:next w:val="Normal"/>
    <w:autoRedefine/>
    <w:rsid w:val="00CE3F16"/>
    <w:pPr>
      <w:ind w:left="1100"/>
    </w:pPr>
  </w:style>
  <w:style w:type="paragraph" w:customStyle="1" w:styleId="No-numheading1Agency">
    <w:name w:val="No-num heading 1 (Agency)"/>
    <w:basedOn w:val="Normal"/>
    <w:next w:val="BodytextAgency0"/>
    <w:qFormat/>
    <w:rsid w:val="00F014BB"/>
    <w:pPr>
      <w:keepNext/>
      <w:spacing w:before="280" w:after="220"/>
      <w:outlineLvl w:val="0"/>
    </w:pPr>
    <w:rPr>
      <w:rFonts w:ascii="Verdana" w:eastAsia="Verdana" w:hAnsi="Verdana" w:cs="Arial"/>
      <w:b/>
      <w:bCs/>
      <w:kern w:val="32"/>
      <w:sz w:val="27"/>
      <w:szCs w:val="27"/>
      <w:lang w:eastAsia="en-GB"/>
    </w:rPr>
  </w:style>
  <w:style w:type="paragraph" w:customStyle="1" w:styleId="EMEAAddress">
    <w:name w:val="EMEA Address"/>
    <w:basedOn w:val="Normal"/>
    <w:rsid w:val="00CB3D9F"/>
    <w:rPr>
      <w:rFonts w:eastAsia="Calibri"/>
    </w:rPr>
  </w:style>
  <w:style w:type="character" w:customStyle="1" w:styleId="BodyTextIndentChar">
    <w:name w:val="Body Text Indent Char"/>
    <w:link w:val="BodyTextIndent"/>
    <w:rsid w:val="00DB12F2"/>
    <w:rPr>
      <w:sz w:val="22"/>
      <w:lang w:eastAsia="en-US"/>
    </w:rPr>
  </w:style>
  <w:style w:type="character" w:styleId="Emphasis">
    <w:name w:val="Emphasis"/>
    <w:uiPriority w:val="20"/>
    <w:qFormat/>
    <w:rsid w:val="0092715B"/>
    <w:rPr>
      <w:i/>
      <w:iCs/>
    </w:rPr>
  </w:style>
  <w:style w:type="character" w:styleId="UnresolvedMention">
    <w:name w:val="Unresolved Mention"/>
    <w:uiPriority w:val="99"/>
    <w:semiHidden/>
    <w:unhideWhenUsed/>
    <w:rsid w:val="00FD34F3"/>
    <w:rPr>
      <w:color w:val="605E5C"/>
      <w:shd w:val="clear" w:color="auto" w:fill="E1DFDD"/>
    </w:rPr>
  </w:style>
  <w:style w:type="paragraph" w:customStyle="1" w:styleId="StyleBullets">
    <w:name w:val="_Style Bullets"/>
    <w:basedOn w:val="Normal"/>
    <w:qFormat/>
    <w:rsid w:val="00E80243"/>
    <w:pPr>
      <w:numPr>
        <w:numId w:val="7"/>
      </w:numPr>
      <w:tabs>
        <w:tab w:val="clear" w:pos="720"/>
        <w:tab w:val="num" w:pos="567"/>
      </w:tabs>
      <w:ind w:left="567" w:hanging="567"/>
    </w:pPr>
    <w:rPr>
      <w:color w:val="000000"/>
    </w:rPr>
  </w:style>
  <w:style w:type="paragraph" w:customStyle="1" w:styleId="StyleBullets2">
    <w:name w:val="_Style Bullets 2"/>
    <w:basedOn w:val="Normal"/>
    <w:qFormat/>
    <w:rsid w:val="00E80243"/>
    <w:pPr>
      <w:numPr>
        <w:ilvl w:val="1"/>
        <w:numId w:val="7"/>
      </w:numPr>
      <w:tabs>
        <w:tab w:val="clear" w:pos="1440"/>
        <w:tab w:val="num" w:pos="1134"/>
      </w:tabs>
      <w:ind w:left="1134" w:hanging="567"/>
    </w:pPr>
    <w:rPr>
      <w:color w:val="000000"/>
    </w:rPr>
  </w:style>
  <w:style w:type="paragraph" w:customStyle="1" w:styleId="Style1">
    <w:name w:val="Style1"/>
    <w:basedOn w:val="StyleBullets2"/>
    <w:qFormat/>
    <w:rsid w:val="00E80243"/>
  </w:style>
  <w:style w:type="paragraph" w:customStyle="1" w:styleId="StyleBullets3">
    <w:name w:val="_Style Bullets 3"/>
    <w:basedOn w:val="ListParagraph"/>
    <w:qFormat/>
    <w:rsid w:val="00E80243"/>
    <w:pPr>
      <w:numPr>
        <w:numId w:val="60"/>
      </w:numPr>
      <w:tabs>
        <w:tab w:val="left" w:pos="1701"/>
      </w:tabs>
      <w:ind w:left="1701" w:hanging="567"/>
      <w:contextualSpacing/>
    </w:pPr>
    <w:rPr>
      <w:rFonts w:ascii="Times New Roman" w:hAnsi="Times New Roman" w:cs="Times New Roman"/>
    </w:rPr>
  </w:style>
  <w:style w:type="paragraph" w:customStyle="1" w:styleId="StyleHeadingLab">
    <w:name w:val="_Style Heading Lab"/>
    <w:basedOn w:val="Normal"/>
    <w:qFormat/>
    <w:rsid w:val="00EE1093"/>
    <w:pPr>
      <w:keepNext/>
      <w:pBdr>
        <w:top w:val="single" w:sz="4" w:space="1" w:color="auto"/>
        <w:left w:val="single" w:sz="4" w:space="1" w:color="auto"/>
        <w:bottom w:val="single" w:sz="4" w:space="1" w:color="auto"/>
        <w:right w:val="single" w:sz="4" w:space="1" w:color="auto"/>
      </w:pBdr>
      <w:tabs>
        <w:tab w:val="left" w:pos="567"/>
      </w:tabs>
      <w:ind w:left="567" w:hanging="567"/>
    </w:pPr>
    <w:rPr>
      <w:b/>
      <w:color w:val="000000"/>
    </w:rPr>
  </w:style>
  <w:style w:type="paragraph" w:customStyle="1" w:styleId="StyleTablenotes8">
    <w:name w:val="_Style Table notes 8"/>
    <w:basedOn w:val="Date"/>
    <w:qFormat/>
    <w:rsid w:val="0064116A"/>
    <w:rPr>
      <w:color w:val="000000"/>
      <w:sz w:val="16"/>
      <w:szCs w:val="16"/>
    </w:rPr>
  </w:style>
  <w:style w:type="paragraph" w:customStyle="1" w:styleId="Style21">
    <w:name w:val="Style2"/>
    <w:basedOn w:val="Date"/>
    <w:qFormat/>
    <w:rsid w:val="00A07D82"/>
    <w:pPr>
      <w:keepNext/>
    </w:pPr>
    <w:rPr>
      <w:i/>
      <w:color w:val="000000"/>
      <w:u w:val="single"/>
    </w:rPr>
  </w:style>
  <w:style w:type="paragraph" w:customStyle="1" w:styleId="Style3">
    <w:name w:val="Style3"/>
    <w:basedOn w:val="Normal"/>
    <w:qFormat/>
    <w:rsid w:val="0094597D"/>
    <w:pPr>
      <w:snapToGrid w:val="0"/>
    </w:pPr>
    <w:rPr>
      <w:bCs/>
      <w:sz w:val="20"/>
      <w:szCs w:val="20"/>
      <w:u w:val="single"/>
    </w:rPr>
  </w:style>
  <w:style w:type="paragraph" w:customStyle="1" w:styleId="Style4">
    <w:name w:val="Style4"/>
    <w:basedOn w:val="Date"/>
    <w:qFormat/>
    <w:rsid w:val="0094597D"/>
    <w:rPr>
      <w:color w:val="000000"/>
      <w:sz w:val="20"/>
      <w:szCs w:val="20"/>
    </w:rPr>
  </w:style>
  <w:style w:type="paragraph" w:customStyle="1" w:styleId="Style5">
    <w:name w:val="Style5"/>
    <w:basedOn w:val="Date"/>
    <w:qFormat/>
    <w:rsid w:val="0094597D"/>
    <w:pPr>
      <w:keepNext/>
      <w:numPr>
        <w:ilvl w:val="1"/>
        <w:numId w:val="39"/>
      </w:numPr>
      <w:ind w:left="567" w:hanging="567"/>
    </w:pPr>
    <w:rPr>
      <w:u w:val="single"/>
    </w:rPr>
  </w:style>
  <w:style w:type="paragraph" w:customStyle="1" w:styleId="Style6">
    <w:name w:val="Style6"/>
    <w:basedOn w:val="C-TableText"/>
    <w:qFormat/>
    <w:rsid w:val="00CA5528"/>
    <w:pPr>
      <w:keepNext/>
      <w:spacing w:before="0" w:after="0"/>
      <w:ind w:left="360" w:hanging="360"/>
    </w:pPr>
    <w:rPr>
      <w:b/>
      <w:bCs/>
      <w:color w:val="000000"/>
      <w:sz w:val="20"/>
    </w:rPr>
  </w:style>
  <w:style w:type="paragraph" w:customStyle="1" w:styleId="Style7">
    <w:name w:val="Style7"/>
    <w:basedOn w:val="Normal"/>
    <w:qFormat/>
    <w:rsid w:val="000E4C89"/>
    <w:pPr>
      <w:keepNext/>
      <w:jc w:val="center"/>
    </w:pPr>
    <w:rPr>
      <w:b/>
      <w:color w:val="000000"/>
      <w:sz w:val="20"/>
      <w:szCs w:val="20"/>
    </w:rPr>
  </w:style>
  <w:style w:type="paragraph" w:customStyle="1" w:styleId="Style8">
    <w:name w:val="Style8"/>
    <w:basedOn w:val="C-TableText"/>
    <w:qFormat/>
    <w:rsid w:val="00C240F2"/>
    <w:pPr>
      <w:keepNext/>
      <w:spacing w:before="120" w:after="120" w:line="240" w:lineRule="atLeast"/>
      <w:ind w:right="-111"/>
    </w:pPr>
    <w:rPr>
      <w:b/>
      <w:sz w:val="20"/>
    </w:rPr>
  </w:style>
  <w:style w:type="paragraph" w:customStyle="1" w:styleId="Style9">
    <w:name w:val="Style9"/>
    <w:basedOn w:val="Normal"/>
    <w:qFormat/>
    <w:rsid w:val="00C240F2"/>
    <w:pPr>
      <w:keepNext/>
      <w:numPr>
        <w:numId w:val="10"/>
      </w:numPr>
      <w:tabs>
        <w:tab w:val="clear" w:pos="720"/>
        <w:tab w:val="num" w:pos="1134"/>
      </w:tabs>
      <w:ind w:left="1134" w:hanging="567"/>
    </w:pPr>
    <w:rPr>
      <w:color w:val="000000"/>
    </w:rPr>
  </w:style>
  <w:style w:type="paragraph" w:customStyle="1" w:styleId="Style10">
    <w:name w:val="Style10"/>
    <w:basedOn w:val="Normal"/>
    <w:qFormat/>
    <w:rsid w:val="00AD65A7"/>
    <w:rPr>
      <w:color w:val="000000"/>
    </w:rPr>
  </w:style>
  <w:style w:type="paragraph" w:customStyle="1" w:styleId="Style11">
    <w:name w:val="Style11"/>
    <w:basedOn w:val="C-BodyText"/>
    <w:qFormat/>
    <w:rsid w:val="00223D79"/>
    <w:pPr>
      <w:keepNext/>
      <w:spacing w:before="0" w:after="0" w:line="240" w:lineRule="auto"/>
    </w:pPr>
    <w:rPr>
      <w:i/>
      <w:sz w:val="22"/>
      <w:szCs w:val="22"/>
      <w:u w:val="single"/>
    </w:rPr>
  </w:style>
  <w:style w:type="paragraph" w:customStyle="1" w:styleId="Style12">
    <w:name w:val="Style12"/>
    <w:basedOn w:val="Normal"/>
    <w:qFormat/>
    <w:rsid w:val="00A60DF7"/>
    <w:pPr>
      <w:keepNext/>
    </w:pPr>
    <w:rPr>
      <w:b/>
      <w:sz w:val="20"/>
      <w:szCs w:val="20"/>
    </w:rPr>
  </w:style>
  <w:style w:type="paragraph" w:customStyle="1" w:styleId="EMEATableLeft">
    <w:name w:val="EMEA Table Left"/>
    <w:basedOn w:val="EMEABodyText"/>
    <w:rsid w:val="00EB238F"/>
    <w:pPr>
      <w:keepNext/>
      <w:keepLines/>
    </w:pPr>
  </w:style>
  <w:style w:type="paragraph" w:customStyle="1" w:styleId="EMEABodyText">
    <w:name w:val="EMEA Body Text"/>
    <w:basedOn w:val="Normal"/>
    <w:link w:val="EMEABodyTextChar"/>
    <w:rsid w:val="00EB238F"/>
    <w:rPr>
      <w:szCs w:val="20"/>
      <w:lang w:val="en-GB"/>
    </w:rPr>
  </w:style>
  <w:style w:type="character" w:customStyle="1" w:styleId="EMEABodyTextChar">
    <w:name w:val="EMEA Body Text Char"/>
    <w:link w:val="EMEABodyText"/>
    <w:rsid w:val="00EB238F"/>
    <w:rPr>
      <w:sz w:val="22"/>
      <w:lang w:val="en-GB" w:eastAsia="en-US"/>
    </w:rPr>
  </w:style>
  <w:style w:type="character" w:customStyle="1" w:styleId="cf01">
    <w:name w:val="cf01"/>
    <w:rsid w:val="00EB238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83956">
      <w:bodyDiv w:val="1"/>
      <w:marLeft w:val="0"/>
      <w:marRight w:val="0"/>
      <w:marTop w:val="0"/>
      <w:marBottom w:val="0"/>
      <w:divBdr>
        <w:top w:val="none" w:sz="0" w:space="0" w:color="auto"/>
        <w:left w:val="none" w:sz="0" w:space="0" w:color="auto"/>
        <w:bottom w:val="none" w:sz="0" w:space="0" w:color="auto"/>
        <w:right w:val="none" w:sz="0" w:space="0" w:color="auto"/>
      </w:divBdr>
    </w:div>
    <w:div w:id="268898307">
      <w:bodyDiv w:val="1"/>
      <w:marLeft w:val="0"/>
      <w:marRight w:val="0"/>
      <w:marTop w:val="0"/>
      <w:marBottom w:val="0"/>
      <w:divBdr>
        <w:top w:val="none" w:sz="0" w:space="0" w:color="auto"/>
        <w:left w:val="none" w:sz="0" w:space="0" w:color="auto"/>
        <w:bottom w:val="none" w:sz="0" w:space="0" w:color="auto"/>
        <w:right w:val="none" w:sz="0" w:space="0" w:color="auto"/>
      </w:divBdr>
    </w:div>
    <w:div w:id="634410470">
      <w:bodyDiv w:val="1"/>
      <w:marLeft w:val="0"/>
      <w:marRight w:val="0"/>
      <w:marTop w:val="0"/>
      <w:marBottom w:val="0"/>
      <w:divBdr>
        <w:top w:val="none" w:sz="0" w:space="0" w:color="auto"/>
        <w:left w:val="none" w:sz="0" w:space="0" w:color="auto"/>
        <w:bottom w:val="none" w:sz="0" w:space="0" w:color="auto"/>
        <w:right w:val="none" w:sz="0" w:space="0" w:color="auto"/>
      </w:divBdr>
    </w:div>
    <w:div w:id="1939866778">
      <w:bodyDiv w:val="1"/>
      <w:marLeft w:val="0"/>
      <w:marRight w:val="0"/>
      <w:marTop w:val="0"/>
      <w:marBottom w:val="0"/>
      <w:divBdr>
        <w:top w:val="none" w:sz="0" w:space="0" w:color="auto"/>
        <w:left w:val="none" w:sz="0" w:space="0" w:color="auto"/>
        <w:bottom w:val="none" w:sz="0" w:space="0" w:color="auto"/>
        <w:right w:val="none" w:sz="0" w:space="0" w:color="auto"/>
      </w:divBdr>
    </w:div>
    <w:div w:id="203831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C1FFE8-3B94-4476-8623-CD0A19D5C386}">
  <ds:schemaRefs>
    <ds:schemaRef ds:uri="http://schemas.openxmlformats.org/officeDocument/2006/bibliography"/>
  </ds:schemaRefs>
</ds:datastoreItem>
</file>

<file path=customXml/itemProps2.xml><?xml version="1.0" encoding="utf-8"?>
<ds:datastoreItem xmlns:ds="http://schemas.openxmlformats.org/officeDocument/2006/customXml" ds:itemID="{85E0C34A-1D1E-4A0B-836C-A55A0CA5B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6BDC2C-9D3A-4FC7-8643-FE5B116834E8}">
  <ds:schemaRefs>
    <ds:schemaRef ds:uri="http://schemas.openxmlformats.org/officeDocument/2006/bibliography"/>
  </ds:schemaRefs>
</ds:datastoreItem>
</file>

<file path=customXml/itemProps4.xml><?xml version="1.0" encoding="utf-8"?>
<ds:datastoreItem xmlns:ds="http://schemas.openxmlformats.org/officeDocument/2006/customXml" ds:itemID="{899FBE87-4E0F-491A-9709-0A741A1BC4D0}">
  <ds:schemaRefs>
    <ds:schemaRef ds:uri="http://schemas.microsoft.com/office/2006/metadata/properties"/>
    <ds:schemaRef ds:uri="http://schemas.microsoft.com/office/infopath/2007/PartnerControls"/>
    <ds:schemaRef ds:uri="3f83d26c-a6bb-4832-bb49-a594a1586919"/>
    <ds:schemaRef ds:uri="e04e76cc-cb97-4764-ace6-9c092957dc51"/>
  </ds:schemaRefs>
</ds:datastoreItem>
</file>

<file path=customXml/itemProps5.xml><?xml version="1.0" encoding="utf-8"?>
<ds:datastoreItem xmlns:ds="http://schemas.openxmlformats.org/officeDocument/2006/customXml" ds:itemID="{5497185F-8060-4EF5-BCCA-C136FD6D8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42933</Words>
  <Characters>244721</Characters>
  <Application>Microsoft Office Word</Application>
  <DocSecurity>0</DocSecurity>
  <Lines>2039</Lines>
  <Paragraphs>574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Revlimid, INN-lenalidomide</vt:lpstr>
      <vt:lpstr>RÉSUMÉ DES CARACTÉRISTIQUES DU PRODUIT</vt:lpstr>
    </vt:vector>
  </TitlesOfParts>
  <Manager/>
  <Company>Bristol-Myers Squibb Company</Company>
  <LinksUpToDate>false</LinksUpToDate>
  <CharactersWithSpaces>287080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Revlimid, INN-lenalidomide</dc:title>
  <dc:subject>EPAR</dc:subject>
  <dc:creator>CHMP</dc:creator>
  <cp:keywords>Revlimid, INN-lenalidomide</cp:keywords>
  <cp:lastModifiedBy>BMS</cp:lastModifiedBy>
  <cp:revision>4</cp:revision>
  <dcterms:created xsi:type="dcterms:W3CDTF">2025-02-04T06:46:00Z</dcterms:created>
  <dcterms:modified xsi:type="dcterms:W3CDTF">2025-02-19T09:43:00Z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0x0101002B2B53EFACD9CB4AB240FDDEA565C0E7</vt:lpwstr>
  </property>
  <property fmtid="{D5CDD505-2E9C-101B-9397-08002B2CF9AE}" pid="3" name="MediaServiceImageTags">
    <vt:lpwstr/>
  </property>
</Properties>
</file>